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footer2.xml" ContentType="application/vnd.openxmlformats-officedocument.wordprocessingml.footer+xml"/>
  <Default Extension="jpeg" ContentType="image/jpeg"/>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49.079983pt;width:485pt;height:.1pt;mso-position-horizontal-relative:page;mso-position-vertical-relative:page;z-index:0" coordorigin="1104,982" coordsize="9700,2">
            <v:shape style="position:absolute;left:1104;top:982;width:9700;height:2" coordorigin="1104,982" coordsize="9700,0" path="m1104,982l10804,982e" filled="false" stroked="true" strokeweight=".72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6"/>
          <w:szCs w:val="16"/>
        </w:rPr>
      </w:pPr>
    </w:p>
    <w:p>
      <w:pPr>
        <w:spacing w:line="1230" w:lineRule="exact"/>
        <w:ind w:left="484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4"/>
          <w:sz w:val="20"/>
          <w:szCs w:val="20"/>
        </w:rPr>
        <w:drawing>
          <wp:inline distT="0" distB="0" distL="0" distR="0">
            <wp:extent cx="1410335" cy="781050"/>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7" cstate="print"/>
                    <a:stretch>
                      <a:fillRect/>
                    </a:stretch>
                  </pic:blipFill>
                  <pic:spPr>
                    <a:xfrm>
                      <a:off x="0" y="0"/>
                      <a:ext cx="1410335" cy="781050"/>
                    </a:xfrm>
                    <a:prstGeom prst="rect">
                      <a:avLst/>
                    </a:prstGeom>
                  </pic:spPr>
                </pic:pic>
              </a:graphicData>
            </a:graphic>
          </wp:inline>
        </w:drawing>
      </w:r>
      <w:r>
        <w:rPr>
          <w:rFonts w:ascii="Times New Roman" w:hAnsi="Times New Roman" w:cs="Times New Roman" w:eastAsia="Times New Roman" w:hint="default"/>
          <w:position w:val="-24"/>
          <w:sz w:val="20"/>
          <w:szCs w:val="20"/>
        </w:rPr>
      </w:r>
    </w:p>
    <w:p>
      <w:pPr>
        <w:spacing w:line="240" w:lineRule="auto" w:before="3"/>
        <w:rPr>
          <w:rFonts w:ascii="Times New Roman" w:hAnsi="Times New Roman" w:cs="Times New Roman" w:eastAsia="Times New Roman" w:hint="default"/>
          <w:sz w:val="13"/>
          <w:szCs w:val="13"/>
        </w:rPr>
      </w:pPr>
    </w:p>
    <w:p>
      <w:pPr>
        <w:spacing w:line="460" w:lineRule="exact" w:before="0"/>
        <w:ind w:left="3403" w:right="3403" w:firstLine="0"/>
        <w:jc w:val="center"/>
        <w:rPr>
          <w:rFonts w:ascii="宋体" w:hAnsi="宋体" w:cs="宋体" w:eastAsia="宋体" w:hint="default"/>
          <w:sz w:val="36"/>
          <w:szCs w:val="36"/>
        </w:rPr>
      </w:pPr>
      <w:r>
        <w:rPr>
          <w:rFonts w:ascii="宋体" w:hAnsi="宋体" w:cs="宋体" w:eastAsia="宋体" w:hint="default"/>
          <w:b/>
          <w:bCs/>
          <w:sz w:val="36"/>
          <w:szCs w:val="36"/>
        </w:rPr>
        <w:t>北京昆仑万维科技股份有限公司</w:t>
      </w:r>
      <w:r>
        <w:rPr>
          <w:rFonts w:ascii="宋体" w:hAnsi="宋体" w:cs="宋体" w:eastAsia="宋体" w:hint="default"/>
          <w:sz w:val="36"/>
          <w:szCs w:val="36"/>
        </w:rPr>
      </w:r>
    </w:p>
    <w:p>
      <w:pPr>
        <w:spacing w:line="240" w:lineRule="auto" w:before="9"/>
        <w:rPr>
          <w:rFonts w:ascii="宋体" w:hAnsi="宋体" w:cs="宋体" w:eastAsia="宋体" w:hint="default"/>
          <w:b/>
          <w:bCs/>
          <w:sz w:val="30"/>
          <w:szCs w:val="30"/>
        </w:rPr>
      </w:pPr>
    </w:p>
    <w:p>
      <w:pPr>
        <w:spacing w:before="0"/>
        <w:ind w:left="3402" w:right="3403"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2017</w:t>
      </w:r>
      <w:r>
        <w:rPr>
          <w:rFonts w:ascii="Times New Roman" w:hAnsi="Times New Roman" w:cs="Times New Roman" w:eastAsia="Times New Roman" w:hint="default"/>
          <w:b/>
          <w:bCs/>
          <w:spacing w:val="-4"/>
          <w:sz w:val="32"/>
          <w:szCs w:val="32"/>
        </w:rPr>
        <w:t> </w:t>
      </w:r>
      <w:r>
        <w:rPr>
          <w:rFonts w:ascii="宋体" w:hAnsi="宋体" w:cs="宋体" w:eastAsia="宋体" w:hint="default"/>
          <w:b/>
          <w:bCs/>
          <w:sz w:val="32"/>
          <w:szCs w:val="32"/>
        </w:rPr>
        <w:t>年年度报告</w:t>
      </w:r>
      <w:r>
        <w:rPr>
          <w:rFonts w:ascii="宋体" w:hAnsi="宋体" w:cs="宋体" w:eastAsia="宋体" w:hint="default"/>
          <w:sz w:val="32"/>
          <w:szCs w:val="32"/>
        </w:rPr>
      </w: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5"/>
        <w:rPr>
          <w:rFonts w:ascii="宋体" w:hAnsi="宋体" w:cs="宋体" w:eastAsia="宋体" w:hint="default"/>
          <w:b/>
          <w:bCs/>
          <w:sz w:val="48"/>
          <w:szCs w:val="48"/>
        </w:rPr>
      </w:pPr>
    </w:p>
    <w:p>
      <w:pPr>
        <w:spacing w:before="0"/>
        <w:ind w:left="3403" w:right="3402"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2018</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w:t>
      </w:r>
      <w:r>
        <w:rPr>
          <w:rFonts w:ascii="宋体" w:hAnsi="宋体" w:cs="宋体" w:eastAsia="宋体" w:hint="default"/>
          <w:b/>
          <w:bCs/>
          <w:spacing w:val="-82"/>
          <w:sz w:val="32"/>
          <w:szCs w:val="32"/>
        </w:rPr>
        <w:t> </w:t>
      </w:r>
      <w:r>
        <w:rPr>
          <w:rFonts w:ascii="Times New Roman" w:hAnsi="Times New Roman" w:cs="Times New Roman" w:eastAsia="Times New Roman" w:hint="default"/>
          <w:b/>
          <w:bCs/>
          <w:sz w:val="32"/>
          <w:szCs w:val="32"/>
        </w:rPr>
        <w:t>04</w:t>
      </w:r>
      <w:r>
        <w:rPr>
          <w:rFonts w:ascii="Times New Roman" w:hAnsi="Times New Roman" w:cs="Times New Roman" w:eastAsia="Times New Roman" w:hint="default"/>
          <w:b/>
          <w:bCs/>
          <w:spacing w:val="-2"/>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47" w:footer="979" w:top="1060" w:bottom="1160" w:left="0" w:right="0"/>
        </w:sectPr>
      </w:pPr>
    </w:p>
    <w:p>
      <w:pPr>
        <w:spacing w:line="240" w:lineRule="auto" w:before="12"/>
        <w:rPr>
          <w:rFonts w:ascii="宋体" w:hAnsi="宋体" w:cs="宋体" w:eastAsia="宋体" w:hint="default"/>
          <w:b/>
          <w:bCs/>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1"/>
        <w:spacing w:line="240" w:lineRule="auto"/>
        <w:ind w:left="3785" w:right="998"/>
        <w:jc w:val="left"/>
        <w:rPr>
          <w:b w:val="0"/>
          <w:bCs w:val="0"/>
        </w:rPr>
      </w:pPr>
      <w:bookmarkStart w:name="_TOC_250011" w:id="1"/>
      <w:bookmarkStart w:name="第一节 重要提示、目录和释义" w:id="2"/>
      <w:r>
        <w:rPr>
          <w:b w:val="0"/>
          <w:bCs w:val="0"/>
        </w:rPr>
      </w:r>
      <w:r>
        <w:rPr/>
        <w:t>第一节</w:t>
      </w:r>
      <w:r>
        <w:rPr>
          <w:spacing w:val="-11"/>
        </w:rPr>
        <w:t> </w:t>
      </w:r>
      <w:r>
        <w:rPr/>
        <w:t>重要提示、目录和释义</w:t>
      </w:r>
      <w:bookmarkEnd w:id="1"/>
      <w:r>
        <w:rPr>
          <w:b w:val="0"/>
          <w:bCs w:val="0"/>
        </w:rPr>
      </w:r>
    </w:p>
    <w:p>
      <w:pPr>
        <w:spacing w:line="240" w:lineRule="auto" w:before="0"/>
        <w:rPr>
          <w:rFonts w:ascii="宋体" w:hAnsi="宋体" w:cs="宋体" w:eastAsia="宋体" w:hint="default"/>
          <w:b/>
          <w:bCs/>
          <w:sz w:val="32"/>
          <w:szCs w:val="32"/>
        </w:rPr>
      </w:pPr>
    </w:p>
    <w:p>
      <w:pPr>
        <w:pStyle w:val="Heading2"/>
        <w:spacing w:line="408" w:lineRule="auto" w:before="211"/>
        <w:ind w:right="1141" w:firstLine="562"/>
        <w:jc w:val="both"/>
        <w:rPr>
          <w:b w:val="0"/>
          <w:bCs w:val="0"/>
        </w:rPr>
      </w:pPr>
      <w:r>
        <w:rPr>
          <w:spacing w:val="3"/>
          <w:w w:val="95"/>
        </w:rPr>
        <w:t>公司董事会、监事会及董事、监事、高级管理人员保证年度报告内容的真</w:t>
      </w:r>
      <w:r>
        <w:rPr>
          <w:w w:val="99"/>
        </w:rPr>
        <w:t> </w:t>
      </w:r>
      <w:r>
        <w:rPr>
          <w:spacing w:val="3"/>
          <w:w w:val="95"/>
        </w:rPr>
        <w:t>实、准确、完整，不存在虚假记载、误导性陈述或重大遗漏，并承担个别和连</w:t>
      </w:r>
      <w:r>
        <w:rPr>
          <w:spacing w:val="23"/>
          <w:w w:val="95"/>
        </w:rPr>
        <w:t> </w:t>
      </w:r>
      <w:r>
        <w:rPr>
          <w:spacing w:val="23"/>
          <w:w w:val="95"/>
        </w:rPr>
      </w:r>
      <w:r>
        <w:rPr/>
        <w:t>带的法律责任。</w:t>
      </w:r>
      <w:r>
        <w:rPr>
          <w:b w:val="0"/>
          <w:bCs w:val="0"/>
        </w:rPr>
      </w:r>
    </w:p>
    <w:p>
      <w:pPr>
        <w:pStyle w:val="Heading2"/>
        <w:spacing w:line="386" w:lineRule="auto" w:before="161"/>
        <w:ind w:right="1132" w:firstLine="562"/>
        <w:jc w:val="both"/>
        <w:rPr>
          <w:b w:val="0"/>
          <w:bCs w:val="0"/>
        </w:rPr>
      </w:pPr>
      <w:r>
        <w:rPr>
          <w:w w:val="95"/>
        </w:rPr>
        <w:t>公司负责人周亚辉、主管会计工作负责人王立伟及会计机构负责人</w:t>
      </w:r>
      <w:r>
        <w:rPr>
          <w:rFonts w:ascii="Times New Roman" w:hAnsi="Times New Roman" w:cs="Times New Roman" w:eastAsia="Times New Roman" w:hint="default"/>
          <w:w w:val="95"/>
        </w:rPr>
        <w:t>(</w:t>
      </w:r>
      <w:r>
        <w:rPr>
          <w:w w:val="95"/>
        </w:rPr>
        <w:t>会计主</w:t>
      </w:r>
      <w:r>
        <w:rPr>
          <w:spacing w:val="1"/>
          <w:w w:val="99"/>
        </w:rPr>
        <w:t> </w:t>
      </w:r>
      <w:r>
        <w:rPr/>
        <w:t>管人员</w:t>
      </w:r>
      <w:r>
        <w:rPr>
          <w:rFonts w:ascii="Times New Roman" w:hAnsi="Times New Roman" w:cs="Times New Roman" w:eastAsia="Times New Roman" w:hint="default"/>
        </w:rPr>
        <w:t>)</w:t>
      </w:r>
      <w:r>
        <w:rPr/>
        <w:t>马苓月声明：保证年度报告中财务报告的真实、准确、完整。</w:t>
      </w:r>
      <w:r>
        <w:rPr>
          <w:b w:val="0"/>
          <w:bCs w:val="0"/>
        </w:rPr>
      </w:r>
    </w:p>
    <w:p>
      <w:pPr>
        <w:pStyle w:val="Heading2"/>
        <w:spacing w:line="472" w:lineRule="auto" w:before="147"/>
        <w:ind w:left="1696" w:right="998"/>
        <w:jc w:val="left"/>
        <w:rPr>
          <w:b w:val="0"/>
          <w:bCs w:val="0"/>
        </w:rPr>
      </w:pPr>
      <w:r>
        <w:rPr/>
        <w:t>所有董事均已出席了审议本报告的董事会会议。</w:t>
      </w:r>
      <w:r>
        <w:rPr>
          <w:w w:val="99"/>
        </w:rPr>
        <w:t> </w:t>
      </w:r>
      <w:r>
        <w:rPr/>
        <w:t>公司需遵守《深圳证券交易所创业板行业信息披露指引第 </w:t>
      </w:r>
      <w:r>
        <w:rPr>
          <w:rFonts w:ascii="Times New Roman" w:hAnsi="Times New Roman" w:cs="Times New Roman" w:eastAsia="Times New Roman" w:hint="default"/>
        </w:rPr>
        <w:t>5</w:t>
      </w:r>
      <w:r>
        <w:rPr>
          <w:rFonts w:ascii="Times New Roman" w:hAnsi="Times New Roman" w:cs="Times New Roman" w:eastAsia="Times New Roman" w:hint="default"/>
          <w:spacing w:val="-6"/>
        </w:rPr>
        <w:t> </w:t>
      </w:r>
      <w:r>
        <w:rPr/>
        <w:t>号</w:t>
      </w:r>
      <w:r>
        <w:rPr>
          <w:rFonts w:ascii="Times New Roman" w:hAnsi="Times New Roman" w:cs="Times New Roman" w:eastAsia="Times New Roman" w:hint="default"/>
        </w:rPr>
        <w:t>——</w:t>
      </w:r>
      <w:r>
        <w:rPr/>
        <w:t>上市公</w:t>
      </w:r>
      <w:r>
        <w:rPr>
          <w:b w:val="0"/>
          <w:bCs w:val="0"/>
        </w:rPr>
      </w:r>
    </w:p>
    <w:p>
      <w:pPr>
        <w:pStyle w:val="Heading2"/>
        <w:spacing w:line="303" w:lineRule="exact"/>
        <w:ind w:left="1134" w:right="998"/>
        <w:jc w:val="left"/>
        <w:rPr>
          <w:b w:val="0"/>
          <w:bCs w:val="0"/>
        </w:rPr>
      </w:pPr>
      <w:r>
        <w:rPr/>
        <w:t>司从事从事互联网游戏业务》的披露要求</w:t>
      </w:r>
      <w:r>
        <w:rPr>
          <w:b w:val="0"/>
          <w:bCs w:val="0"/>
        </w:rPr>
      </w:r>
    </w:p>
    <w:p>
      <w:pPr>
        <w:spacing w:line="240" w:lineRule="auto" w:before="4"/>
        <w:rPr>
          <w:rFonts w:ascii="宋体" w:hAnsi="宋体" w:cs="宋体" w:eastAsia="宋体" w:hint="default"/>
          <w:b/>
          <w:bCs/>
          <w:sz w:val="27"/>
          <w:szCs w:val="27"/>
        </w:rPr>
      </w:pPr>
    </w:p>
    <w:p>
      <w:pPr>
        <w:pStyle w:val="Heading2"/>
        <w:spacing w:line="405" w:lineRule="auto"/>
        <w:ind w:left="1134" w:right="1004" w:firstLine="562"/>
        <w:jc w:val="both"/>
        <w:rPr>
          <w:b w:val="0"/>
          <w:bCs w:val="0"/>
        </w:rPr>
      </w:pPr>
      <w:r>
        <w:rPr/>
        <w:t>（</w:t>
      </w:r>
      <w:r>
        <w:rPr>
          <w:rFonts w:ascii="Times New Roman" w:hAnsi="Times New Roman" w:cs="Times New Roman" w:eastAsia="Times New Roman" w:hint="default"/>
        </w:rPr>
        <w:t>1</w:t>
      </w:r>
      <w:r>
        <w:rPr/>
        <w:t>）行业监管政策风险：互联网行业在我国乃至全球均处在快速发展的过</w:t>
      </w:r>
      <w:r>
        <w:rPr>
          <w:w w:val="99"/>
        </w:rPr>
        <w:t> </w:t>
      </w:r>
      <w:r>
        <w:rPr>
          <w:spacing w:val="3"/>
        </w:rPr>
        <w:t>程，公司目前涉及的网络游戏行业、社交平台等行业都属于新兴互联网行业。</w:t>
      </w:r>
      <w:r>
        <w:rPr>
          <w:w w:val="99"/>
        </w:rPr>
        <w:t> </w:t>
      </w:r>
      <w:r>
        <w:rPr>
          <w:spacing w:val="3"/>
        </w:rPr>
        <w:t>伴随着技术的持续创新、业务模式的不断升级，我国互联网相关行业的法律监</w:t>
      </w:r>
      <w:r>
        <w:rPr>
          <w:w w:val="99"/>
        </w:rPr>
        <w:t> </w:t>
      </w:r>
      <w:r>
        <w:rPr>
          <w:spacing w:val="3"/>
        </w:rPr>
        <w:t>管体系也正处于不断发展和完善的过程中。如果国家对相关互联网行业监管政</w:t>
      </w:r>
      <w:r>
        <w:rPr>
          <w:w w:val="99"/>
        </w:rPr>
        <w:t> </w:t>
      </w:r>
      <w:r>
        <w:rPr>
          <w:spacing w:val="3"/>
        </w:rPr>
        <w:t>策发生不利变化，可能会对公司的经营业绩产生一定程度的不利影响。同时，</w:t>
      </w:r>
      <w:r>
        <w:rPr>
          <w:w w:val="99"/>
        </w:rPr>
        <w:t> </w:t>
      </w:r>
      <w:r>
        <w:rPr>
          <w:spacing w:val="3"/>
        </w:rPr>
        <w:t>由于公司计划开展的多个项目均在境外区域开展，当地行业监管政策变化也会</w:t>
      </w:r>
      <w:r>
        <w:rPr>
          <w:w w:val="99"/>
        </w:rPr>
        <w:t> </w:t>
      </w:r>
      <w:r>
        <w:rPr>
          <w:spacing w:val="3"/>
        </w:rPr>
        <w:t>对公司的发展产生一定程度的影响。公司在进入新的市场前，都会进行深入的</w:t>
      </w:r>
      <w:r>
        <w:rPr>
          <w:w w:val="99"/>
        </w:rPr>
        <w:t> </w:t>
      </w:r>
      <w:r>
        <w:rPr>
          <w:spacing w:val="3"/>
        </w:rPr>
        <w:t>市场环境和监管政策环境的调研，必要时向熟悉当地法律政策的机构或人员咨</w:t>
      </w:r>
      <w:r>
        <w:rPr>
          <w:w w:val="99"/>
        </w:rPr>
        <w:t> </w:t>
      </w:r>
      <w:r>
        <w:rPr>
          <w:spacing w:val="3"/>
        </w:rPr>
        <w:t>询监管政策，并根据相应的监管环境及政策要求开展业务运营，在实际业务运</w:t>
      </w:r>
      <w:r>
        <w:rPr>
          <w:w w:val="99"/>
        </w:rPr>
        <w:t> </w:t>
      </w:r>
      <w:r>
        <w:rPr>
          <w:spacing w:val="-2"/>
          <w:w w:val="95"/>
        </w:rPr>
        <w:t>作的过程中，也会积极配合和落实监管要求，有效控制和降低监管政策的风险。</w:t>
      </w:r>
      <w:r>
        <w:rPr>
          <w:b w:val="0"/>
          <w:bCs w:val="0"/>
          <w:spacing w:val="-2"/>
        </w:rPr>
      </w:r>
    </w:p>
    <w:p>
      <w:pPr>
        <w:pStyle w:val="Heading2"/>
        <w:spacing w:line="240" w:lineRule="auto" w:before="162"/>
        <w:ind w:left="1696" w:right="998"/>
        <w:jc w:val="left"/>
        <w:rPr>
          <w:b w:val="0"/>
          <w:bCs w:val="0"/>
        </w:rPr>
      </w:pPr>
      <w:r>
        <w:rPr/>
        <w:t>（</w:t>
      </w:r>
      <w:r>
        <w:rPr>
          <w:rFonts w:ascii="Times New Roman" w:hAnsi="Times New Roman" w:cs="Times New Roman" w:eastAsia="Times New Roman" w:hint="default"/>
        </w:rPr>
        <w:t>2</w:t>
      </w:r>
      <w:r>
        <w:rPr/>
        <w:t>）市场竞争加剧的风险：互联网产业日新月异，互联网用户对产品的要</w:t>
      </w:r>
      <w:r>
        <w:rPr>
          <w:b w:val="0"/>
          <w:bCs w:val="0"/>
        </w:rPr>
      </w:r>
    </w:p>
    <w:p>
      <w:pPr>
        <w:spacing w:after="0" w:line="240" w:lineRule="auto"/>
        <w:jc w:val="left"/>
        <w:sectPr>
          <w:footerReference w:type="default" r:id="rId8"/>
          <w:pgSz w:w="11910" w:h="16840"/>
          <w:pgMar w:footer="979" w:header="747" w:top="1060" w:bottom="1160" w:left="0" w:right="0"/>
          <w:pgNumType w:start="2"/>
        </w:sectPr>
      </w:pPr>
    </w:p>
    <w:p>
      <w:pPr>
        <w:spacing w:line="240" w:lineRule="auto" w:before="12"/>
        <w:rPr>
          <w:rFonts w:ascii="宋体" w:hAnsi="宋体" w:cs="宋体" w:eastAsia="宋体" w:hint="default"/>
          <w:b/>
          <w:bCs/>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b/>
          <w:bCs/>
          <w:sz w:val="29"/>
          <w:szCs w:val="29"/>
        </w:rPr>
      </w:pPr>
    </w:p>
    <w:p>
      <w:pPr>
        <w:pStyle w:val="Heading2"/>
        <w:spacing w:line="408" w:lineRule="auto" w:before="13"/>
        <w:ind w:right="998"/>
        <w:jc w:val="left"/>
        <w:rPr>
          <w:b w:val="0"/>
          <w:bCs w:val="0"/>
        </w:rPr>
      </w:pPr>
      <w:r>
        <w:rPr>
          <w:spacing w:val="3"/>
        </w:rPr>
        <w:t>求也日益提升。如果未来市场竞争进一步加剧，将影响本公司未来业务的发展</w:t>
      </w:r>
      <w:r>
        <w:rPr>
          <w:w w:val="99"/>
        </w:rPr>
        <w:t> </w:t>
      </w:r>
      <w:r>
        <w:rPr>
          <w:spacing w:val="3"/>
        </w:rPr>
        <w:t>和产品推广，给公司带来一定的发展压力。网络游戏行业在产品服务、市场渠</w:t>
      </w:r>
      <w:r>
        <w:rPr>
          <w:w w:val="99"/>
        </w:rPr>
        <w:t> </w:t>
      </w:r>
      <w:r>
        <w:rPr>
          <w:spacing w:val="3"/>
        </w:rPr>
        <w:t>道等方面已经形成激烈的行业竞争格局，平台化、精品化、泛娱乐化等趋势明</w:t>
      </w:r>
      <w:r>
        <w:rPr>
          <w:w w:val="99"/>
        </w:rPr>
        <w:t> </w:t>
      </w:r>
      <w:r>
        <w:rPr>
          <w:spacing w:val="3"/>
        </w:rPr>
        <w:t>显；浏览器、社交平台、软件工具等行业竞争激烈，平台化趋势明显，呈现强</w:t>
      </w:r>
      <w:r>
        <w:rPr>
          <w:w w:val="99"/>
        </w:rPr>
        <w:t> </w:t>
      </w:r>
      <w:r>
        <w:rPr>
          <w:spacing w:val="3"/>
        </w:rPr>
        <w:t>者恒强的趋势。公司需保持持续创新能力，对抗市场竞争加剧的风险。公司上</w:t>
      </w:r>
      <w:r>
        <w:rPr>
          <w:w w:val="99"/>
        </w:rPr>
        <w:t> </w:t>
      </w:r>
      <w:r>
        <w:rPr>
          <w:spacing w:val="3"/>
        </w:rPr>
        <w:t>线项目均经过严格筛选，有针对性的面向细分市场，通过玩法的持续创新和策</w:t>
      </w:r>
      <w:r>
        <w:rPr>
          <w:w w:val="99"/>
        </w:rPr>
        <w:t> </w:t>
      </w:r>
      <w:r>
        <w:rPr>
          <w:spacing w:val="-2"/>
          <w:w w:val="95"/>
        </w:rPr>
        <w:t>划水平的不断提高，提升游戏的娱乐性与用户体验，提升核心玩家群体的粘性。</w:t>
      </w:r>
      <w:r>
        <w:rPr>
          <w:spacing w:val="65"/>
          <w:w w:val="95"/>
        </w:rPr>
        <w:t> </w:t>
      </w:r>
      <w:r>
        <w:rPr>
          <w:spacing w:val="65"/>
          <w:w w:val="95"/>
        </w:rPr>
      </w:r>
      <w:r>
        <w:rPr>
          <w:spacing w:val="3"/>
        </w:rPr>
        <w:t>同时，公司拥有经验丰富的市场推广队伍和反馈机制，在产品推出过程中通过</w:t>
      </w:r>
      <w:r>
        <w:rPr>
          <w:w w:val="99"/>
        </w:rPr>
        <w:t> </w:t>
      </w:r>
      <w:r>
        <w:rPr>
          <w:spacing w:val="3"/>
        </w:rPr>
        <w:t>分阶段的测试进行动态修改和调整，从而使产品能及时更新适应市场需求，并</w:t>
      </w:r>
      <w:r>
        <w:rPr>
          <w:w w:val="99"/>
        </w:rPr>
        <w:t> </w:t>
      </w:r>
      <w:r>
        <w:rPr/>
        <w:t>不断改进以规避市场风险。</w:t>
      </w:r>
      <w:r>
        <w:rPr>
          <w:b w:val="0"/>
          <w:bCs w:val="0"/>
        </w:rPr>
      </w:r>
    </w:p>
    <w:p>
      <w:pPr>
        <w:pStyle w:val="Heading2"/>
        <w:spacing w:line="405" w:lineRule="auto" w:before="160"/>
        <w:ind w:right="1141" w:firstLine="562"/>
        <w:jc w:val="both"/>
        <w:rPr>
          <w:b w:val="0"/>
          <w:bCs w:val="0"/>
        </w:rPr>
      </w:pPr>
      <w:r>
        <w:rPr>
          <w:spacing w:val="-2"/>
          <w:w w:val="95"/>
        </w:rPr>
        <w:t>（</w:t>
      </w:r>
      <w:r>
        <w:rPr>
          <w:rFonts w:ascii="Times New Roman" w:hAnsi="Times New Roman" w:cs="Times New Roman" w:eastAsia="Times New Roman" w:hint="default"/>
          <w:spacing w:val="-2"/>
          <w:w w:val="95"/>
        </w:rPr>
        <w:t>3</w:t>
      </w:r>
      <w:r>
        <w:rPr>
          <w:spacing w:val="-2"/>
          <w:w w:val="95"/>
        </w:rPr>
        <w:t>）境外市场经营风险：由于公司业务涉及的地域范围较广，各个国家或</w:t>
      </w:r>
      <w:r>
        <w:rPr>
          <w:w w:val="99"/>
        </w:rPr>
        <w:t> </w:t>
      </w:r>
      <w:r>
        <w:rPr>
          <w:spacing w:val="3"/>
          <w:w w:val="95"/>
        </w:rPr>
        <w:t>地区的政治环境、法律、税务等政策存在差异，如果公司对当地政局风险的把</w:t>
      </w:r>
      <w:r>
        <w:rPr>
          <w:spacing w:val="23"/>
          <w:w w:val="95"/>
        </w:rPr>
        <w:t> </w:t>
      </w:r>
      <w:r>
        <w:rPr>
          <w:spacing w:val="23"/>
          <w:w w:val="95"/>
        </w:rPr>
      </w:r>
      <w:r>
        <w:rPr>
          <w:spacing w:val="3"/>
          <w:w w:val="95"/>
        </w:rPr>
        <w:t>握不够、对相关法律法规、税务要求的了解不够全面，可能会面临境外运营的</w:t>
      </w:r>
      <w:r>
        <w:rPr>
          <w:spacing w:val="23"/>
          <w:w w:val="95"/>
        </w:rPr>
        <w:t> </w:t>
      </w:r>
      <w:r>
        <w:rPr>
          <w:spacing w:val="23"/>
          <w:w w:val="95"/>
        </w:rPr>
      </w:r>
      <w:r>
        <w:rPr>
          <w:spacing w:val="3"/>
          <w:w w:val="95"/>
        </w:rPr>
        <w:t>产品无法满足当地监管政策要求的风险。如果公司的运营触犯了当地政府的法</w:t>
      </w:r>
      <w:r>
        <w:rPr>
          <w:spacing w:val="23"/>
          <w:w w:val="95"/>
        </w:rPr>
        <w:t> </w:t>
      </w:r>
      <w:r>
        <w:rPr>
          <w:spacing w:val="23"/>
          <w:w w:val="95"/>
        </w:rPr>
      </w:r>
      <w:r>
        <w:rPr>
          <w:spacing w:val="3"/>
          <w:w w:val="95"/>
        </w:rPr>
        <w:t>律法规，还可能会遭受处罚，甚至导致运营平台关闭，无法正常运营。此外，</w:t>
      </w:r>
      <w:r>
        <w:rPr>
          <w:spacing w:val="23"/>
          <w:w w:val="95"/>
        </w:rPr>
        <w:t> </w:t>
      </w:r>
      <w:r>
        <w:rPr>
          <w:spacing w:val="23"/>
          <w:w w:val="95"/>
        </w:rPr>
      </w:r>
      <w:r>
        <w:rPr>
          <w:spacing w:val="3"/>
          <w:w w:val="95"/>
        </w:rPr>
        <w:t>各个国家的文化背景和市场情况也各不相同，用户对于互联网产品的不同偏好</w:t>
      </w:r>
      <w:r>
        <w:rPr>
          <w:spacing w:val="23"/>
          <w:w w:val="95"/>
        </w:rPr>
        <w:t> </w:t>
      </w:r>
      <w:r>
        <w:rPr>
          <w:spacing w:val="23"/>
          <w:w w:val="95"/>
        </w:rPr>
      </w:r>
      <w:r>
        <w:rPr>
          <w:spacing w:val="3"/>
          <w:w w:val="95"/>
        </w:rPr>
        <w:t>可能导致公司在境内运营成功的产品不能很好地适应境外市场。公司在进行境</w:t>
      </w:r>
      <w:r>
        <w:rPr>
          <w:spacing w:val="26"/>
          <w:w w:val="95"/>
        </w:rPr>
        <w:t> </w:t>
      </w:r>
      <w:r>
        <w:rPr>
          <w:spacing w:val="26"/>
          <w:w w:val="95"/>
        </w:rPr>
      </w:r>
      <w:r>
        <w:rPr>
          <w:spacing w:val="3"/>
          <w:w w:val="95"/>
        </w:rPr>
        <w:t>外市场的开发时，如果对部分国家或地区的互联网产品运营模式不够了解，导</w:t>
      </w:r>
      <w:r>
        <w:rPr>
          <w:spacing w:val="23"/>
          <w:w w:val="95"/>
        </w:rPr>
        <w:t> </w:t>
      </w:r>
      <w:r>
        <w:rPr>
          <w:spacing w:val="23"/>
          <w:w w:val="95"/>
        </w:rPr>
      </w:r>
      <w:r>
        <w:rPr>
          <w:spacing w:val="3"/>
          <w:w w:val="95"/>
        </w:rPr>
        <w:t>致前期投入的市场开发资金不能达到预想的效果，可能会给公司未来的经营造</w:t>
      </w:r>
      <w:r>
        <w:rPr>
          <w:spacing w:val="23"/>
          <w:w w:val="95"/>
        </w:rPr>
        <w:t> </w:t>
      </w:r>
      <w:r>
        <w:rPr>
          <w:spacing w:val="23"/>
          <w:w w:val="95"/>
        </w:rPr>
      </w:r>
      <w:r>
        <w:rPr/>
        <w:t>成不利的影响。</w:t>
      </w:r>
      <w:r>
        <w:rPr>
          <w:b w:val="0"/>
          <w:bCs w:val="0"/>
        </w:rPr>
      </w:r>
    </w:p>
    <w:p>
      <w:pPr>
        <w:pStyle w:val="Heading2"/>
        <w:spacing w:line="386" w:lineRule="auto" w:before="164"/>
        <w:ind w:right="1141" w:firstLine="562"/>
        <w:jc w:val="both"/>
        <w:rPr>
          <w:b w:val="0"/>
          <w:bCs w:val="0"/>
        </w:rPr>
      </w:pPr>
      <w:r>
        <w:rPr>
          <w:spacing w:val="-2"/>
          <w:w w:val="95"/>
        </w:rPr>
        <w:t>（</w:t>
      </w:r>
      <w:r>
        <w:rPr>
          <w:rFonts w:ascii="Times New Roman" w:hAnsi="Times New Roman" w:cs="Times New Roman" w:eastAsia="Times New Roman" w:hint="default"/>
          <w:spacing w:val="-2"/>
          <w:w w:val="95"/>
        </w:rPr>
        <w:t>4</w:t>
      </w:r>
      <w:r>
        <w:rPr>
          <w:spacing w:val="-2"/>
          <w:w w:val="95"/>
        </w:rPr>
        <w:t>）知识产权风险：公司在进行自主研发游戏产品的过程中，可能会因为</w:t>
      </w:r>
      <w:r>
        <w:rPr>
          <w:w w:val="99"/>
        </w:rPr>
        <w:t> </w:t>
      </w:r>
      <w:r>
        <w:rPr>
          <w:spacing w:val="3"/>
          <w:w w:val="95"/>
        </w:rPr>
        <w:t>公司与知识产权方对于知识产权的理解出现偏差，或调查过程中出现失误，导</w:t>
      </w:r>
      <w:r>
        <w:rPr>
          <w:b w:val="0"/>
          <w:bCs w:val="0"/>
          <w:spacing w:val="3"/>
        </w:rPr>
      </w:r>
    </w:p>
    <w:p>
      <w:pPr>
        <w:spacing w:after="0" w:line="386" w:lineRule="auto"/>
        <w:jc w:val="both"/>
        <w:sectPr>
          <w:pgSz w:w="11910" w:h="16840"/>
          <w:pgMar w:header="747" w:footer="979" w:top="1060" w:bottom="1160" w:left="0" w:right="0"/>
        </w:sect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pStyle w:val="Heading2"/>
        <w:spacing w:line="408" w:lineRule="auto" w:before="13"/>
        <w:ind w:right="1137"/>
        <w:jc w:val="both"/>
        <w:rPr>
          <w:b w:val="0"/>
          <w:bCs w:val="0"/>
        </w:rPr>
      </w:pPr>
      <w:r>
        <w:rPr>
          <w:spacing w:val="3"/>
          <w:w w:val="95"/>
        </w:rPr>
        <w:t>致面临第三方提出侵犯他人知识产权诉讼的风险。若公司产品进一步被有权机</w:t>
      </w:r>
      <w:r>
        <w:rPr>
          <w:spacing w:val="23"/>
          <w:w w:val="95"/>
        </w:rPr>
        <w:t> </w:t>
      </w:r>
      <w:r>
        <w:rPr>
          <w:spacing w:val="23"/>
          <w:w w:val="95"/>
        </w:rPr>
      </w:r>
      <w:r>
        <w:rPr>
          <w:spacing w:val="3"/>
          <w:w w:val="95"/>
        </w:rPr>
        <w:t>关认定为侵犯他人知识产权，则可能导致公司承担相应的侵权责任，且必须对</w:t>
      </w:r>
      <w:r>
        <w:rPr>
          <w:spacing w:val="23"/>
          <w:w w:val="95"/>
        </w:rPr>
        <w:t> </w:t>
      </w:r>
      <w:r>
        <w:rPr>
          <w:spacing w:val="23"/>
          <w:w w:val="95"/>
        </w:rPr>
      </w:r>
      <w:r>
        <w:rPr>
          <w:spacing w:val="3"/>
          <w:w w:val="95"/>
        </w:rPr>
        <w:t>原有产品进行修改或调整，甚至可能导致公司产品下架，从而对公司经营业绩</w:t>
      </w:r>
      <w:r>
        <w:rPr>
          <w:spacing w:val="29"/>
          <w:w w:val="95"/>
        </w:rPr>
        <w:t> </w:t>
      </w:r>
      <w:r>
        <w:rPr>
          <w:spacing w:val="29"/>
          <w:w w:val="95"/>
        </w:rPr>
      </w:r>
      <w:r>
        <w:rPr>
          <w:spacing w:val="3"/>
          <w:w w:val="95"/>
        </w:rPr>
        <w:t>产生不利影响。对此，公司从源头把控，提高相关员工维护知识产权的意识和</w:t>
      </w:r>
      <w:r>
        <w:rPr>
          <w:spacing w:val="23"/>
          <w:w w:val="95"/>
        </w:rPr>
        <w:t> </w:t>
      </w:r>
      <w:r>
        <w:rPr>
          <w:spacing w:val="23"/>
          <w:w w:val="95"/>
        </w:rPr>
      </w:r>
      <w:r>
        <w:rPr>
          <w:spacing w:val="3"/>
          <w:w w:val="95"/>
        </w:rPr>
        <w:t>相关知识，寻求知识产权清晰的合作方，规范合同条款，尽可能规避侵犯他人</w:t>
      </w:r>
      <w:r>
        <w:rPr>
          <w:spacing w:val="23"/>
          <w:w w:val="95"/>
        </w:rPr>
        <w:t> </w:t>
      </w:r>
      <w:r>
        <w:rPr>
          <w:spacing w:val="23"/>
          <w:w w:val="95"/>
        </w:rPr>
      </w:r>
      <w:r>
        <w:rPr>
          <w:spacing w:val="3"/>
          <w:w w:val="95"/>
        </w:rPr>
        <w:t>知识产权的可能性。如双方出现纠纷，则积极采取应对措施，将双方损失降至</w:t>
      </w:r>
      <w:r>
        <w:rPr>
          <w:spacing w:val="23"/>
          <w:w w:val="95"/>
        </w:rPr>
        <w:t> </w:t>
      </w:r>
      <w:r>
        <w:rPr>
          <w:spacing w:val="23"/>
          <w:w w:val="95"/>
        </w:rPr>
      </w:r>
      <w:r>
        <w:rPr/>
        <w:t>最低。</w:t>
      </w:r>
      <w:r>
        <w:rPr>
          <w:b w:val="0"/>
          <w:bCs w:val="0"/>
        </w:rPr>
      </w:r>
    </w:p>
    <w:p>
      <w:pPr>
        <w:pStyle w:val="Heading2"/>
        <w:spacing w:line="398" w:lineRule="auto" w:before="160"/>
        <w:ind w:right="998" w:firstLine="562"/>
        <w:jc w:val="left"/>
        <w:rPr>
          <w:b w:val="0"/>
          <w:bCs w:val="0"/>
        </w:rPr>
      </w:pPr>
      <w:r>
        <w:rPr/>
        <w:t>（</w:t>
      </w:r>
      <w:r>
        <w:rPr>
          <w:rFonts w:ascii="Times New Roman" w:hAnsi="Times New Roman" w:cs="Times New Roman" w:eastAsia="Times New Roman" w:hint="default"/>
        </w:rPr>
        <w:t>5</w:t>
      </w:r>
      <w:r>
        <w:rPr/>
        <w:t>）游戏产品生命周期风险：网络游戏本身具有生命周期，几乎所有游戏</w:t>
      </w:r>
      <w:r>
        <w:rPr>
          <w:w w:val="99"/>
        </w:rPr>
        <w:t> </w:t>
      </w:r>
      <w:r>
        <w:rPr>
          <w:spacing w:val="-2"/>
          <w:w w:val="95"/>
        </w:rPr>
        <w:t>均需经历成长期、爆发期和衰退期。若公司不能及时对现有游戏进行更新维护、</w:t>
      </w:r>
      <w:r>
        <w:rPr>
          <w:spacing w:val="63"/>
          <w:w w:val="95"/>
        </w:rPr>
        <w:t> </w:t>
      </w:r>
      <w:r>
        <w:rPr>
          <w:spacing w:val="63"/>
          <w:w w:val="95"/>
        </w:rPr>
      </w:r>
      <w:r>
        <w:rPr>
          <w:spacing w:val="3"/>
        </w:rPr>
        <w:t>版本升级和持续的市场推广，或玩家偏好发生了变化，则公司已上线运营的游</w:t>
      </w:r>
      <w:r>
        <w:rPr>
          <w:w w:val="99"/>
        </w:rPr>
        <w:t> </w:t>
      </w:r>
      <w:r>
        <w:rPr>
          <w:spacing w:val="-2"/>
          <w:w w:val="95"/>
        </w:rPr>
        <w:t>戏迅速进入衰退期，收入迅速下降，导致公司游戏产品有生命周期过短的风险。</w:t>
      </w:r>
      <w:r>
        <w:rPr>
          <w:spacing w:val="64"/>
          <w:w w:val="95"/>
        </w:rPr>
        <w:t> </w:t>
      </w:r>
      <w:r>
        <w:rPr>
          <w:spacing w:val="64"/>
          <w:w w:val="95"/>
        </w:rPr>
      </w:r>
      <w:r>
        <w:rPr>
          <w:spacing w:val="3"/>
        </w:rPr>
        <w:t>对此，公司在游戏项目立项时，便针对游戏生命周期进行了策划和预估。公司</w:t>
      </w:r>
      <w:r>
        <w:rPr>
          <w:w w:val="99"/>
        </w:rPr>
        <w:t> </w:t>
      </w:r>
      <w:r>
        <w:rPr/>
        <w:t>目前所有的</w:t>
      </w:r>
      <w:r>
        <w:rPr>
          <w:spacing w:val="-90"/>
        </w:rPr>
        <w:t> </w:t>
      </w:r>
      <w:r>
        <w:rPr>
          <w:rFonts w:ascii="Times New Roman" w:hAnsi="Times New Roman" w:cs="Times New Roman" w:eastAsia="Times New Roman" w:hint="default"/>
        </w:rPr>
        <w:t>IP</w:t>
      </w:r>
      <w:r>
        <w:rPr>
          <w:rFonts w:ascii="Times New Roman" w:hAnsi="Times New Roman" w:cs="Times New Roman" w:eastAsia="Times New Roman" w:hint="default"/>
          <w:spacing w:val="-21"/>
        </w:rPr>
        <w:t> </w:t>
      </w:r>
      <w:r>
        <w:rPr/>
        <w:t>储备，均为在全球范围内有一定影响力，并且可以影响一代人的</w:t>
      </w:r>
      <w:r>
        <w:rPr>
          <w:w w:val="99"/>
        </w:rPr>
        <w:t> </w:t>
      </w:r>
      <w:r>
        <w:rPr/>
        <w:t>可持续经营的优质</w:t>
      </w:r>
      <w:r>
        <w:rPr>
          <w:spacing w:val="-68"/>
        </w:rPr>
        <w:t> </w:t>
      </w:r>
      <w:r>
        <w:rPr>
          <w:rFonts w:ascii="Times New Roman" w:hAnsi="Times New Roman" w:cs="Times New Roman" w:eastAsia="Times New Roman" w:hint="default"/>
        </w:rPr>
        <w:t>IP</w:t>
      </w:r>
      <w:r>
        <w:rPr/>
        <w:t>。游戏上线后，公司会及时针对玩家喜好，对游戏进行更</w:t>
      </w:r>
      <w:r>
        <w:rPr>
          <w:w w:val="99"/>
        </w:rPr>
        <w:t> </w:t>
      </w:r>
      <w:r>
        <w:rPr/>
        <w:t>新维护、版本升级和市场推广，尽可能保持产品的生命力和用户活跃度。</w:t>
      </w:r>
      <w:r>
        <w:rPr>
          <w:b w:val="0"/>
          <w:bCs w:val="0"/>
        </w:rPr>
      </w:r>
    </w:p>
    <w:p>
      <w:pPr>
        <w:pStyle w:val="Heading2"/>
        <w:spacing w:line="405" w:lineRule="auto" w:before="172"/>
        <w:ind w:right="998" w:firstLine="562"/>
        <w:jc w:val="left"/>
        <w:rPr>
          <w:b w:val="0"/>
          <w:bCs w:val="0"/>
        </w:rPr>
      </w:pPr>
      <w:r>
        <w:rPr/>
        <w:t>（</w:t>
      </w:r>
      <w:r>
        <w:rPr>
          <w:rFonts w:ascii="Times New Roman" w:hAnsi="Times New Roman" w:cs="Times New Roman" w:eastAsia="Times New Roman" w:hint="default"/>
        </w:rPr>
        <w:t>6</w:t>
      </w:r>
      <w:r>
        <w:rPr/>
        <w:t>）新游戏开发和运营失败风险：随着网络游戏市场的快速发展，行业竞</w:t>
      </w:r>
      <w:r>
        <w:rPr>
          <w:w w:val="99"/>
        </w:rPr>
        <w:t> </w:t>
      </w:r>
      <w:r>
        <w:rPr>
          <w:spacing w:val="3"/>
        </w:rPr>
        <w:t>争日趋激烈，游戏产品大量增加，同质化现象日益严重。如果公司不能及时洞</w:t>
      </w:r>
      <w:r>
        <w:rPr>
          <w:w w:val="99"/>
        </w:rPr>
        <w:t> </w:t>
      </w:r>
      <w:r>
        <w:rPr>
          <w:spacing w:val="3"/>
        </w:rPr>
        <w:t>察市场变化，持续不断地进行新游戏和新技术研发，或公司对市场需求的理解</w:t>
      </w:r>
      <w:r>
        <w:rPr>
          <w:w w:val="99"/>
        </w:rPr>
        <w:t> </w:t>
      </w:r>
      <w:r>
        <w:rPr>
          <w:spacing w:val="3"/>
        </w:rPr>
        <w:t>出现偏差，新游戏和新技术与市场需求不符，将导致公司面临新游戏开发和运</w:t>
      </w:r>
      <w:r>
        <w:rPr>
          <w:w w:val="99"/>
        </w:rPr>
        <w:t> </w:t>
      </w:r>
      <w:r>
        <w:rPr>
          <w:spacing w:val="3"/>
        </w:rPr>
        <w:t>营失败的风险。公司成立多个事业部，分别针对各类细分游戏市场长期深耕，</w:t>
      </w:r>
      <w:r>
        <w:rPr>
          <w:w w:val="99"/>
        </w:rPr>
        <w:t> </w:t>
      </w:r>
      <w:r>
        <w:rPr>
          <w:spacing w:val="-2"/>
          <w:w w:val="95"/>
        </w:rPr>
        <w:t>行业理解透彻，相关资源丰富。研发期间随时洞察行业变化，积极学习新技术、</w:t>
      </w:r>
      <w:r>
        <w:rPr>
          <w:spacing w:val="63"/>
          <w:w w:val="95"/>
        </w:rPr>
        <w:t> </w:t>
      </w:r>
      <w:r>
        <w:rPr>
          <w:spacing w:val="63"/>
          <w:w w:val="95"/>
        </w:rPr>
      </w:r>
      <w:r>
        <w:rPr/>
        <w:t>新趋势，使得研发团队实力始终处于行业领先地位。</w:t>
      </w:r>
      <w:r>
        <w:rPr>
          <w:b w:val="0"/>
          <w:bCs w:val="0"/>
        </w:rPr>
      </w:r>
    </w:p>
    <w:p>
      <w:pPr>
        <w:spacing w:after="0" w:line="405" w:lineRule="auto"/>
        <w:jc w:val="left"/>
        <w:sectPr>
          <w:pgSz w:w="11910" w:h="16840"/>
          <w:pgMar w:header="747" w:footer="979" w:top="1060" w:bottom="1160" w:left="0" w:right="0"/>
        </w:sect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pStyle w:val="Heading2"/>
        <w:spacing w:line="405" w:lineRule="auto" w:before="13"/>
        <w:ind w:right="1140" w:firstLine="562"/>
        <w:jc w:val="both"/>
        <w:rPr>
          <w:b w:val="0"/>
          <w:bCs w:val="0"/>
        </w:rPr>
      </w:pPr>
      <w:r>
        <w:rPr>
          <w:spacing w:val="-2"/>
          <w:w w:val="95"/>
        </w:rPr>
        <w:t>（</w:t>
      </w:r>
      <w:r>
        <w:rPr>
          <w:rFonts w:ascii="Times New Roman" w:hAnsi="Times New Roman" w:cs="Times New Roman" w:eastAsia="Times New Roman" w:hint="default"/>
          <w:spacing w:val="-2"/>
          <w:w w:val="95"/>
        </w:rPr>
        <w:t>7</w:t>
      </w:r>
      <w:r>
        <w:rPr>
          <w:spacing w:val="-2"/>
          <w:w w:val="95"/>
        </w:rPr>
        <w:t>）核心管理和技术人才流失的风险：对于互联网公司而言，掌握行业核</w:t>
      </w:r>
      <w:r>
        <w:rPr>
          <w:w w:val="99"/>
        </w:rPr>
        <w:t> </w:t>
      </w:r>
      <w:r>
        <w:rPr>
          <w:spacing w:val="3"/>
          <w:w w:val="95"/>
        </w:rPr>
        <w:t>心技术与保持核心技术团队稳定是公司生存和发展的根本。互联网企业一般都</w:t>
      </w:r>
      <w:r>
        <w:rPr>
          <w:spacing w:val="23"/>
          <w:w w:val="95"/>
        </w:rPr>
        <w:t> </w:t>
      </w:r>
      <w:r>
        <w:rPr>
          <w:spacing w:val="23"/>
          <w:w w:val="95"/>
        </w:rPr>
      </w:r>
      <w:r>
        <w:rPr>
          <w:spacing w:val="3"/>
          <w:w w:val="95"/>
        </w:rPr>
        <w:t>面临人员流动大、知识结构更新快的问题，行业内的市场竞争也越来越体现为</w:t>
      </w:r>
      <w:r>
        <w:rPr>
          <w:spacing w:val="23"/>
          <w:w w:val="95"/>
        </w:rPr>
        <w:t> </w:t>
      </w:r>
      <w:r>
        <w:rPr>
          <w:spacing w:val="23"/>
          <w:w w:val="95"/>
        </w:rPr>
      </w:r>
      <w:r>
        <w:rPr>
          <w:spacing w:val="3"/>
          <w:w w:val="95"/>
        </w:rPr>
        <w:t>高素质人才之间的竞争。为了稳定公司的管理、技术和运营团队，公司提供有</w:t>
      </w:r>
      <w:r>
        <w:rPr>
          <w:spacing w:val="23"/>
          <w:w w:val="95"/>
        </w:rPr>
        <w:t> </w:t>
      </w:r>
      <w:r>
        <w:rPr>
          <w:spacing w:val="23"/>
          <w:w w:val="95"/>
        </w:rPr>
      </w:r>
      <w:r>
        <w:rPr>
          <w:spacing w:val="3"/>
          <w:w w:val="95"/>
        </w:rPr>
        <w:t>竞争力的薪酬福利和建立公平的竞争晋升机制，提供全面、完善的培训计划，</w:t>
      </w:r>
      <w:r>
        <w:rPr>
          <w:spacing w:val="27"/>
          <w:w w:val="95"/>
        </w:rPr>
        <w:t> </w:t>
      </w:r>
      <w:r>
        <w:rPr>
          <w:spacing w:val="27"/>
          <w:w w:val="95"/>
        </w:rPr>
      </w:r>
      <w:r>
        <w:rPr>
          <w:spacing w:val="3"/>
          <w:w w:val="95"/>
        </w:rPr>
        <w:t>创造开放、协作的工作环境，提倡“专注、创新”的企业文化，吸引并培养管</w:t>
      </w:r>
      <w:r>
        <w:rPr>
          <w:spacing w:val="23"/>
          <w:w w:val="95"/>
        </w:rPr>
        <w:t> </w:t>
      </w:r>
      <w:r>
        <w:rPr>
          <w:spacing w:val="23"/>
          <w:w w:val="95"/>
        </w:rPr>
      </w:r>
      <w:r>
        <w:rPr>
          <w:spacing w:val="3"/>
          <w:w w:val="95"/>
        </w:rPr>
        <w:t>理和技术人才，公司的核心骨干人员也直接或间接持有公司股份。但是，如果</w:t>
      </w:r>
      <w:r>
        <w:rPr>
          <w:spacing w:val="23"/>
          <w:w w:val="95"/>
        </w:rPr>
        <w:t> </w:t>
      </w:r>
      <w:r>
        <w:rPr>
          <w:spacing w:val="23"/>
          <w:w w:val="95"/>
        </w:rPr>
      </w:r>
      <w:r>
        <w:rPr>
          <w:spacing w:val="3"/>
          <w:w w:val="95"/>
        </w:rPr>
        <w:t>公司之后核心骨干人员流失且无法吸引新的优秀人才加入，将对公司的经营造</w:t>
      </w:r>
      <w:r>
        <w:rPr>
          <w:spacing w:val="23"/>
          <w:w w:val="95"/>
        </w:rPr>
        <w:t> </w:t>
      </w:r>
      <w:r>
        <w:rPr>
          <w:spacing w:val="23"/>
          <w:w w:val="95"/>
        </w:rPr>
      </w:r>
      <w:r>
        <w:rPr>
          <w:spacing w:val="3"/>
          <w:w w:val="95"/>
        </w:rPr>
        <w:t>成不利影响。公司将在保障现有人才队伍稳定及后续人才持续培养的同时，以</w:t>
      </w:r>
      <w:r>
        <w:rPr>
          <w:spacing w:val="23"/>
          <w:w w:val="95"/>
        </w:rPr>
        <w:t> </w:t>
      </w:r>
      <w:r>
        <w:rPr>
          <w:spacing w:val="23"/>
          <w:w w:val="95"/>
        </w:rPr>
      </w:r>
      <w:r>
        <w:rPr>
          <w:spacing w:val="3"/>
          <w:w w:val="95"/>
        </w:rPr>
        <w:t>优厚的待遇及激励机制，引进行业中优秀的人才为公司服务，以满足公司业务</w:t>
      </w:r>
      <w:r>
        <w:rPr>
          <w:spacing w:val="23"/>
          <w:w w:val="95"/>
        </w:rPr>
        <w:t> </w:t>
      </w:r>
      <w:r>
        <w:rPr>
          <w:spacing w:val="23"/>
          <w:w w:val="95"/>
        </w:rPr>
      </w:r>
      <w:r>
        <w:rPr/>
        <w:t>持续快速发展的需要。</w:t>
      </w:r>
      <w:r>
        <w:rPr>
          <w:b w:val="0"/>
          <w:bCs w:val="0"/>
        </w:rPr>
      </w:r>
    </w:p>
    <w:p>
      <w:pPr>
        <w:pStyle w:val="Heading2"/>
        <w:spacing w:line="403" w:lineRule="auto" w:before="163"/>
        <w:ind w:right="998" w:firstLine="562"/>
        <w:jc w:val="left"/>
        <w:rPr>
          <w:b w:val="0"/>
          <w:bCs w:val="0"/>
        </w:rPr>
      </w:pPr>
      <w:r>
        <w:rPr/>
        <w:t>（</w:t>
      </w:r>
      <w:r>
        <w:rPr>
          <w:rFonts w:ascii="Times New Roman" w:hAnsi="Times New Roman" w:cs="Times New Roman" w:eastAsia="Times New Roman" w:hint="default"/>
        </w:rPr>
        <w:t>8</w:t>
      </w:r>
      <w:r>
        <w:rPr/>
        <w:t>）汇率风险：自公司开始布局海外市场至今，公司境外业务收入占总收</w:t>
      </w:r>
      <w:r>
        <w:rPr>
          <w:w w:val="99"/>
        </w:rPr>
        <w:t> </w:t>
      </w:r>
      <w:r>
        <w:rPr/>
        <w:t>入的比重较大且呈现快速增长的态势。公司自</w:t>
      </w:r>
      <w:r>
        <w:rPr>
          <w:spacing w:val="-77"/>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3"/>
        </w:rPr>
        <w:t> </w:t>
      </w:r>
      <w:r>
        <w:rPr>
          <w:spacing w:val="-3"/>
        </w:rPr>
        <w:t>年开始布局海外市场，目前</w:t>
      </w:r>
      <w:r>
        <w:rPr>
          <w:w w:val="99"/>
        </w:rPr>
        <w:t> </w:t>
      </w:r>
      <w:r>
        <w:rPr>
          <w:spacing w:val="3"/>
        </w:rPr>
        <w:t>已经分别在香港、日本、韩国、马来西亚、美国、英国等地区设立子公司。一</w:t>
      </w:r>
      <w:r>
        <w:rPr>
          <w:w w:val="99"/>
        </w:rPr>
        <w:t> </w:t>
      </w:r>
      <w:r>
        <w:rPr/>
        <w:t>方面，公司与境外支付渠道的结算涉及美元、港币等货币，账期一般在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t>个月</w:t>
      </w:r>
      <w:r>
        <w:rPr>
          <w:spacing w:val="1"/>
          <w:w w:val="99"/>
        </w:rPr>
        <w:t> </w:t>
      </w:r>
      <w:r>
        <w:rPr>
          <w:spacing w:val="3"/>
        </w:rPr>
        <w:t>以内，期间应收账款中的外币资产会面临一定的汇率风险。另一方面，母公司</w:t>
      </w:r>
      <w:r>
        <w:rPr>
          <w:w w:val="99"/>
        </w:rPr>
        <w:t> </w:t>
      </w:r>
      <w:r>
        <w:rPr>
          <w:spacing w:val="3"/>
        </w:rPr>
        <w:t>报表及合并报表的记账单位是人民币，境外子公司的期末报表外币折算时同样</w:t>
      </w:r>
      <w:r>
        <w:rPr>
          <w:w w:val="99"/>
        </w:rPr>
        <w:t> </w:t>
      </w:r>
      <w:r>
        <w:rPr>
          <w:spacing w:val="3"/>
        </w:rPr>
        <w:t>面临汇率风险。综上，如果未来我国汇率政策发生重大变化或者未来人民币的</w:t>
      </w:r>
      <w:r>
        <w:rPr>
          <w:w w:val="99"/>
        </w:rPr>
        <w:t> </w:t>
      </w:r>
      <w:r>
        <w:rPr>
          <w:spacing w:val="-2"/>
          <w:w w:val="95"/>
        </w:rPr>
        <w:t>汇率出现大幅波动，公司可能面临一定的汇率波动风险。在应对汇率风险方面，</w:t>
      </w:r>
      <w:r>
        <w:rPr>
          <w:spacing w:val="65"/>
          <w:w w:val="95"/>
        </w:rPr>
        <w:t> </w:t>
      </w:r>
      <w:r>
        <w:rPr>
          <w:spacing w:val="65"/>
          <w:w w:val="95"/>
        </w:rPr>
      </w:r>
      <w:r>
        <w:rPr>
          <w:spacing w:val="3"/>
        </w:rPr>
        <w:t>公司将培养和强化汇率风险防范意识，随时密切注视国际外汇市场相关货币的</w:t>
      </w:r>
      <w:r>
        <w:rPr>
          <w:w w:val="99"/>
        </w:rPr>
        <w:t> </w:t>
      </w:r>
      <w:r>
        <w:rPr>
          <w:spacing w:val="3"/>
        </w:rPr>
        <w:t>变化趋势，培养和吸收高素质的外汇风险管理人才，同时形成防范汇率风险的</w:t>
      </w:r>
      <w:r>
        <w:rPr>
          <w:w w:val="99"/>
        </w:rPr>
        <w:t> </w:t>
      </w:r>
      <w:r>
        <w:rPr/>
        <w:t>有效管理机制，并从合同等源头控制交易风险。</w:t>
      </w:r>
      <w:r>
        <w:rPr>
          <w:b w:val="0"/>
          <w:bCs w:val="0"/>
        </w:rPr>
      </w:r>
    </w:p>
    <w:p>
      <w:pPr>
        <w:spacing w:after="0" w:line="403" w:lineRule="auto"/>
        <w:jc w:val="left"/>
        <w:sectPr>
          <w:pgSz w:w="11910" w:h="16840"/>
          <w:pgMar w:header="747" w:footer="979" w:top="1060" w:bottom="1160" w:left="0" w:right="0"/>
        </w:sect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pStyle w:val="Heading2"/>
        <w:spacing w:line="398" w:lineRule="auto" w:before="13"/>
        <w:ind w:right="998" w:firstLine="562"/>
        <w:jc w:val="left"/>
        <w:rPr>
          <w:b w:val="0"/>
          <w:bCs w:val="0"/>
        </w:rPr>
      </w:pPr>
      <w:r>
        <w:rPr>
          <w:spacing w:val="-6"/>
          <w:w w:val="95"/>
        </w:rPr>
        <w:t>（</w:t>
      </w:r>
      <w:r>
        <w:rPr>
          <w:rFonts w:ascii="Times New Roman" w:hAnsi="Times New Roman" w:cs="Times New Roman" w:eastAsia="Times New Roman" w:hint="default"/>
          <w:spacing w:val="-6"/>
          <w:w w:val="95"/>
        </w:rPr>
        <w:t>9</w:t>
      </w:r>
      <w:r>
        <w:rPr>
          <w:spacing w:val="-6"/>
          <w:w w:val="95"/>
        </w:rPr>
        <w:t>）投资项目业绩不及预期风险：上市以来，公司已经陆续在互联网工具、</w:t>
      </w:r>
      <w:r>
        <w:rPr>
          <w:w w:val="99"/>
        </w:rPr>
        <w:t> </w:t>
      </w:r>
      <w:r>
        <w:rPr>
          <w:spacing w:val="2"/>
        </w:rPr>
        <w:t>社交平台、软件工具、</w:t>
      </w:r>
      <w:r>
        <w:rPr>
          <w:rFonts w:ascii="Times New Roman" w:hAnsi="Times New Roman" w:cs="Times New Roman" w:eastAsia="Times New Roman" w:hint="default"/>
          <w:spacing w:val="2"/>
        </w:rPr>
        <w:t>O2O</w:t>
      </w:r>
      <w:r>
        <w:rPr>
          <w:spacing w:val="2"/>
        </w:rPr>
        <w:t>、视频直播、网络游戏等方向进行了投资布局，并</w:t>
      </w:r>
      <w:r>
        <w:rPr>
          <w:spacing w:val="3"/>
          <w:w w:val="99"/>
        </w:rPr>
        <w:t> </w:t>
      </w:r>
      <w:r>
        <w:rPr/>
        <w:t>在趣店、映客、银客、随手科技、洋钱罐、信达天下、</w:t>
      </w:r>
      <w:r>
        <w:rPr>
          <w:rFonts w:ascii="Times New Roman" w:hAnsi="Times New Roman" w:cs="Times New Roman" w:eastAsia="Times New Roman" w:hint="default"/>
        </w:rPr>
        <w:t>Lendinvest</w:t>
      </w:r>
      <w:r>
        <w:rPr/>
        <w:t>、汇量科技、</w:t>
      </w:r>
      <w:r>
        <w:rPr>
          <w:spacing w:val="1"/>
          <w:w w:val="99"/>
        </w:rPr>
        <w:t> </w:t>
      </w:r>
      <w:r>
        <w:rPr>
          <w:spacing w:val="3"/>
        </w:rPr>
        <w:t>有米科技等项目中获得了投资收益。但由于互联网市场竞争激烈、新型公司层</w:t>
      </w:r>
      <w:r>
        <w:rPr>
          <w:w w:val="99"/>
        </w:rPr>
        <w:t> </w:t>
      </w:r>
      <w:r>
        <w:rPr>
          <w:spacing w:val="3"/>
        </w:rPr>
        <w:t>出不穷、商业模式不断创新、技术手段不断更迭，所以公司投资的相关项目面</w:t>
      </w:r>
      <w:r>
        <w:rPr>
          <w:w w:val="99"/>
        </w:rPr>
        <w:t> </w:t>
      </w:r>
      <w:r>
        <w:rPr>
          <w:spacing w:val="3"/>
        </w:rPr>
        <w:t>临着业绩不及预期的风险。公司会在投资决策前进行完整详实的市场论证和尽</w:t>
      </w:r>
      <w:r>
        <w:rPr>
          <w:w w:val="99"/>
        </w:rPr>
        <w:t> </w:t>
      </w:r>
      <w:r>
        <w:rPr>
          <w:spacing w:val="3"/>
        </w:rPr>
        <w:t>职调查，投资后及时关注被投公司的经营状况及所在行业变化趋势，不断强化</w:t>
      </w:r>
      <w:r>
        <w:rPr>
          <w:w w:val="99"/>
        </w:rPr>
        <w:t> </w:t>
      </w:r>
      <w:r>
        <w:rPr/>
        <w:t>公司的治理行为，充分给予投资并购公司发展空间和必要的资源共享。</w:t>
      </w:r>
      <w:r>
        <w:rPr>
          <w:b w:val="0"/>
          <w:bCs w:val="0"/>
        </w:rPr>
      </w:r>
    </w:p>
    <w:p>
      <w:pPr>
        <w:pStyle w:val="Heading2"/>
        <w:spacing w:line="403" w:lineRule="auto" w:before="171"/>
        <w:ind w:right="998" w:firstLine="562"/>
        <w:jc w:val="left"/>
        <w:rPr>
          <w:b w:val="0"/>
          <w:bCs w:val="0"/>
        </w:rPr>
      </w:pPr>
      <w:r>
        <w:rPr>
          <w:spacing w:val="-2"/>
          <w:w w:val="95"/>
        </w:rPr>
        <w:t>（</w:t>
      </w:r>
      <w:r>
        <w:rPr>
          <w:rFonts w:ascii="Times New Roman" w:hAnsi="Times New Roman" w:cs="Times New Roman" w:eastAsia="Times New Roman" w:hint="default"/>
          <w:spacing w:val="-2"/>
          <w:w w:val="95"/>
        </w:rPr>
        <w:t>10</w:t>
      </w:r>
      <w:r>
        <w:rPr>
          <w:spacing w:val="-2"/>
          <w:w w:val="95"/>
        </w:rPr>
        <w:t>）公司规模扩大带来的管理风险：目前公司的主营业务包括社交平台、</w:t>
      </w:r>
      <w:r>
        <w:rPr>
          <w:w w:val="99"/>
        </w:rPr>
        <w:t> </w:t>
      </w:r>
      <w:r>
        <w:rPr>
          <w:spacing w:val="3"/>
        </w:rPr>
        <w:t>网络游戏、休闲娱乐平台、投资等板块，经营规模愈加庞大，组织结构愈加复</w:t>
      </w:r>
      <w:r>
        <w:rPr>
          <w:w w:val="99"/>
        </w:rPr>
        <w:t> </w:t>
      </w:r>
      <w:r>
        <w:rPr>
          <w:spacing w:val="3"/>
        </w:rPr>
        <w:t>杂，这将对公司的经营管理、财务规划以及人力资源配置等提出更高要求。如</w:t>
      </w:r>
      <w:r>
        <w:rPr>
          <w:w w:val="99"/>
        </w:rPr>
        <w:t> </w:t>
      </w:r>
      <w:r>
        <w:rPr>
          <w:spacing w:val="3"/>
        </w:rPr>
        <w:t>果公司的管理水平不能随之提升，可能面临相应的运营管理和内部控制等方面</w:t>
      </w:r>
      <w:r>
        <w:rPr>
          <w:w w:val="99"/>
        </w:rPr>
        <w:t> </w:t>
      </w:r>
      <w:r>
        <w:rPr>
          <w:spacing w:val="3"/>
        </w:rPr>
        <w:t>的挑战。公司将进一步完善法人治理结构，提高公司治理水平，建立更加有效</w:t>
      </w:r>
      <w:r>
        <w:rPr>
          <w:w w:val="99"/>
        </w:rPr>
        <w:t> </w:t>
      </w:r>
      <w:r>
        <w:rPr>
          <w:spacing w:val="3"/>
        </w:rPr>
        <w:t>的运行机制，确保公司各项业务计划的平稳实施、有序进行。目前，公司整体</w:t>
      </w:r>
      <w:r>
        <w:rPr>
          <w:w w:val="99"/>
        </w:rPr>
        <w:t> </w:t>
      </w:r>
      <w:r>
        <w:rPr>
          <w:spacing w:val="-4"/>
        </w:rPr>
        <w:t>战略和发展目标由董事长把控，并在每条业务线上委派业务线</w:t>
      </w:r>
      <w:r>
        <w:rPr>
          <w:spacing w:val="-69"/>
        </w:rPr>
        <w:t> </w:t>
      </w:r>
      <w:r>
        <w:rPr>
          <w:rFonts w:ascii="Times New Roman" w:hAnsi="Times New Roman" w:cs="Times New Roman" w:eastAsia="Times New Roman" w:hint="default"/>
        </w:rPr>
        <w:t>CEO</w:t>
      </w:r>
      <w:r>
        <w:rPr>
          <w:rFonts w:ascii="Times New Roman" w:hAnsi="Times New Roman" w:cs="Times New Roman" w:eastAsia="Times New Roman" w:hint="default"/>
          <w:spacing w:val="-7"/>
        </w:rPr>
        <w:t> </w:t>
      </w:r>
      <w:r>
        <w:rPr/>
        <w:t>负责相关工</w:t>
      </w:r>
      <w:r>
        <w:rPr>
          <w:w w:val="99"/>
        </w:rPr>
        <w:t> </w:t>
      </w:r>
      <w:r>
        <w:rPr/>
        <w:t>作的执行，确保各业务线的有序进行。</w:t>
      </w:r>
      <w:r>
        <w:rPr>
          <w:b w:val="0"/>
          <w:bCs w:val="0"/>
        </w:rPr>
      </w:r>
    </w:p>
    <w:p>
      <w:pPr>
        <w:pStyle w:val="Heading2"/>
        <w:spacing w:line="386" w:lineRule="auto" w:before="166"/>
        <w:ind w:right="1006" w:firstLine="562"/>
        <w:jc w:val="left"/>
        <w:rPr>
          <w:b w:val="0"/>
          <w:bCs w:val="0"/>
        </w:rPr>
      </w:pPr>
      <w:r>
        <w:rPr/>
        <w:t>（</w:t>
      </w:r>
      <w:r>
        <w:rPr>
          <w:rFonts w:ascii="Times New Roman" w:hAnsi="Times New Roman" w:cs="Times New Roman" w:eastAsia="Times New Roman" w:hint="default"/>
        </w:rPr>
        <w:t>11</w:t>
      </w:r>
      <w:r>
        <w:rPr/>
        <w:t>）公司在收购闲徕互娱和</w:t>
      </w:r>
      <w:r>
        <w:rPr>
          <w:spacing w:val="-78"/>
        </w:rPr>
        <w:t> </w:t>
      </w:r>
      <w:r>
        <w:rPr>
          <w:rFonts w:ascii="Times New Roman" w:hAnsi="Times New Roman" w:cs="Times New Roman" w:eastAsia="Times New Roman" w:hint="default"/>
        </w:rPr>
        <w:t>Grindr</w:t>
      </w:r>
      <w:r>
        <w:rPr>
          <w:rFonts w:ascii="Times New Roman" w:hAnsi="Times New Roman" w:cs="Times New Roman" w:eastAsia="Times New Roman" w:hint="default"/>
          <w:spacing w:val="-11"/>
        </w:rPr>
        <w:t> </w:t>
      </w:r>
      <w:r>
        <w:rPr/>
        <w:t>时均形成了一定的商誉，</w:t>
      </w:r>
      <w:r>
        <w:rPr>
          <w:rFonts w:ascii="Times New Roman" w:hAnsi="Times New Roman" w:cs="Times New Roman" w:eastAsia="Times New Roman" w:hint="default"/>
        </w:rPr>
        <w:t>2017</w:t>
      </w:r>
      <w:r>
        <w:rPr>
          <w:rFonts w:ascii="Times New Roman" w:hAnsi="Times New Roman" w:cs="Times New Roman" w:eastAsia="Times New Roman" w:hint="default"/>
          <w:spacing w:val="-11"/>
        </w:rPr>
        <w:t> </w:t>
      </w:r>
      <w:r>
        <w:rPr/>
        <w:t>年度，</w:t>
      </w:r>
      <w:r>
        <w:rPr>
          <w:spacing w:val="1"/>
          <w:w w:val="99"/>
        </w:rPr>
        <w:t> </w:t>
      </w:r>
      <w:r>
        <w:rPr/>
        <w:t>闲徕互娱和</w:t>
      </w:r>
      <w:r>
        <w:rPr>
          <w:spacing w:val="-75"/>
        </w:rPr>
        <w:t> </w:t>
      </w:r>
      <w:r>
        <w:rPr>
          <w:rFonts w:ascii="Times New Roman" w:hAnsi="Times New Roman" w:cs="Times New Roman" w:eastAsia="Times New Roman" w:hint="default"/>
        </w:rPr>
        <w:t>Grindr</w:t>
      </w:r>
      <w:r>
        <w:rPr>
          <w:rFonts w:ascii="Times New Roman" w:hAnsi="Times New Roman" w:cs="Times New Roman" w:eastAsia="Times New Roman" w:hint="default"/>
          <w:spacing w:val="-7"/>
        </w:rPr>
        <w:t> </w:t>
      </w:r>
      <w:r>
        <w:rPr>
          <w:spacing w:val="-3"/>
        </w:rPr>
        <w:t>运营及盈利情况良好，超出预期，未来如果其所处行业的竞</w:t>
      </w:r>
      <w:r>
        <w:rPr>
          <w:w w:val="99"/>
        </w:rPr>
        <w:t> </w:t>
      </w:r>
      <w:r>
        <w:rPr>
          <w:spacing w:val="-3"/>
        </w:rPr>
        <w:t>争格局、政策环境发生重大不利变化，可能会对闲徕互娱和</w:t>
      </w:r>
      <w:r>
        <w:rPr>
          <w:spacing w:val="-69"/>
        </w:rPr>
        <w:t> </w:t>
      </w:r>
      <w:r>
        <w:rPr>
          <w:rFonts w:ascii="Times New Roman" w:hAnsi="Times New Roman" w:cs="Times New Roman" w:eastAsia="Times New Roman" w:hint="default"/>
        </w:rPr>
        <w:t>Grindr</w:t>
      </w:r>
      <w:r>
        <w:rPr>
          <w:rFonts w:ascii="Times New Roman" w:hAnsi="Times New Roman" w:cs="Times New Roman" w:eastAsia="Times New Roman" w:hint="default"/>
          <w:spacing w:val="-6"/>
        </w:rPr>
        <w:t> </w:t>
      </w:r>
      <w:r>
        <w:rPr/>
        <w:t>的经营业绩</w:t>
      </w:r>
      <w:r>
        <w:rPr>
          <w:w w:val="99"/>
        </w:rPr>
        <w:t> </w:t>
      </w:r>
      <w:r>
        <w:rPr>
          <w:spacing w:val="-3"/>
        </w:rPr>
        <w:t>产生一定程度的不利影响，公司可能面临闲徕互娱和</w:t>
      </w:r>
      <w:r>
        <w:rPr>
          <w:spacing w:val="-72"/>
        </w:rPr>
        <w:t> </w:t>
      </w:r>
      <w:r>
        <w:rPr>
          <w:rFonts w:ascii="Times New Roman" w:hAnsi="Times New Roman" w:cs="Times New Roman" w:eastAsia="Times New Roman" w:hint="default"/>
        </w:rPr>
        <w:t>Grindr</w:t>
      </w:r>
      <w:r>
        <w:rPr>
          <w:rFonts w:ascii="Times New Roman" w:hAnsi="Times New Roman" w:cs="Times New Roman" w:eastAsia="Times New Roman" w:hint="default"/>
          <w:spacing w:val="-8"/>
        </w:rPr>
        <w:t> </w:t>
      </w:r>
      <w:r>
        <w:rPr/>
        <w:t>商誉计提减值的风</w:t>
      </w:r>
      <w:r>
        <w:rPr>
          <w:w w:val="99"/>
        </w:rPr>
        <w:t> </w:t>
      </w:r>
      <w:r>
        <w:rPr/>
        <w:t>险。</w:t>
      </w:r>
      <w:r>
        <w:rPr>
          <w:b w:val="0"/>
          <w:bCs w:val="0"/>
        </w:rPr>
      </w:r>
    </w:p>
    <w:p>
      <w:pPr>
        <w:pStyle w:val="Heading2"/>
        <w:spacing w:line="240" w:lineRule="auto" w:before="185"/>
        <w:ind w:left="1695" w:right="998"/>
        <w:jc w:val="left"/>
        <w:rPr>
          <w:b w:val="0"/>
          <w:bCs w:val="0"/>
        </w:rPr>
      </w:pPr>
      <w:r>
        <w:rPr/>
        <w:t>公司经本次董事会审议通过的利润分配预案为：以</w:t>
      </w:r>
      <w:r>
        <w:rPr>
          <w:spacing w:val="-69"/>
        </w:rPr>
        <w:t> </w:t>
      </w:r>
      <w:r>
        <w:rPr>
          <w:rFonts w:ascii="Times New Roman" w:hAnsi="Times New Roman" w:cs="Times New Roman" w:eastAsia="Times New Roman" w:hint="default"/>
        </w:rPr>
        <w:t>1,151,946,216</w:t>
      </w:r>
      <w:r>
        <w:rPr>
          <w:rFonts w:ascii="Times New Roman" w:hAnsi="Times New Roman" w:cs="Times New Roman" w:eastAsia="Times New Roman" w:hint="default"/>
          <w:spacing w:val="-4"/>
        </w:rPr>
        <w:t> </w:t>
      </w:r>
      <w:r>
        <w:rPr/>
        <w:t>为基数，</w:t>
      </w:r>
      <w:r>
        <w:rPr>
          <w:b w:val="0"/>
          <w:bCs w:val="0"/>
        </w:rPr>
      </w:r>
    </w:p>
    <w:p>
      <w:pPr>
        <w:spacing w:after="0" w:line="240" w:lineRule="auto"/>
        <w:jc w:val="left"/>
        <w:sectPr>
          <w:pgSz w:w="11910" w:h="16840"/>
          <w:pgMar w:header="747" w:footer="979" w:top="1060" w:bottom="1160" w:left="0" w:right="0"/>
        </w:sect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pStyle w:val="Heading2"/>
        <w:spacing w:line="240" w:lineRule="auto" w:before="13"/>
        <w:ind w:right="998"/>
        <w:jc w:val="left"/>
        <w:rPr>
          <w:b w:val="0"/>
          <w:bCs w:val="0"/>
        </w:rPr>
      </w:pPr>
      <w:r>
        <w:rPr>
          <w:w w:val="99"/>
        </w:rPr>
        <w:t>向全体</w:t>
      </w:r>
      <w:r>
        <w:rPr>
          <w:spacing w:val="2"/>
          <w:w w:val="99"/>
        </w:rPr>
        <w:t>股</w:t>
      </w:r>
      <w:r>
        <w:rPr>
          <w:w w:val="99"/>
        </w:rPr>
        <w:t>东每</w:t>
      </w:r>
      <w:r>
        <w:rPr>
          <w:spacing w:val="-68"/>
        </w:rPr>
        <w:t> </w:t>
      </w:r>
      <w:r>
        <w:rPr>
          <w:rFonts w:ascii="Times New Roman" w:hAnsi="Times New Roman" w:cs="Times New Roman" w:eastAsia="Times New Roman" w:hint="default"/>
          <w:w w:val="99"/>
        </w:rPr>
        <w:t>10</w:t>
      </w:r>
      <w:r>
        <w:rPr>
          <w:rFonts w:ascii="Times New Roman" w:hAnsi="Times New Roman" w:cs="Times New Roman" w:eastAsia="Times New Roman" w:hint="default"/>
        </w:rPr>
        <w:t> </w:t>
      </w:r>
      <w:r>
        <w:rPr>
          <w:w w:val="99"/>
        </w:rPr>
        <w:t>股派发</w:t>
      </w:r>
      <w:r>
        <w:rPr>
          <w:spacing w:val="2"/>
          <w:w w:val="99"/>
        </w:rPr>
        <w:t>现</w:t>
      </w:r>
      <w:r>
        <w:rPr>
          <w:w w:val="99"/>
        </w:rPr>
        <w:t>金红利</w:t>
      </w:r>
      <w:r>
        <w:rPr>
          <w:spacing w:val="-67"/>
        </w:rPr>
        <w:t> </w:t>
      </w:r>
      <w:r>
        <w:rPr>
          <w:rFonts w:ascii="Times New Roman" w:hAnsi="Times New Roman" w:cs="Times New Roman" w:eastAsia="Times New Roman" w:hint="default"/>
          <w:w w:val="99"/>
        </w:rPr>
        <w:t>0.87</w:t>
      </w:r>
      <w:r>
        <w:rPr>
          <w:rFonts w:ascii="Times New Roman" w:hAnsi="Times New Roman" w:cs="Times New Roman" w:eastAsia="Times New Roman" w:hint="default"/>
          <w:spacing w:val="1"/>
        </w:rPr>
        <w:t> </w:t>
      </w:r>
      <w:r>
        <w:rPr>
          <w:spacing w:val="-30"/>
          <w:w w:val="99"/>
        </w:rPr>
        <w:t>元</w:t>
      </w:r>
      <w:r>
        <w:rPr>
          <w:w w:val="99"/>
        </w:rPr>
        <w:t>（含税</w:t>
      </w:r>
      <w:r>
        <w:rPr>
          <w:spacing w:val="-140"/>
          <w:w w:val="99"/>
        </w:rPr>
        <w:t>）</w:t>
      </w:r>
      <w:r>
        <w:rPr>
          <w:spacing w:val="-30"/>
          <w:w w:val="99"/>
        </w:rPr>
        <w:t>，</w:t>
      </w:r>
      <w:r>
        <w:rPr>
          <w:w w:val="99"/>
        </w:rPr>
        <w:t>送红股</w:t>
      </w:r>
      <w:r>
        <w:rPr>
          <w:spacing w:val="-68"/>
        </w:rPr>
        <w:t> </w:t>
      </w:r>
      <w:r>
        <w:rPr>
          <w:rFonts w:ascii="Times New Roman" w:hAnsi="Times New Roman" w:cs="Times New Roman" w:eastAsia="Times New Roman" w:hint="default"/>
          <w:w w:val="99"/>
        </w:rPr>
        <w:t>0</w:t>
      </w:r>
      <w:r>
        <w:rPr>
          <w:rFonts w:ascii="Times New Roman" w:hAnsi="Times New Roman" w:cs="Times New Roman" w:eastAsia="Times New Roman" w:hint="default"/>
          <w:spacing w:val="1"/>
        </w:rPr>
        <w:t> </w:t>
      </w:r>
      <w:r>
        <w:rPr>
          <w:spacing w:val="-32"/>
          <w:w w:val="99"/>
        </w:rPr>
        <w:t>股</w:t>
      </w:r>
      <w:r>
        <w:rPr>
          <w:w w:val="99"/>
        </w:rPr>
        <w:t>（含税</w:t>
      </w:r>
      <w:r>
        <w:rPr>
          <w:spacing w:val="-140"/>
          <w:w w:val="99"/>
        </w:rPr>
        <w:t>）</w:t>
      </w:r>
      <w:r>
        <w:rPr>
          <w:spacing w:val="-30"/>
          <w:w w:val="99"/>
        </w:rPr>
        <w:t>，</w:t>
      </w:r>
      <w:r>
        <w:rPr>
          <w:w w:val="99"/>
        </w:rPr>
        <w:t>以</w:t>
      </w:r>
      <w:r>
        <w:rPr>
          <w:spacing w:val="2"/>
          <w:w w:val="99"/>
        </w:rPr>
        <w:t>资</w:t>
      </w:r>
      <w:r>
        <w:rPr>
          <w:w w:val="99"/>
        </w:rPr>
        <w:t>本</w:t>
      </w:r>
      <w:r>
        <w:rPr>
          <w:b w:val="0"/>
          <w:bCs w:val="0"/>
        </w:rPr>
      </w:r>
    </w:p>
    <w:p>
      <w:pPr>
        <w:pStyle w:val="Heading2"/>
        <w:spacing w:line="240" w:lineRule="auto" w:before="237"/>
        <w:ind w:right="998"/>
        <w:jc w:val="left"/>
        <w:rPr>
          <w:b w:val="0"/>
          <w:bCs w:val="0"/>
        </w:rPr>
      </w:pPr>
      <w:r>
        <w:rPr/>
        <w:t>公积金向全体股东每</w:t>
      </w:r>
      <w:r>
        <w:rPr>
          <w:spacing w:val="-72"/>
        </w:rPr>
        <w:t> </w:t>
      </w:r>
      <w:r>
        <w:rPr>
          <w:rFonts w:ascii="Times New Roman" w:hAnsi="Times New Roman" w:cs="Times New Roman" w:eastAsia="Times New Roman" w:hint="default"/>
        </w:rPr>
        <w:t>10</w:t>
      </w:r>
      <w:r>
        <w:rPr>
          <w:rFonts w:ascii="Times New Roman" w:hAnsi="Times New Roman" w:cs="Times New Roman" w:eastAsia="Times New Roman" w:hint="default"/>
          <w:spacing w:val="-4"/>
        </w:rPr>
        <w:t> </w:t>
      </w:r>
      <w:r>
        <w:rPr/>
        <w:t>股转增</w:t>
      </w:r>
      <w:r>
        <w:rPr>
          <w:spacing w:val="-74"/>
        </w:rPr>
        <w:t> </w:t>
      </w:r>
      <w:r>
        <w:rPr>
          <w:rFonts w:ascii="Times New Roman" w:hAnsi="Times New Roman" w:cs="Times New Roman" w:eastAsia="Times New Roman" w:hint="default"/>
        </w:rPr>
        <w:t>0</w:t>
      </w:r>
      <w:r>
        <w:rPr>
          <w:rFonts w:ascii="Times New Roman" w:hAnsi="Times New Roman" w:cs="Times New Roman" w:eastAsia="Times New Roman" w:hint="default"/>
          <w:spacing w:val="-4"/>
        </w:rPr>
        <w:t> </w:t>
      </w:r>
      <w:r>
        <w:rPr/>
        <w:t>股。</w:t>
      </w:r>
      <w:r>
        <w:rPr>
          <w:b w:val="0"/>
          <w:bCs w:val="0"/>
        </w:rPr>
      </w:r>
    </w:p>
    <w:p>
      <w:pPr>
        <w:spacing w:after="0" w:line="240" w:lineRule="auto"/>
        <w:jc w:val="left"/>
        <w:sectPr>
          <w:pgSz w:w="11910" w:h="16840"/>
          <w:pgMar w:header="747" w:footer="979" w:top="1060" w:bottom="1160" w:left="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23"/>
        <w:ind w:left="3403" w:right="3402"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1"/>
        <w:rPr>
          <w:rFonts w:ascii="宋体" w:hAnsi="宋体" w:cs="宋体" w:eastAsia="宋体" w:hint="default"/>
          <w:b/>
          <w:bCs/>
          <w:sz w:val="42"/>
          <w:szCs w:val="42"/>
        </w:rPr>
      </w:pPr>
    </w:p>
    <w:sdt>
      <w:sdtPr>
        <w:docPartObj>
          <w:docPartGallery w:val="Table of Contents"/>
          <w:docPartUnique/>
        </w:docPartObj>
      </w:sdtPr>
      <w:sdtEndPr/>
      <w:sdtContent>
        <w:p>
          <w:pPr>
            <w:pStyle w:val="TOC1"/>
            <w:tabs>
              <w:tab w:pos="10749" w:val="right" w:leader="dot"/>
            </w:tabs>
            <w:spacing w:line="240" w:lineRule="auto" w:before="0"/>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TOC_250011">
            <w:r>
              <w:rPr/>
              <w:t>第一节</w:t>
            </w:r>
            <w:r>
              <w:rPr>
                <w:spacing w:val="-19"/>
              </w:rPr>
              <w:t> </w:t>
            </w:r>
            <w:r>
              <w:rPr/>
              <w:t>重要提示、目录和释义</w:t>
            </w:r>
            <w:r>
              <w:rPr>
                <w:rFonts w:ascii="Times New Roman" w:hAnsi="Times New Roman" w:cs="Times New Roman" w:eastAsia="Times New Roman" w:hint="default"/>
              </w:rPr>
              <w:tab/>
            </w:r>
            <w:r>
              <w:rPr>
                <w:rFonts w:ascii="Times New Roman" w:hAnsi="Times New Roman" w:cs="Times New Roman" w:eastAsia="Times New Roman" w:hint="default"/>
                <w:spacing w:val="-14"/>
              </w:rPr>
              <w:t>11</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10">
            <w:r>
              <w:rPr/>
              <w:t>第二节</w:t>
            </w:r>
            <w:r>
              <w:rPr>
                <w:spacing w:val="-19"/>
              </w:rPr>
              <w:t> </w:t>
            </w:r>
            <w:r>
              <w:rPr/>
              <w:t>公司简介和主要财务指标</w:t>
            </w:r>
            <w:r>
              <w:rPr>
                <w:rFonts w:ascii="Times New Roman" w:hAnsi="Times New Roman" w:cs="Times New Roman" w:eastAsia="Times New Roman" w:hint="default"/>
              </w:rPr>
              <w:tab/>
              <w:t>15</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9">
            <w:r>
              <w:rPr/>
              <w:t>第三节</w:t>
            </w:r>
            <w:r>
              <w:rPr>
                <w:spacing w:val="-19"/>
              </w:rPr>
              <w:t> </w:t>
            </w:r>
            <w:r>
              <w:rPr/>
              <w:t>公司业务概要</w:t>
            </w:r>
            <w:r>
              <w:rPr>
                <w:rFonts w:ascii="Times New Roman" w:hAnsi="Times New Roman" w:cs="Times New Roman" w:eastAsia="Times New Roman" w:hint="default"/>
              </w:rPr>
              <w:tab/>
              <w:t>23</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8">
            <w:r>
              <w:rPr/>
              <w:t>第四节</w:t>
            </w:r>
            <w:r>
              <w:rPr>
                <w:spacing w:val="-19"/>
              </w:rPr>
              <w:t> </w:t>
            </w:r>
            <w:r>
              <w:rPr/>
              <w:t>经营情况讨论与分析</w:t>
            </w:r>
            <w:r>
              <w:rPr>
                <w:rFonts w:ascii="Times New Roman" w:hAnsi="Times New Roman" w:cs="Times New Roman" w:eastAsia="Times New Roman" w:hint="default"/>
              </w:rPr>
              <w:tab/>
              <w:t>49</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7">
            <w:r>
              <w:rPr/>
              <w:t>第五节</w:t>
            </w:r>
            <w:r>
              <w:rPr>
                <w:spacing w:val="-19"/>
              </w:rPr>
              <w:t> </w:t>
            </w:r>
            <w:r>
              <w:rPr/>
              <w:t>重要事项</w:t>
            </w:r>
            <w:r>
              <w:rPr>
                <w:rFonts w:ascii="Times New Roman" w:hAnsi="Times New Roman" w:cs="Times New Roman" w:eastAsia="Times New Roman" w:hint="default"/>
              </w:rPr>
              <w:tab/>
              <w:t>72</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6">
            <w:r>
              <w:rPr/>
              <w:t>第六节</w:t>
            </w:r>
            <w:r>
              <w:rPr>
                <w:spacing w:val="-19"/>
              </w:rPr>
              <w:t> </w:t>
            </w:r>
            <w:r>
              <w:rPr/>
              <w:t>股份变动及股东情况</w:t>
            </w:r>
            <w:r>
              <w:rPr>
                <w:rFonts w:ascii="Times New Roman" w:hAnsi="Times New Roman" w:cs="Times New Roman" w:eastAsia="Times New Roman" w:hint="default"/>
              </w:rPr>
              <w:tab/>
              <w:t>80</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5">
            <w:r>
              <w:rPr/>
              <w:t>第七节</w:t>
            </w:r>
            <w:r>
              <w:rPr>
                <w:spacing w:val="-19"/>
              </w:rPr>
              <w:t> </w:t>
            </w:r>
            <w:r>
              <w:rPr/>
              <w:t>优先股相关情况</w:t>
            </w:r>
            <w:r>
              <w:rPr>
                <w:rFonts w:ascii="Times New Roman" w:hAnsi="Times New Roman" w:cs="Times New Roman" w:eastAsia="Times New Roman" w:hint="default"/>
              </w:rPr>
              <w:tab/>
              <w:t>80</w:t>
            </w:r>
            <w:r>
              <w:rPr>
                <w:rFonts w:ascii="Times New Roman" w:hAnsi="Times New Roman" w:cs="Times New Roman" w:eastAsia="Times New Roman" w:hint="default"/>
                <w:b w:val="0"/>
                <w:bCs w:val="0"/>
              </w:rPr>
            </w:r>
          </w:hyperlink>
        </w:p>
        <w:p>
          <w:pPr>
            <w:pStyle w:val="TOC1"/>
            <w:tabs>
              <w:tab w:pos="10762" w:val="right" w:leader="dot"/>
            </w:tabs>
            <w:spacing w:line="240" w:lineRule="auto" w:before="160"/>
            <w:ind w:right="0"/>
            <w:jc w:val="left"/>
            <w:rPr>
              <w:rFonts w:ascii="Times New Roman" w:hAnsi="Times New Roman" w:cs="Times New Roman" w:eastAsia="Times New Roman" w:hint="default"/>
              <w:b w:val="0"/>
              <w:bCs w:val="0"/>
            </w:rPr>
          </w:pPr>
          <w:hyperlink w:history="true" w:anchor="_TOC_250004">
            <w:r>
              <w:rPr/>
              <w:t>第八节</w:t>
            </w:r>
            <w:r>
              <w:rPr>
                <w:spacing w:val="-19"/>
              </w:rPr>
              <w:t> </w:t>
            </w:r>
            <w:r>
              <w:rPr/>
              <w:t>董事、监事、高级管理人员和员工情况</w:t>
            </w:r>
            <w:r>
              <w:rPr>
                <w:rFonts w:ascii="Times New Roman" w:hAnsi="Times New Roman" w:cs="Times New Roman" w:eastAsia="Times New Roman" w:hint="default"/>
              </w:rPr>
              <w:tab/>
              <w:t>81</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3">
            <w:r>
              <w:rPr/>
              <w:t>第九节</w:t>
            </w:r>
            <w:r>
              <w:rPr>
                <w:spacing w:val="-19"/>
              </w:rPr>
              <w:t> </w:t>
            </w:r>
            <w:r>
              <w:rPr/>
              <w:t>公司治理</w:t>
            </w:r>
            <w:r>
              <w:rPr>
                <w:rFonts w:ascii="Times New Roman" w:hAnsi="Times New Roman" w:cs="Times New Roman" w:eastAsia="Times New Roman" w:hint="default"/>
              </w:rPr>
              <w:tab/>
              <w:t>91</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2">
            <w:r>
              <w:rPr/>
              <w:t>第十节</w:t>
            </w:r>
            <w:r>
              <w:rPr>
                <w:spacing w:val="-19"/>
              </w:rPr>
              <w:t> </w:t>
            </w:r>
            <w:r>
              <w:rPr/>
              <w:t>公司债券相关情况</w:t>
            </w:r>
            <w:r>
              <w:rPr>
                <w:rFonts w:ascii="Times New Roman" w:hAnsi="Times New Roman" w:cs="Times New Roman" w:eastAsia="Times New Roman" w:hint="default"/>
              </w:rPr>
              <w:tab/>
              <w:t>98</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1">
            <w:r>
              <w:rPr/>
              <w:t>第十一节</w:t>
            </w:r>
            <w:r>
              <w:rPr>
                <w:spacing w:val="-19"/>
              </w:rPr>
              <w:t> </w:t>
            </w:r>
            <w:r>
              <w:rPr/>
              <w:t>财务报告</w:t>
            </w:r>
            <w:r>
              <w:rPr>
                <w:rFonts w:ascii="Times New Roman" w:hAnsi="Times New Roman" w:cs="Times New Roman" w:eastAsia="Times New Roman" w:hint="default"/>
              </w:rPr>
              <w:tab/>
              <w:t>103</w:t>
            </w:r>
            <w:r>
              <w:rPr>
                <w:rFonts w:ascii="Times New Roman" w:hAnsi="Times New Roman" w:cs="Times New Roman" w:eastAsia="Times New Roman" w:hint="default"/>
                <w:b w:val="0"/>
                <w:bCs w:val="0"/>
              </w:rPr>
            </w:r>
          </w:hyperlink>
        </w:p>
        <w:p>
          <w:pPr>
            <w:pStyle w:val="TOC1"/>
            <w:tabs>
              <w:tab w:pos="10762" w:val="right" w:leader="dot"/>
            </w:tabs>
            <w:spacing w:line="240" w:lineRule="auto"/>
            <w:ind w:right="0"/>
            <w:jc w:val="left"/>
            <w:rPr>
              <w:rFonts w:ascii="Times New Roman" w:hAnsi="Times New Roman" w:cs="Times New Roman" w:eastAsia="Times New Roman" w:hint="default"/>
              <w:b w:val="0"/>
              <w:bCs w:val="0"/>
            </w:rPr>
          </w:pPr>
          <w:hyperlink w:history="true" w:anchor="_TOC_250000">
            <w:r>
              <w:rPr/>
              <w:t>第十二节</w:t>
            </w:r>
            <w:r>
              <w:rPr>
                <w:spacing w:val="-20"/>
              </w:rPr>
              <w:t> </w:t>
            </w:r>
            <w:r>
              <w:rPr/>
              <w:t>备查文件目录</w:t>
            </w:r>
            <w:r>
              <w:rPr>
                <w:rFonts w:ascii="Times New Roman" w:hAnsi="Times New Roman" w:cs="Times New Roman" w:eastAsia="Times New Roman" w:hint="default"/>
              </w:rPr>
              <w:tab/>
              <w:t>235</w:t>
            </w:r>
            <w:r>
              <w:rPr>
                <w:rFonts w:ascii="Times New Roman" w:hAnsi="Times New Roman" w:cs="Times New Roman" w:eastAsia="Times New Roman" w:hint="default"/>
                <w:b w:val="0"/>
                <w:bCs w:val="0"/>
              </w:rPr>
            </w:r>
          </w:hyperlink>
        </w:p>
        <w:p>
          <w:pPr/>
          <w:r>
            <w:fldChar w:fldCharType="end"/>
          </w:r>
        </w:p>
      </w:sdtContent>
    </w:sdt>
    <w:p>
      <w:pPr>
        <w:spacing w:after="0"/>
        <w:sectPr>
          <w:pgSz w:w="11910" w:h="16840"/>
          <w:pgMar w:header="747" w:footer="979" w:top="1060" w:bottom="1160" w:left="0" w:right="0"/>
        </w:sectPr>
      </w:pPr>
    </w:p>
    <w:p>
      <w:pPr>
        <w:spacing w:before="946"/>
        <w:ind w:left="3403" w:right="3402"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1151" w:type="dxa"/>
        <w:tblLayout w:type="fixed"/>
        <w:tblCellMar>
          <w:top w:w="0" w:type="dxa"/>
          <w:left w:w="0" w:type="dxa"/>
          <w:bottom w:w="0" w:type="dxa"/>
          <w:right w:w="0" w:type="dxa"/>
        </w:tblCellMar>
        <w:tblLook w:val="01E0"/>
      </w:tblPr>
      <w:tblGrid>
        <w:gridCol w:w="3536"/>
        <w:gridCol w:w="601"/>
        <w:gridCol w:w="5435"/>
      </w:tblGrid>
      <w:tr>
        <w:trPr>
          <w:trHeight w:val="413" w:hRule="exact"/>
        </w:trPr>
        <w:tc>
          <w:tcPr>
            <w:tcW w:w="3536"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1" w:right="13"/>
              <w:jc w:val="center"/>
              <w:rPr>
                <w:rFonts w:ascii="宋体" w:hAnsi="宋体" w:cs="宋体" w:eastAsia="宋体" w:hint="default"/>
                <w:sz w:val="18"/>
                <w:szCs w:val="18"/>
              </w:rPr>
            </w:pPr>
            <w:r>
              <w:rPr>
                <w:rFonts w:ascii="宋体" w:hAnsi="宋体" w:cs="宋体" w:eastAsia="宋体" w:hint="default"/>
                <w:sz w:val="18"/>
                <w:szCs w:val="18"/>
              </w:rPr>
              <w:t>释义项</w:t>
            </w:r>
          </w:p>
        </w:tc>
        <w:tc>
          <w:tcPr>
            <w:tcW w:w="601"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16"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164" w:hRule="exact"/>
        </w:trPr>
        <w:tc>
          <w:tcPr>
            <w:tcW w:w="3536" w:type="dxa"/>
            <w:vMerge w:val="restart"/>
            <w:tcBorders>
              <w:top w:val="single" w:sz="6" w:space="0" w:color="000000"/>
              <w:left w:val="single" w:sz="12" w:space="0" w:color="000000"/>
              <w:right w:val="single" w:sz="8" w:space="0" w:color="D2D2D2"/>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本公司、公司、股份公司、昆仑万维</w:t>
            </w:r>
          </w:p>
        </w:tc>
        <w:tc>
          <w:tcPr>
            <w:tcW w:w="601" w:type="dxa"/>
            <w:tcBorders>
              <w:top w:val="single" w:sz="6" w:space="0" w:color="000000"/>
              <w:left w:val="single" w:sz="6" w:space="0" w:color="000000"/>
              <w:bottom w:val="nil" w:sz="6" w:space="0" w:color="auto"/>
              <w:right w:val="single" w:sz="6" w:space="0" w:color="000000"/>
            </w:tcBorders>
            <w:shd w:val="clear" w:color="auto" w:fill="D2D2D2"/>
          </w:tcPr>
          <w:p>
            <w:pPr/>
          </w:p>
        </w:tc>
        <w:tc>
          <w:tcPr>
            <w:tcW w:w="5435" w:type="dxa"/>
            <w:vMerge w:val="restart"/>
            <w:tcBorders>
              <w:top w:val="single" w:sz="6" w:space="0" w:color="000000"/>
              <w:left w:val="single" w:sz="9" w:space="0" w:color="D2D2D2"/>
              <w:right w:val="single" w:sz="12" w:space="0" w:color="000000"/>
            </w:tcBorders>
          </w:tcPr>
          <w:p>
            <w:pPr>
              <w:pStyle w:val="TableParagraph"/>
              <w:spacing w:line="316" w:lineRule="auto" w:before="52"/>
              <w:ind w:left="27" w:right="10"/>
              <w:jc w:val="left"/>
              <w:rPr>
                <w:rFonts w:ascii="宋体" w:hAnsi="宋体" w:cs="宋体" w:eastAsia="宋体" w:hint="default"/>
                <w:sz w:val="18"/>
                <w:szCs w:val="18"/>
              </w:rPr>
            </w:pPr>
            <w:r>
              <w:rPr>
                <w:rFonts w:ascii="宋体" w:hAnsi="宋体" w:cs="宋体" w:eastAsia="宋体" w:hint="default"/>
                <w:spacing w:val="-2"/>
                <w:sz w:val="18"/>
                <w:szCs w:val="18"/>
              </w:rPr>
              <w:t>北京昆仑万维科技股份有限公司，或依文中所意，有时亦指本公司及</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附属公司</w:t>
            </w:r>
          </w:p>
        </w:tc>
      </w:tr>
      <w:tr>
        <w:trPr>
          <w:trHeight w:val="391" w:hRule="exact"/>
        </w:trPr>
        <w:tc>
          <w:tcPr>
            <w:tcW w:w="3536" w:type="dxa"/>
            <w:vMerge/>
            <w:tcBorders>
              <w:left w:val="single" w:sz="12" w:space="0" w:color="000000"/>
              <w:right w:val="single" w:sz="8" w:space="0" w:color="D2D2D2"/>
            </w:tcBorders>
          </w:tcPr>
          <w:p>
            <w:pPr/>
          </w:p>
        </w:tc>
        <w:tc>
          <w:tcPr>
            <w:tcW w:w="601" w:type="dxa"/>
            <w:tcBorders>
              <w:top w:val="nil" w:sz="6" w:space="0" w:color="auto"/>
              <w:left w:val="single" w:sz="6" w:space="0" w:color="000000"/>
              <w:bottom w:val="nil" w:sz="6" w:space="0" w:color="auto"/>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vMerge/>
            <w:tcBorders>
              <w:left w:val="single" w:sz="9" w:space="0" w:color="D2D2D2"/>
              <w:right w:val="single" w:sz="12" w:space="0" w:color="000000"/>
            </w:tcBorders>
          </w:tcPr>
          <w:p>
            <w:pPr/>
          </w:p>
        </w:tc>
      </w:tr>
      <w:tr>
        <w:trPr>
          <w:trHeight w:val="163" w:hRule="exact"/>
        </w:trPr>
        <w:tc>
          <w:tcPr>
            <w:tcW w:w="3536" w:type="dxa"/>
            <w:vMerge/>
            <w:tcBorders>
              <w:left w:val="single" w:sz="12" w:space="0" w:color="000000"/>
              <w:bottom w:val="single" w:sz="6" w:space="0" w:color="000000"/>
              <w:right w:val="single" w:sz="8" w:space="0" w:color="D2D2D2"/>
            </w:tcBorders>
          </w:tcPr>
          <w:p>
            <w:pPr/>
          </w:p>
        </w:tc>
        <w:tc>
          <w:tcPr>
            <w:tcW w:w="601" w:type="dxa"/>
            <w:tcBorders>
              <w:top w:val="nil" w:sz="6" w:space="0" w:color="auto"/>
              <w:left w:val="single" w:sz="6" w:space="0" w:color="000000"/>
              <w:bottom w:val="single" w:sz="6" w:space="0" w:color="000000"/>
              <w:right w:val="single" w:sz="6" w:space="0" w:color="000000"/>
            </w:tcBorders>
            <w:shd w:val="clear" w:color="auto" w:fill="D2D2D2"/>
          </w:tcPr>
          <w:p>
            <w:pPr/>
          </w:p>
        </w:tc>
        <w:tc>
          <w:tcPr>
            <w:tcW w:w="5435" w:type="dxa"/>
            <w:vMerge/>
            <w:tcBorders>
              <w:left w:val="single" w:sz="9" w:space="0" w:color="D2D2D2"/>
              <w:bottom w:val="single" w:sz="6" w:space="0" w:color="000000"/>
              <w:right w:val="single" w:sz="12" w:space="0" w:color="000000"/>
            </w:tcBorders>
          </w:tcPr>
          <w:p>
            <w:pPr/>
          </w:p>
        </w:tc>
      </w:tr>
      <w:tr>
        <w:trPr>
          <w:trHeight w:val="408"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昆仑在线</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北京昆仑在线网络科技有限公司</w:t>
            </w: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昆仑乐享</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北京昆仑乐享网络技术有限公司</w:t>
            </w: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昆仑集团</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Kunlun Group</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Limited</w:t>
            </w:r>
            <w:r>
              <w:rPr>
                <w:rFonts w:ascii="宋体" w:hAnsi="宋体" w:cs="宋体" w:eastAsia="宋体" w:hint="default"/>
                <w:sz w:val="18"/>
                <w:szCs w:val="18"/>
              </w:rPr>
              <w:t>，曾用名昆仑在线（香港）股份有限公司</w:t>
            </w:r>
          </w:p>
        </w:tc>
      </w:tr>
      <w:tr>
        <w:trPr>
          <w:trHeight w:val="163" w:hRule="exact"/>
        </w:trPr>
        <w:tc>
          <w:tcPr>
            <w:tcW w:w="3536" w:type="dxa"/>
            <w:vMerge w:val="restart"/>
            <w:tcBorders>
              <w:top w:val="single" w:sz="6" w:space="0" w:color="000000"/>
              <w:left w:val="single" w:sz="12" w:space="0" w:color="000000"/>
              <w:right w:val="single" w:sz="8" w:space="0" w:color="D2D2D2"/>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盈瑞世纪</w:t>
            </w:r>
          </w:p>
        </w:tc>
        <w:tc>
          <w:tcPr>
            <w:tcW w:w="601" w:type="dxa"/>
            <w:tcBorders>
              <w:top w:val="single" w:sz="6" w:space="0" w:color="000000"/>
              <w:left w:val="single" w:sz="6" w:space="0" w:color="000000"/>
              <w:bottom w:val="nil" w:sz="6" w:space="0" w:color="auto"/>
              <w:right w:val="single" w:sz="6" w:space="0" w:color="000000"/>
            </w:tcBorders>
            <w:shd w:val="clear" w:color="auto" w:fill="D2D2D2"/>
          </w:tcPr>
          <w:p>
            <w:pPr/>
          </w:p>
        </w:tc>
        <w:tc>
          <w:tcPr>
            <w:tcW w:w="5435" w:type="dxa"/>
            <w:vMerge w:val="restart"/>
            <w:tcBorders>
              <w:top w:val="single" w:sz="6" w:space="0" w:color="000000"/>
              <w:left w:val="single" w:sz="9" w:space="0" w:color="D2D2D2"/>
              <w:right w:val="single" w:sz="12" w:space="0" w:color="000000"/>
            </w:tcBorders>
          </w:tcPr>
          <w:p>
            <w:pPr>
              <w:pStyle w:val="TableParagraph"/>
              <w:spacing w:line="302" w:lineRule="auto" w:before="51"/>
              <w:ind w:left="27" w:right="11"/>
              <w:jc w:val="left"/>
              <w:rPr>
                <w:rFonts w:ascii="宋体" w:hAnsi="宋体" w:cs="宋体" w:eastAsia="宋体" w:hint="default"/>
                <w:sz w:val="18"/>
                <w:szCs w:val="18"/>
              </w:rPr>
            </w:pPr>
            <w:r>
              <w:rPr>
                <w:rFonts w:ascii="宋体" w:hAnsi="宋体" w:cs="宋体" w:eastAsia="宋体" w:hint="default"/>
                <w:spacing w:val="-3"/>
                <w:sz w:val="18"/>
                <w:szCs w:val="18"/>
              </w:rPr>
              <w:t>新余盈瑞世纪软件研发中心（有限合伙）</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曾用名北京盈瑞世纪软件研</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发中心（有限合伙）</w:t>
            </w:r>
          </w:p>
        </w:tc>
      </w:tr>
      <w:tr>
        <w:trPr>
          <w:trHeight w:val="392" w:hRule="exact"/>
        </w:trPr>
        <w:tc>
          <w:tcPr>
            <w:tcW w:w="3536" w:type="dxa"/>
            <w:vMerge/>
            <w:tcBorders>
              <w:left w:val="single" w:sz="12" w:space="0" w:color="000000"/>
              <w:right w:val="single" w:sz="8" w:space="0" w:color="D2D2D2"/>
            </w:tcBorders>
          </w:tcPr>
          <w:p>
            <w:pPr/>
          </w:p>
        </w:tc>
        <w:tc>
          <w:tcPr>
            <w:tcW w:w="601" w:type="dxa"/>
            <w:tcBorders>
              <w:top w:val="nil" w:sz="6" w:space="0" w:color="auto"/>
              <w:left w:val="single" w:sz="6" w:space="0" w:color="000000"/>
              <w:bottom w:val="nil" w:sz="6" w:space="0" w:color="auto"/>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vMerge/>
            <w:tcBorders>
              <w:left w:val="single" w:sz="9" w:space="0" w:color="D2D2D2"/>
              <w:right w:val="single" w:sz="12" w:space="0" w:color="000000"/>
            </w:tcBorders>
          </w:tcPr>
          <w:p>
            <w:pPr/>
          </w:p>
        </w:tc>
      </w:tr>
      <w:tr>
        <w:trPr>
          <w:trHeight w:val="163" w:hRule="exact"/>
        </w:trPr>
        <w:tc>
          <w:tcPr>
            <w:tcW w:w="3536" w:type="dxa"/>
            <w:vMerge/>
            <w:tcBorders>
              <w:left w:val="single" w:sz="12" w:space="0" w:color="000000"/>
              <w:bottom w:val="single" w:sz="6" w:space="0" w:color="000000"/>
              <w:right w:val="single" w:sz="8" w:space="0" w:color="D2D2D2"/>
            </w:tcBorders>
          </w:tcPr>
          <w:p>
            <w:pPr/>
          </w:p>
        </w:tc>
        <w:tc>
          <w:tcPr>
            <w:tcW w:w="601" w:type="dxa"/>
            <w:tcBorders>
              <w:top w:val="nil" w:sz="6" w:space="0" w:color="auto"/>
              <w:left w:val="single" w:sz="6" w:space="0" w:color="000000"/>
              <w:bottom w:val="single" w:sz="6" w:space="0" w:color="000000"/>
              <w:right w:val="single" w:sz="6" w:space="0" w:color="000000"/>
            </w:tcBorders>
            <w:shd w:val="clear" w:color="auto" w:fill="D2D2D2"/>
          </w:tcPr>
          <w:p>
            <w:pPr/>
          </w:p>
        </w:tc>
        <w:tc>
          <w:tcPr>
            <w:tcW w:w="5435" w:type="dxa"/>
            <w:vMerge/>
            <w:tcBorders>
              <w:left w:val="single" w:sz="9" w:space="0" w:color="D2D2D2"/>
              <w:bottom w:val="single" w:sz="6" w:space="0" w:color="000000"/>
              <w:right w:val="single" w:sz="12" w:space="0" w:color="000000"/>
            </w:tcBorders>
          </w:tcPr>
          <w:p>
            <w:pP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西藏昆诺</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西藏昆诺赢展创业投资有限责任公司</w:t>
            </w: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 </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r>
      <w:tr>
        <w:trPr>
          <w:trHeight w:val="408"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中国证监会</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r>
        <w:trPr>
          <w:trHeight w:val="163" w:hRule="exact"/>
        </w:trPr>
        <w:tc>
          <w:tcPr>
            <w:tcW w:w="3536" w:type="dxa"/>
            <w:vMerge w:val="restart"/>
            <w:tcBorders>
              <w:top w:val="single" w:sz="6" w:space="0" w:color="000000"/>
              <w:left w:val="single" w:sz="12" w:space="0" w:color="000000"/>
              <w:right w:val="single" w:sz="8" w:space="0" w:color="D2D2D2"/>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《公司法》</w:t>
            </w:r>
          </w:p>
        </w:tc>
        <w:tc>
          <w:tcPr>
            <w:tcW w:w="601" w:type="dxa"/>
            <w:tcBorders>
              <w:top w:val="single" w:sz="6" w:space="0" w:color="000000"/>
              <w:left w:val="single" w:sz="6" w:space="0" w:color="000000"/>
              <w:bottom w:val="nil" w:sz="6" w:space="0" w:color="auto"/>
              <w:right w:val="single" w:sz="6" w:space="0" w:color="000000"/>
            </w:tcBorders>
            <w:shd w:val="clear" w:color="auto" w:fill="D2D2D2"/>
          </w:tcPr>
          <w:p>
            <w:pPr/>
          </w:p>
        </w:tc>
        <w:tc>
          <w:tcPr>
            <w:tcW w:w="5435" w:type="dxa"/>
            <w:vMerge w:val="restart"/>
            <w:tcBorders>
              <w:top w:val="single" w:sz="6" w:space="0" w:color="000000"/>
              <w:left w:val="single" w:sz="9" w:space="0" w:color="D2D2D2"/>
              <w:right w:val="single" w:sz="12" w:space="0" w:color="000000"/>
            </w:tcBorders>
          </w:tcPr>
          <w:p>
            <w:pPr>
              <w:pStyle w:val="TableParagraph"/>
              <w:spacing w:line="300" w:lineRule="auto" w:before="51"/>
              <w:ind w:left="27" w:right="68"/>
              <w:jc w:val="left"/>
              <w:rPr>
                <w:rFonts w:ascii="宋体" w:hAnsi="宋体" w:cs="宋体" w:eastAsia="宋体"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 </w:t>
            </w:r>
            <w:r>
              <w:rPr>
                <w:rFonts w:ascii="Times New Roman" w:hAnsi="Times New Roman" w:cs="Times New Roman" w:eastAsia="Times New Roman" w:hint="default"/>
                <w:sz w:val="18"/>
                <w:szCs w:val="18"/>
              </w:rPr>
              <w:t>12 </w:t>
            </w:r>
            <w:r>
              <w:rPr>
                <w:rFonts w:ascii="宋体" w:hAnsi="宋体" w:cs="宋体" w:eastAsia="宋体" w:hint="default"/>
                <w:sz w:val="18"/>
                <w:szCs w:val="18"/>
              </w:rPr>
              <w:t>月 </w:t>
            </w:r>
            <w:r>
              <w:rPr>
                <w:rFonts w:ascii="Times New Roman" w:hAnsi="Times New Roman" w:cs="Times New Roman" w:eastAsia="Times New Roman" w:hint="default"/>
                <w:sz w:val="18"/>
                <w:szCs w:val="18"/>
              </w:rPr>
              <w:t>28 </w:t>
            </w:r>
            <w:r>
              <w:rPr>
                <w:rFonts w:ascii="宋体" w:hAnsi="宋体" w:cs="宋体" w:eastAsia="宋体" w:hint="default"/>
                <w:sz w:val="18"/>
                <w:szCs w:val="18"/>
              </w:rPr>
              <w:t>日修订， </w:t>
            </w:r>
            <w:r>
              <w:rPr>
                <w:rFonts w:ascii="Times New Roman" w:hAnsi="Times New Roman" w:cs="Times New Roman" w:eastAsia="Times New Roman" w:hint="default"/>
                <w:sz w:val="18"/>
                <w:szCs w:val="18"/>
              </w:rPr>
              <w:t>2014 </w:t>
            </w:r>
            <w:r>
              <w:rPr>
                <w:rFonts w:ascii="宋体" w:hAnsi="宋体" w:cs="宋体" w:eastAsia="宋体" w:hint="default"/>
                <w:sz w:val="18"/>
                <w:szCs w:val="18"/>
              </w:rPr>
              <w:t>年 </w:t>
            </w:r>
            <w:r>
              <w:rPr>
                <w:rFonts w:ascii="Times New Roman" w:hAnsi="Times New Roman" w:cs="Times New Roman" w:eastAsia="Times New Roman" w:hint="default"/>
                <w:sz w:val="18"/>
                <w:szCs w:val="18"/>
              </w:rPr>
              <w:t>3 </w:t>
            </w:r>
            <w:r>
              <w:rPr>
                <w:rFonts w:ascii="宋体" w:hAnsi="宋体" w:cs="宋体" w:eastAsia="宋体" w:hint="default"/>
                <w:sz w:val="18"/>
                <w:szCs w:val="18"/>
              </w:rPr>
              <w:t>月 </w:t>
            </w:r>
            <w:r>
              <w:rPr>
                <w:rFonts w:ascii="Times New Roman" w:hAnsi="Times New Roman" w:cs="Times New Roman" w:eastAsia="Times New Roman" w:hint="default"/>
                <w:sz w:val="18"/>
                <w:szCs w:val="18"/>
              </w:rPr>
              <w:t>1 </w:t>
            </w:r>
            <w:r>
              <w:rPr>
                <w:rFonts w:ascii="宋体" w:hAnsi="宋体" w:cs="宋体" w:eastAsia="宋体" w:hint="default"/>
                <w:sz w:val="18"/>
                <w:szCs w:val="18"/>
              </w:rPr>
              <w:t>日起施行的《中华人 民共和国公司法》</w:t>
            </w:r>
          </w:p>
        </w:tc>
      </w:tr>
      <w:tr>
        <w:trPr>
          <w:trHeight w:val="392" w:hRule="exact"/>
        </w:trPr>
        <w:tc>
          <w:tcPr>
            <w:tcW w:w="3536" w:type="dxa"/>
            <w:vMerge/>
            <w:tcBorders>
              <w:left w:val="single" w:sz="12" w:space="0" w:color="000000"/>
              <w:right w:val="single" w:sz="8" w:space="0" w:color="D2D2D2"/>
            </w:tcBorders>
          </w:tcPr>
          <w:p>
            <w:pPr/>
          </w:p>
        </w:tc>
        <w:tc>
          <w:tcPr>
            <w:tcW w:w="601" w:type="dxa"/>
            <w:tcBorders>
              <w:top w:val="nil" w:sz="6" w:space="0" w:color="auto"/>
              <w:left w:val="single" w:sz="6" w:space="0" w:color="000000"/>
              <w:bottom w:val="nil" w:sz="6" w:space="0" w:color="auto"/>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vMerge/>
            <w:tcBorders>
              <w:left w:val="single" w:sz="9" w:space="0" w:color="D2D2D2"/>
              <w:right w:val="single" w:sz="12" w:space="0" w:color="000000"/>
            </w:tcBorders>
          </w:tcPr>
          <w:p>
            <w:pPr/>
          </w:p>
        </w:tc>
      </w:tr>
      <w:tr>
        <w:trPr>
          <w:trHeight w:val="163" w:hRule="exact"/>
        </w:trPr>
        <w:tc>
          <w:tcPr>
            <w:tcW w:w="3536" w:type="dxa"/>
            <w:vMerge/>
            <w:tcBorders>
              <w:left w:val="single" w:sz="12" w:space="0" w:color="000000"/>
              <w:bottom w:val="single" w:sz="6" w:space="0" w:color="000000"/>
              <w:right w:val="single" w:sz="8" w:space="0" w:color="D2D2D2"/>
            </w:tcBorders>
          </w:tcPr>
          <w:p>
            <w:pPr/>
          </w:p>
        </w:tc>
        <w:tc>
          <w:tcPr>
            <w:tcW w:w="601" w:type="dxa"/>
            <w:tcBorders>
              <w:top w:val="nil" w:sz="6" w:space="0" w:color="auto"/>
              <w:left w:val="single" w:sz="6" w:space="0" w:color="000000"/>
              <w:bottom w:val="single" w:sz="6" w:space="0" w:color="000000"/>
              <w:right w:val="single" w:sz="6" w:space="0" w:color="000000"/>
            </w:tcBorders>
            <w:shd w:val="clear" w:color="auto" w:fill="D2D2D2"/>
          </w:tcPr>
          <w:p>
            <w:pPr/>
          </w:p>
        </w:tc>
        <w:tc>
          <w:tcPr>
            <w:tcW w:w="5435" w:type="dxa"/>
            <w:vMerge/>
            <w:tcBorders>
              <w:left w:val="single" w:sz="9" w:space="0" w:color="D2D2D2"/>
              <w:bottom w:val="single" w:sz="6" w:space="0" w:color="000000"/>
              <w:right w:val="single" w:sz="12" w:space="0" w:color="000000"/>
            </w:tcBorders>
          </w:tcPr>
          <w:p>
            <w:pP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《证券法》</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 </w:t>
            </w:r>
            <w:r>
              <w:rPr>
                <w:rFonts w:ascii="Times New Roman" w:hAnsi="Times New Roman" w:cs="Times New Roman" w:eastAsia="Times New Roman" w:hint="default"/>
                <w:sz w:val="18"/>
                <w:szCs w:val="18"/>
              </w:rPr>
              <w:t>8  </w:t>
            </w:r>
            <w:r>
              <w:rPr>
                <w:rFonts w:ascii="宋体" w:hAnsi="宋体" w:cs="宋体" w:eastAsia="宋体" w:hint="default"/>
                <w:sz w:val="18"/>
                <w:szCs w:val="18"/>
              </w:rPr>
              <w:t>月 </w:t>
            </w:r>
            <w:r>
              <w:rPr>
                <w:rFonts w:ascii="Times New Roman" w:hAnsi="Times New Roman" w:cs="Times New Roman" w:eastAsia="Times New Roman" w:hint="default"/>
                <w:sz w:val="18"/>
                <w:szCs w:val="18"/>
              </w:rPr>
              <w:t>31  </w:t>
            </w:r>
            <w:r>
              <w:rPr>
                <w:rFonts w:ascii="宋体" w:hAnsi="宋体" w:cs="宋体" w:eastAsia="宋体" w:hint="default"/>
                <w:sz w:val="18"/>
                <w:szCs w:val="18"/>
              </w:rPr>
              <w:t>日修订并施行的《中华人民共和国证券法》</w:t>
            </w: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《上市公司章程指引》</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《上市公司章程指引（ </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年修订</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《公司章程》</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北京昆仑万维科技股份有限公司现行章程</w:t>
            </w: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元、万元</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人民币元、万元</w:t>
            </w:r>
          </w:p>
        </w:tc>
      </w:tr>
      <w:tr>
        <w:trPr>
          <w:trHeight w:val="408"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信达天下</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北京信达天下科技有限公司</w:t>
            </w: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91"/>
              <w:ind w:left="14" w:right="0"/>
              <w:jc w:val="left"/>
              <w:rPr>
                <w:rFonts w:ascii="Times New Roman" w:hAnsi="Times New Roman" w:cs="Times New Roman" w:eastAsia="Times New Roman" w:hint="default"/>
                <w:sz w:val="18"/>
                <w:szCs w:val="18"/>
              </w:rPr>
            </w:pPr>
            <w:r>
              <w:rPr>
                <w:rFonts w:ascii="Times New Roman"/>
                <w:sz w:val="18"/>
              </w:rPr>
              <w:t>LendInvest</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LendInvest</w:t>
            </w:r>
            <w:r>
              <w:rPr>
                <w:rFonts w:ascii="Times New Roman"/>
                <w:spacing w:val="-3"/>
                <w:sz w:val="18"/>
              </w:rPr>
              <w:t> </w:t>
            </w:r>
            <w:r>
              <w:rPr>
                <w:rFonts w:ascii="Times New Roman"/>
                <w:sz w:val="18"/>
              </w:rPr>
              <w:t>Limited</w:t>
            </w: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银客</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Yinker</w:t>
            </w:r>
            <w:r>
              <w:rPr>
                <w:rFonts w:ascii="Times New Roman"/>
                <w:spacing w:val="-13"/>
                <w:sz w:val="18"/>
              </w:rPr>
              <w:t> </w:t>
            </w:r>
            <w:r>
              <w:rPr>
                <w:rFonts w:ascii="Times New Roman"/>
                <w:sz w:val="18"/>
              </w:rPr>
              <w:t>Inc.</w:t>
            </w: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米投科技、洋钱罐</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米投科技（香港）有限公司</w:t>
            </w: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随手科技</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深圳市随手科技有限公司</w:t>
            </w: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映客</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Inke</w:t>
            </w:r>
            <w:r>
              <w:rPr>
                <w:rFonts w:ascii="Times New Roman"/>
                <w:spacing w:val="-1"/>
                <w:sz w:val="18"/>
              </w:rPr>
              <w:t> </w:t>
            </w:r>
            <w:r>
              <w:rPr>
                <w:rFonts w:ascii="Times New Roman"/>
                <w:sz w:val="18"/>
              </w:rPr>
              <w:t>Limited</w:t>
            </w:r>
          </w:p>
        </w:tc>
      </w:tr>
      <w:tr>
        <w:trPr>
          <w:trHeight w:val="408"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92"/>
              <w:ind w:left="14" w:right="0"/>
              <w:jc w:val="left"/>
              <w:rPr>
                <w:rFonts w:ascii="Times New Roman" w:hAnsi="Times New Roman" w:cs="Times New Roman" w:eastAsia="Times New Roman" w:hint="default"/>
                <w:sz w:val="18"/>
                <w:szCs w:val="18"/>
              </w:rPr>
            </w:pPr>
            <w:r>
              <w:rPr>
                <w:rFonts w:ascii="Times New Roman"/>
                <w:sz w:val="18"/>
              </w:rPr>
              <w:t>Grindr</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2"/>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New Grindr LLC</w:t>
            </w:r>
            <w:r>
              <w:rPr>
                <w:rFonts w:ascii="宋体" w:hAnsi="宋体" w:cs="宋体" w:eastAsia="宋体" w:hint="default"/>
                <w:sz w:val="18"/>
                <w:szCs w:val="18"/>
              </w:rPr>
              <w:t>，曾用名 </w:t>
            </w:r>
            <w:r>
              <w:rPr>
                <w:rFonts w:ascii="Times New Roman" w:hAnsi="Times New Roman" w:cs="Times New Roman" w:eastAsia="Times New Roman" w:hint="default"/>
                <w:sz w:val="18"/>
                <w:szCs w:val="18"/>
              </w:rPr>
              <w:t>Grindr</w:t>
            </w:r>
            <w:r>
              <w:rPr>
                <w:rFonts w:ascii="Times New Roman" w:hAnsi="Times New Roman" w:cs="Times New Roman" w:eastAsia="Times New Roman" w:hint="default"/>
                <w:spacing w:val="-3"/>
                <w:sz w:val="18"/>
                <w:szCs w:val="18"/>
              </w:rPr>
              <w:t> </w:t>
            </w:r>
            <w:r>
              <w:rPr>
                <w:rFonts w:ascii="Times New Roman" w:hAnsi="Times New Roman" w:cs="Times New Roman" w:eastAsia="Times New Roman" w:hint="default"/>
                <w:sz w:val="18"/>
                <w:szCs w:val="18"/>
              </w:rPr>
              <w:t>LLC</w:t>
            </w: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91"/>
              <w:ind w:left="14" w:right="0"/>
              <w:jc w:val="left"/>
              <w:rPr>
                <w:rFonts w:ascii="Times New Roman" w:hAnsi="Times New Roman" w:cs="Times New Roman" w:eastAsia="Times New Roman" w:hint="default"/>
                <w:sz w:val="18"/>
                <w:szCs w:val="18"/>
              </w:rPr>
            </w:pPr>
            <w:r>
              <w:rPr>
                <w:rFonts w:ascii="Times New Roman"/>
                <w:sz w:val="18"/>
              </w:rPr>
              <w:t>Qudian</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Qudian</w:t>
            </w:r>
            <w:r>
              <w:rPr>
                <w:rFonts w:ascii="Times New Roman"/>
                <w:spacing w:val="-1"/>
                <w:sz w:val="18"/>
              </w:rPr>
              <w:t> </w:t>
            </w:r>
            <w:r>
              <w:rPr>
                <w:rFonts w:ascii="Times New Roman"/>
                <w:sz w:val="18"/>
              </w:rPr>
              <w:t>Inc</w:t>
            </w: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91"/>
              <w:ind w:left="14" w:right="0"/>
              <w:jc w:val="left"/>
              <w:rPr>
                <w:rFonts w:ascii="Times New Roman" w:hAnsi="Times New Roman" w:cs="Times New Roman" w:eastAsia="Times New Roman" w:hint="default"/>
                <w:sz w:val="18"/>
                <w:szCs w:val="18"/>
              </w:rPr>
            </w:pPr>
            <w:r>
              <w:rPr>
                <w:rFonts w:ascii="Times New Roman"/>
                <w:sz w:val="18"/>
              </w:rPr>
              <w:t>kunhoo</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Kunhoo Software</w:t>
            </w:r>
            <w:r>
              <w:rPr>
                <w:rFonts w:ascii="Times New Roman"/>
                <w:spacing w:val="-1"/>
                <w:sz w:val="18"/>
              </w:rPr>
              <w:t> </w:t>
            </w:r>
            <w:r>
              <w:rPr>
                <w:rFonts w:ascii="Times New Roman"/>
                <w:sz w:val="18"/>
              </w:rPr>
              <w:t>LLC</w:t>
            </w: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91"/>
              <w:ind w:left="14" w:right="0"/>
              <w:jc w:val="left"/>
              <w:rPr>
                <w:rFonts w:ascii="Times New Roman" w:hAnsi="Times New Roman" w:cs="Times New Roman" w:eastAsia="Times New Roman" w:hint="default"/>
                <w:sz w:val="18"/>
                <w:szCs w:val="18"/>
              </w:rPr>
            </w:pPr>
            <w:r>
              <w:rPr>
                <w:rFonts w:ascii="Times New Roman"/>
                <w:sz w:val="18"/>
              </w:rPr>
              <w:t>Supercell</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Supercell</w:t>
            </w:r>
            <w:r>
              <w:rPr>
                <w:rFonts w:ascii="Times New Roman"/>
                <w:spacing w:val="-3"/>
                <w:sz w:val="18"/>
              </w:rPr>
              <w:t> </w:t>
            </w:r>
            <w:r>
              <w:rPr>
                <w:rFonts w:ascii="Times New Roman"/>
                <w:sz w:val="18"/>
              </w:rPr>
              <w:t>Oy</w:t>
            </w:r>
          </w:p>
        </w:tc>
      </w:tr>
      <w:tr>
        <w:trPr>
          <w:trHeight w:val="407" w:hRule="exact"/>
        </w:trPr>
        <w:tc>
          <w:tcPr>
            <w:tcW w:w="3536" w:type="dxa"/>
            <w:tcBorders>
              <w:top w:val="single" w:sz="6" w:space="0" w:color="000000"/>
              <w:left w:val="single" w:sz="12" w:space="0" w:color="000000"/>
              <w:bottom w:val="single" w:sz="6" w:space="0" w:color="000000"/>
              <w:right w:val="single" w:sz="14" w:space="0" w:color="D2D2D2"/>
            </w:tcBorders>
          </w:tcPr>
          <w:p>
            <w:pPr>
              <w:pStyle w:val="TableParagraph"/>
              <w:spacing w:line="240" w:lineRule="auto" w:before="92"/>
              <w:ind w:left="14" w:right="0"/>
              <w:jc w:val="left"/>
              <w:rPr>
                <w:rFonts w:ascii="Times New Roman" w:hAnsi="Times New Roman" w:cs="Times New Roman" w:eastAsia="Times New Roman" w:hint="default"/>
                <w:sz w:val="18"/>
                <w:szCs w:val="18"/>
              </w:rPr>
            </w:pPr>
            <w:r>
              <w:rPr>
                <w:rFonts w:ascii="Times New Roman"/>
                <w:sz w:val="18"/>
              </w:rPr>
              <w:t>eCPM</w:t>
            </w:r>
          </w:p>
        </w:tc>
        <w:tc>
          <w:tcPr>
            <w:tcW w:w="60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earning cost per</w:t>
            </w:r>
            <w:r>
              <w:rPr>
                <w:rFonts w:ascii="Times New Roman"/>
                <w:spacing w:val="-5"/>
                <w:sz w:val="18"/>
              </w:rPr>
              <w:t> </w:t>
            </w:r>
            <w:r>
              <w:rPr>
                <w:rFonts w:ascii="Times New Roman"/>
                <w:sz w:val="18"/>
              </w:rPr>
              <w:t>mille</w:t>
            </w:r>
          </w:p>
        </w:tc>
      </w:tr>
      <w:tr>
        <w:trPr>
          <w:trHeight w:val="164" w:hRule="exact"/>
        </w:trPr>
        <w:tc>
          <w:tcPr>
            <w:tcW w:w="3536" w:type="dxa"/>
            <w:vMerge w:val="restart"/>
            <w:tcBorders>
              <w:top w:val="single" w:sz="6" w:space="0" w:color="000000"/>
              <w:left w:val="single" w:sz="12" w:space="0" w:color="000000"/>
              <w:right w:val="single" w:sz="8" w:space="0" w:color="D2D2D2"/>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腾讯</w:t>
            </w:r>
          </w:p>
        </w:tc>
        <w:tc>
          <w:tcPr>
            <w:tcW w:w="601" w:type="dxa"/>
            <w:tcBorders>
              <w:top w:val="single" w:sz="6" w:space="0" w:color="000000"/>
              <w:left w:val="single" w:sz="6" w:space="0" w:color="000000"/>
              <w:bottom w:val="nil" w:sz="6" w:space="0" w:color="auto"/>
              <w:right w:val="single" w:sz="6" w:space="0" w:color="000000"/>
            </w:tcBorders>
            <w:shd w:val="clear" w:color="auto" w:fill="D2D2D2"/>
          </w:tcPr>
          <w:p>
            <w:pPr/>
          </w:p>
        </w:tc>
        <w:tc>
          <w:tcPr>
            <w:tcW w:w="5435" w:type="dxa"/>
            <w:vMerge w:val="restart"/>
            <w:tcBorders>
              <w:top w:val="single" w:sz="6" w:space="0" w:color="000000"/>
              <w:left w:val="single" w:sz="9" w:space="0" w:color="D2D2D2"/>
              <w:right w:val="single" w:sz="12" w:space="0" w:color="000000"/>
            </w:tcBorders>
          </w:tcPr>
          <w:p>
            <w:pPr>
              <w:pStyle w:val="TableParagraph"/>
              <w:spacing w:line="240" w:lineRule="auto" w:before="52"/>
              <w:ind w:left="27" w:right="-19"/>
              <w:jc w:val="left"/>
              <w:rPr>
                <w:rFonts w:ascii="宋体" w:hAnsi="宋体" w:cs="宋体" w:eastAsia="宋体" w:hint="default"/>
                <w:sz w:val="18"/>
                <w:szCs w:val="18"/>
              </w:rPr>
            </w:pPr>
            <w:r>
              <w:rPr>
                <w:rFonts w:ascii="宋体" w:hAnsi="宋体" w:cs="宋体" w:eastAsia="宋体" w:hint="default"/>
                <w:sz w:val="18"/>
                <w:szCs w:val="18"/>
              </w:rPr>
              <w:t>深圳市腾讯计算机系统有限公司，香港联交所主板上市（股票代码：</w:t>
            </w:r>
          </w:p>
          <w:p>
            <w:pPr>
              <w:pStyle w:val="TableParagraph"/>
              <w:spacing w:line="240" w:lineRule="auto" w:before="76"/>
              <w:ind w:left="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00700</w:t>
            </w:r>
            <w:r>
              <w:rPr>
                <w:rFonts w:ascii="宋体" w:hAnsi="宋体" w:cs="宋体" w:eastAsia="宋体" w:hint="default"/>
                <w:sz w:val="18"/>
                <w:szCs w:val="18"/>
              </w:rPr>
              <w:t>）</w:t>
            </w:r>
          </w:p>
        </w:tc>
      </w:tr>
      <w:tr>
        <w:trPr>
          <w:trHeight w:val="391" w:hRule="exact"/>
        </w:trPr>
        <w:tc>
          <w:tcPr>
            <w:tcW w:w="3536" w:type="dxa"/>
            <w:vMerge/>
            <w:tcBorders>
              <w:left w:val="single" w:sz="12" w:space="0" w:color="000000"/>
              <w:right w:val="single" w:sz="8" w:space="0" w:color="D2D2D2"/>
            </w:tcBorders>
          </w:tcPr>
          <w:p>
            <w:pPr/>
          </w:p>
        </w:tc>
        <w:tc>
          <w:tcPr>
            <w:tcW w:w="601" w:type="dxa"/>
            <w:tcBorders>
              <w:top w:val="nil" w:sz="6" w:space="0" w:color="auto"/>
              <w:left w:val="single" w:sz="6" w:space="0" w:color="000000"/>
              <w:bottom w:val="nil" w:sz="6" w:space="0" w:color="auto"/>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vMerge/>
            <w:tcBorders>
              <w:left w:val="single" w:sz="9" w:space="0" w:color="D2D2D2"/>
              <w:right w:val="single" w:sz="12" w:space="0" w:color="000000"/>
            </w:tcBorders>
          </w:tcPr>
          <w:p>
            <w:pPr/>
          </w:p>
        </w:tc>
      </w:tr>
      <w:tr>
        <w:trPr>
          <w:trHeight w:val="171" w:hRule="exact"/>
        </w:trPr>
        <w:tc>
          <w:tcPr>
            <w:tcW w:w="3536" w:type="dxa"/>
            <w:vMerge/>
            <w:tcBorders>
              <w:left w:val="single" w:sz="12" w:space="0" w:color="000000"/>
              <w:bottom w:val="single" w:sz="12" w:space="0" w:color="000000"/>
              <w:right w:val="single" w:sz="8" w:space="0" w:color="D2D2D2"/>
            </w:tcBorders>
          </w:tcPr>
          <w:p>
            <w:pPr/>
          </w:p>
        </w:tc>
        <w:tc>
          <w:tcPr>
            <w:tcW w:w="601" w:type="dxa"/>
            <w:tcBorders>
              <w:top w:val="nil" w:sz="6" w:space="0" w:color="auto"/>
              <w:left w:val="single" w:sz="6" w:space="0" w:color="000000"/>
              <w:bottom w:val="single" w:sz="12" w:space="0" w:color="000000"/>
              <w:right w:val="single" w:sz="6" w:space="0" w:color="000000"/>
            </w:tcBorders>
            <w:shd w:val="clear" w:color="auto" w:fill="D2D2D2"/>
          </w:tcPr>
          <w:p>
            <w:pPr/>
          </w:p>
        </w:tc>
        <w:tc>
          <w:tcPr>
            <w:tcW w:w="5435" w:type="dxa"/>
            <w:vMerge/>
            <w:tcBorders>
              <w:left w:val="single" w:sz="9" w:space="0" w:color="D2D2D2"/>
              <w:bottom w:val="single" w:sz="12" w:space="0" w:color="000000"/>
              <w:right w:val="single" w:sz="12" w:space="0" w:color="000000"/>
            </w:tcBorders>
          </w:tcPr>
          <w:p>
            <w:pPr/>
          </w:p>
        </w:tc>
      </w:tr>
    </w:tbl>
    <w:p>
      <w:pPr>
        <w:spacing w:after="0"/>
        <w:sectPr>
          <w:pgSz w:w="11910" w:h="16840"/>
          <w:pgMar w:header="747" w:footer="979" w:top="1060" w:bottom="1160" w:left="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2"/>
          <w:szCs w:val="22"/>
        </w:rPr>
      </w:pPr>
    </w:p>
    <w:p>
      <w:pPr>
        <w:spacing w:before="44"/>
        <w:ind w:left="0" w:right="1104" w:firstLine="0"/>
        <w:jc w:val="right"/>
        <w:rPr>
          <w:rFonts w:ascii="宋体" w:hAnsi="宋体" w:cs="宋体" w:eastAsia="宋体" w:hint="default"/>
          <w:sz w:val="18"/>
          <w:szCs w:val="18"/>
        </w:rPr>
      </w:pPr>
      <w:r>
        <w:rPr/>
        <w:pict>
          <v:shape style="position:absolute;margin-left:57.599998pt;margin-top:-22.208281pt;width:480.85pt;height:445.25pt;mso-position-horizontal-relative:page;mso-position-vertical-relative:paragraph;z-index:1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25"/>
                    <w:gridCol w:w="622"/>
                    <w:gridCol w:w="5424"/>
                  </w:tblGrid>
                  <w:tr>
                    <w:trPr>
                      <w:trHeight w:val="415" w:hRule="exact"/>
                    </w:trPr>
                    <w:tc>
                      <w:tcPr>
                        <w:tcW w:w="352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完美</w:t>
                        </w:r>
                      </w:p>
                    </w:tc>
                    <w:tc>
                      <w:tcPr>
                        <w:tcW w:w="62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完美世界股份有限公司，国内</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股主板上市（股票代码：</w:t>
                        </w:r>
                        <w:r>
                          <w:rPr>
                            <w:rFonts w:ascii="Times New Roman" w:hAnsi="Times New Roman" w:cs="Times New Roman" w:eastAsia="Times New Roman" w:hint="default"/>
                            <w:sz w:val="18"/>
                            <w:szCs w:val="18"/>
                          </w:rPr>
                          <w:t>002624</w:t>
                        </w:r>
                        <w:r>
                          <w:rPr>
                            <w:rFonts w:ascii="宋体" w:hAnsi="宋体" w:cs="宋体" w:eastAsia="宋体" w:hint="default"/>
                            <w:sz w:val="18"/>
                            <w:szCs w:val="18"/>
                          </w:rPr>
                          <w:t>）</w:t>
                        </w:r>
                      </w:p>
                    </w:tc>
                  </w:tr>
                  <w:tr>
                    <w:trPr>
                      <w:trHeight w:val="407"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人人网</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千橡世纪科技发展（北京）有限公司，纽交所上市（</w:t>
                        </w:r>
                        <w:r>
                          <w:rPr>
                            <w:rFonts w:ascii="Times New Roman" w:hAnsi="Times New Roman" w:cs="Times New Roman" w:eastAsia="Times New Roman" w:hint="default"/>
                            <w:sz w:val="18"/>
                            <w:szCs w:val="18"/>
                          </w:rPr>
                          <w:t>NYSE</w:t>
                        </w:r>
                        <w:r>
                          <w:rPr>
                            <w:rFonts w:ascii="宋体" w:hAnsi="宋体" w:cs="宋体" w:eastAsia="宋体" w:hint="default"/>
                            <w:sz w:val="18"/>
                            <w:szCs w:val="18"/>
                          </w:rPr>
                          <w:t>：</w:t>
                        </w:r>
                        <w:r>
                          <w:rPr>
                            <w:rFonts w:ascii="Times New Roman" w:hAnsi="Times New Roman" w:cs="Times New Roman" w:eastAsia="Times New Roman" w:hint="default"/>
                            <w:sz w:val="18"/>
                            <w:szCs w:val="18"/>
                          </w:rPr>
                          <w:t>RENN</w:t>
                        </w:r>
                      </w:p>
                    </w:tc>
                  </w:tr>
                  <w:tr>
                    <w:trPr>
                      <w:trHeight w:val="407"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畅游</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一家在美国上市的网络游戏公司（ </w:t>
                        </w:r>
                        <w:r>
                          <w:rPr>
                            <w:rFonts w:ascii="Times New Roman" w:hAnsi="Times New Roman" w:cs="Times New Roman" w:eastAsia="Times New Roman" w:hint="default"/>
                            <w:sz w:val="18"/>
                            <w:szCs w:val="18"/>
                          </w:rPr>
                          <w:t>NASDAQ</w:t>
                        </w:r>
                        <w:r>
                          <w:rPr>
                            <w:rFonts w:ascii="宋体" w:hAnsi="宋体" w:cs="宋体" w:eastAsia="宋体" w:hint="default"/>
                            <w:sz w:val="18"/>
                            <w:szCs w:val="18"/>
                          </w:rPr>
                          <w:t>：</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CYOU</w:t>
                        </w:r>
                        <w:r>
                          <w:rPr>
                            <w:rFonts w:ascii="宋体" w:hAnsi="宋体" w:cs="宋体" w:eastAsia="宋体" w:hint="default"/>
                            <w:sz w:val="18"/>
                            <w:szCs w:val="18"/>
                          </w:rPr>
                          <w:t>）</w:t>
                        </w:r>
                      </w:p>
                    </w:tc>
                  </w:tr>
                  <w:tr>
                    <w:trPr>
                      <w:trHeight w:val="407"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闲徕互娱</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北京闲徕互娱网络科技有限公司</w:t>
                        </w:r>
                      </w:p>
                    </w:tc>
                  </w:tr>
                  <w:tr>
                    <w:trPr>
                      <w:trHeight w:val="407"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汇量科技</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广州汇量网络科技股份有限公司</w:t>
                        </w:r>
                      </w:p>
                    </w:tc>
                  </w:tr>
                  <w:tr>
                    <w:trPr>
                      <w:trHeight w:val="719"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有米科技</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2"/>
                          <w:ind w:left="20" w:right="10"/>
                          <w:jc w:val="left"/>
                          <w:rPr>
                            <w:rFonts w:ascii="宋体" w:hAnsi="宋体" w:cs="宋体" w:eastAsia="宋体" w:hint="default"/>
                            <w:sz w:val="18"/>
                            <w:szCs w:val="18"/>
                          </w:rPr>
                        </w:pPr>
                        <w:r>
                          <w:rPr>
                            <w:rFonts w:ascii="宋体" w:hAnsi="宋体" w:cs="宋体" w:eastAsia="宋体" w:hint="default"/>
                            <w:spacing w:val="-2"/>
                            <w:sz w:val="18"/>
                            <w:szCs w:val="18"/>
                          </w:rPr>
                          <w:t>有米科技股份有限公司，原名广州优蜜信息科技有限公司、广州优蜜</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移动科技股份有限公司</w:t>
                        </w:r>
                      </w:p>
                    </w:tc>
                  </w:tr>
                  <w:tr>
                    <w:trPr>
                      <w:trHeight w:val="408"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辰海科译</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宁波梅山保税港区辰海科译创业投资合伙企业（有限合伙）</w:t>
                        </w:r>
                      </w:p>
                    </w:tc>
                  </w:tr>
                  <w:tr>
                    <w:trPr>
                      <w:trHeight w:val="407"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摩比神奇</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摩比神奇（北京）信息技术有限公司</w:t>
                        </w:r>
                      </w:p>
                    </w:tc>
                  </w:tr>
                  <w:tr>
                    <w:trPr>
                      <w:trHeight w:val="407"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深圳富海</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深圳富海创新创业投资基金企业（有限合伙）</w:t>
                        </w:r>
                      </w:p>
                    </w:tc>
                  </w:tr>
                  <w:tr>
                    <w:trPr>
                      <w:trHeight w:val="407"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珠海富海</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珠海富海华金创业投资基金（有限合伙）</w:t>
                        </w:r>
                      </w:p>
                    </w:tc>
                  </w:tr>
                  <w:tr>
                    <w:trPr>
                      <w:trHeight w:val="407"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蜜莱坞</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北京蜜莱坞网络科技有限公司</w:t>
                        </w:r>
                      </w:p>
                    </w:tc>
                  </w:tr>
                  <w:tr>
                    <w:trPr>
                      <w:trHeight w:val="407"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嬴瑄投资</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杭州嬴瑄大马股权投资基金合伙企业（有限合伙）</w:t>
                        </w:r>
                      </w:p>
                    </w:tc>
                  </w:tr>
                  <w:tr>
                    <w:trPr>
                      <w:trHeight w:val="408"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好亮投资</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西藏好亮创业投资中心（有限合伙）</w:t>
                        </w:r>
                      </w:p>
                    </w:tc>
                  </w:tr>
                  <w:tr>
                    <w:trPr>
                      <w:trHeight w:val="407"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光信投资</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天津光信股权投资基金合伙企业（有限合伙）</w:t>
                        </w:r>
                      </w:p>
                    </w:tc>
                  </w:tr>
                  <w:tr>
                    <w:trPr>
                      <w:trHeight w:val="407"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置瀚投资</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置瀚（上海）投资中心（有限合伙）</w:t>
                        </w:r>
                      </w:p>
                    </w:tc>
                  </w:tr>
                  <w:tr>
                    <w:trPr>
                      <w:trHeight w:val="407"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天域投资</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共青城天域投资管理合伙企业（有限合伙）</w:t>
                        </w:r>
                      </w:p>
                    </w:tc>
                  </w:tr>
                  <w:tr>
                    <w:trPr>
                      <w:trHeight w:val="407"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在线途游</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3"/>
                          <w:ind w:left="20" w:right="0"/>
                          <w:jc w:val="left"/>
                          <w:rPr>
                            <w:rFonts w:ascii="宋体" w:hAnsi="宋体" w:cs="宋体" w:eastAsia="宋体" w:hint="default"/>
                            <w:sz w:val="18"/>
                            <w:szCs w:val="18"/>
                          </w:rPr>
                        </w:pPr>
                        <w:r>
                          <w:rPr>
                            <w:rFonts w:ascii="宋体" w:hAnsi="宋体" w:cs="宋体" w:eastAsia="宋体" w:hint="default"/>
                            <w:sz w:val="18"/>
                            <w:szCs w:val="18"/>
                          </w:rPr>
                          <w:t>在线途游（北京）科技有限公司</w:t>
                        </w:r>
                      </w:p>
                    </w:tc>
                  </w:tr>
                  <w:tr>
                    <w:trPr>
                      <w:trHeight w:val="407"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上礼元投资</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分宜上礼元投资合伙企业（有限合伙）</w:t>
                        </w:r>
                      </w:p>
                    </w:tc>
                  </w:tr>
                  <w:tr>
                    <w:trPr>
                      <w:trHeight w:val="408"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源臻投资</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宁波源臻创业投资合伙企业（有限合伙）</w:t>
                        </w:r>
                      </w:p>
                    </w:tc>
                  </w:tr>
                  <w:tr>
                    <w:trPr>
                      <w:trHeight w:val="407" w:hRule="exact"/>
                    </w:trPr>
                    <w:tc>
                      <w:tcPr>
                        <w:tcW w:w="35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1"/>
                          <w:ind w:left="14" w:right="0"/>
                          <w:jc w:val="left"/>
                          <w:rPr>
                            <w:rFonts w:ascii="Times New Roman" w:hAnsi="Times New Roman" w:cs="Times New Roman" w:eastAsia="Times New Roman" w:hint="default"/>
                            <w:sz w:val="18"/>
                            <w:szCs w:val="18"/>
                          </w:rPr>
                        </w:pPr>
                        <w:r>
                          <w:rPr>
                            <w:rFonts w:ascii="Times New Roman"/>
                            <w:sz w:val="18"/>
                          </w:rPr>
                          <w:t>FH</w:t>
                        </w:r>
                      </w:p>
                    </w:tc>
                    <w:tc>
                      <w:tcPr>
                        <w:tcW w:w="62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Future Holding </w:t>
                        </w:r>
                        <w:r>
                          <w:rPr>
                            <w:rFonts w:ascii="Times New Roman"/>
                            <w:spacing w:val="-6"/>
                            <w:sz w:val="18"/>
                          </w:rPr>
                          <w:t>L.P.</w:t>
                        </w:r>
                      </w:p>
                    </w:tc>
                  </w:tr>
                  <w:tr>
                    <w:trPr>
                      <w:trHeight w:val="415" w:hRule="exact"/>
                    </w:trPr>
                    <w:tc>
                      <w:tcPr>
                        <w:tcW w:w="352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1"/>
                          <w:ind w:left="14" w:right="0"/>
                          <w:jc w:val="left"/>
                          <w:rPr>
                            <w:rFonts w:ascii="Times New Roman" w:hAnsi="Times New Roman" w:cs="Times New Roman" w:eastAsia="Times New Roman" w:hint="default"/>
                            <w:sz w:val="18"/>
                            <w:szCs w:val="18"/>
                          </w:rPr>
                        </w:pPr>
                        <w:r>
                          <w:rPr>
                            <w:rFonts w:ascii="Times New Roman"/>
                            <w:sz w:val="18"/>
                          </w:rPr>
                          <w:t>KFH</w:t>
                        </w:r>
                      </w:p>
                    </w:tc>
                    <w:tc>
                      <w:tcPr>
                        <w:tcW w:w="622"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Keeneyes Future Holding</w:t>
                        </w:r>
                        <w:r>
                          <w:rPr>
                            <w:rFonts w:ascii="Times New Roman"/>
                            <w:spacing w:val="-5"/>
                            <w:sz w:val="18"/>
                          </w:rPr>
                          <w:t> </w:t>
                        </w:r>
                        <w:r>
                          <w:rPr>
                            <w:rFonts w:ascii="Times New Roman"/>
                            <w:sz w:val="18"/>
                          </w:rPr>
                          <w:t>Inc</w:t>
                        </w: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624" w:right="998"/>
        <w:jc w:val="left"/>
        <w:rPr>
          <w:b w:val="0"/>
          <w:bCs w:val="0"/>
        </w:rPr>
      </w:pPr>
      <w:bookmarkStart w:name="_TOC_250010" w:id="3"/>
      <w:bookmarkStart w:name="第二节 公司简介和主要财务指标" w:id="4"/>
      <w:r>
        <w:rPr>
          <w:b w:val="0"/>
          <w:bCs w:val="0"/>
        </w:rPr>
      </w:r>
      <w:r>
        <w:rPr/>
        <w:t>第二节</w:t>
      </w:r>
      <w:r>
        <w:rPr>
          <w:spacing w:val="-11"/>
        </w:rPr>
        <w:t> </w:t>
      </w:r>
      <w:r>
        <w:rPr/>
        <w:t>公司简介和主要财务指标</w:t>
      </w:r>
      <w:bookmarkEnd w:id="3"/>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4"/>
        <w:spacing w:line="240" w:lineRule="auto" w:before="26"/>
        <w:ind w:right="998"/>
        <w:jc w:val="left"/>
        <w:rPr>
          <w:b w:val="0"/>
          <w:bCs w:val="0"/>
        </w:rPr>
      </w:pPr>
      <w:r>
        <w:rPr/>
        <w:pict>
          <v:group style="position:absolute;margin-left:172.940002pt;margin-top:116.175598pt;width:362.6pt;height:20.7pt;mso-position-horizontal-relative:page;mso-position-vertical-relative:paragraph;z-index:-1136848" coordorigin="3459,2324" coordsize="7252,414">
            <v:group style="position:absolute;left:3470;top:2334;width:2;height:393" coordorigin="3470,2334" coordsize="2,393">
              <v:shape style="position:absolute;left:3470;top:2334;width:2;height:393" coordorigin="3470,2334" coordsize="0,393" path="m3470,2334l3470,2727e" filled="false" stroked="true" strokeweight="1.08pt" strokecolor="#ffffff">
                <v:path arrowok="t"/>
              </v:shape>
            </v:group>
            <v:group style="position:absolute;left:3480;top:2334;width:7230;height:393" coordorigin="3480,2334" coordsize="7230,393">
              <v:shape style="position:absolute;left:3480;top:2334;width:7230;height:393" coordorigin="3480,2334" coordsize="7230,393" path="m3480,2727l10710,2727,10710,2334,3480,2334,3480,2727xe" filled="true" fillcolor="#ffffff" stroked="false">
                <v:path arrowok="t"/>
                <v:fill type="solid"/>
              </v:shape>
            </v:group>
            <w10:wrap type="none"/>
          </v:group>
        </w:pict>
      </w:r>
      <w:bookmarkStart w:name="一、公司信息" w:id="5"/>
      <w:bookmarkEnd w:id="5"/>
      <w:r>
        <w:rPr>
          <w:b w:val="0"/>
          <w:bCs w:val="0"/>
        </w:rPr>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159" w:type="dxa"/>
        <w:tblLayout w:type="fixed"/>
        <w:tblCellMar>
          <w:top w:w="0" w:type="dxa"/>
          <w:left w:w="0" w:type="dxa"/>
          <w:bottom w:w="0" w:type="dxa"/>
          <w:right w:w="0" w:type="dxa"/>
        </w:tblCellMar>
        <w:tblLook w:val="01E0"/>
      </w:tblPr>
      <w:tblGrid>
        <w:gridCol w:w="2279"/>
        <w:gridCol w:w="2964"/>
        <w:gridCol w:w="2135"/>
        <w:gridCol w:w="2186"/>
      </w:tblGrid>
      <w:tr>
        <w:trPr>
          <w:trHeight w:val="415" w:hRule="exact"/>
        </w:trPr>
        <w:tc>
          <w:tcPr>
            <w:tcW w:w="2279"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7"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64" w:type="dxa"/>
            <w:tcBorders>
              <w:top w:val="single" w:sz="12" w:space="0" w:color="000000"/>
              <w:left w:val="single" w:sz="6" w:space="0" w:color="000000"/>
              <w:bottom w:val="single" w:sz="6" w:space="0" w:color="000000"/>
              <w:right w:val="single" w:sz="9" w:space="0" w:color="D2D2D2"/>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昆仑万维</w:t>
            </w:r>
          </w:p>
        </w:tc>
        <w:tc>
          <w:tcPr>
            <w:tcW w:w="213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86" w:type="dxa"/>
            <w:tcBorders>
              <w:top w:val="single" w:sz="12" w:space="0" w:color="000000"/>
              <w:left w:val="single" w:sz="14" w:space="0" w:color="D2D2D2"/>
              <w:bottom w:val="single" w:sz="6" w:space="0" w:color="000000"/>
              <w:right w:val="single" w:sz="12" w:space="0" w:color="000000"/>
            </w:tcBorders>
          </w:tcPr>
          <w:p>
            <w:pPr>
              <w:pStyle w:val="TableParagraph"/>
              <w:spacing w:line="240" w:lineRule="auto" w:before="91"/>
              <w:ind w:left="21" w:right="0"/>
              <w:jc w:val="left"/>
              <w:rPr>
                <w:rFonts w:ascii="Times New Roman" w:hAnsi="Times New Roman" w:cs="Times New Roman" w:eastAsia="Times New Roman" w:hint="default"/>
                <w:sz w:val="18"/>
                <w:szCs w:val="18"/>
              </w:rPr>
            </w:pPr>
            <w:r>
              <w:rPr>
                <w:rFonts w:ascii="Times New Roman"/>
                <w:sz w:val="18"/>
              </w:rPr>
              <w:t>300418</w:t>
            </w:r>
          </w:p>
        </w:tc>
      </w:tr>
      <w:tr>
        <w:trPr>
          <w:trHeight w:val="407" w:hRule="exact"/>
        </w:trPr>
        <w:tc>
          <w:tcPr>
            <w:tcW w:w="227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7"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85"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北京昆仑万维科技股份有限公司</w:t>
            </w:r>
          </w:p>
        </w:tc>
      </w:tr>
      <w:tr>
        <w:trPr>
          <w:trHeight w:val="407" w:hRule="exact"/>
        </w:trPr>
        <w:tc>
          <w:tcPr>
            <w:tcW w:w="227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7"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85"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北京昆仑万维科技股份有限公司</w:t>
            </w:r>
          </w:p>
        </w:tc>
      </w:tr>
      <w:tr>
        <w:trPr>
          <w:trHeight w:val="407" w:hRule="exact"/>
        </w:trPr>
        <w:tc>
          <w:tcPr>
            <w:tcW w:w="227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7"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85"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昆仑万维</w:t>
            </w:r>
          </w:p>
        </w:tc>
      </w:tr>
      <w:tr>
        <w:trPr>
          <w:trHeight w:val="408" w:hRule="exact"/>
        </w:trPr>
        <w:tc>
          <w:tcPr>
            <w:tcW w:w="227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7" w:right="-35"/>
              <w:jc w:val="left"/>
              <w:rPr>
                <w:rFonts w:ascii="宋体" w:hAnsi="宋体" w:cs="宋体" w:eastAsia="宋体" w:hint="default"/>
                <w:sz w:val="18"/>
                <w:szCs w:val="18"/>
              </w:rPr>
            </w:pPr>
            <w:r>
              <w:rPr>
                <w:rFonts w:ascii="宋体" w:hAnsi="宋体" w:cs="宋体" w:eastAsia="宋体" w:hint="default"/>
                <w:spacing w:val="-5"/>
                <w:sz w:val="18"/>
                <w:szCs w:val="18"/>
              </w:rPr>
              <w:t>公司的外文名称缩写（如有）</w:t>
            </w:r>
            <w:r>
              <w:rPr>
                <w:rFonts w:ascii="宋体" w:hAnsi="宋体" w:cs="宋体" w:eastAsia="宋体" w:hint="default"/>
                <w:sz w:val="18"/>
                <w:szCs w:val="18"/>
              </w:rPr>
            </w:r>
          </w:p>
        </w:tc>
        <w:tc>
          <w:tcPr>
            <w:tcW w:w="7285"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Beijing Kunlun </w:t>
            </w:r>
            <w:r>
              <w:rPr>
                <w:rFonts w:ascii="Times New Roman"/>
                <w:spacing w:val="-4"/>
                <w:sz w:val="18"/>
              </w:rPr>
              <w:t>Tech </w:t>
            </w:r>
            <w:r>
              <w:rPr>
                <w:rFonts w:ascii="Times New Roman"/>
                <w:sz w:val="18"/>
              </w:rPr>
              <w:t>Co.,</w:t>
            </w:r>
            <w:r>
              <w:rPr>
                <w:rFonts w:ascii="Times New Roman"/>
                <w:spacing w:val="-4"/>
                <w:sz w:val="18"/>
              </w:rPr>
              <w:t> </w:t>
            </w:r>
            <w:r>
              <w:rPr>
                <w:rFonts w:ascii="Times New Roman"/>
                <w:sz w:val="18"/>
              </w:rPr>
              <w:t>Ltd.</w:t>
            </w:r>
          </w:p>
        </w:tc>
      </w:tr>
      <w:tr>
        <w:trPr>
          <w:trHeight w:val="407" w:hRule="exact"/>
        </w:trPr>
        <w:tc>
          <w:tcPr>
            <w:tcW w:w="227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7"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85"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周亚辉</w:t>
            </w:r>
          </w:p>
        </w:tc>
      </w:tr>
      <w:tr>
        <w:trPr>
          <w:trHeight w:val="407" w:hRule="exact"/>
        </w:trPr>
        <w:tc>
          <w:tcPr>
            <w:tcW w:w="227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7"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85"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北京市海淀区知春路</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号知春大厦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 </w:t>
            </w:r>
            <w:r>
              <w:rPr>
                <w:rFonts w:ascii="宋体" w:hAnsi="宋体" w:cs="宋体" w:eastAsia="宋体" w:hint="default"/>
                <w:sz w:val="18"/>
                <w:szCs w:val="18"/>
              </w:rPr>
              <w:t>座</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605E</w:t>
            </w:r>
          </w:p>
        </w:tc>
      </w:tr>
      <w:tr>
        <w:trPr>
          <w:trHeight w:val="407" w:hRule="exact"/>
        </w:trPr>
        <w:tc>
          <w:tcPr>
            <w:tcW w:w="227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7"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85"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100080</w:t>
            </w:r>
          </w:p>
        </w:tc>
      </w:tr>
      <w:tr>
        <w:trPr>
          <w:trHeight w:val="407" w:hRule="exact"/>
        </w:trPr>
        <w:tc>
          <w:tcPr>
            <w:tcW w:w="227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7"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85"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北京市东城区西总布胡同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46 </w:t>
            </w:r>
            <w:r>
              <w:rPr>
                <w:rFonts w:ascii="宋体" w:hAnsi="宋体" w:cs="宋体" w:eastAsia="宋体" w:hint="default"/>
                <w:sz w:val="18"/>
                <w:szCs w:val="18"/>
              </w:rPr>
              <w:t>号明阳国际中心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座</w:t>
            </w:r>
          </w:p>
        </w:tc>
      </w:tr>
      <w:tr>
        <w:trPr>
          <w:trHeight w:val="407" w:hRule="exact"/>
        </w:trPr>
        <w:tc>
          <w:tcPr>
            <w:tcW w:w="227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7"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85"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100005</w:t>
            </w:r>
          </w:p>
        </w:tc>
      </w:tr>
      <w:tr>
        <w:trPr>
          <w:trHeight w:val="408" w:hRule="exact"/>
        </w:trPr>
        <w:tc>
          <w:tcPr>
            <w:tcW w:w="227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7" w:right="0"/>
              <w:jc w:val="left"/>
              <w:rPr>
                <w:rFonts w:ascii="宋体" w:hAnsi="宋体" w:cs="宋体" w:eastAsia="宋体" w:hint="default"/>
                <w:sz w:val="18"/>
                <w:szCs w:val="18"/>
              </w:rPr>
            </w:pPr>
            <w:r>
              <w:rPr>
                <w:rFonts w:ascii="宋体" w:hAnsi="宋体" w:cs="宋体" w:eastAsia="宋体" w:hint="default"/>
                <w:sz w:val="18"/>
                <w:szCs w:val="18"/>
              </w:rPr>
              <w:t>公司国际互联网网址</w:t>
            </w:r>
          </w:p>
        </w:tc>
        <w:tc>
          <w:tcPr>
            <w:tcW w:w="7285"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hyperlink r:id="rId9">
              <w:r>
                <w:rPr>
                  <w:rFonts w:ascii="Times New Roman"/>
                  <w:sz w:val="18"/>
                </w:rPr>
                <w:t>www.kunlun.com</w:t>
              </w:r>
            </w:hyperlink>
          </w:p>
        </w:tc>
      </w:tr>
      <w:tr>
        <w:trPr>
          <w:trHeight w:val="415" w:hRule="exact"/>
        </w:trPr>
        <w:tc>
          <w:tcPr>
            <w:tcW w:w="2279"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1"/>
              <w:ind w:left="7"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85" w:type="dxa"/>
            <w:gridSpan w:val="3"/>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hyperlink r:id="rId10">
              <w:r>
                <w:rPr>
                  <w:rFonts w:ascii="Times New Roman"/>
                  <w:sz w:val="18"/>
                </w:rPr>
                <w:t>ir@kunlun-inc.com</w:t>
              </w:r>
            </w:hyperlink>
          </w:p>
        </w:tc>
      </w:tr>
    </w:tbl>
    <w:p>
      <w:pPr>
        <w:spacing w:line="240" w:lineRule="auto" w:before="2"/>
        <w:rPr>
          <w:rFonts w:ascii="宋体" w:hAnsi="宋体" w:cs="宋体" w:eastAsia="宋体" w:hint="default"/>
          <w:b/>
          <w:bCs/>
          <w:sz w:val="18"/>
          <w:szCs w:val="18"/>
        </w:rPr>
      </w:pPr>
    </w:p>
    <w:p>
      <w:pPr>
        <w:pStyle w:val="Heading4"/>
        <w:spacing w:line="240" w:lineRule="auto" w:before="26"/>
        <w:ind w:left="1134" w:right="998"/>
        <w:jc w:val="left"/>
        <w:rPr>
          <w:b w:val="0"/>
          <w:bCs w:val="0"/>
        </w:rPr>
      </w:pPr>
      <w:bookmarkStart w:name="二、联系人和联系方式" w:id="6"/>
      <w:bookmarkEnd w:id="6"/>
      <w:r>
        <w:rPr>
          <w:b w:val="0"/>
          <w:bCs w:val="0"/>
        </w:rPr>
      </w: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151" w:type="dxa"/>
        <w:tblLayout w:type="fixed"/>
        <w:tblCellMar>
          <w:top w:w="0" w:type="dxa"/>
          <w:left w:w="0" w:type="dxa"/>
          <w:bottom w:w="0" w:type="dxa"/>
          <w:right w:w="0" w:type="dxa"/>
        </w:tblCellMar>
        <w:tblLook w:val="01E0"/>
      </w:tblPr>
      <w:tblGrid>
        <w:gridCol w:w="3191"/>
        <w:gridCol w:w="3190"/>
        <w:gridCol w:w="3191"/>
      </w:tblGrid>
      <w:tr>
        <w:trPr>
          <w:trHeight w:val="413" w:hRule="exact"/>
        </w:trPr>
        <w:tc>
          <w:tcPr>
            <w:tcW w:w="3191" w:type="dxa"/>
            <w:tcBorders>
              <w:top w:val="single" w:sz="12" w:space="0" w:color="000000"/>
              <w:left w:val="single" w:sz="12" w:space="0" w:color="000000"/>
              <w:bottom w:val="single" w:sz="6" w:space="0" w:color="000000"/>
              <w:right w:val="single" w:sz="6" w:space="0" w:color="000000"/>
            </w:tcBorders>
            <w:shd w:val="clear" w:color="auto" w:fill="D2D2D2"/>
          </w:tcPr>
          <w:p>
            <w:pPr/>
          </w:p>
        </w:tc>
        <w:tc>
          <w:tcPr>
            <w:tcW w:w="319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1"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1049"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8" w:hRule="exact"/>
        </w:trPr>
        <w:tc>
          <w:tcPr>
            <w:tcW w:w="319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190"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52"/>
              <w:ind w:left="16" w:right="0"/>
              <w:jc w:val="left"/>
              <w:rPr>
                <w:rFonts w:ascii="宋体" w:hAnsi="宋体" w:cs="宋体" w:eastAsia="宋体" w:hint="default"/>
                <w:sz w:val="18"/>
                <w:szCs w:val="18"/>
              </w:rPr>
            </w:pPr>
            <w:r>
              <w:rPr>
                <w:rFonts w:ascii="宋体" w:hAnsi="宋体" w:cs="宋体" w:eastAsia="宋体" w:hint="default"/>
                <w:sz w:val="18"/>
                <w:szCs w:val="18"/>
              </w:rPr>
              <w:t>金天</w:t>
            </w:r>
          </w:p>
        </w:tc>
        <w:tc>
          <w:tcPr>
            <w:tcW w:w="31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钱肖凌</w:t>
            </w:r>
          </w:p>
        </w:tc>
      </w:tr>
      <w:tr>
        <w:trPr>
          <w:trHeight w:val="163" w:hRule="exact"/>
        </w:trPr>
        <w:tc>
          <w:tcPr>
            <w:tcW w:w="3191" w:type="dxa"/>
            <w:tcBorders>
              <w:top w:val="single" w:sz="6" w:space="0" w:color="000000"/>
              <w:left w:val="single" w:sz="12" w:space="0" w:color="000000"/>
              <w:bottom w:val="nil" w:sz="6" w:space="0" w:color="auto"/>
              <w:right w:val="single" w:sz="6" w:space="0" w:color="000000"/>
            </w:tcBorders>
            <w:shd w:val="clear" w:color="auto" w:fill="D2D2D2"/>
          </w:tcPr>
          <w:p>
            <w:pPr/>
          </w:p>
        </w:tc>
        <w:tc>
          <w:tcPr>
            <w:tcW w:w="3190" w:type="dxa"/>
            <w:vMerge w:val="restart"/>
            <w:tcBorders>
              <w:top w:val="single" w:sz="6" w:space="0" w:color="000000"/>
              <w:left w:val="single" w:sz="9" w:space="0" w:color="D2D2D2"/>
              <w:right w:val="single" w:sz="6" w:space="0" w:color="000000"/>
            </w:tcBorders>
          </w:tcPr>
          <w:p>
            <w:pPr>
              <w:pStyle w:val="TableParagraph"/>
              <w:spacing w:line="300" w:lineRule="auto" w:before="51"/>
              <w:ind w:left="16" w:right="18"/>
              <w:jc w:val="left"/>
              <w:rPr>
                <w:rFonts w:ascii="宋体" w:hAnsi="宋体" w:cs="宋体" w:eastAsia="宋体" w:hint="default"/>
                <w:sz w:val="18"/>
                <w:szCs w:val="18"/>
              </w:rPr>
            </w:pPr>
            <w:r>
              <w:rPr>
                <w:rFonts w:ascii="宋体" w:hAnsi="宋体" w:cs="宋体" w:eastAsia="宋体" w:hint="default"/>
                <w:sz w:val="18"/>
                <w:szCs w:val="18"/>
              </w:rPr>
              <w:t>北京市东城区西总布胡同</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46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号明阳国际 中心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座</w:t>
            </w:r>
          </w:p>
        </w:tc>
        <w:tc>
          <w:tcPr>
            <w:tcW w:w="3191" w:type="dxa"/>
            <w:vMerge w:val="restart"/>
            <w:tcBorders>
              <w:top w:val="single" w:sz="6" w:space="0" w:color="000000"/>
              <w:left w:val="single" w:sz="6" w:space="0" w:color="000000"/>
              <w:right w:val="single" w:sz="12" w:space="0" w:color="000000"/>
            </w:tcBorders>
          </w:tcPr>
          <w:p>
            <w:pPr>
              <w:pStyle w:val="TableParagraph"/>
              <w:spacing w:line="300" w:lineRule="auto" w:before="51"/>
              <w:ind w:left="21" w:right="11"/>
              <w:jc w:val="left"/>
              <w:rPr>
                <w:rFonts w:ascii="宋体" w:hAnsi="宋体" w:cs="宋体" w:eastAsia="宋体" w:hint="default"/>
                <w:sz w:val="18"/>
                <w:szCs w:val="18"/>
              </w:rPr>
            </w:pPr>
            <w:r>
              <w:rPr>
                <w:rFonts w:ascii="宋体" w:hAnsi="宋体" w:cs="宋体" w:eastAsia="宋体" w:hint="default"/>
                <w:sz w:val="18"/>
                <w:szCs w:val="18"/>
              </w:rPr>
              <w:t>北京市东城区西总布胡同</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46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号明阳国际 中心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座</w:t>
            </w:r>
          </w:p>
        </w:tc>
      </w:tr>
      <w:tr>
        <w:trPr>
          <w:trHeight w:val="392" w:hRule="exact"/>
        </w:trPr>
        <w:tc>
          <w:tcPr>
            <w:tcW w:w="3191"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190" w:type="dxa"/>
            <w:vMerge/>
            <w:tcBorders>
              <w:left w:val="single" w:sz="9" w:space="0" w:color="D2D2D2"/>
              <w:right w:val="single" w:sz="6" w:space="0" w:color="000000"/>
            </w:tcBorders>
          </w:tcPr>
          <w:p>
            <w:pPr/>
          </w:p>
        </w:tc>
        <w:tc>
          <w:tcPr>
            <w:tcW w:w="3191" w:type="dxa"/>
            <w:vMerge/>
            <w:tcBorders>
              <w:left w:val="single" w:sz="6" w:space="0" w:color="000000"/>
              <w:right w:val="single" w:sz="12" w:space="0" w:color="000000"/>
            </w:tcBorders>
          </w:tcPr>
          <w:p>
            <w:pPr/>
          </w:p>
        </w:tc>
      </w:tr>
      <w:tr>
        <w:trPr>
          <w:trHeight w:val="163" w:hRule="exact"/>
        </w:trPr>
        <w:tc>
          <w:tcPr>
            <w:tcW w:w="3191" w:type="dxa"/>
            <w:tcBorders>
              <w:top w:val="nil" w:sz="6" w:space="0" w:color="auto"/>
              <w:left w:val="single" w:sz="12" w:space="0" w:color="000000"/>
              <w:bottom w:val="single" w:sz="6" w:space="0" w:color="000000"/>
              <w:right w:val="single" w:sz="6" w:space="0" w:color="000000"/>
            </w:tcBorders>
            <w:shd w:val="clear" w:color="auto" w:fill="D2D2D2"/>
          </w:tcPr>
          <w:p>
            <w:pPr/>
          </w:p>
        </w:tc>
        <w:tc>
          <w:tcPr>
            <w:tcW w:w="3190" w:type="dxa"/>
            <w:vMerge/>
            <w:tcBorders>
              <w:left w:val="single" w:sz="9" w:space="0" w:color="D2D2D2"/>
              <w:bottom w:val="single" w:sz="6" w:space="0" w:color="000000"/>
              <w:right w:val="single" w:sz="6" w:space="0" w:color="000000"/>
            </w:tcBorders>
          </w:tcPr>
          <w:p>
            <w:pPr/>
          </w:p>
        </w:tc>
        <w:tc>
          <w:tcPr>
            <w:tcW w:w="3191" w:type="dxa"/>
            <w:vMerge/>
            <w:tcBorders>
              <w:left w:val="single" w:sz="6" w:space="0" w:color="000000"/>
              <w:bottom w:val="single" w:sz="6" w:space="0" w:color="000000"/>
              <w:right w:val="single" w:sz="12" w:space="0" w:color="000000"/>
            </w:tcBorders>
          </w:tcPr>
          <w:p>
            <w:pPr/>
          </w:p>
        </w:tc>
      </w:tr>
      <w:tr>
        <w:trPr>
          <w:trHeight w:val="407" w:hRule="exact"/>
        </w:trPr>
        <w:tc>
          <w:tcPr>
            <w:tcW w:w="319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190"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91"/>
              <w:ind w:left="16" w:right="0"/>
              <w:jc w:val="left"/>
              <w:rPr>
                <w:rFonts w:ascii="Times New Roman" w:hAnsi="Times New Roman" w:cs="Times New Roman" w:eastAsia="Times New Roman" w:hint="default"/>
                <w:sz w:val="18"/>
                <w:szCs w:val="18"/>
              </w:rPr>
            </w:pPr>
            <w:r>
              <w:rPr>
                <w:rFonts w:ascii="Times New Roman"/>
                <w:sz w:val="18"/>
              </w:rPr>
              <w:t>010-65210366</w:t>
            </w:r>
          </w:p>
        </w:tc>
        <w:tc>
          <w:tcPr>
            <w:tcW w:w="31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left="21" w:right="0"/>
              <w:jc w:val="left"/>
              <w:rPr>
                <w:rFonts w:ascii="Times New Roman" w:hAnsi="Times New Roman" w:cs="Times New Roman" w:eastAsia="Times New Roman" w:hint="default"/>
                <w:sz w:val="18"/>
                <w:szCs w:val="18"/>
              </w:rPr>
            </w:pPr>
            <w:r>
              <w:rPr>
                <w:rFonts w:ascii="Times New Roman"/>
                <w:sz w:val="18"/>
              </w:rPr>
              <w:t>010-65210366</w:t>
            </w:r>
          </w:p>
        </w:tc>
      </w:tr>
      <w:tr>
        <w:trPr>
          <w:trHeight w:val="407" w:hRule="exact"/>
        </w:trPr>
        <w:tc>
          <w:tcPr>
            <w:tcW w:w="319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190"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91"/>
              <w:ind w:left="16" w:right="0"/>
              <w:jc w:val="left"/>
              <w:rPr>
                <w:rFonts w:ascii="Times New Roman" w:hAnsi="Times New Roman" w:cs="Times New Roman" w:eastAsia="Times New Roman" w:hint="default"/>
                <w:sz w:val="18"/>
                <w:szCs w:val="18"/>
              </w:rPr>
            </w:pPr>
            <w:r>
              <w:rPr>
                <w:rFonts w:ascii="Times New Roman"/>
                <w:sz w:val="18"/>
              </w:rPr>
              <w:t>010-65210399</w:t>
            </w:r>
          </w:p>
        </w:tc>
        <w:tc>
          <w:tcPr>
            <w:tcW w:w="31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left="21" w:right="0"/>
              <w:jc w:val="left"/>
              <w:rPr>
                <w:rFonts w:ascii="Times New Roman" w:hAnsi="Times New Roman" w:cs="Times New Roman" w:eastAsia="Times New Roman" w:hint="default"/>
                <w:sz w:val="18"/>
                <w:szCs w:val="18"/>
              </w:rPr>
            </w:pPr>
            <w:r>
              <w:rPr>
                <w:rFonts w:ascii="Times New Roman"/>
                <w:sz w:val="18"/>
              </w:rPr>
              <w:t>010-65210399</w:t>
            </w:r>
          </w:p>
        </w:tc>
      </w:tr>
      <w:tr>
        <w:trPr>
          <w:trHeight w:val="415" w:hRule="exact"/>
        </w:trPr>
        <w:tc>
          <w:tcPr>
            <w:tcW w:w="3191"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190" w:type="dxa"/>
            <w:tcBorders>
              <w:top w:val="single" w:sz="6" w:space="0" w:color="000000"/>
              <w:left w:val="single" w:sz="9" w:space="0" w:color="D2D2D2"/>
              <w:bottom w:val="single" w:sz="12" w:space="0" w:color="000000"/>
              <w:right w:val="single" w:sz="6" w:space="0" w:color="000000"/>
            </w:tcBorders>
          </w:tcPr>
          <w:p>
            <w:pPr>
              <w:pStyle w:val="TableParagraph"/>
              <w:spacing w:line="240" w:lineRule="auto" w:before="92"/>
              <w:ind w:left="16" w:right="0"/>
              <w:jc w:val="left"/>
              <w:rPr>
                <w:rFonts w:ascii="Times New Roman" w:hAnsi="Times New Roman" w:cs="Times New Roman" w:eastAsia="Times New Roman" w:hint="default"/>
                <w:sz w:val="18"/>
                <w:szCs w:val="18"/>
              </w:rPr>
            </w:pPr>
            <w:hyperlink r:id="rId10">
              <w:r>
                <w:rPr>
                  <w:rFonts w:ascii="Times New Roman"/>
                  <w:sz w:val="18"/>
                </w:rPr>
                <w:t>ir@kunlun-inc.com</w:t>
              </w:r>
            </w:hyperlink>
          </w:p>
        </w:tc>
        <w:tc>
          <w:tcPr>
            <w:tcW w:w="319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2"/>
              <w:ind w:left="21" w:right="0"/>
              <w:jc w:val="left"/>
              <w:rPr>
                <w:rFonts w:ascii="Times New Roman" w:hAnsi="Times New Roman" w:cs="Times New Roman" w:eastAsia="Times New Roman" w:hint="default"/>
                <w:sz w:val="18"/>
                <w:szCs w:val="18"/>
              </w:rPr>
            </w:pPr>
            <w:hyperlink r:id="rId10">
              <w:r>
                <w:rPr>
                  <w:rFonts w:ascii="Times New Roman"/>
                  <w:sz w:val="18"/>
                </w:rPr>
                <w:t>ir@kunlun-inc.com</w:t>
              </w:r>
            </w:hyperlink>
          </w:p>
        </w:tc>
      </w:tr>
    </w:tbl>
    <w:p>
      <w:pPr>
        <w:spacing w:line="240" w:lineRule="auto" w:before="2"/>
        <w:rPr>
          <w:rFonts w:ascii="宋体" w:hAnsi="宋体" w:cs="宋体" w:eastAsia="宋体" w:hint="default"/>
          <w:b/>
          <w:bCs/>
          <w:sz w:val="18"/>
          <w:szCs w:val="18"/>
        </w:rPr>
      </w:pPr>
    </w:p>
    <w:p>
      <w:pPr>
        <w:pStyle w:val="Heading4"/>
        <w:spacing w:line="240" w:lineRule="auto" w:before="26"/>
        <w:ind w:left="1134" w:right="998"/>
        <w:jc w:val="left"/>
        <w:rPr>
          <w:b w:val="0"/>
          <w:bCs w:val="0"/>
        </w:rPr>
      </w:pPr>
      <w:bookmarkStart w:name="三、信息披露及备置地点" w:id="7"/>
      <w:bookmarkEnd w:id="7"/>
      <w:r>
        <w:rPr>
          <w:b w:val="0"/>
          <w:bCs w:val="0"/>
        </w:rPr>
      </w: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159" w:type="dxa"/>
        <w:tblLayout w:type="fixed"/>
        <w:tblCellMar>
          <w:top w:w="0" w:type="dxa"/>
          <w:left w:w="0" w:type="dxa"/>
          <w:bottom w:w="0" w:type="dxa"/>
          <w:right w:w="0" w:type="dxa"/>
        </w:tblCellMar>
        <w:tblLook w:val="01E0"/>
      </w:tblPr>
      <w:tblGrid>
        <w:gridCol w:w="3976"/>
        <w:gridCol w:w="5587"/>
      </w:tblGrid>
      <w:tr>
        <w:trPr>
          <w:trHeight w:val="415" w:hRule="exact"/>
        </w:trPr>
        <w:tc>
          <w:tcPr>
            <w:tcW w:w="3976"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87" w:type="dxa"/>
            <w:tcBorders>
              <w:top w:val="single" w:sz="12" w:space="0" w:color="000000"/>
              <w:left w:val="single" w:sz="14" w:space="0" w:color="D2D2D2"/>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证券时报、中国证券报、上海证券报、证券日报</w:t>
            </w:r>
          </w:p>
        </w:tc>
      </w:tr>
      <w:tr>
        <w:trPr>
          <w:trHeight w:val="407" w:hRule="exact"/>
        </w:trPr>
        <w:tc>
          <w:tcPr>
            <w:tcW w:w="39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87"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hyperlink r:id="rId11">
              <w:r>
                <w:rPr>
                  <w:rFonts w:ascii="Times New Roman"/>
                  <w:sz w:val="18"/>
                </w:rPr>
                <w:t>http://www.cninfo.com.cn</w:t>
              </w:r>
            </w:hyperlink>
          </w:p>
        </w:tc>
      </w:tr>
      <w:tr>
        <w:trPr>
          <w:trHeight w:val="414" w:hRule="exact"/>
        </w:trPr>
        <w:tc>
          <w:tcPr>
            <w:tcW w:w="3976"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87" w:type="dxa"/>
            <w:tcBorders>
              <w:top w:val="single" w:sz="6" w:space="0" w:color="000000"/>
              <w:left w:val="single" w:sz="14" w:space="0" w:color="D2D2D2"/>
              <w:bottom w:val="single" w:sz="12"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北京市东城区西总布胡同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46 </w:t>
            </w:r>
            <w:r>
              <w:rPr>
                <w:rFonts w:ascii="宋体" w:hAnsi="宋体" w:cs="宋体" w:eastAsia="宋体" w:hint="default"/>
                <w:sz w:val="18"/>
                <w:szCs w:val="18"/>
              </w:rPr>
              <w:t>号明阳国际中心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座</w:t>
            </w:r>
          </w:p>
        </w:tc>
      </w:tr>
    </w:tbl>
    <w:p>
      <w:pPr>
        <w:spacing w:after="0" w:line="240" w:lineRule="auto"/>
        <w:jc w:val="left"/>
        <w:rPr>
          <w:rFonts w:ascii="宋体" w:hAnsi="宋体" w:cs="宋体" w:eastAsia="宋体" w:hint="default"/>
          <w:sz w:val="18"/>
          <w:szCs w:val="18"/>
        </w:rPr>
        <w:sectPr>
          <w:pgSz w:w="11910" w:h="16840"/>
          <w:pgMar w:header="747" w:footer="979" w:top="1060" w:bottom="1160" w:left="0" w:right="0"/>
        </w:sectPr>
      </w:pPr>
    </w:p>
    <w:p>
      <w:pPr>
        <w:spacing w:line="240" w:lineRule="auto" w:before="9"/>
        <w:rPr>
          <w:rFonts w:ascii="宋体" w:hAnsi="宋体" w:cs="宋体" w:eastAsia="宋体" w:hint="default"/>
          <w:b/>
          <w:bCs/>
          <w:sz w:val="23"/>
          <w:szCs w:val="23"/>
        </w:rPr>
      </w:pPr>
    </w:p>
    <w:p>
      <w:pPr>
        <w:pStyle w:val="Heading4"/>
        <w:spacing w:line="240" w:lineRule="auto" w:before="26"/>
        <w:ind w:right="998"/>
        <w:jc w:val="left"/>
        <w:rPr>
          <w:b w:val="0"/>
          <w:bCs w:val="0"/>
        </w:rPr>
      </w:pPr>
      <w:bookmarkStart w:name="四、其他有关资料" w:id="8"/>
      <w:bookmarkEnd w:id="8"/>
      <w:r>
        <w:rPr>
          <w:b w:val="0"/>
          <w:bCs w:val="0"/>
        </w:rPr>
      </w:r>
      <w:r>
        <w:rPr/>
        <w:t>四、其他有关资料</w:t>
      </w:r>
      <w:r>
        <w:rPr>
          <w:b w:val="0"/>
          <w:bCs w:val="0"/>
        </w:rPr>
      </w:r>
    </w:p>
    <w:p>
      <w:pPr>
        <w:spacing w:line="240" w:lineRule="auto" w:before="7"/>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公司聘请的会计师事务所</w:t>
      </w:r>
    </w:p>
    <w:p>
      <w:pPr>
        <w:spacing w:line="240" w:lineRule="auto" w:before="13"/>
        <w:rPr>
          <w:rFonts w:ascii="宋体" w:hAnsi="宋体" w:cs="宋体" w:eastAsia="宋体" w:hint="default"/>
          <w:sz w:val="7"/>
          <w:szCs w:val="7"/>
        </w:rPr>
      </w:pPr>
    </w:p>
    <w:tbl>
      <w:tblPr>
        <w:tblW w:w="0" w:type="auto"/>
        <w:jc w:val="left"/>
        <w:tblInd w:w="1159" w:type="dxa"/>
        <w:tblLayout w:type="fixed"/>
        <w:tblCellMar>
          <w:top w:w="0" w:type="dxa"/>
          <w:left w:w="0" w:type="dxa"/>
          <w:bottom w:w="0" w:type="dxa"/>
          <w:right w:w="0" w:type="dxa"/>
        </w:tblCellMar>
        <w:tblLook w:val="01E0"/>
      </w:tblPr>
      <w:tblGrid>
        <w:gridCol w:w="2657"/>
        <w:gridCol w:w="6906"/>
      </w:tblGrid>
      <w:tr>
        <w:trPr>
          <w:trHeight w:val="415" w:hRule="exact"/>
        </w:trPr>
        <w:tc>
          <w:tcPr>
            <w:tcW w:w="2657"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6"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7" w:hRule="exact"/>
        </w:trPr>
        <w:tc>
          <w:tcPr>
            <w:tcW w:w="2657"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北京市海淀区西四环中路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号院七号楼十层</w:t>
            </w:r>
          </w:p>
        </w:tc>
      </w:tr>
      <w:tr>
        <w:trPr>
          <w:trHeight w:val="415" w:hRule="exact"/>
        </w:trPr>
        <w:tc>
          <w:tcPr>
            <w:tcW w:w="2657"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强桂英、孙继伟</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公司聘请的报告期内履行持续督导职责的保荐机构</w:t>
      </w:r>
    </w:p>
    <w:p>
      <w:pPr>
        <w:spacing w:before="117"/>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153" w:type="dxa"/>
        <w:tblLayout w:type="fixed"/>
        <w:tblCellMar>
          <w:top w:w="0" w:type="dxa"/>
          <w:left w:w="0" w:type="dxa"/>
          <w:bottom w:w="0" w:type="dxa"/>
          <w:right w:w="0" w:type="dxa"/>
        </w:tblCellMar>
        <w:tblLook w:val="01E0"/>
      </w:tblPr>
      <w:tblGrid>
        <w:gridCol w:w="2394"/>
        <w:gridCol w:w="2392"/>
        <w:gridCol w:w="2392"/>
        <w:gridCol w:w="2392"/>
      </w:tblGrid>
      <w:tr>
        <w:trPr>
          <w:trHeight w:val="415" w:hRule="exact"/>
        </w:trPr>
        <w:tc>
          <w:tcPr>
            <w:tcW w:w="2394"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41" w:right="0"/>
              <w:jc w:val="left"/>
              <w:rPr>
                <w:rFonts w:ascii="宋体" w:hAnsi="宋体" w:cs="宋体" w:eastAsia="宋体" w:hint="default"/>
                <w:sz w:val="18"/>
                <w:szCs w:val="18"/>
              </w:rPr>
            </w:pPr>
            <w:r>
              <w:rPr>
                <w:rFonts w:ascii="宋体" w:hAnsi="宋体" w:cs="宋体" w:eastAsia="宋体" w:hint="default"/>
                <w:sz w:val="18"/>
                <w:szCs w:val="18"/>
              </w:rPr>
              <w:t>保荐机构名称</w:t>
            </w:r>
          </w:p>
        </w:tc>
        <w:tc>
          <w:tcPr>
            <w:tcW w:w="239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467" w:right="0"/>
              <w:jc w:val="left"/>
              <w:rPr>
                <w:rFonts w:ascii="宋体" w:hAnsi="宋体" w:cs="宋体" w:eastAsia="宋体" w:hint="default"/>
                <w:sz w:val="18"/>
                <w:szCs w:val="18"/>
              </w:rPr>
            </w:pPr>
            <w:r>
              <w:rPr>
                <w:rFonts w:ascii="宋体" w:hAnsi="宋体" w:cs="宋体" w:eastAsia="宋体" w:hint="default"/>
                <w:sz w:val="18"/>
                <w:szCs w:val="18"/>
              </w:rPr>
              <w:t>保荐机构办公地址</w:t>
            </w:r>
          </w:p>
        </w:tc>
        <w:tc>
          <w:tcPr>
            <w:tcW w:w="239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557" w:right="0"/>
              <w:jc w:val="left"/>
              <w:rPr>
                <w:rFonts w:ascii="宋体" w:hAnsi="宋体" w:cs="宋体" w:eastAsia="宋体" w:hint="default"/>
                <w:sz w:val="18"/>
                <w:szCs w:val="18"/>
              </w:rPr>
            </w:pPr>
            <w:r>
              <w:rPr>
                <w:rFonts w:ascii="宋体" w:hAnsi="宋体" w:cs="宋体" w:eastAsia="宋体" w:hint="default"/>
                <w:sz w:val="18"/>
                <w:szCs w:val="18"/>
              </w:rPr>
              <w:t>保荐代表人姓名</w:t>
            </w:r>
          </w:p>
        </w:tc>
        <w:tc>
          <w:tcPr>
            <w:tcW w:w="2392"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649"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727" w:hRule="exact"/>
        </w:trPr>
        <w:tc>
          <w:tcPr>
            <w:tcW w:w="239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中国国际金融股份有限公司</w:t>
            </w:r>
          </w:p>
        </w:tc>
        <w:tc>
          <w:tcPr>
            <w:tcW w:w="23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2"/>
              <w:ind w:left="2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北京市朝阳区建国门外大街</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p>
            <w:pPr>
              <w:pStyle w:val="TableParagraph"/>
              <w:spacing w:line="240" w:lineRule="auto" w:before="63"/>
              <w:ind w:left="20" w:right="0"/>
              <w:jc w:val="left"/>
              <w:rPr>
                <w:rFonts w:ascii="宋体" w:hAnsi="宋体" w:cs="宋体" w:eastAsia="宋体" w:hint="default"/>
                <w:sz w:val="18"/>
                <w:szCs w:val="18"/>
              </w:rPr>
            </w:pPr>
            <w:r>
              <w:rPr>
                <w:rFonts w:ascii="宋体" w:hAnsi="宋体" w:cs="宋体" w:eastAsia="宋体" w:hint="default"/>
                <w:sz w:val="18"/>
                <w:szCs w:val="18"/>
              </w:rPr>
              <w:t>号国贸大厦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座</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c>
          <w:tcPr>
            <w:tcW w:w="23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刘丹、章志皓</w:t>
            </w:r>
          </w:p>
        </w:tc>
        <w:tc>
          <w:tcPr>
            <w:tcW w:w="239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报告期内</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公司聘请的报告期内履行持续督导职责的财务顾问</w:t>
      </w:r>
    </w:p>
    <w:p>
      <w:pPr>
        <w:spacing w:before="117"/>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4"/>
        <w:spacing w:line="240" w:lineRule="auto"/>
        <w:ind w:right="998"/>
        <w:jc w:val="left"/>
        <w:rPr>
          <w:b w:val="0"/>
          <w:bCs w:val="0"/>
        </w:rPr>
      </w:pPr>
      <w:bookmarkStart w:name="五、主要会计数据和财务指标" w:id="9"/>
      <w:bookmarkEnd w:id="9"/>
      <w:r>
        <w:rPr>
          <w:b w:val="0"/>
          <w:bCs w:val="0"/>
        </w:rPr>
      </w:r>
      <w:r>
        <w:rPr/>
        <w:t>五、主要会计数据和财务指标</w:t>
      </w:r>
      <w:r>
        <w:rPr>
          <w:b w:val="0"/>
          <w:bCs w:val="0"/>
        </w:rPr>
      </w:r>
    </w:p>
    <w:p>
      <w:pPr>
        <w:spacing w:line="240" w:lineRule="auto" w:before="9"/>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公司是否需追溯调整或重述以前年度会计数据</w:t>
      </w:r>
    </w:p>
    <w:p>
      <w:pPr>
        <w:spacing w:before="116"/>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7"/>
          <w:szCs w:val="7"/>
        </w:rPr>
      </w:pPr>
    </w:p>
    <w:tbl>
      <w:tblPr>
        <w:tblW w:w="0" w:type="auto"/>
        <w:jc w:val="left"/>
        <w:tblInd w:w="1159" w:type="dxa"/>
        <w:tblLayout w:type="fixed"/>
        <w:tblCellMar>
          <w:top w:w="0" w:type="dxa"/>
          <w:left w:w="0" w:type="dxa"/>
          <w:bottom w:w="0" w:type="dxa"/>
          <w:right w:w="0" w:type="dxa"/>
        </w:tblCellMar>
        <w:tblLook w:val="01E0"/>
      </w:tblPr>
      <w:tblGrid>
        <w:gridCol w:w="2605"/>
        <w:gridCol w:w="1749"/>
        <w:gridCol w:w="1736"/>
        <w:gridCol w:w="1738"/>
        <w:gridCol w:w="1736"/>
      </w:tblGrid>
      <w:tr>
        <w:trPr>
          <w:trHeight w:val="413" w:hRule="exact"/>
        </w:trPr>
        <w:tc>
          <w:tcPr>
            <w:tcW w:w="2605" w:type="dxa"/>
            <w:tcBorders>
              <w:top w:val="single" w:sz="12" w:space="0" w:color="000000"/>
              <w:left w:val="single" w:sz="12" w:space="0" w:color="000000"/>
              <w:bottom w:val="single" w:sz="6" w:space="0" w:color="000000"/>
              <w:right w:val="single" w:sz="6" w:space="0" w:color="000000"/>
            </w:tcBorders>
            <w:shd w:val="clear" w:color="auto" w:fill="D2D2D2"/>
          </w:tcPr>
          <w:p>
            <w:pPr/>
          </w:p>
        </w:tc>
        <w:tc>
          <w:tcPr>
            <w:tcW w:w="174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5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56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6"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5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7" w:hRule="exact"/>
        </w:trPr>
        <w:tc>
          <w:tcPr>
            <w:tcW w:w="2605"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3"/>
              <w:ind w:left="7"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49"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3,436,369,668.04</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2,424,670,626.82</w:t>
            </w:r>
          </w:p>
        </w:tc>
        <w:tc>
          <w:tcPr>
            <w:tcW w:w="17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41.73%</w:t>
            </w:r>
          </w:p>
        </w:tc>
        <w:tc>
          <w:tcPr>
            <w:tcW w:w="17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12"/>
              <w:jc w:val="right"/>
              <w:rPr>
                <w:rFonts w:ascii="Times New Roman" w:hAnsi="Times New Roman" w:cs="Times New Roman" w:eastAsia="Times New Roman" w:hint="default"/>
                <w:sz w:val="18"/>
                <w:szCs w:val="18"/>
              </w:rPr>
            </w:pPr>
            <w:r>
              <w:rPr>
                <w:rFonts w:ascii="Times New Roman"/>
                <w:spacing w:val="-1"/>
                <w:sz w:val="18"/>
              </w:rPr>
              <w:t>1,789,140,564.52</w:t>
            </w:r>
          </w:p>
        </w:tc>
      </w:tr>
      <w:tr>
        <w:trPr>
          <w:trHeight w:val="720" w:hRule="exact"/>
        </w:trPr>
        <w:tc>
          <w:tcPr>
            <w:tcW w:w="2605"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7"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6"/>
              <w:ind w:left="7"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9"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998,666,057.61</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531,497,123.47</w:t>
            </w:r>
          </w:p>
        </w:tc>
        <w:tc>
          <w:tcPr>
            <w:tcW w:w="17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87.90%</w:t>
            </w:r>
          </w:p>
        </w:tc>
        <w:tc>
          <w:tcPr>
            <w:tcW w:w="17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pacing w:val="-1"/>
                <w:sz w:val="18"/>
              </w:rPr>
              <w:t>405,288,398.77</w:t>
            </w:r>
          </w:p>
        </w:tc>
      </w:tr>
      <w:tr>
        <w:trPr>
          <w:trHeight w:val="719" w:hRule="exact"/>
        </w:trPr>
        <w:tc>
          <w:tcPr>
            <w:tcW w:w="2605"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6" w:lineRule="auto" w:before="51"/>
              <w:ind w:left="7" w:right="53"/>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常性损益的净利润（元）</w:t>
            </w:r>
          </w:p>
        </w:tc>
        <w:tc>
          <w:tcPr>
            <w:tcW w:w="1749"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989,040,251.87</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526,711,733.77</w:t>
            </w:r>
          </w:p>
        </w:tc>
        <w:tc>
          <w:tcPr>
            <w:tcW w:w="17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87.78%</w:t>
            </w:r>
          </w:p>
        </w:tc>
        <w:tc>
          <w:tcPr>
            <w:tcW w:w="17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pacing w:val="-1"/>
                <w:sz w:val="18"/>
              </w:rPr>
              <w:t>246,591,060.73</w:t>
            </w:r>
          </w:p>
        </w:tc>
      </w:tr>
      <w:tr>
        <w:trPr>
          <w:trHeight w:val="719" w:hRule="exact"/>
        </w:trPr>
        <w:tc>
          <w:tcPr>
            <w:tcW w:w="2605"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7"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7"/>
              <w:ind w:left="7"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9"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1,045,795,985.00</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357,120,976.89</w:t>
            </w:r>
          </w:p>
        </w:tc>
        <w:tc>
          <w:tcPr>
            <w:tcW w:w="17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192.84%</w:t>
            </w:r>
          </w:p>
        </w:tc>
        <w:tc>
          <w:tcPr>
            <w:tcW w:w="17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pacing w:val="-1"/>
                <w:sz w:val="18"/>
              </w:rPr>
              <w:t>192,153,315.10</w:t>
            </w:r>
          </w:p>
        </w:tc>
      </w:tr>
      <w:tr>
        <w:trPr>
          <w:trHeight w:val="407" w:hRule="exact"/>
        </w:trPr>
        <w:tc>
          <w:tcPr>
            <w:tcW w:w="2605"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7"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49"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0.89</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0.47</w:t>
            </w:r>
          </w:p>
        </w:tc>
        <w:tc>
          <w:tcPr>
            <w:tcW w:w="17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89.36%</w:t>
            </w:r>
          </w:p>
        </w:tc>
        <w:tc>
          <w:tcPr>
            <w:tcW w:w="17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z w:val="18"/>
              </w:rPr>
              <w:t>0.37</w:t>
            </w:r>
          </w:p>
        </w:tc>
      </w:tr>
      <w:tr>
        <w:trPr>
          <w:trHeight w:val="407" w:hRule="exact"/>
        </w:trPr>
        <w:tc>
          <w:tcPr>
            <w:tcW w:w="2605"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7"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49"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0.89</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0.47</w:t>
            </w:r>
          </w:p>
        </w:tc>
        <w:tc>
          <w:tcPr>
            <w:tcW w:w="17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89.36%</w:t>
            </w:r>
          </w:p>
        </w:tc>
        <w:tc>
          <w:tcPr>
            <w:tcW w:w="17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10"/>
              <w:jc w:val="right"/>
              <w:rPr>
                <w:rFonts w:ascii="Times New Roman" w:hAnsi="Times New Roman" w:cs="Times New Roman" w:eastAsia="Times New Roman" w:hint="default"/>
                <w:sz w:val="18"/>
                <w:szCs w:val="18"/>
              </w:rPr>
            </w:pPr>
            <w:r>
              <w:rPr>
                <w:rFonts w:ascii="Times New Roman"/>
                <w:sz w:val="18"/>
              </w:rPr>
              <w:t>0.37</w:t>
            </w:r>
          </w:p>
        </w:tc>
      </w:tr>
      <w:tr>
        <w:trPr>
          <w:trHeight w:val="407" w:hRule="exact"/>
        </w:trPr>
        <w:tc>
          <w:tcPr>
            <w:tcW w:w="2605"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7"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49"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16.39%</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18.31%</w:t>
            </w:r>
          </w:p>
        </w:tc>
        <w:tc>
          <w:tcPr>
            <w:tcW w:w="17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-1.92%</w:t>
            </w:r>
          </w:p>
        </w:tc>
        <w:tc>
          <w:tcPr>
            <w:tcW w:w="17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10"/>
              <w:jc w:val="right"/>
              <w:rPr>
                <w:rFonts w:ascii="Times New Roman" w:hAnsi="Times New Roman" w:cs="Times New Roman" w:eastAsia="Times New Roman" w:hint="default"/>
                <w:sz w:val="18"/>
                <w:szCs w:val="18"/>
              </w:rPr>
            </w:pPr>
            <w:r>
              <w:rPr>
                <w:rFonts w:ascii="Times New Roman"/>
                <w:sz w:val="18"/>
              </w:rPr>
              <w:t>16.67%</w:t>
            </w:r>
          </w:p>
        </w:tc>
      </w:tr>
      <w:tr>
        <w:trPr>
          <w:trHeight w:val="407" w:hRule="exact"/>
        </w:trPr>
        <w:tc>
          <w:tcPr>
            <w:tcW w:w="2605" w:type="dxa"/>
            <w:tcBorders>
              <w:top w:val="single" w:sz="6" w:space="0" w:color="000000"/>
              <w:left w:val="single" w:sz="12" w:space="0" w:color="000000"/>
              <w:bottom w:val="single" w:sz="6" w:space="0" w:color="000000"/>
              <w:right w:val="single" w:sz="6" w:space="0" w:color="000000"/>
            </w:tcBorders>
            <w:shd w:val="clear" w:color="auto" w:fill="D2D2D2"/>
          </w:tcPr>
          <w:p>
            <w:pPr/>
          </w:p>
        </w:tc>
        <w:tc>
          <w:tcPr>
            <w:tcW w:w="1749"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left="48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left="47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8"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51"/>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6"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2"/>
              <w:ind w:left="47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407" w:hRule="exact"/>
        </w:trPr>
        <w:tc>
          <w:tcPr>
            <w:tcW w:w="2605"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7"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749"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12,061,405,708.47</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6,306,050,480.99</w:t>
            </w:r>
          </w:p>
        </w:tc>
        <w:tc>
          <w:tcPr>
            <w:tcW w:w="17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91.27%</w:t>
            </w:r>
          </w:p>
        </w:tc>
        <w:tc>
          <w:tcPr>
            <w:tcW w:w="17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pacing w:val="-1"/>
                <w:sz w:val="18"/>
              </w:rPr>
              <w:t>3,888,484,313.92</w:t>
            </w:r>
          </w:p>
        </w:tc>
      </w:tr>
      <w:tr>
        <w:trPr>
          <w:trHeight w:val="727" w:hRule="exact"/>
        </w:trPr>
        <w:tc>
          <w:tcPr>
            <w:tcW w:w="2605"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1"/>
              <w:ind w:left="7"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7"/>
              <w:ind w:left="7"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9" w:type="dxa"/>
            <w:tcBorders>
              <w:top w:val="single" w:sz="6" w:space="0" w:color="000000"/>
              <w:left w:val="single" w:sz="9" w:space="0" w:color="D2D2D2"/>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8,709,730,697.17</w:t>
            </w:r>
          </w:p>
        </w:tc>
        <w:tc>
          <w:tcPr>
            <w:tcW w:w="17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3,152,027,892.88</w:t>
            </w:r>
          </w:p>
        </w:tc>
        <w:tc>
          <w:tcPr>
            <w:tcW w:w="173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176.32%</w:t>
            </w:r>
          </w:p>
        </w:tc>
        <w:tc>
          <w:tcPr>
            <w:tcW w:w="173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2,680,018,953.91</w:t>
            </w:r>
          </w:p>
        </w:tc>
      </w:tr>
    </w:tbl>
    <w:p>
      <w:pPr>
        <w:spacing w:line="319" w:lineRule="auto" w:before="51"/>
        <w:ind w:left="1134" w:right="998" w:firstLine="0"/>
        <w:jc w:val="left"/>
        <w:rPr>
          <w:rFonts w:ascii="宋体" w:hAnsi="宋体" w:cs="宋体" w:eastAsia="宋体" w:hint="default"/>
          <w:sz w:val="18"/>
          <w:szCs w:val="18"/>
        </w:rPr>
      </w:pPr>
      <w:r>
        <w:rPr>
          <w:rFonts w:ascii="宋体" w:hAnsi="宋体" w:cs="宋体" w:eastAsia="宋体" w:hint="default"/>
          <w:spacing w:val="-2"/>
          <w:sz w:val="18"/>
          <w:szCs w:val="18"/>
        </w:rPr>
        <w:t>公司报告期末至年度报告披露日股本是否因发行新股、增发、配股、股权激励行权、回购等原因发生变化且影响所有者权益</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金额</w:t>
      </w:r>
    </w:p>
    <w:p>
      <w:pPr>
        <w:spacing w:before="58"/>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12"/>
        <w:rPr>
          <w:rFonts w:ascii="宋体" w:hAnsi="宋体" w:cs="宋体" w:eastAsia="宋体" w:hint="default"/>
          <w:sz w:val="6"/>
          <w:szCs w:val="6"/>
        </w:rPr>
      </w:pPr>
    </w:p>
    <w:tbl>
      <w:tblPr>
        <w:tblW w:w="0" w:type="auto"/>
        <w:jc w:val="left"/>
        <w:tblInd w:w="1159" w:type="dxa"/>
        <w:tblLayout w:type="fixed"/>
        <w:tblCellMar>
          <w:top w:w="0" w:type="dxa"/>
          <w:left w:w="0" w:type="dxa"/>
          <w:bottom w:w="0" w:type="dxa"/>
          <w:right w:w="0" w:type="dxa"/>
        </w:tblCellMar>
        <w:tblLook w:val="01E0"/>
      </w:tblPr>
      <w:tblGrid>
        <w:gridCol w:w="4518"/>
        <w:gridCol w:w="5046"/>
      </w:tblGrid>
      <w:tr>
        <w:trPr>
          <w:trHeight w:val="422" w:hRule="exact"/>
        </w:trPr>
        <w:tc>
          <w:tcPr>
            <w:tcW w:w="4518" w:type="dxa"/>
            <w:tcBorders>
              <w:top w:val="single" w:sz="12"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用最新股本计算的全面摊薄每股收益（元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5046" w:type="dxa"/>
            <w:tcBorders>
              <w:top w:val="single" w:sz="12" w:space="0" w:color="000000"/>
              <w:left w:val="single" w:sz="6" w:space="0" w:color="000000"/>
              <w:bottom w:val="single" w:sz="12" w:space="0" w:color="000000"/>
              <w:right w:val="single" w:sz="12" w:space="0" w:color="000000"/>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z w:val="18"/>
              </w:rPr>
              <w:t>0.8669</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0" w:right="0"/>
        </w:sectPr>
      </w:pPr>
    </w:p>
    <w:p>
      <w:pPr>
        <w:spacing w:line="240" w:lineRule="auto" w:before="9"/>
        <w:rPr>
          <w:rFonts w:ascii="宋体" w:hAnsi="宋体" w:cs="宋体" w:eastAsia="宋体" w:hint="default"/>
          <w:sz w:val="23"/>
          <w:szCs w:val="23"/>
        </w:rPr>
      </w:pPr>
    </w:p>
    <w:p>
      <w:pPr>
        <w:pStyle w:val="Heading4"/>
        <w:spacing w:line="240" w:lineRule="auto" w:before="26"/>
        <w:ind w:right="998"/>
        <w:jc w:val="left"/>
        <w:rPr>
          <w:b w:val="0"/>
          <w:bCs w:val="0"/>
        </w:rPr>
      </w:pPr>
      <w:bookmarkStart w:name="六、分季度主要财务指标" w:id="10"/>
      <w:bookmarkEnd w:id="10"/>
      <w:r>
        <w:rPr>
          <w:b w:val="0"/>
          <w:bCs w:val="0"/>
        </w:rPr>
      </w:r>
      <w:r>
        <w:rPr/>
        <w:t>六、分季度主要财务指标</w:t>
      </w:r>
      <w:r>
        <w:rPr>
          <w:b w:val="0"/>
          <w:bCs w:val="0"/>
        </w:rPr>
      </w:r>
    </w:p>
    <w:p>
      <w:pPr>
        <w:spacing w:line="240" w:lineRule="auto" w:before="2"/>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59" w:type="dxa"/>
        <w:tblLayout w:type="fixed"/>
        <w:tblCellMar>
          <w:top w:w="0" w:type="dxa"/>
          <w:left w:w="0" w:type="dxa"/>
          <w:bottom w:w="0" w:type="dxa"/>
          <w:right w:w="0" w:type="dxa"/>
        </w:tblCellMar>
        <w:tblLook w:val="01E0"/>
      </w:tblPr>
      <w:tblGrid>
        <w:gridCol w:w="2605"/>
        <w:gridCol w:w="1751"/>
        <w:gridCol w:w="1739"/>
        <w:gridCol w:w="1739"/>
        <w:gridCol w:w="1730"/>
      </w:tblGrid>
      <w:tr>
        <w:trPr>
          <w:trHeight w:val="415" w:hRule="exact"/>
        </w:trPr>
        <w:tc>
          <w:tcPr>
            <w:tcW w:w="2605" w:type="dxa"/>
            <w:tcBorders>
              <w:top w:val="single" w:sz="12" w:space="0" w:color="000000"/>
              <w:left w:val="single" w:sz="12" w:space="0" w:color="000000"/>
              <w:bottom w:val="single" w:sz="6" w:space="0" w:color="000000"/>
              <w:right w:val="single" w:sz="6" w:space="0" w:color="000000"/>
            </w:tcBorders>
            <w:shd w:val="clear" w:color="auto" w:fill="D2D2D2"/>
          </w:tcPr>
          <w:p>
            <w:pPr/>
          </w:p>
        </w:tc>
        <w:tc>
          <w:tcPr>
            <w:tcW w:w="1751"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512"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3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30"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496"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7" w:hRule="exact"/>
        </w:trPr>
        <w:tc>
          <w:tcPr>
            <w:tcW w:w="2605"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51"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851,761,530.78</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885,592,799.44</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935,156,230.51</w:t>
            </w:r>
          </w:p>
        </w:tc>
        <w:tc>
          <w:tcPr>
            <w:tcW w:w="17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10"/>
              <w:jc w:val="right"/>
              <w:rPr>
                <w:rFonts w:ascii="Times New Roman" w:hAnsi="Times New Roman" w:cs="Times New Roman" w:eastAsia="Times New Roman" w:hint="default"/>
                <w:sz w:val="18"/>
                <w:szCs w:val="18"/>
              </w:rPr>
            </w:pPr>
            <w:r>
              <w:rPr>
                <w:rFonts w:ascii="Times New Roman"/>
                <w:spacing w:val="-1"/>
                <w:sz w:val="18"/>
              </w:rPr>
              <w:t>763,859,107.31</w:t>
            </w:r>
          </w:p>
        </w:tc>
      </w:tr>
      <w:tr>
        <w:trPr>
          <w:trHeight w:val="407" w:hRule="exact"/>
        </w:trPr>
        <w:tc>
          <w:tcPr>
            <w:tcW w:w="2605"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7"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51"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191,683,868.63</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192,604,724.30</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191,818,433.51</w:t>
            </w:r>
          </w:p>
        </w:tc>
        <w:tc>
          <w:tcPr>
            <w:tcW w:w="17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10"/>
              <w:jc w:val="right"/>
              <w:rPr>
                <w:rFonts w:ascii="Times New Roman" w:hAnsi="Times New Roman" w:cs="Times New Roman" w:eastAsia="Times New Roman" w:hint="default"/>
                <w:sz w:val="18"/>
                <w:szCs w:val="18"/>
              </w:rPr>
            </w:pPr>
            <w:r>
              <w:rPr>
                <w:rFonts w:ascii="Times New Roman"/>
                <w:spacing w:val="-1"/>
                <w:sz w:val="18"/>
              </w:rPr>
              <w:t>422,559,031.17</w:t>
            </w:r>
          </w:p>
        </w:tc>
      </w:tr>
      <w:tr>
        <w:trPr>
          <w:trHeight w:val="720" w:hRule="exact"/>
        </w:trPr>
        <w:tc>
          <w:tcPr>
            <w:tcW w:w="2605"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6" w:lineRule="auto" w:before="52"/>
              <w:ind w:left="7" w:right="53"/>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51"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185,630,596.10</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156,978,794.88</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186,656,958.81</w:t>
            </w:r>
          </w:p>
        </w:tc>
        <w:tc>
          <w:tcPr>
            <w:tcW w:w="17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pacing w:val="-1"/>
                <w:sz w:val="18"/>
              </w:rPr>
              <w:t>459,773,902.08</w:t>
            </w:r>
          </w:p>
        </w:tc>
      </w:tr>
      <w:tr>
        <w:trPr>
          <w:trHeight w:val="415" w:hRule="exact"/>
        </w:trPr>
        <w:tc>
          <w:tcPr>
            <w:tcW w:w="2605"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1"/>
              <w:ind w:left="7"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51" w:type="dxa"/>
            <w:tcBorders>
              <w:top w:val="single" w:sz="6" w:space="0" w:color="000000"/>
              <w:left w:val="single" w:sz="9" w:space="0" w:color="D2D2D2"/>
              <w:bottom w:val="single" w:sz="12"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50,025,573.89</w:t>
            </w:r>
          </w:p>
        </w:tc>
        <w:tc>
          <w:tcPr>
            <w:tcW w:w="173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457,964,030.83</w:t>
            </w:r>
          </w:p>
        </w:tc>
        <w:tc>
          <w:tcPr>
            <w:tcW w:w="173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241,311,920.73</w:t>
            </w:r>
          </w:p>
        </w:tc>
        <w:tc>
          <w:tcPr>
            <w:tcW w:w="173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296,494,459.55</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上述财务指标或其加总数是否与公司已披露季度报告、半年度报告相关财务指标存在重大差异</w:t>
      </w:r>
    </w:p>
    <w:p>
      <w:pPr>
        <w:spacing w:before="116"/>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24"/>
          <w:szCs w:val="24"/>
        </w:rPr>
      </w:pPr>
    </w:p>
    <w:p>
      <w:pPr>
        <w:pStyle w:val="Heading4"/>
        <w:spacing w:line="240" w:lineRule="auto"/>
        <w:ind w:right="998"/>
        <w:jc w:val="left"/>
        <w:rPr>
          <w:b w:val="0"/>
          <w:bCs w:val="0"/>
        </w:rPr>
      </w:pPr>
      <w:bookmarkStart w:name="七、境内外会计准则下会计数据差异" w:id="11"/>
      <w:bookmarkEnd w:id="11"/>
      <w:r>
        <w:rPr>
          <w:b w:val="0"/>
          <w:bCs w:val="0"/>
        </w:rPr>
      </w:r>
      <w:r>
        <w:rPr/>
        <w:t>七、境内外会计准则下会计数据差异</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同时按照国际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133" w:right="14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公司报告期不存在按照国际会计准则与按照中国会计准则披露的财务报告中净利润和净资产差异情况。</w:t>
      </w:r>
    </w:p>
    <w:p>
      <w:pPr>
        <w:spacing w:line="240" w:lineRule="auto" w:before="1"/>
        <w:rPr>
          <w:rFonts w:ascii="宋体" w:hAnsi="宋体" w:cs="宋体" w:eastAsia="宋体" w:hint="default"/>
          <w:sz w:val="21"/>
          <w:szCs w:val="21"/>
        </w:rPr>
      </w:pPr>
    </w:p>
    <w:p>
      <w:pPr>
        <w:pStyle w:val="Heading6"/>
        <w:spacing w:line="240" w:lineRule="auto"/>
        <w:ind w:left="1133" w:right="998"/>
        <w:jc w:val="left"/>
        <w:rPr>
          <w:b w:val="0"/>
          <w:bCs w:val="0"/>
        </w:rPr>
      </w:pPr>
      <w:bookmarkStart w:name="2、同时按照境外会计准则与按照中国会计准则披露的财务报告中净利润和净资产差异情况" w:id="13"/>
      <w:bookmarkEnd w:id="13"/>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133" w:right="26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公司报告期不存在按照境外会计准则与按照中国会计准则披露的财务报告中净利润和净资产差异情况。</w:t>
      </w:r>
    </w:p>
    <w:p>
      <w:pPr>
        <w:spacing w:line="240" w:lineRule="auto" w:before="6"/>
        <w:rPr>
          <w:rFonts w:ascii="宋体" w:hAnsi="宋体" w:cs="宋体" w:eastAsia="宋体" w:hint="default"/>
          <w:sz w:val="19"/>
          <w:szCs w:val="19"/>
        </w:rPr>
      </w:pPr>
    </w:p>
    <w:p>
      <w:pPr>
        <w:pStyle w:val="Heading4"/>
        <w:spacing w:line="240" w:lineRule="auto"/>
        <w:ind w:right="998"/>
        <w:jc w:val="left"/>
        <w:rPr>
          <w:b w:val="0"/>
          <w:bCs w:val="0"/>
        </w:rPr>
      </w:pPr>
      <w:bookmarkStart w:name="八、非经常性损益项目及金额" w:id="14"/>
      <w:bookmarkEnd w:id="14"/>
      <w:r>
        <w:rPr>
          <w:b w:val="0"/>
          <w:bCs w:val="0"/>
        </w:rPr>
      </w:r>
      <w:r>
        <w:rPr/>
        <w:t>八、非经常性损益项目及金额</w:t>
      </w:r>
      <w:r>
        <w:rPr>
          <w:b w:val="0"/>
          <w:bCs w:val="0"/>
        </w:rPr>
      </w:r>
    </w:p>
    <w:p>
      <w:pPr>
        <w:spacing w:line="240" w:lineRule="auto" w:before="2"/>
        <w:rPr>
          <w:rFonts w:ascii="宋体" w:hAnsi="宋体" w:cs="宋体" w:eastAsia="宋体" w:hint="default"/>
          <w:b/>
          <w:bCs/>
          <w:sz w:val="23"/>
          <w:szCs w:val="23"/>
        </w:rPr>
      </w:pPr>
    </w:p>
    <w:p>
      <w:pPr>
        <w:spacing w:before="44"/>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59" w:type="dxa"/>
        <w:tblLayout w:type="fixed"/>
        <w:tblCellMar>
          <w:top w:w="0" w:type="dxa"/>
          <w:left w:w="0" w:type="dxa"/>
          <w:bottom w:w="0" w:type="dxa"/>
          <w:right w:w="0" w:type="dxa"/>
        </w:tblCellMar>
        <w:tblLook w:val="01E0"/>
      </w:tblPr>
      <w:tblGrid>
        <w:gridCol w:w="3280"/>
        <w:gridCol w:w="1532"/>
        <w:gridCol w:w="1519"/>
        <w:gridCol w:w="1523"/>
        <w:gridCol w:w="1709"/>
      </w:tblGrid>
      <w:tr>
        <w:trPr>
          <w:trHeight w:val="415" w:hRule="exact"/>
        </w:trPr>
        <w:tc>
          <w:tcPr>
            <w:tcW w:w="3280"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53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2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1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2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3"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2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709"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7"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9" w:hRule="exact"/>
        </w:trPr>
        <w:tc>
          <w:tcPr>
            <w:tcW w:w="328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9" w:lineRule="auto" w:before="51"/>
              <w:ind w:left="6" w:right="9"/>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 值准备的冲销部分）</w:t>
            </w:r>
          </w:p>
        </w:tc>
        <w:tc>
          <w:tcPr>
            <w:tcW w:w="1532"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1,250,264.28</w:t>
            </w: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95"/>
                <w:sz w:val="18"/>
              </w:rPr>
              <w:t>-198,409.24</w:t>
            </w:r>
            <w:r>
              <w:rPr>
                <w:rFonts w:ascii="Times New Roman"/>
                <w:sz w:val="18"/>
              </w:rPr>
            </w:r>
          </w:p>
        </w:tc>
        <w:tc>
          <w:tcPr>
            <w:tcW w:w="15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95"/>
                <w:sz w:val="18"/>
              </w:rPr>
              <w:t>-37,869.53</w:t>
            </w:r>
            <w:r>
              <w:rPr>
                <w:rFonts w:ascii="Times New Roman"/>
                <w:sz w:val="18"/>
              </w:rPr>
            </w:r>
          </w:p>
        </w:tc>
        <w:tc>
          <w:tcPr>
            <w:tcW w:w="1709" w:type="dxa"/>
            <w:tcBorders>
              <w:top w:val="single" w:sz="6" w:space="0" w:color="000000"/>
              <w:left w:val="single" w:sz="6" w:space="0" w:color="000000"/>
              <w:bottom w:val="single" w:sz="6" w:space="0" w:color="000000"/>
              <w:right w:val="single" w:sz="12" w:space="0" w:color="000000"/>
            </w:tcBorders>
          </w:tcPr>
          <w:p>
            <w:pPr/>
          </w:p>
        </w:tc>
      </w:tr>
      <w:tr>
        <w:trPr>
          <w:trHeight w:val="1031" w:hRule="exact"/>
        </w:trPr>
        <w:tc>
          <w:tcPr>
            <w:tcW w:w="328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9" w:lineRule="auto" w:before="51"/>
              <w:ind w:left="6" w:right="9"/>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1532"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35,581,798.35</w:t>
            </w: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11,235,718.71</w:t>
            </w:r>
          </w:p>
        </w:tc>
        <w:tc>
          <w:tcPr>
            <w:tcW w:w="15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11,889,531.29</w:t>
            </w:r>
          </w:p>
        </w:tc>
        <w:tc>
          <w:tcPr>
            <w:tcW w:w="1709" w:type="dxa"/>
            <w:tcBorders>
              <w:top w:val="single" w:sz="6" w:space="0" w:color="000000"/>
              <w:left w:val="single" w:sz="6" w:space="0" w:color="000000"/>
              <w:bottom w:val="single" w:sz="6" w:space="0" w:color="000000"/>
              <w:right w:val="single" w:sz="12" w:space="0" w:color="000000"/>
            </w:tcBorders>
          </w:tcPr>
          <w:p>
            <w:pPr/>
          </w:p>
        </w:tc>
      </w:tr>
      <w:tr>
        <w:trPr>
          <w:trHeight w:val="407" w:hRule="exact"/>
        </w:trPr>
        <w:tc>
          <w:tcPr>
            <w:tcW w:w="328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532"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230,466.66</w:t>
            </w: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1,136,456.45</w:t>
            </w:r>
          </w:p>
        </w:tc>
        <w:tc>
          <w:tcPr>
            <w:tcW w:w="15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4,505,602.71</w:t>
            </w:r>
          </w:p>
        </w:tc>
        <w:tc>
          <w:tcPr>
            <w:tcW w:w="1709" w:type="dxa"/>
            <w:tcBorders>
              <w:top w:val="single" w:sz="6" w:space="0" w:color="000000"/>
              <w:left w:val="single" w:sz="6" w:space="0" w:color="000000"/>
              <w:bottom w:val="single" w:sz="6" w:space="0" w:color="000000"/>
              <w:right w:val="single" w:sz="12" w:space="0" w:color="000000"/>
            </w:tcBorders>
          </w:tcPr>
          <w:p>
            <w:pPr/>
          </w:p>
        </w:tc>
      </w:tr>
      <w:tr>
        <w:trPr>
          <w:trHeight w:val="1663" w:hRule="exact"/>
        </w:trPr>
        <w:tc>
          <w:tcPr>
            <w:tcW w:w="3280"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319" w:lineRule="auto" w:before="52"/>
              <w:ind w:left="6" w:right="9"/>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 值业务外，持有交易性金融资产、交易性 金融负债产生的公允价值变动损益，以及 处置交易性金融资产、交易性金融负债和 可供出售金融资产取得的投资收益</w:t>
            </w:r>
          </w:p>
        </w:tc>
        <w:tc>
          <w:tcPr>
            <w:tcW w:w="1532" w:type="dxa"/>
            <w:tcBorders>
              <w:top w:val="single" w:sz="6" w:space="0" w:color="000000"/>
              <w:left w:val="single" w:sz="9" w:space="0" w:color="D2D2D2"/>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-17,869,758.96</w:t>
            </w:r>
          </w:p>
        </w:tc>
        <w:tc>
          <w:tcPr>
            <w:tcW w:w="151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-8,213,728.94</w:t>
            </w:r>
          </w:p>
        </w:tc>
        <w:tc>
          <w:tcPr>
            <w:tcW w:w="152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161,346,278.88</w:t>
            </w:r>
          </w:p>
        </w:tc>
        <w:tc>
          <w:tcPr>
            <w:tcW w:w="1709" w:type="dxa"/>
            <w:tcBorders>
              <w:top w:val="single" w:sz="6" w:space="0" w:color="000000"/>
              <w:left w:val="single" w:sz="6" w:space="0" w:color="000000"/>
              <w:bottom w:val="single" w:sz="12" w:space="0" w:color="000000"/>
              <w:right w:val="single" w:sz="12" w:space="0" w:color="000000"/>
            </w:tcBorders>
          </w:tcPr>
          <w:p>
            <w:pPr/>
          </w:p>
        </w:tc>
      </w:tr>
    </w:tbl>
    <w:p>
      <w:pPr>
        <w:spacing w:after="0"/>
        <w:sectPr>
          <w:pgSz w:w="11910" w:h="16840"/>
          <w:pgMar w:header="74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59" w:type="dxa"/>
        <w:tblLayout w:type="fixed"/>
        <w:tblCellMar>
          <w:top w:w="0" w:type="dxa"/>
          <w:left w:w="0" w:type="dxa"/>
          <w:bottom w:w="0" w:type="dxa"/>
          <w:right w:w="0" w:type="dxa"/>
        </w:tblCellMar>
        <w:tblLook w:val="01E0"/>
      </w:tblPr>
      <w:tblGrid>
        <w:gridCol w:w="3291"/>
        <w:gridCol w:w="1521"/>
        <w:gridCol w:w="1519"/>
        <w:gridCol w:w="1523"/>
        <w:gridCol w:w="1709"/>
      </w:tblGrid>
      <w:tr>
        <w:trPr>
          <w:trHeight w:val="415" w:hRule="exact"/>
        </w:trPr>
        <w:tc>
          <w:tcPr>
            <w:tcW w:w="3291"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2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1,590,562.34</w:t>
            </w:r>
          </w:p>
        </w:tc>
        <w:tc>
          <w:tcPr>
            <w:tcW w:w="151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986,181.73</w:t>
            </w:r>
          </w:p>
        </w:tc>
        <w:tc>
          <w:tcPr>
            <w:tcW w:w="152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1,559,398.51</w:t>
            </w:r>
          </w:p>
        </w:tc>
        <w:tc>
          <w:tcPr>
            <w:tcW w:w="1709" w:type="dxa"/>
            <w:tcBorders>
              <w:top w:val="single" w:sz="12" w:space="0" w:color="000000"/>
              <w:left w:val="single" w:sz="6" w:space="0" w:color="000000"/>
              <w:bottom w:val="single" w:sz="6" w:space="0" w:color="000000"/>
              <w:right w:val="single" w:sz="12" w:space="0" w:color="000000"/>
            </w:tcBorders>
          </w:tcPr>
          <w:p>
            <w:pPr/>
          </w:p>
        </w:tc>
      </w:tr>
      <w:tr>
        <w:trPr>
          <w:trHeight w:val="407" w:hRule="exact"/>
        </w:trPr>
        <w:tc>
          <w:tcPr>
            <w:tcW w:w="329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5,145,212.24</w:t>
            </w:r>
          </w:p>
        </w:tc>
        <w:tc>
          <w:tcPr>
            <w:tcW w:w="1519" w:type="dxa"/>
            <w:tcBorders>
              <w:top w:val="single" w:sz="6" w:space="0" w:color="000000"/>
              <w:left w:val="single" w:sz="6" w:space="0" w:color="000000"/>
              <w:bottom w:val="single" w:sz="6" w:space="0" w:color="000000"/>
              <w:right w:val="single" w:sz="6" w:space="0" w:color="000000"/>
            </w:tcBorders>
          </w:tcPr>
          <w:p>
            <w:pPr/>
          </w:p>
        </w:tc>
        <w:tc>
          <w:tcPr>
            <w:tcW w:w="15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20,565,603.82</w:t>
            </w:r>
          </w:p>
        </w:tc>
        <w:tc>
          <w:tcPr>
            <w:tcW w:w="1709" w:type="dxa"/>
            <w:tcBorders>
              <w:top w:val="single" w:sz="6" w:space="0" w:color="000000"/>
              <w:left w:val="single" w:sz="6" w:space="0" w:color="000000"/>
              <w:bottom w:val="single" w:sz="6" w:space="0" w:color="000000"/>
              <w:right w:val="single" w:sz="12" w:space="0" w:color="000000"/>
            </w:tcBorders>
          </w:tcPr>
          <w:p>
            <w:pPr/>
          </w:p>
        </w:tc>
      </w:tr>
      <w:tr>
        <w:trPr>
          <w:trHeight w:val="407" w:hRule="exact"/>
        </w:trPr>
        <w:tc>
          <w:tcPr>
            <w:tcW w:w="329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366"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6,012,314.69</w:t>
            </w: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160,829.01</w:t>
            </w:r>
          </w:p>
        </w:tc>
        <w:tc>
          <w:tcPr>
            <w:tcW w:w="1523"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12" w:space="0" w:color="000000"/>
            </w:tcBorders>
          </w:tcPr>
          <w:p>
            <w:pPr/>
          </w:p>
        </w:tc>
      </w:tr>
      <w:tr>
        <w:trPr>
          <w:trHeight w:val="415" w:hRule="exact"/>
        </w:trPr>
        <w:tc>
          <w:tcPr>
            <w:tcW w:w="3291"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9,625,805.74</w:t>
            </w:r>
          </w:p>
        </w:tc>
        <w:tc>
          <w:tcPr>
            <w:tcW w:w="151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4,785,389.70</w:t>
            </w:r>
          </w:p>
        </w:tc>
        <w:tc>
          <w:tcPr>
            <w:tcW w:w="1523" w:type="dxa"/>
            <w:tcBorders>
              <w:top w:val="single" w:sz="6" w:space="0" w:color="000000"/>
              <w:left w:val="single" w:sz="6" w:space="0" w:color="000000"/>
              <w:bottom w:val="single" w:sz="12" w:space="0" w:color="000000"/>
              <w:right w:val="single" w:sz="9"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158,697,338.04</w:t>
            </w:r>
          </w:p>
        </w:tc>
        <w:tc>
          <w:tcPr>
            <w:tcW w:w="1709" w:type="dxa"/>
            <w:tcBorders>
              <w:top w:val="single" w:sz="6" w:space="0" w:color="000000"/>
              <w:left w:val="single" w:sz="6" w:space="0" w:color="000000"/>
              <w:bottom w:val="single" w:sz="12" w:space="0" w:color="000000"/>
              <w:right w:val="single" w:sz="12" w:space="0" w:color="000000"/>
            </w:tcBorders>
            <w:shd w:val="clear" w:color="auto" w:fill="D2D2D2"/>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非经常性损益》定义界定的非经常性损益项目，以及把《公</w:t>
      </w:r>
    </w:p>
    <w:p>
      <w:pPr>
        <w:spacing w:line="302" w:lineRule="auto" w:before="61"/>
        <w:ind w:left="1134" w:right="1118"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6"/>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非经常性损益》中列举的非经常性损益项目界定为经常性损益的项目，应</w:t>
      </w:r>
      <w:r>
        <w:rPr>
          <w:rFonts w:ascii="宋体" w:hAnsi="宋体" w:cs="宋体" w:eastAsia="宋体" w:hint="default"/>
          <w:sz w:val="18"/>
          <w:szCs w:val="18"/>
        </w:rPr>
        <w:t> 说明原因</w:t>
      </w:r>
    </w:p>
    <w:p>
      <w:pPr>
        <w:spacing w:before="7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302" w:lineRule="auto" w:before="101"/>
        <w:ind w:left="1133" w:right="1116" w:firstLine="0"/>
        <w:jc w:val="left"/>
        <w:rPr>
          <w:rFonts w:ascii="宋体" w:hAnsi="宋体" w:cs="宋体" w:eastAsia="宋体" w:hint="default"/>
          <w:sz w:val="18"/>
          <w:szCs w:val="18"/>
        </w:rPr>
      </w:pPr>
      <w:r>
        <w:rPr>
          <w:rFonts w:ascii="宋体" w:hAnsi="宋体" w:cs="宋体" w:eastAsia="宋体" w:hint="default"/>
          <w:sz w:val="18"/>
          <w:szCs w:val="18"/>
        </w:rPr>
        <w:t>公司报告期不存在将根据《公开发行证券的公司信息披露解释性公告第</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非经常性损益》定义、列举的非经常性损益</w:t>
      </w:r>
      <w:r>
        <w:rPr>
          <w:rFonts w:ascii="宋体" w:hAnsi="宋体" w:cs="宋体" w:eastAsia="宋体" w:hint="default"/>
          <w:sz w:val="18"/>
          <w:szCs w:val="18"/>
        </w:rPr>
        <w:t> 项目界定为经常性损益的项目的情形。</w:t>
      </w:r>
    </w:p>
    <w:p>
      <w:pPr>
        <w:spacing w:after="0" w:line="302" w:lineRule="auto"/>
        <w:jc w:val="left"/>
        <w:rPr>
          <w:rFonts w:ascii="宋体" w:hAnsi="宋体" w:cs="宋体" w:eastAsia="宋体" w:hint="default"/>
          <w:sz w:val="18"/>
          <w:szCs w:val="18"/>
        </w:rPr>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3403"/>
        <w:jc w:val="center"/>
        <w:rPr>
          <w:b w:val="0"/>
          <w:bCs w:val="0"/>
        </w:rPr>
      </w:pPr>
      <w:bookmarkStart w:name="_TOC_250009" w:id="15"/>
      <w:bookmarkStart w:name="第三节 公司业务概要" w:id="16"/>
      <w:r>
        <w:rPr>
          <w:b w:val="0"/>
          <w:bCs w:val="0"/>
        </w:rPr>
      </w:r>
      <w:r>
        <w:rPr/>
        <w:t>第三节</w:t>
      </w:r>
      <w:r>
        <w:rPr>
          <w:spacing w:val="-7"/>
        </w:rPr>
        <w:t> </w:t>
      </w:r>
      <w:r>
        <w:rPr/>
        <w:t>公司业务概要</w:t>
      </w:r>
      <w:bookmarkEnd w:id="15"/>
      <w:r>
        <w:rPr>
          <w:b w:val="0"/>
          <w:bCs w:val="0"/>
        </w:rPr>
      </w:r>
    </w:p>
    <w:p>
      <w:pPr>
        <w:spacing w:line="240" w:lineRule="auto" w:before="12"/>
        <w:rPr>
          <w:rFonts w:ascii="宋体" w:hAnsi="宋体" w:cs="宋体" w:eastAsia="宋体" w:hint="default"/>
          <w:b/>
          <w:bCs/>
          <w:sz w:val="38"/>
          <w:szCs w:val="38"/>
        </w:rPr>
      </w:pPr>
    </w:p>
    <w:p>
      <w:pPr>
        <w:pStyle w:val="Heading4"/>
        <w:spacing w:line="240" w:lineRule="auto"/>
        <w:ind w:right="0"/>
        <w:jc w:val="both"/>
        <w:rPr>
          <w:b w:val="0"/>
          <w:bCs w:val="0"/>
        </w:rPr>
      </w:pPr>
      <w:bookmarkStart w:name="一、报告期内公司从事的主要业务" w:id="17"/>
      <w:bookmarkEnd w:id="17"/>
      <w:r>
        <w:rPr>
          <w:b w:val="0"/>
          <w:bCs w:val="0"/>
        </w:rPr>
      </w:r>
      <w:r>
        <w:rPr/>
        <w:t>一、报告期内公司从事的主要业务</w:t>
      </w:r>
      <w:r>
        <w:rPr>
          <w:b w:val="0"/>
          <w:bCs w:val="0"/>
        </w:rPr>
      </w:r>
    </w:p>
    <w:p>
      <w:pPr>
        <w:spacing w:line="240" w:lineRule="auto" w:before="7"/>
        <w:rPr>
          <w:rFonts w:ascii="宋体" w:hAnsi="宋体" w:cs="宋体" w:eastAsia="宋体" w:hint="default"/>
          <w:b/>
          <w:bCs/>
          <w:sz w:val="26"/>
          <w:szCs w:val="26"/>
        </w:rPr>
      </w:pPr>
    </w:p>
    <w:p>
      <w:pPr>
        <w:spacing w:line="360" w:lineRule="auto" w:before="0"/>
        <w:ind w:left="1133" w:right="7333"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公司是否需要遵守特殊行业的披露要求：是 互联网游戏业</w:t>
      </w:r>
    </w:p>
    <w:p>
      <w:pPr>
        <w:pStyle w:val="BodyText"/>
        <w:spacing w:line="386" w:lineRule="auto" w:before="77"/>
        <w:ind w:left="1134" w:right="1132" w:firstLine="420"/>
        <w:jc w:val="both"/>
      </w:pPr>
      <w:r>
        <w:rPr/>
        <w:t>昆仑万维是一家全球领先、业内前沿的综合性互联网集团。自</w:t>
      </w:r>
      <w:r>
        <w:rPr>
          <w:rFonts w:ascii="Times New Roman" w:hAnsi="Times New Roman" w:cs="Times New Roman" w:eastAsia="Times New Roman" w:hint="default"/>
        </w:rPr>
        <w:t>2008</w:t>
      </w:r>
      <w:r>
        <w:rPr/>
        <w:t>年成立以来，聚焦</w:t>
      </w:r>
      <w:r>
        <w:rPr>
          <w:rFonts w:ascii="Times New Roman" w:hAnsi="Times New Roman" w:cs="Times New Roman" w:eastAsia="Times New Roman" w:hint="default"/>
        </w:rPr>
        <w:t>“</w:t>
      </w:r>
      <w:r>
        <w:rPr/>
        <w:t>打造海外领先 的社交媒体和内容平台</w:t>
      </w:r>
      <w:r>
        <w:rPr>
          <w:rFonts w:ascii="Times New Roman" w:hAnsi="Times New Roman" w:cs="Times New Roman" w:eastAsia="Times New Roman" w:hint="default"/>
        </w:rPr>
        <w:t>”</w:t>
      </w:r>
      <w:r>
        <w:rPr/>
        <w:t>的发展战略，围绕研发及运营的核心优势，逐渐在全球范围内形成了由移动游戏</w:t>
      </w:r>
      <w:r>
        <w:rPr>
          <w:spacing w:val="-22"/>
        </w:rPr>
        <w:t> </w:t>
      </w:r>
      <w:r>
        <w:rPr>
          <w:spacing w:val="-22"/>
        </w:rPr>
      </w:r>
      <w:r>
        <w:rPr>
          <w:spacing w:val="-2"/>
        </w:rPr>
        <w:t>平台（昆仑游戏）、休闲娱乐社交平台（闲徕互娱）、社交平台</w:t>
      </w:r>
      <w:r>
        <w:rPr>
          <w:rFonts w:ascii="Times New Roman" w:hAnsi="Times New Roman" w:cs="Times New Roman" w:eastAsia="Times New Roman" w:hint="default"/>
          <w:spacing w:val="-2"/>
        </w:rPr>
        <w:t>(Grindr)</w:t>
      </w:r>
      <w:r>
        <w:rPr>
          <w:spacing w:val="-2"/>
        </w:rPr>
        <w:t>等三大业务板块组成的社交媒体和</w:t>
      </w:r>
      <w:r>
        <w:rPr>
          <w:spacing w:val="-100"/>
        </w:rPr>
        <w:t> </w:t>
      </w:r>
      <w:r>
        <w:rPr>
          <w:spacing w:val="-100"/>
        </w:rPr>
      </w:r>
      <w:r>
        <w:rPr/>
        <w:t>内容平台，并通过构建集团大数据系统驱动各板块产生协同效应。</w:t>
      </w:r>
    </w:p>
    <w:p>
      <w:pPr>
        <w:pStyle w:val="Heading6"/>
        <w:spacing w:line="240" w:lineRule="auto" w:before="65"/>
        <w:ind w:left="1556" w:right="998"/>
        <w:jc w:val="left"/>
        <w:rPr>
          <w:b w:val="0"/>
          <w:bCs w:val="0"/>
        </w:rPr>
      </w:pPr>
      <w:r>
        <w:rPr/>
        <w:t>业务一：移动游戏平台昆仑游戏</w:t>
      </w:r>
      <w:r>
        <w:rPr>
          <w:b w:val="0"/>
          <w:bCs w:val="0"/>
        </w:rPr>
      </w:r>
    </w:p>
    <w:p>
      <w:pPr>
        <w:spacing w:line="240" w:lineRule="auto" w:before="12"/>
        <w:rPr>
          <w:rFonts w:ascii="宋体" w:hAnsi="宋体" w:cs="宋体" w:eastAsia="宋体" w:hint="default"/>
          <w:b/>
          <w:bCs/>
          <w:sz w:val="23"/>
          <w:szCs w:val="23"/>
        </w:rPr>
      </w:pPr>
    </w:p>
    <w:p>
      <w:pPr>
        <w:pStyle w:val="BodyText"/>
        <w:spacing w:line="386" w:lineRule="auto"/>
        <w:ind w:left="1554" w:right="998"/>
        <w:jc w:val="left"/>
      </w:pPr>
      <w:r>
        <w:rPr>
          <w:rFonts w:ascii="Times New Roman" w:hAnsi="Times New Roman" w:cs="Times New Roman" w:eastAsia="Times New Roman" w:hint="default"/>
        </w:rPr>
        <w:t>1</w:t>
      </w:r>
      <w:r>
        <w:rPr/>
        <w:t>、产品介绍 </w:t>
      </w:r>
      <w:r>
        <w:rPr>
          <w:spacing w:val="-1"/>
        </w:rPr>
        <w:t>公司从</w:t>
      </w:r>
      <w:r>
        <w:rPr>
          <w:rFonts w:ascii="Times New Roman" w:hAnsi="Times New Roman" w:cs="Times New Roman" w:eastAsia="Times New Roman" w:hint="default"/>
          <w:spacing w:val="-1"/>
        </w:rPr>
        <w:t>2015</w:t>
      </w:r>
      <w:r>
        <w:rPr>
          <w:spacing w:val="-1"/>
        </w:rPr>
        <w:t>年开始向研运一体转型，并于报告期内取得了实质性进展。报告期内，公司全面贯彻了自</w:t>
      </w:r>
    </w:p>
    <w:p>
      <w:pPr>
        <w:pStyle w:val="BodyText"/>
        <w:spacing w:line="386" w:lineRule="auto" w:before="35"/>
        <w:ind w:right="998"/>
        <w:jc w:val="left"/>
      </w:pPr>
      <w:r>
        <w:rPr>
          <w:spacing w:val="-2"/>
        </w:rPr>
        <w:t>研化、精品化、系列化的经营思路，陆续在全球发行了《神魔圣域》、《</w:t>
      </w:r>
      <w:r>
        <w:rPr>
          <w:rFonts w:ascii="Times New Roman" w:hAnsi="Times New Roman" w:cs="Times New Roman" w:eastAsia="Times New Roman" w:hint="default"/>
          <w:spacing w:val="-2"/>
        </w:rPr>
        <w:t>Seal</w:t>
      </w:r>
      <w:r>
        <w:rPr>
          <w:spacing w:val="-2"/>
        </w:rPr>
        <w:t>希望：新世界》等自研游戏，</w:t>
      </w:r>
      <w:r>
        <w:rPr>
          <w:spacing w:val="-80"/>
        </w:rPr>
        <w:t> </w:t>
      </w:r>
      <w:r>
        <w:rPr>
          <w:spacing w:val="-80"/>
        </w:rPr>
      </w:r>
      <w:r>
        <w:rPr/>
        <w:t>同时代理发行精品移动游戏《龙之谷</w:t>
      </w:r>
      <w:r>
        <w:rPr>
          <w:rFonts w:ascii="Times New Roman" w:hAnsi="Times New Roman" w:cs="Times New Roman" w:eastAsia="Times New Roman" w:hint="default"/>
        </w:rPr>
        <w:t>M</w:t>
      </w:r>
      <w:r>
        <w:rPr/>
        <w:t>》。</w:t>
      </w:r>
    </w:p>
    <w:p>
      <w:pPr>
        <w:pStyle w:val="BodyText"/>
        <w:spacing w:line="386" w:lineRule="auto" w:before="36"/>
        <w:ind w:left="1553" w:right="998"/>
        <w:jc w:val="left"/>
      </w:pPr>
      <w:r>
        <w:rPr/>
        <w:t>《</w:t>
      </w:r>
      <w:r>
        <w:rPr>
          <w:rFonts w:ascii="Times New Roman" w:hAnsi="Times New Roman" w:cs="Times New Roman" w:eastAsia="Times New Roman" w:hint="default"/>
        </w:rPr>
        <w:t>Seal</w:t>
      </w:r>
      <w:r>
        <w:rPr>
          <w:rFonts w:ascii="Times New Roman" w:hAnsi="Times New Roman" w:cs="Times New Roman" w:eastAsia="Times New Roman" w:hint="default"/>
          <w:spacing w:val="31"/>
        </w:rPr>
        <w:t> </w:t>
      </w:r>
      <w:r>
        <w:rPr/>
        <w:t>希望：新世界》 </w:t>
      </w:r>
      <w:r>
        <w:rPr>
          <w:spacing w:val="-3"/>
          <w:w w:val="99"/>
        </w:rPr>
        <w:t>该产品为基于端游</w:t>
      </w:r>
      <w:r>
        <w:rPr>
          <w:rFonts w:ascii="Times New Roman" w:hAnsi="Times New Roman" w:cs="Times New Roman" w:eastAsia="Times New Roman" w:hint="default"/>
          <w:spacing w:val="-3"/>
          <w:w w:val="99"/>
        </w:rPr>
        <w:t>IP</w:t>
      </w:r>
      <w:r>
        <w:rPr>
          <w:spacing w:val="-3"/>
          <w:w w:val="99"/>
        </w:rPr>
        <w:t>开发的</w:t>
      </w:r>
      <w:r>
        <w:rPr>
          <w:rFonts w:ascii="Times New Roman" w:hAnsi="Times New Roman" w:cs="Times New Roman" w:eastAsia="Times New Roman" w:hint="default"/>
          <w:spacing w:val="-3"/>
          <w:w w:val="99"/>
        </w:rPr>
        <w:t>MMORPG</w:t>
      </w:r>
      <w:r>
        <w:rPr>
          <w:spacing w:val="-3"/>
          <w:w w:val="99"/>
        </w:rPr>
        <w:t>移动网络游戏，在保留端游美术风格的基础上做了适合手游的更</w:t>
      </w:r>
    </w:p>
    <w:p>
      <w:pPr>
        <w:pStyle w:val="BodyText"/>
        <w:spacing w:line="386" w:lineRule="auto" w:before="35"/>
        <w:ind w:right="1117"/>
        <w:jc w:val="both"/>
      </w:pPr>
      <w:r>
        <w:rPr/>
        <w:t>加精美的设计，画风清新可爱。该产品于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月在台港澳地区率先上线，取得了台湾地区</w:t>
      </w:r>
      <w:r>
        <w:rPr>
          <w:rFonts w:ascii="Times New Roman" w:hAnsi="Times New Roman" w:cs="Times New Roman" w:eastAsia="Times New Roman" w:hint="default"/>
        </w:rPr>
        <w:t>App Store</w:t>
      </w:r>
      <w:r>
        <w:rPr/>
        <w:t>和</w:t>
      </w:r>
      <w:r>
        <w:rPr>
          <w:spacing w:val="-95"/>
        </w:rPr>
        <w:t> </w:t>
      </w:r>
      <w:r>
        <w:rPr>
          <w:rFonts w:ascii="Times New Roman" w:hAnsi="Times New Roman" w:cs="Times New Roman" w:eastAsia="Times New Roman" w:hint="default"/>
        </w:rPr>
        <w:t>Google</w:t>
      </w:r>
      <w:r>
        <w:rPr>
          <w:rFonts w:ascii="Times New Roman" w:hAnsi="Times New Roman" w:cs="Times New Roman" w:eastAsia="Times New Roman" w:hint="default"/>
          <w:spacing w:val="-1"/>
        </w:rPr>
        <w:t> </w:t>
      </w:r>
      <w:r>
        <w:rPr>
          <w:rFonts w:ascii="Times New Roman" w:hAnsi="Times New Roman" w:cs="Times New Roman" w:eastAsia="Times New Roman" w:hint="default"/>
        </w:rPr>
        <w:t>Play</w:t>
      </w:r>
      <w:r>
        <w:rPr/>
        <w:t>双平台下载榜第一名的好成绩。随后陆续登陆东南亚、韩国、日本、北美、南美等国家地区， 亦取得不俗成绩。</w:t>
      </w:r>
    </w:p>
    <w:p>
      <w:pPr>
        <w:pStyle w:val="BodyText"/>
        <w:spacing w:line="408" w:lineRule="auto" w:before="65"/>
        <w:ind w:left="1553" w:right="1016"/>
        <w:jc w:val="left"/>
      </w:pPr>
      <w:r>
        <w:rPr/>
        <w:t>《神魔圣域》 </w:t>
      </w:r>
      <w:r>
        <w:rPr>
          <w:spacing w:val="-4"/>
        </w:rPr>
        <w:t>由昆仑游戏原创的全球同版魔幻</w:t>
      </w:r>
      <w:r>
        <w:rPr>
          <w:rFonts w:ascii="Times New Roman" w:hAnsi="Times New Roman" w:cs="Times New Roman" w:eastAsia="Times New Roman" w:hint="default"/>
          <w:spacing w:val="-4"/>
        </w:rPr>
        <w:t>PK</w:t>
      </w:r>
      <w:r>
        <w:rPr>
          <w:spacing w:val="-4"/>
        </w:rPr>
        <w:t>手游《神魔圣域》于</w:t>
      </w:r>
      <w:r>
        <w:rPr>
          <w:rFonts w:ascii="Times New Roman" w:hAnsi="Times New Roman" w:cs="Times New Roman" w:eastAsia="Times New Roman" w:hint="default"/>
          <w:spacing w:val="-4"/>
        </w:rPr>
        <w:t>2016</w:t>
      </w:r>
      <w:r>
        <w:rPr>
          <w:spacing w:val="-4"/>
        </w:rPr>
        <w:t>年登陆市场，通过持续的优化和版本迭代，</w:t>
      </w:r>
    </w:p>
    <w:p>
      <w:pPr>
        <w:pStyle w:val="BodyText"/>
        <w:spacing w:line="408" w:lineRule="auto" w:before="14"/>
        <w:ind w:right="1131"/>
        <w:jc w:val="both"/>
      </w:pPr>
      <w:r>
        <w:rPr>
          <w:spacing w:val="-1"/>
        </w:rPr>
        <w:t>报告期内依然保持着旺盛的生命力，在全球市场积累了众多忠实玩家，成为目前公司总流水和生命周期最</w:t>
      </w:r>
      <w:r>
        <w:rPr>
          <w:spacing w:val="-81"/>
        </w:rPr>
        <w:t> </w:t>
      </w:r>
      <w:r>
        <w:rPr>
          <w:spacing w:val="-81"/>
        </w:rPr>
      </w:r>
      <w:r>
        <w:rPr/>
        <w:t>长的自研手游。</w:t>
      </w:r>
    </w:p>
    <w:p>
      <w:pPr>
        <w:pStyle w:val="BodyText"/>
        <w:spacing w:line="386" w:lineRule="auto" w:before="46"/>
        <w:ind w:left="1554" w:right="1129"/>
        <w:jc w:val="left"/>
      </w:pPr>
      <w:r>
        <w:rPr/>
        <w:t>《龙之谷</w:t>
      </w:r>
      <w:r>
        <w:rPr>
          <w:rFonts w:ascii="Times New Roman" w:hAnsi="Times New Roman" w:cs="Times New Roman" w:eastAsia="Times New Roman" w:hint="default"/>
        </w:rPr>
        <w:t>M</w:t>
      </w:r>
      <w:r>
        <w:rPr/>
        <w:t>》 </w:t>
      </w:r>
      <w:r>
        <w:rPr>
          <w:spacing w:val="-2"/>
        </w:rPr>
        <w:t>由昆仑游戏和盛大游戏合作发行的端游</w:t>
      </w:r>
      <w:r>
        <w:rPr>
          <w:rFonts w:ascii="Times New Roman" w:hAnsi="Times New Roman" w:cs="Times New Roman" w:eastAsia="Times New Roman" w:hint="default"/>
          <w:spacing w:val="-2"/>
        </w:rPr>
        <w:t>IP</w:t>
      </w:r>
      <w:r>
        <w:rPr>
          <w:spacing w:val="-2"/>
        </w:rPr>
        <w:t>改编、精品动作手游《龙之谷</w:t>
      </w:r>
      <w:r>
        <w:rPr>
          <w:rFonts w:ascii="Times New Roman" w:hAnsi="Times New Roman" w:cs="Times New Roman" w:eastAsia="Times New Roman" w:hint="default"/>
          <w:spacing w:val="-2"/>
        </w:rPr>
        <w:t>M</w:t>
      </w:r>
      <w:r>
        <w:rPr>
          <w:spacing w:val="-2"/>
        </w:rPr>
        <w:t>》已于</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2</w:t>
      </w:r>
      <w:r>
        <w:rPr>
          <w:spacing w:val="-2"/>
        </w:rPr>
        <w:t>月在繁体区域</w:t>
      </w:r>
    </w:p>
    <w:p>
      <w:pPr>
        <w:pStyle w:val="BodyText"/>
        <w:spacing w:line="386" w:lineRule="auto" w:before="35"/>
        <w:ind w:right="1130"/>
        <w:jc w:val="both"/>
      </w:pPr>
      <w:r>
        <w:rPr>
          <w:spacing w:val="-1"/>
        </w:rPr>
        <w:t>上线，首月即进入当地市场苹果及谷歌畅销榜前三和免费榜第一，成为</w:t>
      </w:r>
      <w:r>
        <w:rPr>
          <w:rFonts w:ascii="Times New Roman" w:hAnsi="Times New Roman" w:cs="Times New Roman" w:eastAsia="Times New Roman" w:hint="default"/>
          <w:spacing w:val="-1"/>
        </w:rPr>
        <w:t>2018</w:t>
      </w:r>
      <w:r>
        <w:rPr>
          <w:spacing w:val="-1"/>
        </w:rPr>
        <w:t>年一季度繁体地区表现最好的</w:t>
      </w:r>
      <w:r>
        <w:rPr>
          <w:spacing w:val="-80"/>
        </w:rPr>
        <w:t> </w:t>
      </w:r>
      <w:r>
        <w:rPr>
          <w:spacing w:val="-80"/>
        </w:rPr>
      </w:r>
      <w:r>
        <w:rPr/>
        <w:t>头部新产品，进一步巩固了公司在当地市场的市场占有率。《龙之谷</w:t>
      </w:r>
      <w:r>
        <w:rPr>
          <w:rFonts w:ascii="Times New Roman" w:hAnsi="Times New Roman" w:cs="Times New Roman" w:eastAsia="Times New Roman" w:hint="default"/>
        </w:rPr>
        <w:t>M</w:t>
      </w:r>
      <w:r>
        <w:rPr/>
        <w:t>》的国内发行是腾讯游戏，是</w:t>
      </w:r>
      <w:r>
        <w:rPr>
          <w:rFonts w:ascii="Times New Roman" w:hAnsi="Times New Roman" w:cs="Times New Roman" w:eastAsia="Times New Roman" w:hint="default"/>
        </w:rPr>
        <w:t>2017 </w:t>
      </w:r>
      <w:r>
        <w:rPr/>
        <w:t>年单月收入最高的腾讯代理产品，后续公司还将和盛大游戏共同推动《龙之谷</w:t>
      </w:r>
      <w:r>
        <w:rPr>
          <w:rFonts w:ascii="Times New Roman" w:hAnsi="Times New Roman" w:cs="Times New Roman" w:eastAsia="Times New Roman" w:hint="default"/>
        </w:rPr>
        <w:t>M</w:t>
      </w:r>
      <w:r>
        <w:rPr/>
        <w:t>》在东南亚及欧美区域的 发行。</w:t>
      </w:r>
    </w:p>
    <w:p>
      <w:pPr>
        <w:spacing w:after="0" w:line="386" w:lineRule="auto"/>
        <w:jc w:val="both"/>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pStyle w:val="BodyText"/>
        <w:spacing w:line="386" w:lineRule="auto" w:before="174"/>
        <w:ind w:left="1553" w:right="1127"/>
        <w:jc w:val="left"/>
      </w:pPr>
      <w:r>
        <w:rPr>
          <w:rFonts w:ascii="Times New Roman" w:hAnsi="Times New Roman" w:cs="Times New Roman" w:eastAsia="Times New Roman" w:hint="default"/>
        </w:rPr>
        <w:t>2</w:t>
      </w:r>
      <w:r>
        <w:rPr/>
        <w:t>、行业规模 </w:t>
      </w:r>
      <w:r>
        <w:rPr>
          <w:spacing w:val="-2"/>
        </w:rPr>
        <w:t>游戏市场研究公司</w:t>
      </w:r>
      <w:r>
        <w:rPr>
          <w:rFonts w:ascii="Times New Roman" w:hAnsi="Times New Roman" w:cs="Times New Roman" w:eastAsia="Times New Roman" w:hint="default"/>
          <w:spacing w:val="-2"/>
        </w:rPr>
        <w:t>Newzoo</w:t>
      </w:r>
      <w:r>
        <w:rPr>
          <w:spacing w:val="-2"/>
        </w:rPr>
        <w:t>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11</w:t>
      </w:r>
      <w:r>
        <w:rPr>
          <w:spacing w:val="-2"/>
        </w:rPr>
        <w:t>月发布的最新报告显示，由于游戏市场的强劲表现，</w:t>
      </w:r>
      <w:r>
        <w:rPr>
          <w:rFonts w:ascii="Times New Roman" w:hAnsi="Times New Roman" w:cs="Times New Roman" w:eastAsia="Times New Roman" w:hint="default"/>
          <w:spacing w:val="-2"/>
        </w:rPr>
        <w:t>2017</w:t>
      </w:r>
      <w:r>
        <w:rPr>
          <w:spacing w:val="-2"/>
        </w:rPr>
        <w:t>年全球</w:t>
      </w:r>
    </w:p>
    <w:p>
      <w:pPr>
        <w:pStyle w:val="BodyText"/>
        <w:spacing w:line="386" w:lineRule="auto" w:before="35"/>
        <w:ind w:right="998"/>
        <w:jc w:val="left"/>
      </w:pPr>
      <w:r>
        <w:rPr/>
        <w:t>游戏市场的营收将会达到</w:t>
      </w:r>
      <w:r>
        <w:rPr>
          <w:rFonts w:ascii="Times New Roman" w:hAnsi="Times New Roman" w:cs="Times New Roman" w:eastAsia="Times New Roman" w:hint="default"/>
        </w:rPr>
        <w:t>1160</w:t>
      </w:r>
      <w:r>
        <w:rPr/>
        <w:t>亿美元，较去年增长</w:t>
      </w:r>
      <w:r>
        <w:rPr>
          <w:rFonts w:ascii="Times New Roman" w:hAnsi="Times New Roman" w:cs="Times New Roman" w:eastAsia="Times New Roman" w:hint="default"/>
        </w:rPr>
        <w:t>10.7%</w:t>
      </w:r>
      <w:r>
        <w:rPr/>
        <w:t>。其中移动游戏的营收占行业总收入的</w:t>
      </w:r>
      <w:r>
        <w:rPr>
          <w:rFonts w:ascii="Times New Roman" w:hAnsi="Times New Roman" w:cs="Times New Roman" w:eastAsia="Times New Roman" w:hint="default"/>
        </w:rPr>
        <w:t>43%</w:t>
      </w:r>
      <w:r>
        <w:rPr/>
        <w:t>，超</w:t>
      </w:r>
      <w:r>
        <w:rPr>
          <w:spacing w:val="-12"/>
        </w:rPr>
        <w:t> </w:t>
      </w:r>
      <w:r>
        <w:rPr/>
        <w:t>过</w:t>
      </w:r>
      <w:r>
        <w:rPr>
          <w:rFonts w:ascii="Times New Roman" w:hAnsi="Times New Roman" w:cs="Times New Roman" w:eastAsia="Times New Roman" w:hint="default"/>
        </w:rPr>
        <w:t>500</w:t>
      </w:r>
      <w:r>
        <w:rPr/>
        <w:t>亿美元，同比增长</w:t>
      </w:r>
      <w:r>
        <w:rPr>
          <w:rFonts w:ascii="Times New Roman" w:hAnsi="Times New Roman" w:cs="Times New Roman" w:eastAsia="Times New Roman" w:hint="default"/>
        </w:rPr>
        <w:t>23.3%</w:t>
      </w:r>
      <w:r>
        <w:rPr/>
        <w:t>。</w:t>
      </w:r>
    </w:p>
    <w:p>
      <w:pPr>
        <w:pStyle w:val="BodyText"/>
        <w:spacing w:line="386" w:lineRule="auto" w:before="35"/>
        <w:ind w:right="998" w:firstLine="420"/>
        <w:jc w:val="left"/>
      </w:pPr>
      <w:r>
        <w:rPr/>
        <w:t>根据</w:t>
      </w:r>
      <w:r>
        <w:rPr>
          <w:rFonts w:ascii="Times New Roman" w:hAnsi="Times New Roman" w:cs="Times New Roman" w:eastAsia="Times New Roman" w:hint="default"/>
        </w:rPr>
        <w:t>Newzoo</w:t>
      </w:r>
      <w:r>
        <w:rPr/>
        <w:t>的预测，</w:t>
      </w:r>
      <w:r>
        <w:rPr>
          <w:rFonts w:ascii="Times New Roman" w:hAnsi="Times New Roman" w:cs="Times New Roman" w:eastAsia="Times New Roman" w:hint="default"/>
        </w:rPr>
        <w:t>2016-2020</w:t>
      </w:r>
      <w:r>
        <w:rPr/>
        <w:t>年全球游戏市场的复合增长率将达到</w:t>
      </w:r>
      <w:r>
        <w:rPr>
          <w:rFonts w:ascii="Times New Roman" w:hAnsi="Times New Roman" w:cs="Times New Roman" w:eastAsia="Times New Roman" w:hint="default"/>
        </w:rPr>
        <w:t>8.2%</w:t>
      </w:r>
      <w:r>
        <w:rPr/>
        <w:t>，</w:t>
      </w:r>
      <w:r>
        <w:rPr>
          <w:rFonts w:ascii="Times New Roman" w:hAnsi="Times New Roman" w:cs="Times New Roman" w:eastAsia="Times New Roman" w:hint="default"/>
        </w:rPr>
        <w:t>2020</w:t>
      </w:r>
      <w:r>
        <w:rPr/>
        <w:t>年全球游戏市场的营 收会达到</w:t>
      </w:r>
      <w:r>
        <w:rPr>
          <w:rFonts w:ascii="Times New Roman" w:hAnsi="Times New Roman" w:cs="Times New Roman" w:eastAsia="Times New Roman" w:hint="default"/>
        </w:rPr>
        <w:t>1435</w:t>
      </w:r>
      <w:r>
        <w:rPr/>
        <w:t>亿美元，移动游戏的营收会增长到</w:t>
      </w:r>
      <w:r>
        <w:rPr>
          <w:rFonts w:ascii="Times New Roman" w:hAnsi="Times New Roman" w:cs="Times New Roman" w:eastAsia="Times New Roman" w:hint="default"/>
        </w:rPr>
        <w:t>732</w:t>
      </w:r>
      <w:r>
        <w:rPr/>
        <w:t>亿美元，占到全球游戏市场营收的一半。</w:t>
      </w:r>
    </w:p>
    <w:p>
      <w:pPr>
        <w:spacing w:line="240" w:lineRule="auto" w:before="12"/>
        <w:rPr>
          <w:rFonts w:ascii="宋体" w:hAnsi="宋体" w:cs="宋体" w:eastAsia="宋体" w:hint="default"/>
          <w:sz w:val="5"/>
          <w:szCs w:val="5"/>
        </w:rPr>
      </w:pPr>
    </w:p>
    <w:p>
      <w:pPr>
        <w:spacing w:line="3532" w:lineRule="exact"/>
        <w:ind w:left="2579" w:right="0" w:firstLine="0"/>
        <w:rPr>
          <w:rFonts w:ascii="宋体" w:hAnsi="宋体" w:cs="宋体" w:eastAsia="宋体" w:hint="default"/>
          <w:sz w:val="20"/>
          <w:szCs w:val="20"/>
        </w:rPr>
      </w:pPr>
      <w:r>
        <w:rPr>
          <w:rFonts w:ascii="宋体" w:hAnsi="宋体" w:cs="宋体" w:eastAsia="宋体" w:hint="default"/>
          <w:position w:val="-70"/>
          <w:sz w:val="20"/>
          <w:szCs w:val="20"/>
        </w:rPr>
        <w:drawing>
          <wp:inline distT="0" distB="0" distL="0" distR="0">
            <wp:extent cx="4286585" cy="2243328"/>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2" cstate="print"/>
                    <a:stretch>
                      <a:fillRect/>
                    </a:stretch>
                  </pic:blipFill>
                  <pic:spPr>
                    <a:xfrm>
                      <a:off x="0" y="0"/>
                      <a:ext cx="4286585" cy="2243328"/>
                    </a:xfrm>
                    <a:prstGeom prst="rect">
                      <a:avLst/>
                    </a:prstGeom>
                  </pic:spPr>
                </pic:pic>
              </a:graphicData>
            </a:graphic>
          </wp:inline>
        </w:drawing>
      </w:r>
      <w:r>
        <w:rPr>
          <w:rFonts w:ascii="宋体" w:hAnsi="宋体" w:cs="宋体" w:eastAsia="宋体" w:hint="default"/>
          <w:position w:val="-70"/>
          <w:sz w:val="20"/>
          <w:szCs w:val="20"/>
        </w:rPr>
      </w:r>
    </w:p>
    <w:p>
      <w:pPr>
        <w:spacing w:line="240" w:lineRule="auto" w:before="2"/>
        <w:rPr>
          <w:rFonts w:ascii="宋体" w:hAnsi="宋体" w:cs="宋体" w:eastAsia="宋体" w:hint="default"/>
          <w:sz w:val="22"/>
          <w:szCs w:val="22"/>
        </w:rPr>
      </w:pPr>
    </w:p>
    <w:p>
      <w:pPr>
        <w:pStyle w:val="BodyText"/>
        <w:spacing w:line="386" w:lineRule="auto"/>
        <w:ind w:right="1020" w:firstLine="420"/>
        <w:jc w:val="left"/>
      </w:pPr>
      <w:r>
        <w:rPr>
          <w:spacing w:val="-1"/>
        </w:rPr>
        <w:t>分地区来看，亚洲贡献了一半的营收，达到</w:t>
      </w:r>
      <w:r>
        <w:rPr>
          <w:rFonts w:ascii="Times New Roman" w:hAnsi="Times New Roman" w:cs="Times New Roman" w:eastAsia="Times New Roman" w:hint="default"/>
          <w:spacing w:val="-1"/>
        </w:rPr>
        <w:t>578</w:t>
      </w:r>
      <w:r>
        <w:rPr>
          <w:spacing w:val="-1"/>
        </w:rPr>
        <w:t>亿美元，同比增长</w:t>
      </w:r>
      <w:r>
        <w:rPr>
          <w:rFonts w:ascii="Times New Roman" w:hAnsi="Times New Roman" w:cs="Times New Roman" w:eastAsia="Times New Roman" w:hint="default"/>
          <w:spacing w:val="-1"/>
        </w:rPr>
        <w:t>14.6%</w:t>
      </w:r>
      <w:r>
        <w:rPr>
          <w:spacing w:val="-1"/>
        </w:rPr>
        <w:t>。北美的营收达到</w:t>
      </w:r>
      <w:r>
        <w:rPr>
          <w:rFonts w:ascii="Times New Roman" w:hAnsi="Times New Roman" w:cs="Times New Roman" w:eastAsia="Times New Roman" w:hint="default"/>
          <w:spacing w:val="-1"/>
        </w:rPr>
        <w:t>274</w:t>
      </w:r>
      <w:r>
        <w:rPr>
          <w:spacing w:val="-1"/>
        </w:rPr>
        <w:t>亿美元，</w:t>
      </w:r>
      <w:r>
        <w:rPr/>
        <w:t> </w:t>
      </w:r>
      <w:r>
        <w:rPr>
          <w:spacing w:val="-2"/>
        </w:rPr>
        <w:t>占比</w:t>
      </w:r>
      <w:r>
        <w:rPr>
          <w:rFonts w:ascii="Times New Roman" w:hAnsi="Times New Roman" w:cs="Times New Roman" w:eastAsia="Times New Roman" w:hint="default"/>
          <w:spacing w:val="-2"/>
        </w:rPr>
        <w:t>23%</w:t>
      </w:r>
      <w:r>
        <w:rPr>
          <w:spacing w:val="-2"/>
        </w:rPr>
        <w:t>，同比增速</w:t>
      </w:r>
      <w:r>
        <w:rPr>
          <w:rFonts w:ascii="Times New Roman" w:hAnsi="Times New Roman" w:cs="Times New Roman" w:eastAsia="Times New Roman" w:hint="default"/>
          <w:spacing w:val="-2"/>
        </w:rPr>
        <w:t>5.1%</w:t>
      </w:r>
      <w:r>
        <w:rPr>
          <w:spacing w:val="-2"/>
        </w:rPr>
        <w:t>。拉美的营收达到</w:t>
      </w:r>
      <w:r>
        <w:rPr>
          <w:rFonts w:ascii="Times New Roman" w:hAnsi="Times New Roman" w:cs="Times New Roman" w:eastAsia="Times New Roman" w:hint="default"/>
          <w:spacing w:val="-2"/>
        </w:rPr>
        <w:t>44</w:t>
      </w:r>
      <w:r>
        <w:rPr>
          <w:spacing w:val="-2"/>
        </w:rPr>
        <w:t>亿美元，占比</w:t>
      </w:r>
      <w:r>
        <w:rPr>
          <w:rFonts w:ascii="Times New Roman" w:hAnsi="Times New Roman" w:cs="Times New Roman" w:eastAsia="Times New Roman" w:hint="default"/>
          <w:spacing w:val="-2"/>
        </w:rPr>
        <w:t>4%</w:t>
      </w:r>
      <w:r>
        <w:rPr>
          <w:spacing w:val="-2"/>
        </w:rPr>
        <w:t>，同比增速</w:t>
      </w:r>
      <w:r>
        <w:rPr>
          <w:rFonts w:ascii="Times New Roman" w:hAnsi="Times New Roman" w:cs="Times New Roman" w:eastAsia="Times New Roman" w:hint="default"/>
          <w:spacing w:val="-2"/>
        </w:rPr>
        <w:t>13.4%</w:t>
      </w:r>
      <w:r>
        <w:rPr>
          <w:spacing w:val="-2"/>
        </w:rPr>
        <w:t>。欧洲的营收达到</w:t>
      </w:r>
      <w:r>
        <w:rPr>
          <w:rFonts w:ascii="Times New Roman" w:hAnsi="Times New Roman" w:cs="Times New Roman" w:eastAsia="Times New Roman" w:hint="default"/>
          <w:spacing w:val="-2"/>
        </w:rPr>
        <w:t>224</w:t>
      </w:r>
      <w:r>
        <w:rPr>
          <w:spacing w:val="-2"/>
        </w:rPr>
        <w:t>亿美</w:t>
      </w:r>
      <w:r>
        <w:rPr>
          <w:spacing w:val="-99"/>
        </w:rPr>
        <w:t> </w:t>
      </w:r>
      <w:r>
        <w:rPr/>
        <w:t>元，占比</w:t>
      </w:r>
      <w:r>
        <w:rPr>
          <w:rFonts w:ascii="Times New Roman" w:hAnsi="Times New Roman" w:cs="Times New Roman" w:eastAsia="Times New Roman" w:hint="default"/>
        </w:rPr>
        <w:t>19%</w:t>
      </w:r>
      <w:r>
        <w:rPr/>
        <w:t>，同比增速</w:t>
      </w:r>
      <w:r>
        <w:rPr>
          <w:rFonts w:ascii="Times New Roman" w:hAnsi="Times New Roman" w:cs="Times New Roman" w:eastAsia="Times New Roman" w:hint="default"/>
        </w:rPr>
        <w:t>5.6%</w:t>
      </w:r>
      <w:r>
        <w:rPr/>
        <w:t>。中东和非洲的营收达到</w:t>
      </w:r>
      <w:r>
        <w:rPr>
          <w:rFonts w:ascii="Times New Roman" w:hAnsi="Times New Roman" w:cs="Times New Roman" w:eastAsia="Times New Roman" w:hint="default"/>
        </w:rPr>
        <w:t>40</w:t>
      </w:r>
      <w:r>
        <w:rPr/>
        <w:t>亿美元，占比</w:t>
      </w:r>
      <w:r>
        <w:rPr>
          <w:rFonts w:ascii="Times New Roman" w:hAnsi="Times New Roman" w:cs="Times New Roman" w:eastAsia="Times New Roman" w:hint="default"/>
        </w:rPr>
        <w:t>3%</w:t>
      </w:r>
      <w:r>
        <w:rPr/>
        <w:t>，同比增速</w:t>
      </w:r>
      <w:r>
        <w:rPr>
          <w:rFonts w:ascii="Times New Roman" w:hAnsi="Times New Roman" w:cs="Times New Roman" w:eastAsia="Times New Roman" w:hint="default"/>
        </w:rPr>
        <w:t>25.6%</w:t>
      </w:r>
      <w:r>
        <w:rPr/>
        <w:t>。</w:t>
      </w:r>
    </w:p>
    <w:p>
      <w:pPr>
        <w:spacing w:line="4320" w:lineRule="exact"/>
        <w:ind w:left="2352"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4572635" cy="2743200"/>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13" cstate="print"/>
                    <a:stretch>
                      <a:fillRect/>
                    </a:stretch>
                  </pic:blipFill>
                  <pic:spPr>
                    <a:xfrm>
                      <a:off x="0" y="0"/>
                      <a:ext cx="4572635" cy="2743200"/>
                    </a:xfrm>
                    <a:prstGeom prst="rect">
                      <a:avLst/>
                    </a:prstGeom>
                  </pic:spPr>
                </pic:pic>
              </a:graphicData>
            </a:graphic>
          </wp:inline>
        </w:drawing>
      </w:r>
      <w:r>
        <w:rPr>
          <w:rFonts w:ascii="宋体" w:hAnsi="宋体" w:cs="宋体" w:eastAsia="宋体" w:hint="default"/>
          <w:position w:val="-85"/>
          <w:sz w:val="20"/>
          <w:szCs w:val="20"/>
        </w:rPr>
      </w:r>
    </w:p>
    <w:p>
      <w:pPr>
        <w:spacing w:line="240" w:lineRule="auto" w:before="12"/>
        <w:rPr>
          <w:rFonts w:ascii="宋体" w:hAnsi="宋体" w:cs="宋体" w:eastAsia="宋体" w:hint="default"/>
          <w:sz w:val="15"/>
          <w:szCs w:val="15"/>
        </w:rPr>
      </w:pPr>
    </w:p>
    <w:p>
      <w:pPr>
        <w:pStyle w:val="BodyText"/>
        <w:spacing w:line="386" w:lineRule="auto"/>
        <w:ind w:right="1132" w:firstLine="420"/>
        <w:jc w:val="both"/>
      </w:pPr>
      <w:r>
        <w:rPr/>
        <w:t>分国家来看，中国在</w:t>
      </w:r>
      <w:r>
        <w:rPr>
          <w:rFonts w:ascii="Times New Roman" w:hAnsi="Times New Roman" w:cs="Times New Roman" w:eastAsia="Times New Roman" w:hint="default"/>
        </w:rPr>
        <w:t>2017</w:t>
      </w:r>
      <w:r>
        <w:rPr/>
        <w:t>年已经超过美国，成为游戏营收贡献最多的国家，达到</w:t>
      </w:r>
      <w:r>
        <w:rPr>
          <w:rFonts w:ascii="Times New Roman" w:hAnsi="Times New Roman" w:cs="Times New Roman" w:eastAsia="Times New Roman" w:hint="default"/>
        </w:rPr>
        <w:t>325</w:t>
      </w:r>
      <w:r>
        <w:rPr/>
        <w:t>亿美元，占全球 </w:t>
      </w:r>
      <w:r>
        <w:rPr>
          <w:spacing w:val="-2"/>
        </w:rPr>
        <w:t>市场的</w:t>
      </w:r>
      <w:r>
        <w:rPr>
          <w:rFonts w:ascii="Times New Roman" w:hAnsi="Times New Roman" w:cs="Times New Roman" w:eastAsia="Times New Roman" w:hint="default"/>
          <w:spacing w:val="-2"/>
        </w:rPr>
        <w:t>28%</w:t>
      </w:r>
      <w:r>
        <w:rPr>
          <w:spacing w:val="-2"/>
        </w:rPr>
        <w:t>，同比增速达到</w:t>
      </w:r>
      <w:r>
        <w:rPr>
          <w:rFonts w:ascii="Times New Roman" w:hAnsi="Times New Roman" w:cs="Times New Roman" w:eastAsia="Times New Roman" w:hint="default"/>
          <w:spacing w:val="-2"/>
        </w:rPr>
        <w:t>20%</w:t>
      </w:r>
      <w:r>
        <w:rPr>
          <w:spacing w:val="-2"/>
        </w:rPr>
        <w:t>。美国</w:t>
      </w:r>
      <w:r>
        <w:rPr>
          <w:rFonts w:ascii="Times New Roman" w:hAnsi="Times New Roman" w:cs="Times New Roman" w:eastAsia="Times New Roman" w:hint="default"/>
          <w:spacing w:val="-2"/>
        </w:rPr>
        <w:t>2017</w:t>
      </w:r>
      <w:r>
        <w:rPr>
          <w:spacing w:val="-2"/>
        </w:rPr>
        <w:t>年游戏营收</w:t>
      </w:r>
      <w:r>
        <w:rPr>
          <w:rFonts w:ascii="Times New Roman" w:hAnsi="Times New Roman" w:cs="Times New Roman" w:eastAsia="Times New Roman" w:hint="default"/>
          <w:spacing w:val="-2"/>
        </w:rPr>
        <w:t>254</w:t>
      </w:r>
      <w:r>
        <w:rPr>
          <w:spacing w:val="-2"/>
        </w:rPr>
        <w:t>亿美元，占全球市场的</w:t>
      </w:r>
      <w:r>
        <w:rPr>
          <w:rFonts w:ascii="Times New Roman" w:hAnsi="Times New Roman" w:cs="Times New Roman" w:eastAsia="Times New Roman" w:hint="default"/>
          <w:spacing w:val="-2"/>
        </w:rPr>
        <w:t>22%</w:t>
      </w:r>
      <w:r>
        <w:rPr>
          <w:spacing w:val="-2"/>
        </w:rPr>
        <w:t>，同比增速</w:t>
      </w:r>
      <w:r>
        <w:rPr>
          <w:rFonts w:ascii="Times New Roman" w:hAnsi="Times New Roman" w:cs="Times New Roman" w:eastAsia="Times New Roman" w:hint="default"/>
          <w:spacing w:val="-2"/>
        </w:rPr>
        <w:t>5%</w:t>
      </w:r>
      <w:r>
        <w:rPr>
          <w:spacing w:val="-2"/>
        </w:rPr>
        <w:t>。排名</w:t>
      </w:r>
      <w:r>
        <w:rPr/>
        <w:t> 第三的是日本，全年营收达到</w:t>
      </w:r>
      <w:r>
        <w:rPr>
          <w:rFonts w:ascii="Times New Roman" w:hAnsi="Times New Roman" w:cs="Times New Roman" w:eastAsia="Times New Roman" w:hint="default"/>
        </w:rPr>
        <w:t>140</w:t>
      </w:r>
      <w:r>
        <w:rPr/>
        <w:t>亿美元。</w:t>
      </w:r>
    </w:p>
    <w:p>
      <w:pPr>
        <w:spacing w:after="0" w:line="386" w:lineRule="auto"/>
        <w:jc w:val="both"/>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pStyle w:val="BodyText"/>
        <w:spacing w:line="386" w:lineRule="auto" w:before="174"/>
        <w:ind w:right="1092" w:firstLine="420"/>
        <w:jc w:val="both"/>
      </w:pPr>
      <w:r>
        <w:rPr/>
        <w:t>根据中国文化娱乐行业协会发布《</w:t>
      </w:r>
      <w:r>
        <w:rPr>
          <w:rFonts w:ascii="Times New Roman" w:hAnsi="Times New Roman" w:cs="Times New Roman" w:eastAsia="Times New Roman" w:hint="default"/>
        </w:rPr>
        <w:t>2017</w:t>
      </w:r>
      <w:r>
        <w:rPr/>
        <w:t>年中国游戏行业年度报告》，</w:t>
      </w:r>
      <w:r>
        <w:rPr>
          <w:rFonts w:ascii="Times New Roman" w:hAnsi="Times New Roman" w:cs="Times New Roman" w:eastAsia="Times New Roman" w:hint="default"/>
        </w:rPr>
        <w:t>2017</w:t>
      </w:r>
      <w:r>
        <w:rPr/>
        <w:t>年中国游戏行业整体营业收 入约达</w:t>
      </w:r>
      <w:r>
        <w:rPr>
          <w:rFonts w:ascii="Times New Roman" w:hAnsi="Times New Roman" w:cs="Times New Roman" w:eastAsia="Times New Roman" w:hint="default"/>
        </w:rPr>
        <w:t>2189.6</w:t>
      </w:r>
      <w:r>
        <w:rPr/>
        <w:t>亿元，与</w:t>
      </w:r>
      <w:r>
        <w:rPr>
          <w:rFonts w:ascii="Times New Roman" w:hAnsi="Times New Roman" w:cs="Times New Roman" w:eastAsia="Times New Roman" w:hint="default"/>
        </w:rPr>
        <w:t>2016</w:t>
      </w:r>
      <w:r>
        <w:rPr/>
        <w:t>年相比增长</w:t>
      </w:r>
      <w:r>
        <w:rPr>
          <w:rFonts w:ascii="Times New Roman" w:hAnsi="Times New Roman" w:cs="Times New Roman" w:eastAsia="Times New Roman" w:hint="default"/>
        </w:rPr>
        <w:t>23.1%</w:t>
      </w:r>
      <w:r>
        <w:rPr/>
        <w:t>。其中，移动游戏市场销售收入</w:t>
      </w:r>
      <w:r>
        <w:rPr>
          <w:rFonts w:ascii="Times New Roman" w:hAnsi="Times New Roman" w:cs="Times New Roman" w:eastAsia="Times New Roman" w:hint="default"/>
        </w:rPr>
        <w:t>1161.2</w:t>
      </w:r>
      <w:r>
        <w:rPr/>
        <w:t>亿元，份额继续增加， 占</w:t>
      </w:r>
      <w:r>
        <w:rPr>
          <w:rFonts w:ascii="Times New Roman" w:hAnsi="Times New Roman" w:cs="Times New Roman" w:eastAsia="Times New Roman" w:hint="default"/>
        </w:rPr>
        <w:t>57.0%</w:t>
      </w:r>
      <w:r>
        <w:rPr/>
        <w:t>；客户端游戏市场销售收入</w:t>
      </w:r>
      <w:r>
        <w:rPr>
          <w:rFonts w:ascii="Times New Roman" w:hAnsi="Times New Roman" w:cs="Times New Roman" w:eastAsia="Times New Roman" w:hint="default"/>
        </w:rPr>
        <w:t>648.6</w:t>
      </w:r>
      <w:r>
        <w:rPr/>
        <w:t>亿元，份额减少，占</w:t>
      </w:r>
      <w:r>
        <w:rPr>
          <w:rFonts w:ascii="Times New Roman" w:hAnsi="Times New Roman" w:cs="Times New Roman" w:eastAsia="Times New Roman" w:hint="default"/>
        </w:rPr>
        <w:t>31.9%</w:t>
      </w:r>
      <w:r>
        <w:rPr/>
        <w:t>；网页游戏市场销售收入</w:t>
      </w:r>
      <w:r>
        <w:rPr>
          <w:rFonts w:ascii="Times New Roman" w:hAnsi="Times New Roman" w:cs="Times New Roman" w:eastAsia="Times New Roman" w:hint="default"/>
        </w:rPr>
        <w:t>156.0</w:t>
      </w:r>
      <w:r>
        <w:rPr/>
        <w:t>亿元，</w:t>
      </w:r>
      <w:r>
        <w:rPr>
          <w:spacing w:val="-62"/>
        </w:rPr>
        <w:t> </w:t>
      </w:r>
      <w:r>
        <w:rPr/>
        <w:t>份额大幅减少，占</w:t>
      </w:r>
      <w:r>
        <w:rPr>
          <w:rFonts w:ascii="Times New Roman" w:hAnsi="Times New Roman" w:cs="Times New Roman" w:eastAsia="Times New Roman" w:hint="default"/>
        </w:rPr>
        <w:t>7.6%</w:t>
      </w:r>
      <w:r>
        <w:rPr/>
        <w:t>；家庭游戏机游戏市场销售收入</w:t>
      </w:r>
      <w:r>
        <w:rPr>
          <w:rFonts w:ascii="Times New Roman" w:hAnsi="Times New Roman" w:cs="Times New Roman" w:eastAsia="Times New Roman" w:hint="default"/>
        </w:rPr>
        <w:t>13.7</w:t>
      </w:r>
      <w:r>
        <w:rPr/>
        <w:t>亿元，份额有所增加，占</w:t>
      </w:r>
      <w:r>
        <w:rPr>
          <w:rFonts w:ascii="Times New Roman" w:hAnsi="Times New Roman" w:cs="Times New Roman" w:eastAsia="Times New Roman" w:hint="default"/>
        </w:rPr>
        <w:t>0.7%</w:t>
      </w:r>
      <w:r>
        <w:rPr/>
        <w:t>。</w:t>
      </w:r>
    </w:p>
    <w:p>
      <w:pPr>
        <w:pStyle w:val="BodyText"/>
        <w:spacing w:line="386" w:lineRule="auto" w:before="35"/>
        <w:ind w:right="1133" w:firstLine="420"/>
        <w:jc w:val="both"/>
      </w:pPr>
      <w:r>
        <w:rPr/>
        <w:t>同时中国游戏市场的竞争也非常激烈，腾讯和网易两家巨头在</w:t>
      </w:r>
      <w:r>
        <w:rPr>
          <w:rFonts w:ascii="Times New Roman" w:hAnsi="Times New Roman" w:cs="Times New Roman" w:eastAsia="Times New Roman" w:hint="default"/>
        </w:rPr>
        <w:t>2017</w:t>
      </w:r>
      <w:r>
        <w:rPr/>
        <w:t>年拿下中国游戏市场</w:t>
      </w:r>
      <w:r>
        <w:rPr>
          <w:rFonts w:ascii="Times New Roman" w:hAnsi="Times New Roman" w:cs="Times New Roman" w:eastAsia="Times New Roman" w:hint="default"/>
        </w:rPr>
        <w:t>67%</w:t>
      </w:r>
      <w:r>
        <w:rPr/>
        <w:t>的份额， 其中腾讯</w:t>
      </w:r>
      <w:r>
        <w:rPr>
          <w:rFonts w:ascii="Times New Roman" w:hAnsi="Times New Roman" w:cs="Times New Roman" w:eastAsia="Times New Roman" w:hint="default"/>
        </w:rPr>
        <w:t>49%</w:t>
      </w:r>
      <w:r>
        <w:rPr/>
        <w:t>，网易</w:t>
      </w:r>
      <w:r>
        <w:rPr>
          <w:rFonts w:ascii="Times New Roman" w:hAnsi="Times New Roman" w:cs="Times New Roman" w:eastAsia="Times New Roman" w:hint="default"/>
        </w:rPr>
        <w:t>18%</w:t>
      </w:r>
      <w:r>
        <w:rPr/>
        <w:t>，其他厂商瓜分</w:t>
      </w:r>
      <w:r>
        <w:rPr>
          <w:rFonts w:ascii="Times New Roman" w:hAnsi="Times New Roman" w:cs="Times New Roman" w:eastAsia="Times New Roman" w:hint="default"/>
        </w:rPr>
        <w:t>33%</w:t>
      </w:r>
      <w:r>
        <w:rPr/>
        <w:t>的市场。</w:t>
      </w:r>
    </w:p>
    <w:p>
      <w:pPr>
        <w:pStyle w:val="Heading6"/>
        <w:spacing w:line="240" w:lineRule="auto" w:before="35"/>
        <w:ind w:left="1556" w:right="998"/>
        <w:jc w:val="left"/>
        <w:rPr>
          <w:b w:val="0"/>
          <w:bCs w:val="0"/>
        </w:rPr>
      </w:pPr>
      <w:r>
        <w:rPr/>
        <w:t>业务二：休闲娱乐平台闲徕互娱</w:t>
      </w:r>
      <w:r>
        <w:rPr>
          <w:b w:val="0"/>
          <w:bCs w:val="0"/>
        </w:rPr>
      </w:r>
    </w:p>
    <w:p>
      <w:pPr>
        <w:spacing w:line="240" w:lineRule="auto" w:before="12"/>
        <w:rPr>
          <w:rFonts w:ascii="宋体" w:hAnsi="宋体" w:cs="宋体" w:eastAsia="宋体" w:hint="default"/>
          <w:b/>
          <w:bCs/>
          <w:sz w:val="23"/>
          <w:szCs w:val="23"/>
        </w:rPr>
      </w:pPr>
    </w:p>
    <w:p>
      <w:pPr>
        <w:pStyle w:val="BodyText"/>
        <w:spacing w:line="386" w:lineRule="auto"/>
        <w:ind w:left="1553" w:right="1117"/>
        <w:jc w:val="left"/>
      </w:pPr>
      <w:r>
        <w:rPr>
          <w:rFonts w:ascii="Times New Roman" w:hAnsi="Times New Roman" w:cs="Times New Roman" w:eastAsia="Times New Roman" w:hint="default"/>
        </w:rPr>
        <w:t>1</w:t>
      </w:r>
      <w:r>
        <w:rPr/>
        <w:t>、产品介绍 公司于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月出资</w:t>
      </w:r>
      <w:r>
        <w:rPr>
          <w:rFonts w:ascii="Times New Roman" w:hAnsi="Times New Roman" w:cs="Times New Roman" w:eastAsia="Times New Roman" w:hint="default"/>
        </w:rPr>
        <w:t>10.2</w:t>
      </w:r>
      <w:r>
        <w:rPr/>
        <w:t>亿元收购闲徕互娱</w:t>
      </w:r>
      <w:r>
        <w:rPr>
          <w:rFonts w:ascii="Times New Roman" w:hAnsi="Times New Roman" w:cs="Times New Roman" w:eastAsia="Times New Roman" w:hint="default"/>
        </w:rPr>
        <w:t>51%</w:t>
      </w:r>
      <w:r>
        <w:rPr/>
        <w:t>的股权，并于同年</w:t>
      </w:r>
      <w:r>
        <w:rPr>
          <w:rFonts w:ascii="Times New Roman" w:hAnsi="Times New Roman" w:cs="Times New Roman" w:eastAsia="Times New Roman" w:hint="default"/>
        </w:rPr>
        <w:t>2</w:t>
      </w:r>
      <w:r>
        <w:rPr/>
        <w:t>月纳入公司财务报表合并范围。 闲徕互娱专注于</w:t>
      </w:r>
      <w:r>
        <w:rPr>
          <w:rFonts w:ascii="Times New Roman" w:hAnsi="Times New Roman" w:cs="Times New Roman" w:eastAsia="Times New Roman" w:hint="default"/>
        </w:rPr>
        <w:t>“</w:t>
      </w:r>
      <w:r>
        <w:rPr/>
        <w:t>地方特色休闲竞技</w:t>
      </w:r>
      <w:r>
        <w:rPr>
          <w:rFonts w:ascii="Times New Roman" w:hAnsi="Times New Roman" w:cs="Times New Roman" w:eastAsia="Times New Roman" w:hint="default"/>
        </w:rPr>
        <w:t>”</w:t>
      </w:r>
      <w:r>
        <w:rPr/>
        <w:t>产品细分市场的开拓，公司已推出上线</w:t>
      </w:r>
      <w:r>
        <w:rPr>
          <w:rFonts w:ascii="Times New Roman" w:hAnsi="Times New Roman" w:cs="Times New Roman" w:eastAsia="Times New Roman" w:hint="default"/>
        </w:rPr>
        <w:t>28</w:t>
      </w:r>
      <w:r>
        <w:rPr/>
        <w:t>款并准备再上线</w:t>
      </w:r>
      <w:r>
        <w:rPr>
          <w:rFonts w:ascii="Times New Roman" w:hAnsi="Times New Roman" w:cs="Times New Roman" w:eastAsia="Times New Roman" w:hint="default"/>
        </w:rPr>
        <w:t>10</w:t>
      </w:r>
      <w:r>
        <w:rPr/>
        <w:t>余款</w:t>
      </w:r>
    </w:p>
    <w:p>
      <w:pPr>
        <w:pStyle w:val="BodyText"/>
        <w:spacing w:line="398" w:lineRule="auto" w:before="35"/>
        <w:ind w:right="1130"/>
        <w:jc w:val="both"/>
      </w:pPr>
      <w:r>
        <w:rPr>
          <w:spacing w:val="-1"/>
        </w:rPr>
        <w:t>极具地方特色的在线棋牌休闲产品，获得了良好的市场反馈和用户口碑，迅速占领了包括湖南、四川等大</w:t>
      </w:r>
      <w:r>
        <w:rPr>
          <w:spacing w:val="-83"/>
        </w:rPr>
        <w:t> </w:t>
      </w:r>
      <w:r>
        <w:rPr>
          <w:spacing w:val="-83"/>
        </w:rPr>
      </w:r>
      <w:r>
        <w:rPr/>
        <w:t>省在内的</w:t>
      </w:r>
      <w:r>
        <w:rPr>
          <w:rFonts w:ascii="Times New Roman" w:hAnsi="Times New Roman" w:cs="Times New Roman" w:eastAsia="Times New Roman" w:hint="default"/>
        </w:rPr>
        <w:t>20</w:t>
      </w:r>
      <w:r>
        <w:rPr/>
        <w:t>个省份、</w:t>
      </w:r>
      <w:r>
        <w:rPr>
          <w:rFonts w:ascii="Times New Roman" w:hAnsi="Times New Roman" w:cs="Times New Roman" w:eastAsia="Times New Roman" w:hint="default"/>
        </w:rPr>
        <w:t>3</w:t>
      </w:r>
      <w:r>
        <w:rPr/>
        <w:t>个直辖市和</w:t>
      </w:r>
      <w:r>
        <w:rPr>
          <w:rFonts w:ascii="Times New Roman" w:hAnsi="Times New Roman" w:cs="Times New Roman" w:eastAsia="Times New Roman" w:hint="default"/>
        </w:rPr>
        <w:t>5</w:t>
      </w:r>
      <w:r>
        <w:rPr/>
        <w:t>个自治区的细分领域市场，日活跃用户达</w:t>
      </w:r>
      <w:r>
        <w:rPr>
          <w:rFonts w:ascii="Times New Roman" w:hAnsi="Times New Roman" w:cs="Times New Roman" w:eastAsia="Times New Roman" w:hint="default"/>
        </w:rPr>
        <w:t>380</w:t>
      </w:r>
      <w:r>
        <w:rPr/>
        <w:t>万，平台累计注册用户量</w:t>
      </w:r>
      <w:r>
        <w:rPr>
          <w:spacing w:val="-28"/>
        </w:rPr>
        <w:t> </w:t>
      </w:r>
      <w:r>
        <w:rPr>
          <w:spacing w:val="-28"/>
        </w:rPr>
      </w:r>
      <w:r>
        <w:rPr/>
        <w:t>达</w:t>
      </w:r>
      <w:r>
        <w:rPr>
          <w:rFonts w:ascii="Times New Roman" w:hAnsi="Times New Roman" w:cs="Times New Roman" w:eastAsia="Times New Roman" w:hint="default"/>
        </w:rPr>
        <w:t>4,000</w:t>
      </w:r>
      <w:r>
        <w:rPr/>
        <w:t>万人次。在可统计的规范经营的休闲棋牌类平台中的市场占有率达到</w:t>
      </w:r>
      <w:r>
        <w:rPr>
          <w:rFonts w:ascii="Times New Roman" w:hAnsi="Times New Roman" w:cs="Times New Roman" w:eastAsia="Times New Roman" w:hint="default"/>
        </w:rPr>
        <w:t>35%</w:t>
      </w:r>
      <w:r>
        <w:rPr/>
        <w:t>以上。</w:t>
      </w:r>
    </w:p>
    <w:p>
      <w:pPr>
        <w:spacing w:line="240" w:lineRule="auto" w:before="13"/>
        <w:rPr>
          <w:rFonts w:ascii="宋体" w:hAnsi="宋体" w:cs="宋体" w:eastAsia="宋体" w:hint="default"/>
          <w:sz w:val="5"/>
          <w:szCs w:val="5"/>
        </w:rPr>
      </w:pPr>
    </w:p>
    <w:p>
      <w:pPr>
        <w:spacing w:line="4469" w:lineRule="exact"/>
        <w:ind w:left="2132" w:right="0" w:firstLine="0"/>
        <w:rPr>
          <w:rFonts w:ascii="宋体" w:hAnsi="宋体" w:cs="宋体" w:eastAsia="宋体" w:hint="default"/>
          <w:sz w:val="20"/>
          <w:szCs w:val="20"/>
        </w:rPr>
      </w:pPr>
      <w:r>
        <w:rPr>
          <w:rFonts w:ascii="宋体" w:hAnsi="宋体" w:cs="宋体" w:eastAsia="宋体" w:hint="default"/>
          <w:position w:val="-88"/>
          <w:sz w:val="20"/>
          <w:szCs w:val="20"/>
        </w:rPr>
        <w:drawing>
          <wp:inline distT="0" distB="0" distL="0" distR="0">
            <wp:extent cx="4880258" cy="2838354"/>
            <wp:effectExtent l="0" t="0" r="0" b="0"/>
            <wp:docPr id="7" name="image5.png" descr=""/>
            <wp:cNvGraphicFramePr>
              <a:graphicFrameLocks noChangeAspect="1"/>
            </wp:cNvGraphicFramePr>
            <a:graphic>
              <a:graphicData uri="http://schemas.openxmlformats.org/drawingml/2006/picture">
                <pic:pic>
                  <pic:nvPicPr>
                    <pic:cNvPr id="8" name="image5.png"/>
                    <pic:cNvPicPr/>
                  </pic:nvPicPr>
                  <pic:blipFill>
                    <a:blip r:embed="rId14" cstate="print"/>
                    <a:stretch>
                      <a:fillRect/>
                    </a:stretch>
                  </pic:blipFill>
                  <pic:spPr>
                    <a:xfrm>
                      <a:off x="0" y="0"/>
                      <a:ext cx="4880258" cy="2838354"/>
                    </a:xfrm>
                    <a:prstGeom prst="rect">
                      <a:avLst/>
                    </a:prstGeom>
                  </pic:spPr>
                </pic:pic>
              </a:graphicData>
            </a:graphic>
          </wp:inline>
        </w:drawing>
      </w:r>
      <w:r>
        <w:rPr>
          <w:rFonts w:ascii="宋体" w:hAnsi="宋体" w:cs="宋体" w:eastAsia="宋体" w:hint="default"/>
          <w:position w:val="-88"/>
          <w:sz w:val="20"/>
          <w:szCs w:val="20"/>
        </w:rPr>
      </w:r>
    </w:p>
    <w:p>
      <w:pPr>
        <w:spacing w:line="240" w:lineRule="auto" w:before="2"/>
        <w:rPr>
          <w:rFonts w:ascii="宋体" w:hAnsi="宋体" w:cs="宋体" w:eastAsia="宋体" w:hint="default"/>
          <w:sz w:val="21"/>
          <w:szCs w:val="21"/>
        </w:rPr>
      </w:pPr>
    </w:p>
    <w:p>
      <w:pPr>
        <w:pStyle w:val="BodyText"/>
        <w:spacing w:line="386" w:lineRule="auto"/>
        <w:ind w:left="1553" w:right="1093"/>
        <w:jc w:val="left"/>
      </w:pPr>
      <w:r>
        <w:rPr>
          <w:rFonts w:ascii="Times New Roman" w:hAnsi="Times New Roman" w:cs="Times New Roman" w:eastAsia="Times New Roman" w:hint="default"/>
        </w:rPr>
        <w:t>2</w:t>
      </w:r>
      <w:r>
        <w:rPr/>
        <w:t>、业绩驱动 闲徕互娱的主要游戏模式为玩家消耗房卡创建房间，邀请好友参与，并于每局游戏结束后消耗房卡。</w:t>
      </w:r>
    </w:p>
    <w:p>
      <w:pPr>
        <w:pStyle w:val="BodyText"/>
        <w:spacing w:line="408" w:lineRule="auto" w:before="65"/>
        <w:ind w:left="1553" w:right="998" w:hanging="420"/>
        <w:jc w:val="left"/>
      </w:pPr>
      <w:r>
        <w:rPr/>
        <w:t>所以更高的玩家数量和局数，成为闲徕互娱最主要的业绩驱动因素。 </w:t>
      </w:r>
      <w:r>
        <w:rPr>
          <w:spacing w:val="-1"/>
        </w:rPr>
        <w:t>在激烈的市场竞争环境下，公司聚焦传统优势市场，逐渐向城市、县级、乡镇、农村层层渗透，使得</w:t>
      </w:r>
    </w:p>
    <w:p>
      <w:pPr>
        <w:pStyle w:val="BodyText"/>
        <w:spacing w:line="408" w:lineRule="auto" w:before="46"/>
        <w:ind w:right="1131"/>
        <w:jc w:val="both"/>
      </w:pPr>
      <w:r>
        <w:rPr>
          <w:spacing w:val="-1"/>
        </w:rPr>
        <w:t>优势市场得到进一步巩固。同时不断调整和优化运营思路，开发更加迎合用户口味的娱乐模式，增加用户</w:t>
      </w:r>
      <w:r>
        <w:rPr>
          <w:spacing w:val="-83"/>
        </w:rPr>
        <w:t> </w:t>
      </w:r>
      <w:r>
        <w:rPr>
          <w:spacing w:val="-83"/>
        </w:rPr>
      </w:r>
      <w:r>
        <w:rPr/>
        <w:t>在线时长和使用粘性，充分发挥其休闲娱乐平台的商业价值。</w:t>
      </w:r>
    </w:p>
    <w:p>
      <w:pPr>
        <w:spacing w:after="0" w:line="408" w:lineRule="auto"/>
        <w:jc w:val="both"/>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pStyle w:val="BodyText"/>
        <w:spacing w:line="386" w:lineRule="auto" w:before="174"/>
        <w:ind w:left="1553" w:right="998"/>
        <w:jc w:val="left"/>
      </w:pPr>
      <w:r>
        <w:rPr>
          <w:rFonts w:ascii="Times New Roman" w:hAnsi="Times New Roman" w:cs="Times New Roman" w:eastAsia="Times New Roman" w:hint="default"/>
        </w:rPr>
        <w:t>3</w:t>
      </w:r>
      <w:r>
        <w:rPr/>
        <w:t>、行业现状 根据中国音数协游戏工委（</w:t>
      </w:r>
      <w:r>
        <w:rPr>
          <w:rFonts w:ascii="Times New Roman" w:hAnsi="Times New Roman" w:cs="Times New Roman" w:eastAsia="Times New Roman" w:hint="default"/>
        </w:rPr>
        <w:t>GPC</w:t>
      </w:r>
      <w:r>
        <w:rPr/>
        <w:t>）、伽马数据（</w:t>
      </w:r>
      <w:r>
        <w:rPr>
          <w:rFonts w:ascii="Times New Roman" w:hAnsi="Times New Roman" w:cs="Times New Roman" w:eastAsia="Times New Roman" w:hint="default"/>
        </w:rPr>
        <w:t>CNG</w:t>
      </w:r>
      <w:r>
        <w:rPr/>
        <w:t>）、国际数据公司（</w:t>
      </w:r>
      <w:r>
        <w:rPr>
          <w:rFonts w:ascii="Times New Roman" w:hAnsi="Times New Roman" w:cs="Times New Roman" w:eastAsia="Times New Roman" w:hint="default"/>
        </w:rPr>
        <w:t>IDC</w:t>
      </w:r>
      <w:r>
        <w:rPr/>
        <w:t>）联合发布的《</w:t>
      </w:r>
      <w:r>
        <w:rPr>
          <w:rFonts w:ascii="Times New Roman" w:hAnsi="Times New Roman" w:cs="Times New Roman" w:eastAsia="Times New Roman" w:hint="default"/>
        </w:rPr>
        <w:t>2017</w:t>
      </w:r>
      <w:r>
        <w:rPr/>
        <w:t>年</w:t>
      </w:r>
    </w:p>
    <w:p>
      <w:pPr>
        <w:pStyle w:val="BodyText"/>
        <w:spacing w:line="386" w:lineRule="auto" w:before="35"/>
        <w:ind w:right="1130"/>
        <w:jc w:val="both"/>
      </w:pPr>
      <w:r>
        <w:rPr>
          <w:spacing w:val="-2"/>
        </w:rPr>
        <w:t>中国游戏产业报告》，</w:t>
      </w:r>
      <w:r>
        <w:rPr>
          <w:rFonts w:ascii="Times New Roman" w:hAnsi="Times New Roman" w:cs="Times New Roman" w:eastAsia="Times New Roman" w:hint="default"/>
          <w:spacing w:val="-2"/>
        </w:rPr>
        <w:t>2017</w:t>
      </w:r>
      <w:r>
        <w:rPr>
          <w:spacing w:val="-2"/>
        </w:rPr>
        <w:t>年中国棋牌游戏市场实际销售收入达</w:t>
      </w:r>
      <w:r>
        <w:rPr>
          <w:rFonts w:ascii="Times New Roman" w:hAnsi="Times New Roman" w:cs="Times New Roman" w:eastAsia="Times New Roman" w:hint="default"/>
          <w:spacing w:val="-2"/>
        </w:rPr>
        <w:t>145.1</w:t>
      </w:r>
      <w:r>
        <w:rPr>
          <w:spacing w:val="-2"/>
        </w:rPr>
        <w:t>亿元，同比增长</w:t>
      </w:r>
      <w:r>
        <w:rPr>
          <w:rFonts w:ascii="Times New Roman" w:hAnsi="Times New Roman" w:cs="Times New Roman" w:eastAsia="Times New Roman" w:hint="default"/>
          <w:spacing w:val="-2"/>
        </w:rPr>
        <w:t>107.4%</w:t>
      </w:r>
      <w:r>
        <w:rPr>
          <w:spacing w:val="-2"/>
        </w:rPr>
        <w:t>，而这些增长</w:t>
      </w:r>
      <w:r>
        <w:rPr>
          <w:spacing w:val="-93"/>
        </w:rPr>
        <w:t> </w:t>
      </w:r>
      <w:r>
        <w:rPr>
          <w:spacing w:val="-93"/>
        </w:rPr>
      </w:r>
      <w:r>
        <w:rPr/>
        <w:t>几乎全部来自地方性棋牌游戏。中国棋牌游戏用户规模达</w:t>
      </w:r>
      <w:r>
        <w:rPr>
          <w:rFonts w:ascii="Times New Roman" w:hAnsi="Times New Roman" w:cs="Times New Roman" w:eastAsia="Times New Roman" w:hint="default"/>
        </w:rPr>
        <w:t>2.79</w:t>
      </w:r>
      <w:r>
        <w:rPr/>
        <w:t>亿人，同比增长</w:t>
      </w:r>
      <w:r>
        <w:rPr>
          <w:rFonts w:ascii="Times New Roman" w:hAnsi="Times New Roman" w:cs="Times New Roman" w:eastAsia="Times New Roman" w:hint="default"/>
        </w:rPr>
        <w:t>8.1%</w:t>
      </w:r>
      <w:r>
        <w:rPr/>
        <w:t>。</w:t>
      </w:r>
    </w:p>
    <w:p>
      <w:pPr>
        <w:spacing w:line="240" w:lineRule="auto" w:before="2"/>
        <w:rPr>
          <w:rFonts w:ascii="宋体" w:hAnsi="宋体" w:cs="宋体" w:eastAsia="宋体" w:hint="default"/>
          <w:sz w:val="5"/>
          <w:szCs w:val="5"/>
        </w:rPr>
      </w:pPr>
    </w:p>
    <w:p>
      <w:pPr>
        <w:spacing w:line="2910" w:lineRule="exact"/>
        <w:ind w:left="2892" w:right="0" w:firstLine="0"/>
        <w:rPr>
          <w:rFonts w:ascii="宋体" w:hAnsi="宋体" w:cs="宋体" w:eastAsia="宋体" w:hint="default"/>
          <w:sz w:val="20"/>
          <w:szCs w:val="20"/>
        </w:rPr>
      </w:pPr>
      <w:r>
        <w:rPr>
          <w:rFonts w:ascii="宋体" w:hAnsi="宋体" w:cs="宋体" w:eastAsia="宋体" w:hint="default"/>
          <w:position w:val="-57"/>
          <w:sz w:val="20"/>
          <w:szCs w:val="20"/>
        </w:rPr>
        <w:drawing>
          <wp:inline distT="0" distB="0" distL="0" distR="0">
            <wp:extent cx="3865056" cy="1848230"/>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5" cstate="print"/>
                    <a:stretch>
                      <a:fillRect/>
                    </a:stretch>
                  </pic:blipFill>
                  <pic:spPr>
                    <a:xfrm>
                      <a:off x="0" y="0"/>
                      <a:ext cx="3865056" cy="1848230"/>
                    </a:xfrm>
                    <a:prstGeom prst="rect">
                      <a:avLst/>
                    </a:prstGeom>
                  </pic:spPr>
                </pic:pic>
              </a:graphicData>
            </a:graphic>
          </wp:inline>
        </w:drawing>
      </w:r>
      <w:r>
        <w:rPr>
          <w:rFonts w:ascii="宋体" w:hAnsi="宋体" w:cs="宋体" w:eastAsia="宋体" w:hint="default"/>
          <w:position w:val="-57"/>
          <w:sz w:val="20"/>
          <w:szCs w:val="20"/>
        </w:rPr>
      </w:r>
    </w:p>
    <w:p>
      <w:pPr>
        <w:spacing w:line="240" w:lineRule="auto" w:before="10"/>
        <w:rPr>
          <w:rFonts w:ascii="宋体" w:hAnsi="宋体" w:cs="宋体" w:eastAsia="宋体" w:hint="default"/>
          <w:sz w:val="22"/>
          <w:szCs w:val="22"/>
        </w:rPr>
      </w:pPr>
    </w:p>
    <w:p>
      <w:pPr>
        <w:pStyle w:val="BodyText"/>
        <w:spacing w:line="408" w:lineRule="auto"/>
        <w:ind w:left="1134" w:right="1023" w:firstLine="420"/>
        <w:jc w:val="left"/>
      </w:pPr>
      <w:r>
        <w:rPr/>
        <w:t>棋牌游戏能够获得如此高速的增长主要是因为地方性棋牌游戏主要采用房卡模式的带动，这种模式依 </w:t>
      </w:r>
      <w:r>
        <w:rPr>
          <w:spacing w:val="-3"/>
        </w:rPr>
        <w:t>托于真实的社交关系链进行传播，激活了线下棋牌游戏爱好者，借助移动互联网的高普及度与碎片化特征，</w:t>
      </w:r>
      <w:r>
        <w:rPr>
          <w:spacing w:val="-92"/>
        </w:rPr>
        <w:t> </w:t>
      </w:r>
      <w:r>
        <w:rPr>
          <w:spacing w:val="-92"/>
        </w:rPr>
      </w:r>
      <w:r>
        <w:rPr/>
        <w:t>实现了用户从线下到线上的转移，同时也激活了原本低付费的免费模式全国性棋牌游戏用户。</w:t>
      </w:r>
    </w:p>
    <w:p>
      <w:pPr>
        <w:pStyle w:val="BodyText"/>
        <w:spacing w:line="408" w:lineRule="auto" w:before="46"/>
        <w:ind w:left="1134" w:right="998" w:firstLine="420"/>
        <w:jc w:val="left"/>
      </w:pPr>
      <w:r>
        <w:rPr>
          <w:spacing w:val="-1"/>
        </w:rPr>
        <w:t>由于麻将规则的非标准化特点，使得线上麻将游戏的运营更加趋向精细化、本地化、社交化，类似闲</w:t>
      </w:r>
      <w:r>
        <w:rPr/>
        <w:t> 徕这种独特的基于亲朋好友的熟人社交棋牌在行业内具备较强竞争力。</w:t>
      </w:r>
    </w:p>
    <w:p>
      <w:pPr>
        <w:pStyle w:val="BodyText"/>
        <w:spacing w:line="240" w:lineRule="auto" w:before="46"/>
        <w:ind w:left="1554" w:right="998"/>
        <w:jc w:val="left"/>
      </w:pPr>
      <w:r>
        <w:rPr>
          <w:rFonts w:ascii="Times New Roman" w:hAnsi="Times New Roman" w:cs="Times New Roman" w:eastAsia="Times New Roman" w:hint="default"/>
        </w:rPr>
        <w:t>4</w:t>
      </w:r>
      <w:r>
        <w:rPr/>
        <w:t>、监管政策</w:t>
      </w:r>
    </w:p>
    <w:p>
      <w:pPr>
        <w:pStyle w:val="BodyText"/>
        <w:spacing w:line="240" w:lineRule="auto" w:before="177"/>
        <w:ind w:left="1554" w:right="998"/>
        <w:jc w:val="left"/>
      </w:pPr>
      <w:r>
        <w:rPr>
          <w:rFonts w:ascii="Times New Roman" w:hAnsi="Times New Roman" w:cs="Times New Roman" w:eastAsia="Times New Roman" w:hint="default"/>
        </w:rPr>
        <w:t>2016</w:t>
      </w:r>
      <w:r>
        <w:rPr/>
        <w:t>年，国务院办公厅《关于加快发展健身休闲产业的指导意见》，指明</w:t>
      </w:r>
      <w:r>
        <w:rPr>
          <w:rFonts w:ascii="Times New Roman" w:hAnsi="Times New Roman" w:cs="Times New Roman" w:eastAsia="Times New Roman" w:hint="default"/>
        </w:rPr>
        <w:t>2025</w:t>
      </w:r>
      <w:r>
        <w:rPr/>
        <w:t>年健身休闲产业要达到</w:t>
      </w:r>
    </w:p>
    <w:p>
      <w:pPr>
        <w:pStyle w:val="BodyText"/>
        <w:spacing w:line="386" w:lineRule="auto" w:before="177"/>
        <w:ind w:right="1139"/>
        <w:jc w:val="both"/>
      </w:pPr>
      <w:r>
        <w:rPr>
          <w:rFonts w:ascii="Times New Roman" w:hAnsi="Times New Roman" w:cs="Times New Roman" w:eastAsia="Times New Roman" w:hint="default"/>
        </w:rPr>
        <w:t>3</w:t>
      </w:r>
      <w:r>
        <w:rPr/>
        <w:t>万亿的市场规模，棋牌被列入重点扶持的体育项目，棋牌行业未来有望蓬勃发展。《关于移动游戏出版</w:t>
      </w:r>
      <w:r>
        <w:rPr>
          <w:spacing w:val="-34"/>
        </w:rPr>
        <w:t> </w:t>
      </w:r>
      <w:r>
        <w:rPr>
          <w:spacing w:val="-34"/>
        </w:rPr>
      </w:r>
      <w:r>
        <w:rPr/>
        <w:t>服务管理的通知》中，棋牌类游戏被归入休闲益智类游戏进行手游版号审批。</w:t>
      </w:r>
    </w:p>
    <w:p>
      <w:pPr>
        <w:pStyle w:val="Heading6"/>
        <w:spacing w:line="240" w:lineRule="auto" w:before="65"/>
        <w:ind w:left="1133" w:right="0"/>
        <w:jc w:val="both"/>
        <w:rPr>
          <w:rFonts w:ascii="Times New Roman" w:hAnsi="Times New Roman" w:cs="Times New Roman" w:eastAsia="Times New Roman" w:hint="default"/>
          <w:b w:val="0"/>
          <w:bCs w:val="0"/>
        </w:rPr>
      </w:pPr>
      <w:r>
        <w:rPr/>
        <w:t>业务三：社交平台</w:t>
      </w:r>
      <w:r>
        <w:rPr>
          <w:rFonts w:ascii="Times New Roman" w:hAnsi="Times New Roman" w:cs="Times New Roman" w:eastAsia="Times New Roman" w:hint="default"/>
        </w:rPr>
        <w:t>Grindr</w:t>
      </w:r>
      <w:r>
        <w:rPr>
          <w:rFonts w:ascii="Times New Roman" w:hAnsi="Times New Roman" w:cs="Times New Roman" w:eastAsia="Times New Roman" w:hint="default"/>
          <w:b w:val="0"/>
          <w:bCs w:val="0"/>
        </w:rPr>
      </w:r>
    </w:p>
    <w:p>
      <w:pPr>
        <w:spacing w:line="240" w:lineRule="auto" w:before="10"/>
        <w:rPr>
          <w:rFonts w:ascii="Times New Roman" w:hAnsi="Times New Roman" w:cs="Times New Roman" w:eastAsia="Times New Roman" w:hint="default"/>
          <w:b/>
          <w:bCs/>
          <w:sz w:val="25"/>
          <w:szCs w:val="25"/>
        </w:rPr>
      </w:pPr>
    </w:p>
    <w:p>
      <w:pPr>
        <w:pStyle w:val="BodyText"/>
        <w:spacing w:line="386" w:lineRule="auto"/>
        <w:ind w:left="1553" w:right="998"/>
        <w:jc w:val="left"/>
        <w:rPr>
          <w:rFonts w:ascii="Times New Roman" w:hAnsi="Times New Roman" w:cs="Times New Roman" w:eastAsia="Times New Roman" w:hint="default"/>
        </w:rPr>
      </w:pPr>
      <w:r>
        <w:rPr>
          <w:rFonts w:ascii="Times New Roman" w:hAnsi="Times New Roman" w:cs="Times New Roman" w:eastAsia="Times New Roman" w:hint="default"/>
        </w:rPr>
        <w:t>1</w:t>
      </w:r>
      <w:r>
        <w:rPr/>
        <w:t>、产品概况 </w:t>
      </w:r>
      <w:r>
        <w:rPr>
          <w:rFonts w:ascii="Times New Roman" w:hAnsi="Times New Roman" w:cs="Times New Roman" w:eastAsia="Times New Roman" w:hint="default"/>
        </w:rPr>
        <w:t>Grindr</w:t>
      </w:r>
      <w:r>
        <w:rPr/>
        <w:t>是全球最大的同性恋社交网络，在</w:t>
      </w:r>
      <w:r>
        <w:rPr>
          <w:rFonts w:ascii="Times New Roman" w:hAnsi="Times New Roman" w:cs="Times New Roman" w:eastAsia="Times New Roman" w:hint="default"/>
        </w:rPr>
        <w:t>196</w:t>
      </w:r>
      <w:r>
        <w:rPr/>
        <w:t>个国家拥有超过</w:t>
      </w:r>
      <w:r>
        <w:rPr>
          <w:rFonts w:ascii="Times New Roman" w:hAnsi="Times New Roman" w:cs="Times New Roman" w:eastAsia="Times New Roman" w:hint="default"/>
        </w:rPr>
        <w:t>4000</w:t>
      </w:r>
      <w:r>
        <w:rPr/>
        <w:t>万的注册用户，月活跃用户超过</w:t>
      </w:r>
      <w:r>
        <w:rPr>
          <w:rFonts w:ascii="Times New Roman" w:hAnsi="Times New Roman" w:cs="Times New Roman" w:eastAsia="Times New Roman" w:hint="default"/>
        </w:rPr>
        <w:t>800</w:t>
      </w:r>
    </w:p>
    <w:p>
      <w:pPr>
        <w:pStyle w:val="BodyText"/>
        <w:spacing w:line="386" w:lineRule="auto" w:before="35"/>
        <w:ind w:right="1131"/>
        <w:jc w:val="both"/>
      </w:pPr>
      <w:r>
        <w:rPr>
          <w:spacing w:val="-1"/>
        </w:rPr>
        <w:t>万，平均每日用户时长达到</w:t>
      </w:r>
      <w:r>
        <w:rPr>
          <w:rFonts w:ascii="Times New Roman" w:hAnsi="Times New Roman" w:cs="Times New Roman" w:eastAsia="Times New Roman" w:hint="default"/>
          <w:spacing w:val="-1"/>
        </w:rPr>
        <w:t>50</w:t>
      </w:r>
      <w:r>
        <w:rPr>
          <w:spacing w:val="-1"/>
        </w:rPr>
        <w:t>分钟以上，活跃用户主要分布在欧美等发达国家和地区，且为收入超出平均</w:t>
      </w:r>
      <w:r>
        <w:rPr>
          <w:spacing w:val="-84"/>
        </w:rPr>
        <w:t> </w:t>
      </w:r>
      <w:r>
        <w:rPr>
          <w:spacing w:val="-84"/>
        </w:rPr>
      </w:r>
      <w:r>
        <w:rPr/>
        <w:t>水平的</w:t>
      </w:r>
      <w:r>
        <w:rPr>
          <w:rFonts w:ascii="Times New Roman" w:hAnsi="Times New Roman" w:cs="Times New Roman" w:eastAsia="Times New Roman" w:hint="default"/>
        </w:rPr>
        <w:t>“</w:t>
      </w:r>
      <w:r>
        <w:rPr/>
        <w:t>懂科技的有钱人</w:t>
      </w:r>
      <w:r>
        <w:rPr>
          <w:rFonts w:ascii="Times New Roman" w:hAnsi="Times New Roman" w:cs="Times New Roman" w:eastAsia="Times New Roman" w:hint="default"/>
        </w:rPr>
        <w:t>”</w:t>
      </w:r>
      <w:r>
        <w:rPr/>
        <w:t>。产品基于利用</w:t>
      </w:r>
      <w:r>
        <w:rPr>
          <w:rFonts w:ascii="Times New Roman" w:hAnsi="Times New Roman" w:cs="Times New Roman" w:eastAsia="Times New Roman" w:hint="default"/>
        </w:rPr>
        <w:t>GPS</w:t>
      </w:r>
      <w:r>
        <w:rPr/>
        <w:t>定位获得潜在社交对象的基本信息，并提供聊天、发送照片</w:t>
      </w:r>
      <w:r>
        <w:rPr>
          <w:spacing w:val="-77"/>
        </w:rPr>
        <w:t> </w:t>
      </w:r>
      <w:r>
        <w:rPr>
          <w:spacing w:val="-77"/>
        </w:rPr>
      </w:r>
      <w:r>
        <w:rPr/>
        <w:t>及位置等功能，其中收费版本为 </w:t>
      </w:r>
      <w:r>
        <w:rPr>
          <w:rFonts w:ascii="Times New Roman" w:hAnsi="Times New Roman" w:cs="Times New Roman" w:eastAsia="Times New Roman" w:hint="default"/>
        </w:rPr>
        <w:t>Grindr</w:t>
      </w:r>
      <w:r>
        <w:rPr>
          <w:rFonts w:ascii="Times New Roman" w:hAnsi="Times New Roman" w:cs="Times New Roman" w:eastAsia="Times New Roman" w:hint="default"/>
          <w:spacing w:val="-22"/>
        </w:rPr>
        <w:t> </w:t>
      </w:r>
      <w:r>
        <w:rPr>
          <w:rFonts w:ascii="Times New Roman" w:hAnsi="Times New Roman" w:cs="Times New Roman" w:eastAsia="Times New Roman" w:hint="default"/>
        </w:rPr>
        <w:t>Xtra</w:t>
      </w:r>
      <w:r>
        <w:rPr/>
        <w:t>。</w:t>
      </w:r>
    </w:p>
    <w:p>
      <w:pPr>
        <w:pStyle w:val="BodyText"/>
        <w:spacing w:line="386" w:lineRule="auto" w:before="35"/>
        <w:ind w:right="1131" w:firstLine="420"/>
        <w:jc w:val="both"/>
      </w:pPr>
      <w:r>
        <w:rPr>
          <w:spacing w:val="2"/>
        </w:rPr>
        <w:t>报告期内，</w:t>
      </w:r>
      <w:r>
        <w:rPr>
          <w:rFonts w:ascii="Times New Roman" w:hAnsi="Times New Roman" w:cs="Times New Roman" w:eastAsia="Times New Roman" w:hint="default"/>
          <w:spacing w:val="2"/>
        </w:rPr>
        <w:t>Grindr</w:t>
      </w:r>
      <w:r>
        <w:rPr>
          <w:spacing w:val="2"/>
        </w:rPr>
        <w:t>增加至</w:t>
      </w:r>
      <w:r>
        <w:rPr>
          <w:rFonts w:ascii="Times New Roman" w:hAnsi="Times New Roman" w:cs="Times New Roman" w:eastAsia="Times New Roman" w:hint="default"/>
          <w:spacing w:val="2"/>
        </w:rPr>
        <w:t>7</w:t>
      </w:r>
      <w:r>
        <w:rPr>
          <w:spacing w:val="2"/>
        </w:rPr>
        <w:t>种语言版本，引导用户完善健康状况资料的填写，推出了广受用户喜爱的</w:t>
      </w:r>
      <w:r>
        <w:rPr>
          <w:w w:val="99"/>
        </w:rPr>
        <w:t> </w:t>
      </w:r>
      <w:r>
        <w:rPr>
          <w:rFonts w:ascii="Times New Roman" w:hAnsi="Times New Roman" w:cs="Times New Roman" w:eastAsia="Times New Roman" w:hint="default"/>
          <w:spacing w:val="-2"/>
        </w:rPr>
        <w:t>Gaymoji</w:t>
      </w:r>
      <w:r>
        <w:rPr>
          <w:spacing w:val="-2"/>
        </w:rPr>
        <w:t>表情包，并上线了全新的内容网站</w:t>
      </w:r>
      <w:r>
        <w:rPr>
          <w:rFonts w:ascii="Times New Roman" w:hAnsi="Times New Roman" w:cs="Times New Roman" w:eastAsia="Times New Roman" w:hint="default"/>
          <w:spacing w:val="-2"/>
        </w:rPr>
        <w:t>INTO</w:t>
      </w:r>
      <w:r>
        <w:rPr>
          <w:spacing w:val="-2"/>
        </w:rPr>
        <w:t>（</w:t>
      </w:r>
      <w:r>
        <w:rPr>
          <w:rFonts w:ascii="Times New Roman" w:hAnsi="Times New Roman" w:cs="Times New Roman" w:eastAsia="Times New Roman" w:hint="default"/>
          <w:spacing w:val="-2"/>
        </w:rPr>
        <w:t>https://intomore.com</w:t>
      </w:r>
      <w:r>
        <w:rPr>
          <w:spacing w:val="-2"/>
        </w:rPr>
        <w:t>），该网站一经推出即成为排名前列</w:t>
      </w:r>
      <w:r>
        <w:rPr>
          <w:spacing w:val="-63"/>
        </w:rPr>
        <w:t> </w:t>
      </w:r>
      <w:r>
        <w:rPr>
          <w:spacing w:val="-63"/>
        </w:rPr>
      </w:r>
      <w:r>
        <w:rPr>
          <w:spacing w:val="-1"/>
        </w:rPr>
        <w:t>的</w:t>
      </w:r>
      <w:r>
        <w:rPr>
          <w:rFonts w:ascii="Times New Roman" w:hAnsi="Times New Roman" w:cs="Times New Roman" w:eastAsia="Times New Roman" w:hint="default"/>
          <w:spacing w:val="-1"/>
        </w:rPr>
        <w:t>LGBTQ</w:t>
      </w:r>
      <w:r>
        <w:rPr>
          <w:spacing w:val="-1"/>
        </w:rPr>
        <w:t>网站，全球月访问用户数超过三百万。在以上产品本地化和新功能的推动下，</w:t>
      </w:r>
      <w:r>
        <w:rPr>
          <w:rFonts w:ascii="Times New Roman" w:hAnsi="Times New Roman" w:cs="Times New Roman" w:eastAsia="Times New Roman" w:hint="default"/>
          <w:spacing w:val="-1"/>
        </w:rPr>
        <w:t>Grindr</w:t>
      </w:r>
      <w:r>
        <w:rPr>
          <w:spacing w:val="-1"/>
        </w:rPr>
        <w:t>的日活和月</w:t>
      </w:r>
    </w:p>
    <w:p>
      <w:pPr>
        <w:spacing w:after="0" w:line="386" w:lineRule="auto"/>
        <w:jc w:val="both"/>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pStyle w:val="BodyText"/>
        <w:spacing w:line="240" w:lineRule="auto" w:before="174"/>
        <w:ind w:right="998"/>
        <w:jc w:val="left"/>
      </w:pPr>
      <w:r>
        <w:rPr/>
        <w:t>活跃用户均有所提升。</w:t>
      </w:r>
    </w:p>
    <w:p>
      <w:pPr>
        <w:spacing w:line="240" w:lineRule="auto" w:before="10"/>
        <w:rPr>
          <w:rFonts w:ascii="宋体" w:hAnsi="宋体" w:cs="宋体" w:eastAsia="宋体" w:hint="default"/>
          <w:sz w:val="14"/>
          <w:szCs w:val="14"/>
        </w:rPr>
      </w:pPr>
    </w:p>
    <w:p>
      <w:pPr>
        <w:pStyle w:val="BodyText"/>
        <w:spacing w:line="386" w:lineRule="auto"/>
        <w:ind w:left="1553" w:right="998"/>
        <w:jc w:val="left"/>
      </w:pPr>
      <w:r>
        <w:rPr>
          <w:rFonts w:ascii="Times New Roman" w:hAnsi="Times New Roman" w:cs="Times New Roman" w:eastAsia="Times New Roman" w:hint="default"/>
        </w:rPr>
        <w:t>2</w:t>
      </w:r>
      <w:r>
        <w:rPr/>
        <w:t>、盈利模式 </w:t>
      </w:r>
      <w:r>
        <w:rPr>
          <w:rFonts w:ascii="Times New Roman" w:hAnsi="Times New Roman" w:cs="Times New Roman" w:eastAsia="Times New Roman" w:hint="default"/>
          <w:spacing w:val="-2"/>
        </w:rPr>
        <w:t>Grindr</w:t>
      </w:r>
      <w:r>
        <w:rPr>
          <w:spacing w:val="-2"/>
        </w:rPr>
        <w:t>的收入主要来自于会员费和广告。其中付费用户可以获得更多增值服务，如匹配更多社交对象、</w:t>
      </w:r>
    </w:p>
    <w:p>
      <w:pPr>
        <w:pStyle w:val="BodyText"/>
        <w:spacing w:line="240" w:lineRule="auto" w:before="36"/>
        <w:ind w:right="998"/>
        <w:jc w:val="left"/>
      </w:pPr>
      <w:r>
        <w:rPr/>
        <w:t>一次传输多张图片、过滤广告等等。广告模式包括条幅广告、奖励视频广告等。</w:t>
      </w:r>
    </w:p>
    <w:p>
      <w:pPr>
        <w:spacing w:line="240" w:lineRule="auto" w:before="10"/>
        <w:rPr>
          <w:rFonts w:ascii="宋体" w:hAnsi="宋体" w:cs="宋体" w:eastAsia="宋体" w:hint="default"/>
          <w:sz w:val="14"/>
          <w:szCs w:val="14"/>
        </w:rPr>
      </w:pPr>
    </w:p>
    <w:p>
      <w:pPr>
        <w:pStyle w:val="BodyText"/>
        <w:spacing w:line="386" w:lineRule="auto"/>
        <w:ind w:left="1553" w:right="998"/>
        <w:jc w:val="left"/>
      </w:pPr>
      <w:r>
        <w:rPr>
          <w:rFonts w:ascii="Times New Roman" w:hAnsi="Times New Roman" w:cs="Times New Roman" w:eastAsia="Times New Roman" w:hint="default"/>
        </w:rPr>
        <w:t>3</w:t>
      </w:r>
      <w:r>
        <w:rPr/>
        <w:t>、业绩驱动 </w:t>
      </w:r>
      <w:r>
        <w:rPr>
          <w:spacing w:val="-1"/>
        </w:rPr>
        <w:t>随着新功能的推出，用户体验得到不断提升，进而注册用户数、活跃用户数、付费用户转化率均在稳</w:t>
      </w:r>
    </w:p>
    <w:p>
      <w:pPr>
        <w:pStyle w:val="BodyText"/>
        <w:spacing w:line="240" w:lineRule="auto" w:before="65"/>
        <w:ind w:right="998"/>
        <w:jc w:val="left"/>
      </w:pPr>
      <w:r>
        <w:rPr/>
        <w:t>步增长，会员费收入也随之提升。</w:t>
      </w:r>
    </w:p>
    <w:p>
      <w:pPr>
        <w:spacing w:line="240" w:lineRule="auto" w:before="0"/>
        <w:rPr>
          <w:rFonts w:ascii="宋体" w:hAnsi="宋体" w:cs="宋体" w:eastAsia="宋体" w:hint="default"/>
          <w:sz w:val="20"/>
          <w:szCs w:val="20"/>
        </w:rPr>
      </w:pPr>
    </w:p>
    <w:p>
      <w:pPr>
        <w:pStyle w:val="Heading4"/>
        <w:spacing w:line="240" w:lineRule="auto" w:before="131"/>
        <w:ind w:right="998"/>
        <w:jc w:val="left"/>
        <w:rPr>
          <w:b w:val="0"/>
          <w:bCs w:val="0"/>
        </w:rPr>
      </w:pPr>
      <w:bookmarkStart w:name="二、主要资产重大变化情况" w:id="18"/>
      <w:bookmarkEnd w:id="18"/>
      <w:r>
        <w:rPr>
          <w:b w:val="0"/>
          <w:bCs w:val="0"/>
        </w:rPr>
      </w:r>
      <w:r>
        <w:rPr/>
        <w:t>二、主要资产重大变化情况</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主要资产重大变化情况" w:id="19"/>
      <w:bookmarkEnd w:id="19"/>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9"/>
        <w:rPr>
          <w:rFonts w:ascii="宋体" w:hAnsi="宋体" w:cs="宋体" w:eastAsia="宋体" w:hint="default"/>
          <w:b/>
          <w:bCs/>
          <w:sz w:val="25"/>
          <w:szCs w:val="25"/>
        </w:rPr>
      </w:pPr>
    </w:p>
    <w:tbl>
      <w:tblPr>
        <w:tblW w:w="0" w:type="auto"/>
        <w:jc w:val="left"/>
        <w:tblInd w:w="1153" w:type="dxa"/>
        <w:tblLayout w:type="fixed"/>
        <w:tblCellMar>
          <w:top w:w="0" w:type="dxa"/>
          <w:left w:w="0" w:type="dxa"/>
          <w:bottom w:w="0" w:type="dxa"/>
          <w:right w:w="0" w:type="dxa"/>
        </w:tblCellMar>
        <w:tblLook w:val="01E0"/>
      </w:tblPr>
      <w:tblGrid>
        <w:gridCol w:w="3053"/>
        <w:gridCol w:w="6517"/>
      </w:tblGrid>
      <w:tr>
        <w:trPr>
          <w:trHeight w:val="199" w:hRule="exact"/>
        </w:trPr>
        <w:tc>
          <w:tcPr>
            <w:tcW w:w="3053" w:type="dxa"/>
            <w:tcBorders>
              <w:top w:val="single" w:sz="12" w:space="0" w:color="000000"/>
              <w:left w:val="single" w:sz="12" w:space="0" w:color="000000"/>
              <w:bottom w:val="nil" w:sz="6" w:space="0" w:color="auto"/>
              <w:right w:val="single" w:sz="6" w:space="0" w:color="000000"/>
            </w:tcBorders>
            <w:shd w:val="clear" w:color="auto" w:fill="D2D2D2"/>
          </w:tcPr>
          <w:p>
            <w:pPr/>
          </w:p>
        </w:tc>
        <w:tc>
          <w:tcPr>
            <w:tcW w:w="6517" w:type="dxa"/>
            <w:tcBorders>
              <w:top w:val="single" w:sz="12" w:space="0" w:color="000000"/>
              <w:left w:val="single" w:sz="6" w:space="0" w:color="000000"/>
              <w:bottom w:val="nil" w:sz="6" w:space="0" w:color="auto"/>
              <w:right w:val="single" w:sz="12" w:space="0" w:color="000000"/>
            </w:tcBorders>
            <w:shd w:val="clear" w:color="auto" w:fill="D2D2D2"/>
          </w:tcPr>
          <w:p>
            <w:pPr/>
          </w:p>
        </w:tc>
      </w:tr>
      <w:tr>
        <w:trPr>
          <w:trHeight w:val="392" w:hRule="exact"/>
        </w:trPr>
        <w:tc>
          <w:tcPr>
            <w:tcW w:w="3053"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right="7"/>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7" w:type="dxa"/>
            <w:tcBorders>
              <w:top w:val="nil" w:sz="6" w:space="0" w:color="auto"/>
              <w:left w:val="single" w:sz="6" w:space="0" w:color="000000"/>
              <w:bottom w:val="nil" w:sz="6" w:space="0" w:color="auto"/>
              <w:right w:val="single" w:sz="12" w:space="0" w:color="000000"/>
            </w:tcBorders>
            <w:shd w:val="clear" w:color="auto" w:fill="D2D2D2"/>
          </w:tcPr>
          <w:p>
            <w:pPr>
              <w:pStyle w:val="TableParagraph"/>
              <w:spacing w:line="240" w:lineRule="auto" w:before="51"/>
              <w:ind w:left="7"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91" w:hRule="exact"/>
        </w:trPr>
        <w:tc>
          <w:tcPr>
            <w:tcW w:w="3053" w:type="dxa"/>
            <w:tcBorders>
              <w:top w:val="nil" w:sz="6" w:space="0" w:color="auto"/>
              <w:left w:val="single" w:sz="12" w:space="0" w:color="000000"/>
              <w:bottom w:val="single" w:sz="6" w:space="0" w:color="000000"/>
              <w:right w:val="single" w:sz="6" w:space="0" w:color="000000"/>
            </w:tcBorders>
            <w:shd w:val="clear" w:color="auto" w:fill="D2D2D2"/>
          </w:tcPr>
          <w:p>
            <w:pPr/>
          </w:p>
        </w:tc>
        <w:tc>
          <w:tcPr>
            <w:tcW w:w="6517" w:type="dxa"/>
            <w:tcBorders>
              <w:top w:val="nil" w:sz="6" w:space="0" w:color="auto"/>
              <w:left w:val="single" w:sz="6" w:space="0" w:color="000000"/>
              <w:bottom w:val="single" w:sz="6" w:space="0" w:color="000000"/>
              <w:right w:val="single" w:sz="12" w:space="0" w:color="000000"/>
            </w:tcBorders>
            <w:shd w:val="clear" w:color="auto" w:fill="D2D2D2"/>
          </w:tcPr>
          <w:p>
            <w:pPr/>
          </w:p>
        </w:tc>
      </w:tr>
      <w:tr>
        <w:trPr>
          <w:trHeight w:val="163" w:hRule="exact"/>
        </w:trPr>
        <w:tc>
          <w:tcPr>
            <w:tcW w:w="3053" w:type="dxa"/>
            <w:tcBorders>
              <w:top w:val="single" w:sz="6" w:space="0" w:color="000000"/>
              <w:left w:val="single" w:sz="12" w:space="0" w:color="000000"/>
              <w:bottom w:val="nil" w:sz="6" w:space="0" w:color="auto"/>
              <w:right w:val="single" w:sz="6" w:space="0" w:color="000000"/>
            </w:tcBorders>
            <w:shd w:val="clear" w:color="auto" w:fill="D2D2D2"/>
          </w:tcPr>
          <w:p>
            <w:pPr/>
          </w:p>
        </w:tc>
        <w:tc>
          <w:tcPr>
            <w:tcW w:w="6517" w:type="dxa"/>
            <w:vMerge w:val="restart"/>
            <w:tcBorders>
              <w:top w:val="single" w:sz="6" w:space="0" w:color="000000"/>
              <w:left w:val="single" w:sz="9" w:space="0" w:color="D2D2D2"/>
              <w:right w:val="single" w:sz="12" w:space="0" w:color="000000"/>
            </w:tcBorders>
          </w:tcPr>
          <w:p>
            <w:pPr>
              <w:pStyle w:val="TableParagraph"/>
              <w:spacing w:line="300" w:lineRule="auto" w:before="51"/>
              <w:ind w:left="16" w:right="42"/>
              <w:jc w:val="left"/>
              <w:rPr>
                <w:rFonts w:ascii="宋体" w:hAnsi="宋体" w:cs="宋体" w:eastAsia="宋体" w:hint="default"/>
                <w:sz w:val="18"/>
                <w:szCs w:val="18"/>
              </w:rPr>
            </w:pPr>
            <w:r>
              <w:rPr>
                <w:rFonts w:ascii="宋体" w:hAnsi="宋体" w:cs="宋体" w:eastAsia="宋体" w:hint="default"/>
                <w:sz w:val="18"/>
                <w:szCs w:val="18"/>
              </w:rPr>
              <w:t>长期股权投资及可供出售金融资产增加</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3,855,895,226.43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元，主要为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qudian</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上市， 改为按照公允价值核算所致</w:t>
            </w:r>
          </w:p>
        </w:tc>
      </w:tr>
      <w:tr>
        <w:trPr>
          <w:trHeight w:val="392" w:hRule="exact"/>
        </w:trPr>
        <w:tc>
          <w:tcPr>
            <w:tcW w:w="3053"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7" w:type="dxa"/>
            <w:vMerge/>
            <w:tcBorders>
              <w:left w:val="single" w:sz="9" w:space="0" w:color="D2D2D2"/>
              <w:right w:val="single" w:sz="12" w:space="0" w:color="000000"/>
            </w:tcBorders>
          </w:tcPr>
          <w:p>
            <w:pPr/>
          </w:p>
        </w:tc>
      </w:tr>
      <w:tr>
        <w:trPr>
          <w:trHeight w:val="163" w:hRule="exact"/>
        </w:trPr>
        <w:tc>
          <w:tcPr>
            <w:tcW w:w="3053" w:type="dxa"/>
            <w:tcBorders>
              <w:top w:val="nil" w:sz="6" w:space="0" w:color="auto"/>
              <w:left w:val="single" w:sz="12" w:space="0" w:color="000000"/>
              <w:bottom w:val="single" w:sz="6" w:space="0" w:color="000000"/>
              <w:right w:val="single" w:sz="6" w:space="0" w:color="000000"/>
            </w:tcBorders>
            <w:shd w:val="clear" w:color="auto" w:fill="D2D2D2"/>
          </w:tcPr>
          <w:p>
            <w:pPr/>
          </w:p>
        </w:tc>
        <w:tc>
          <w:tcPr>
            <w:tcW w:w="6517" w:type="dxa"/>
            <w:vMerge/>
            <w:tcBorders>
              <w:left w:val="single" w:sz="9" w:space="0" w:color="D2D2D2"/>
              <w:bottom w:val="single" w:sz="6" w:space="0" w:color="000000"/>
              <w:right w:val="single" w:sz="12" w:space="0" w:color="000000"/>
            </w:tcBorders>
          </w:tcPr>
          <w:p>
            <w:pPr/>
          </w:p>
        </w:tc>
      </w:tr>
      <w:tr>
        <w:trPr>
          <w:trHeight w:val="719" w:hRule="exact"/>
        </w:trPr>
        <w:tc>
          <w:tcPr>
            <w:tcW w:w="305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6517" w:type="dxa"/>
            <w:tcBorders>
              <w:top w:val="single" w:sz="6" w:space="0" w:color="000000"/>
              <w:left w:val="single" w:sz="6" w:space="0" w:color="000000"/>
              <w:bottom w:val="single" w:sz="6" w:space="0" w:color="000000"/>
              <w:right w:val="single" w:sz="12" w:space="0" w:color="000000"/>
            </w:tcBorders>
          </w:tcPr>
          <w:p>
            <w:pPr>
              <w:pStyle w:val="TableParagraph"/>
              <w:spacing w:line="302" w:lineRule="auto" w:before="51"/>
              <w:ind w:left="20" w:right="39"/>
              <w:jc w:val="left"/>
              <w:rPr>
                <w:rFonts w:ascii="宋体" w:hAnsi="宋体" w:cs="宋体" w:eastAsia="宋体" w:hint="default"/>
                <w:sz w:val="18"/>
                <w:szCs w:val="18"/>
              </w:rPr>
            </w:pPr>
            <w:r>
              <w:rPr>
                <w:rFonts w:ascii="宋体" w:hAnsi="宋体" w:cs="宋体" w:eastAsia="宋体" w:hint="default"/>
                <w:sz w:val="18"/>
                <w:szCs w:val="18"/>
              </w:rPr>
              <w:t>货币资金增加</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957,302,551.98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元，主要为闲徕纳入合并报表范围以及非公开发行股 票所致</w:t>
            </w:r>
          </w:p>
        </w:tc>
      </w:tr>
      <w:tr>
        <w:trPr>
          <w:trHeight w:val="407" w:hRule="exact"/>
        </w:trPr>
        <w:tc>
          <w:tcPr>
            <w:tcW w:w="305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651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其他流动资产增加</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214,841,582.62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元，主要为过桥贷款及预缴税金增加所致</w:t>
            </w:r>
          </w:p>
        </w:tc>
      </w:tr>
      <w:tr>
        <w:trPr>
          <w:trHeight w:val="415" w:hRule="exact"/>
        </w:trPr>
        <w:tc>
          <w:tcPr>
            <w:tcW w:w="305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651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商誉本期增加</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956,342,651.76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元，主要是闲徕互娱纳入合并报表范围所致</w:t>
            </w:r>
          </w:p>
        </w:tc>
      </w:tr>
    </w:tbl>
    <w:p>
      <w:pPr>
        <w:spacing w:line="240" w:lineRule="auto" w:before="2"/>
        <w:rPr>
          <w:rFonts w:ascii="宋体" w:hAnsi="宋体" w:cs="宋体" w:eastAsia="宋体" w:hint="default"/>
          <w:b/>
          <w:bCs/>
          <w:sz w:val="19"/>
          <w:szCs w:val="19"/>
        </w:rPr>
      </w:pPr>
    </w:p>
    <w:p>
      <w:pPr>
        <w:pStyle w:val="Heading6"/>
        <w:spacing w:line="240" w:lineRule="auto" w:before="35"/>
        <w:ind w:right="998"/>
        <w:jc w:val="left"/>
        <w:rPr>
          <w:b w:val="0"/>
          <w:bCs w:val="0"/>
        </w:rPr>
      </w:pPr>
      <w:bookmarkStart w:name="2、主要境外资产情况" w:id="20"/>
      <w:bookmarkEnd w:id="20"/>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151" w:type="dxa"/>
        <w:tblLayout w:type="fixed"/>
        <w:tblCellMar>
          <w:top w:w="0" w:type="dxa"/>
          <w:left w:w="0" w:type="dxa"/>
          <w:bottom w:w="0" w:type="dxa"/>
          <w:right w:w="0" w:type="dxa"/>
        </w:tblCellMar>
        <w:tblLook w:val="01E0"/>
      </w:tblPr>
      <w:tblGrid>
        <w:gridCol w:w="1068"/>
        <w:gridCol w:w="1062"/>
        <w:gridCol w:w="1062"/>
        <w:gridCol w:w="1064"/>
        <w:gridCol w:w="1064"/>
        <w:gridCol w:w="1064"/>
        <w:gridCol w:w="1064"/>
        <w:gridCol w:w="1064"/>
        <w:gridCol w:w="1059"/>
      </w:tblGrid>
      <w:tr>
        <w:trPr>
          <w:trHeight w:val="1037" w:hRule="exact"/>
        </w:trPr>
        <w:tc>
          <w:tcPr>
            <w:tcW w:w="1068"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39" w:right="75" w:hanging="270"/>
              <w:jc w:val="left"/>
              <w:rPr>
                <w:rFonts w:ascii="宋体" w:hAnsi="宋体" w:cs="宋体" w:eastAsia="宋体" w:hint="default"/>
                <w:sz w:val="18"/>
                <w:szCs w:val="18"/>
              </w:rPr>
            </w:pPr>
            <w:r>
              <w:rPr>
                <w:rFonts w:ascii="宋体" w:hAnsi="宋体" w:cs="宋体" w:eastAsia="宋体" w:hint="default"/>
                <w:sz w:val="18"/>
                <w:szCs w:val="18"/>
              </w:rPr>
              <w:t>资产的具体 内容</w:t>
            </w:r>
          </w:p>
        </w:tc>
        <w:tc>
          <w:tcPr>
            <w:tcW w:w="106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3" w:right="0"/>
              <w:jc w:val="left"/>
              <w:rPr>
                <w:rFonts w:ascii="宋体" w:hAnsi="宋体" w:cs="宋体" w:eastAsia="宋体" w:hint="default"/>
                <w:sz w:val="18"/>
                <w:szCs w:val="18"/>
              </w:rPr>
            </w:pPr>
            <w:r>
              <w:rPr>
                <w:rFonts w:ascii="宋体" w:hAnsi="宋体" w:cs="宋体" w:eastAsia="宋体" w:hint="default"/>
                <w:sz w:val="18"/>
                <w:szCs w:val="18"/>
              </w:rPr>
              <w:t>形成原因</w:t>
            </w:r>
          </w:p>
        </w:tc>
        <w:tc>
          <w:tcPr>
            <w:tcW w:w="106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3" w:right="0"/>
              <w:jc w:val="left"/>
              <w:rPr>
                <w:rFonts w:ascii="宋体" w:hAnsi="宋体" w:cs="宋体" w:eastAsia="宋体" w:hint="default"/>
                <w:sz w:val="18"/>
                <w:szCs w:val="18"/>
              </w:rPr>
            </w:pPr>
            <w:r>
              <w:rPr>
                <w:rFonts w:ascii="宋体" w:hAnsi="宋体" w:cs="宋体" w:eastAsia="宋体" w:hint="default"/>
                <w:sz w:val="18"/>
                <w:szCs w:val="18"/>
              </w:rPr>
              <w:t>资产规模</w:t>
            </w:r>
          </w:p>
        </w:tc>
        <w:tc>
          <w:tcPr>
            <w:tcW w:w="1064"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54" w:right="0"/>
              <w:jc w:val="left"/>
              <w:rPr>
                <w:rFonts w:ascii="宋体" w:hAnsi="宋体" w:cs="宋体" w:eastAsia="宋体" w:hint="default"/>
                <w:sz w:val="18"/>
                <w:szCs w:val="18"/>
              </w:rPr>
            </w:pPr>
            <w:r>
              <w:rPr>
                <w:rFonts w:ascii="宋体" w:hAnsi="宋体" w:cs="宋体" w:eastAsia="宋体" w:hint="default"/>
                <w:sz w:val="18"/>
                <w:szCs w:val="18"/>
              </w:rPr>
              <w:t>所在地</w:t>
            </w:r>
          </w:p>
        </w:tc>
        <w:tc>
          <w:tcPr>
            <w:tcW w:w="1064"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运营模式</w:t>
            </w:r>
          </w:p>
        </w:tc>
        <w:tc>
          <w:tcPr>
            <w:tcW w:w="1064"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74" w:right="73"/>
              <w:jc w:val="center"/>
              <w:rPr>
                <w:rFonts w:ascii="宋体" w:hAnsi="宋体" w:cs="宋体" w:eastAsia="宋体" w:hint="default"/>
                <w:sz w:val="18"/>
                <w:szCs w:val="18"/>
              </w:rPr>
            </w:pPr>
            <w:r>
              <w:rPr>
                <w:rFonts w:ascii="宋体" w:hAnsi="宋体" w:cs="宋体" w:eastAsia="宋体" w:hint="default"/>
                <w:sz w:val="18"/>
                <w:szCs w:val="18"/>
              </w:rPr>
              <w:t>保障资产安 全性的控制 措施</w:t>
            </w:r>
          </w:p>
        </w:tc>
        <w:tc>
          <w:tcPr>
            <w:tcW w:w="1064"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4" w:right="0"/>
              <w:jc w:val="left"/>
              <w:rPr>
                <w:rFonts w:ascii="宋体" w:hAnsi="宋体" w:cs="宋体" w:eastAsia="宋体" w:hint="default"/>
                <w:sz w:val="18"/>
                <w:szCs w:val="18"/>
              </w:rPr>
            </w:pPr>
            <w:r>
              <w:rPr>
                <w:rFonts w:ascii="宋体" w:hAnsi="宋体" w:cs="宋体" w:eastAsia="宋体" w:hint="default"/>
                <w:sz w:val="18"/>
                <w:szCs w:val="18"/>
              </w:rPr>
              <w:t>收益状况</w:t>
            </w:r>
          </w:p>
        </w:tc>
        <w:tc>
          <w:tcPr>
            <w:tcW w:w="1064"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75" w:right="72"/>
              <w:jc w:val="center"/>
              <w:rPr>
                <w:rFonts w:ascii="宋体" w:hAnsi="宋体" w:cs="宋体" w:eastAsia="宋体" w:hint="default"/>
                <w:sz w:val="18"/>
                <w:szCs w:val="18"/>
              </w:rPr>
            </w:pPr>
            <w:r>
              <w:rPr>
                <w:rFonts w:ascii="宋体" w:hAnsi="宋体" w:cs="宋体" w:eastAsia="宋体" w:hint="default"/>
                <w:sz w:val="18"/>
                <w:szCs w:val="18"/>
              </w:rPr>
              <w:t>境外资产占 公司净资产 的比重</w:t>
            </w:r>
          </w:p>
        </w:tc>
        <w:tc>
          <w:tcPr>
            <w:tcW w:w="1059"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1" w:right="62"/>
              <w:jc w:val="left"/>
              <w:rPr>
                <w:rFonts w:ascii="宋体" w:hAnsi="宋体" w:cs="宋体" w:eastAsia="宋体" w:hint="default"/>
                <w:sz w:val="18"/>
                <w:szCs w:val="18"/>
              </w:rPr>
            </w:pPr>
            <w:r>
              <w:rPr>
                <w:rFonts w:ascii="宋体" w:hAnsi="宋体" w:cs="宋体" w:eastAsia="宋体" w:hint="default"/>
                <w:sz w:val="18"/>
                <w:szCs w:val="18"/>
              </w:rPr>
              <w:t>是否存在重 大减值风险</w:t>
            </w:r>
          </w:p>
        </w:tc>
      </w:tr>
      <w:tr>
        <w:trPr>
          <w:trHeight w:val="1967" w:hRule="exact"/>
        </w:trPr>
        <w:tc>
          <w:tcPr>
            <w:tcW w:w="10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0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20" w:right="125"/>
              <w:jc w:val="both"/>
              <w:rPr>
                <w:rFonts w:ascii="宋体" w:hAnsi="宋体" w:cs="宋体" w:eastAsia="宋体" w:hint="default"/>
                <w:sz w:val="18"/>
                <w:szCs w:val="18"/>
              </w:rPr>
            </w:pPr>
            <w:r>
              <w:rPr>
                <w:rFonts w:ascii="宋体" w:hAnsi="宋体" w:cs="宋体" w:eastAsia="宋体" w:hint="default"/>
                <w:sz w:val="18"/>
                <w:szCs w:val="18"/>
              </w:rPr>
              <w:t>公司投入及 历年经营累 积</w:t>
            </w:r>
          </w:p>
        </w:tc>
        <w:tc>
          <w:tcPr>
            <w:tcW w:w="10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1,301,025,81</w:t>
            </w:r>
          </w:p>
          <w:p>
            <w:pPr>
              <w:pStyle w:val="TableParagraph"/>
              <w:spacing w:line="240" w:lineRule="auto" w:before="105"/>
              <w:ind w:left="20" w:right="0"/>
              <w:jc w:val="left"/>
              <w:rPr>
                <w:rFonts w:ascii="Times New Roman" w:hAnsi="Times New Roman" w:cs="Times New Roman" w:eastAsia="Times New Roman" w:hint="default"/>
                <w:sz w:val="18"/>
                <w:szCs w:val="18"/>
              </w:rPr>
            </w:pPr>
            <w:r>
              <w:rPr>
                <w:rFonts w:ascii="Times New Roman"/>
                <w:sz w:val="18"/>
              </w:rPr>
              <w:t>3.24</w:t>
            </w:r>
          </w:p>
        </w:tc>
        <w:tc>
          <w:tcPr>
            <w:tcW w:w="1064" w:type="dxa"/>
            <w:tcBorders>
              <w:top w:val="single" w:sz="6" w:space="0" w:color="000000"/>
              <w:left w:val="single" w:sz="6" w:space="0" w:color="000000"/>
              <w:bottom w:val="single" w:sz="6" w:space="0" w:color="000000"/>
              <w:right w:val="single" w:sz="14" w:space="0" w:color="FFFFFF"/>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0" w:right="-63"/>
              <w:jc w:val="left"/>
              <w:rPr>
                <w:rFonts w:ascii="宋体" w:hAnsi="宋体" w:cs="宋体" w:eastAsia="宋体" w:hint="default"/>
                <w:sz w:val="18"/>
                <w:szCs w:val="18"/>
              </w:rPr>
            </w:pPr>
            <w:r>
              <w:rPr>
                <w:rFonts w:ascii="宋体" w:hAnsi="宋体" w:cs="宋体" w:eastAsia="宋体" w:hint="default"/>
                <w:sz w:val="18"/>
                <w:szCs w:val="18"/>
              </w:rPr>
              <w:t>香港、韩国、 美国等地</w:t>
            </w:r>
          </w:p>
        </w:tc>
        <w:tc>
          <w:tcPr>
            <w:tcW w:w="1064" w:type="dxa"/>
            <w:tcBorders>
              <w:top w:val="single" w:sz="6" w:space="0" w:color="000000"/>
              <w:left w:val="single" w:sz="14" w:space="0" w:color="FFFFFF"/>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10" w:right="126"/>
              <w:jc w:val="both"/>
              <w:rPr>
                <w:rFonts w:ascii="宋体" w:hAnsi="宋体" w:cs="宋体" w:eastAsia="宋体" w:hint="default"/>
                <w:sz w:val="18"/>
                <w:szCs w:val="18"/>
              </w:rPr>
            </w:pPr>
            <w:r>
              <w:rPr>
                <w:rFonts w:ascii="宋体" w:hAnsi="宋体" w:cs="宋体" w:eastAsia="宋体" w:hint="default"/>
                <w:sz w:val="18"/>
                <w:szCs w:val="18"/>
              </w:rPr>
              <w:t>用于境外公 司正常的经 营活动</w:t>
            </w:r>
          </w:p>
        </w:tc>
        <w:tc>
          <w:tcPr>
            <w:tcW w:w="1064"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2"/>
              <w:ind w:left="20" w:right="19"/>
              <w:jc w:val="left"/>
              <w:rPr>
                <w:rFonts w:ascii="宋体" w:hAnsi="宋体" w:cs="宋体" w:eastAsia="宋体" w:hint="default"/>
                <w:sz w:val="18"/>
                <w:szCs w:val="18"/>
              </w:rPr>
            </w:pPr>
            <w:r>
              <w:rPr>
                <w:rFonts w:ascii="宋体" w:hAnsi="宋体" w:cs="宋体" w:eastAsia="宋体" w:hint="default"/>
                <w:sz w:val="18"/>
                <w:szCs w:val="18"/>
              </w:rPr>
              <w:t>用于公司正 </w:t>
            </w:r>
            <w:r>
              <w:rPr>
                <w:rFonts w:ascii="宋体" w:hAnsi="宋体" w:cs="宋体" w:eastAsia="宋体" w:hint="default"/>
                <w:spacing w:val="-12"/>
                <w:sz w:val="18"/>
                <w:szCs w:val="18"/>
              </w:rPr>
              <w:t>常经营，款项</w:t>
            </w:r>
            <w:r>
              <w:rPr>
                <w:rFonts w:ascii="宋体" w:hAnsi="宋体" w:cs="宋体" w:eastAsia="宋体" w:hint="default"/>
                <w:sz w:val="18"/>
                <w:szCs w:val="18"/>
              </w:rPr>
              <w:t> 的支付均经 过公司内部 管理流程审 批</w:t>
            </w:r>
          </w:p>
        </w:tc>
        <w:tc>
          <w:tcPr>
            <w:tcW w:w="1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0" w:right="18"/>
              <w:jc w:val="left"/>
              <w:rPr>
                <w:rFonts w:ascii="宋体" w:hAnsi="宋体" w:cs="宋体" w:eastAsia="宋体" w:hint="default"/>
                <w:sz w:val="18"/>
                <w:szCs w:val="18"/>
              </w:rPr>
            </w:pPr>
            <w:r>
              <w:rPr>
                <w:rFonts w:ascii="宋体" w:hAnsi="宋体" w:cs="宋体" w:eastAsia="宋体" w:hint="default"/>
                <w:sz w:val="18"/>
                <w:szCs w:val="18"/>
              </w:rPr>
              <w:t>用于正常的 </w:t>
            </w:r>
            <w:r>
              <w:rPr>
                <w:rFonts w:ascii="宋体" w:hAnsi="宋体" w:cs="宋体" w:eastAsia="宋体" w:hint="default"/>
                <w:spacing w:val="-12"/>
                <w:sz w:val="18"/>
                <w:szCs w:val="18"/>
              </w:rPr>
              <w:t>生产经营，未</w:t>
            </w:r>
            <w:r>
              <w:rPr>
                <w:rFonts w:ascii="宋体" w:hAnsi="宋体" w:cs="宋体" w:eastAsia="宋体" w:hint="default"/>
                <w:sz w:val="18"/>
                <w:szCs w:val="18"/>
              </w:rPr>
              <w:t> 单独对货币 资金进行收 益统计</w:t>
            </w:r>
          </w:p>
        </w:tc>
        <w:tc>
          <w:tcPr>
            <w:tcW w:w="1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14.68%</w:t>
            </w:r>
          </w:p>
        </w:tc>
        <w:tc>
          <w:tcPr>
            <w:tcW w:w="10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623" w:hRule="exact"/>
        </w:trPr>
        <w:tc>
          <w:tcPr>
            <w:tcW w:w="106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319" w:lineRule="auto"/>
              <w:ind w:left="14" w:right="129"/>
              <w:jc w:val="left"/>
              <w:rPr>
                <w:rFonts w:ascii="宋体" w:hAnsi="宋体" w:cs="宋体" w:eastAsia="宋体" w:hint="default"/>
                <w:sz w:val="18"/>
                <w:szCs w:val="18"/>
              </w:rPr>
            </w:pPr>
            <w:r>
              <w:rPr>
                <w:rFonts w:ascii="宋体" w:hAnsi="宋体" w:cs="宋体" w:eastAsia="宋体" w:hint="default"/>
                <w:sz w:val="18"/>
                <w:szCs w:val="18"/>
              </w:rPr>
              <w:t>可供出售金 融资产</w:t>
            </w:r>
          </w:p>
        </w:tc>
        <w:tc>
          <w:tcPr>
            <w:tcW w:w="10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319" w:lineRule="auto"/>
              <w:ind w:left="20" w:right="125"/>
              <w:jc w:val="left"/>
              <w:rPr>
                <w:rFonts w:ascii="宋体" w:hAnsi="宋体" w:cs="宋体" w:eastAsia="宋体" w:hint="default"/>
                <w:sz w:val="18"/>
                <w:szCs w:val="18"/>
              </w:rPr>
            </w:pPr>
            <w:r>
              <w:rPr>
                <w:rFonts w:ascii="宋体" w:hAnsi="宋体" w:cs="宋体" w:eastAsia="宋体" w:hint="default"/>
                <w:sz w:val="18"/>
                <w:szCs w:val="18"/>
              </w:rPr>
              <w:t>公司对外投 资产生</w:t>
            </w:r>
          </w:p>
        </w:tc>
        <w:tc>
          <w:tcPr>
            <w:tcW w:w="10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4,992,598,09</w:t>
            </w:r>
          </w:p>
          <w:p>
            <w:pPr>
              <w:pStyle w:val="TableParagraph"/>
              <w:spacing w:line="240" w:lineRule="auto" w:before="106"/>
              <w:ind w:left="20" w:right="0"/>
              <w:jc w:val="left"/>
              <w:rPr>
                <w:rFonts w:ascii="Times New Roman" w:hAnsi="Times New Roman" w:cs="Times New Roman" w:eastAsia="Times New Roman" w:hint="default"/>
                <w:sz w:val="18"/>
                <w:szCs w:val="18"/>
              </w:rPr>
            </w:pPr>
            <w:r>
              <w:rPr>
                <w:rFonts w:ascii="Times New Roman"/>
                <w:sz w:val="18"/>
              </w:rPr>
              <w:t>0.05</w:t>
            </w:r>
          </w:p>
        </w:tc>
        <w:tc>
          <w:tcPr>
            <w:tcW w:w="106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香港、韩国</w:t>
            </w:r>
          </w:p>
        </w:tc>
        <w:tc>
          <w:tcPr>
            <w:tcW w:w="1064" w:type="dxa"/>
            <w:tcBorders>
              <w:top w:val="single" w:sz="6" w:space="0" w:color="000000"/>
              <w:left w:val="single" w:sz="6" w:space="0" w:color="000000"/>
              <w:bottom w:val="single" w:sz="12" w:space="0" w:color="000000"/>
              <w:right w:val="single" w:sz="6" w:space="0" w:color="000000"/>
            </w:tcBorders>
          </w:tcPr>
          <w:p>
            <w:pPr>
              <w:pStyle w:val="TableParagraph"/>
              <w:spacing w:line="316" w:lineRule="auto" w:before="52"/>
              <w:ind w:left="21" w:right="18"/>
              <w:jc w:val="left"/>
              <w:rPr>
                <w:rFonts w:ascii="宋体" w:hAnsi="宋体" w:cs="宋体" w:eastAsia="宋体" w:hint="default"/>
                <w:sz w:val="18"/>
                <w:szCs w:val="18"/>
              </w:rPr>
            </w:pPr>
            <w:r>
              <w:rPr>
                <w:rFonts w:ascii="宋体" w:hAnsi="宋体" w:cs="宋体" w:eastAsia="宋体" w:hint="default"/>
                <w:sz w:val="18"/>
                <w:szCs w:val="18"/>
              </w:rPr>
              <w:t>公司按照所 支付的投资 款取得被投 </w:t>
            </w:r>
            <w:r>
              <w:rPr>
                <w:rFonts w:ascii="宋体" w:hAnsi="宋体" w:cs="宋体" w:eastAsia="宋体" w:hint="default"/>
                <w:spacing w:val="-12"/>
                <w:sz w:val="18"/>
                <w:szCs w:val="18"/>
              </w:rPr>
              <w:t>资方股份，享</w:t>
            </w:r>
            <w:r>
              <w:rPr>
                <w:rFonts w:ascii="宋体" w:hAnsi="宋体" w:cs="宋体" w:eastAsia="宋体" w:hint="default"/>
                <w:sz w:val="18"/>
                <w:szCs w:val="18"/>
              </w:rPr>
              <w:t> 有相应的权</w:t>
            </w:r>
          </w:p>
        </w:tc>
        <w:tc>
          <w:tcPr>
            <w:tcW w:w="1064" w:type="dxa"/>
            <w:tcBorders>
              <w:top w:val="single" w:sz="6" w:space="0" w:color="000000"/>
              <w:left w:val="single" w:sz="6" w:space="0" w:color="000000"/>
              <w:bottom w:val="single" w:sz="12" w:space="0" w:color="000000"/>
              <w:right w:val="single" w:sz="6" w:space="0" w:color="000000"/>
            </w:tcBorders>
          </w:tcPr>
          <w:p>
            <w:pPr>
              <w:pStyle w:val="TableParagraph"/>
              <w:spacing w:line="316" w:lineRule="auto" w:before="52"/>
              <w:ind w:left="20" w:right="19"/>
              <w:jc w:val="left"/>
              <w:rPr>
                <w:rFonts w:ascii="宋体" w:hAnsi="宋体" w:cs="宋体" w:eastAsia="宋体" w:hint="default"/>
                <w:sz w:val="18"/>
                <w:szCs w:val="18"/>
              </w:rPr>
            </w:pPr>
            <w:r>
              <w:rPr>
                <w:rFonts w:ascii="宋体" w:hAnsi="宋体" w:cs="宋体" w:eastAsia="宋体" w:hint="default"/>
                <w:sz w:val="18"/>
                <w:szCs w:val="18"/>
              </w:rPr>
              <w:t>公司定期收 集被投资单 位的财务报 </w:t>
            </w:r>
            <w:r>
              <w:rPr>
                <w:rFonts w:ascii="宋体" w:hAnsi="宋体" w:cs="宋体" w:eastAsia="宋体" w:hint="default"/>
                <w:spacing w:val="-12"/>
                <w:sz w:val="18"/>
                <w:szCs w:val="18"/>
              </w:rPr>
              <w:t>表、对外投资</w:t>
            </w:r>
            <w:r>
              <w:rPr>
                <w:rFonts w:ascii="宋体" w:hAnsi="宋体" w:cs="宋体" w:eastAsia="宋体" w:hint="default"/>
                <w:sz w:val="18"/>
                <w:szCs w:val="18"/>
              </w:rPr>
              <w:t> </w:t>
            </w:r>
            <w:r>
              <w:rPr>
                <w:rFonts w:ascii="宋体" w:hAnsi="宋体" w:cs="宋体" w:eastAsia="宋体" w:hint="default"/>
                <w:spacing w:val="-12"/>
                <w:sz w:val="18"/>
                <w:szCs w:val="18"/>
              </w:rPr>
              <w:t>报告、按照被</w:t>
            </w:r>
          </w:p>
        </w:tc>
        <w:tc>
          <w:tcPr>
            <w:tcW w:w="106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429,278,860.</w:t>
            </w:r>
          </w:p>
          <w:p>
            <w:pPr>
              <w:pStyle w:val="TableParagraph"/>
              <w:spacing w:line="240" w:lineRule="auto" w:before="106"/>
              <w:ind w:left="20" w:right="0"/>
              <w:jc w:val="left"/>
              <w:rPr>
                <w:rFonts w:ascii="Times New Roman" w:hAnsi="Times New Roman" w:cs="Times New Roman" w:eastAsia="Times New Roman" w:hint="default"/>
                <w:sz w:val="18"/>
                <w:szCs w:val="18"/>
              </w:rPr>
            </w:pPr>
            <w:r>
              <w:rPr>
                <w:rFonts w:ascii="Times New Roman"/>
                <w:sz w:val="18"/>
              </w:rPr>
              <w:t>23</w:t>
            </w:r>
          </w:p>
        </w:tc>
        <w:tc>
          <w:tcPr>
            <w:tcW w:w="106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56.33%</w:t>
            </w:r>
          </w:p>
        </w:tc>
        <w:tc>
          <w:tcPr>
            <w:tcW w:w="105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7" w:footer="979" w:top="1060" w:bottom="1160" w:left="0" w:right="0"/>
        </w:sectPr>
      </w:pPr>
    </w:p>
    <w:p>
      <w:pPr>
        <w:spacing w:line="240" w:lineRule="auto" w:before="6"/>
        <w:rPr>
          <w:rFonts w:ascii="宋体" w:hAnsi="宋体" w:cs="宋体" w:eastAsia="宋体" w:hint="default"/>
          <w:sz w:val="28"/>
          <w:szCs w:val="28"/>
        </w:rPr>
      </w:pPr>
      <w:r>
        <w:rPr/>
        <w:pict>
          <v:group style="position:absolute;margin-left:377.920013pt;margin-top:290.839996pt;width:52.55pt;height:85.8pt;mso-position-horizontal-relative:page;mso-position-vertical-relative:page;z-index:-1136800" coordorigin="7558,5817" coordsize="1051,1716">
            <v:shape style="position:absolute;left:7558;top:5817;width:1051;height:1716" coordorigin="7558,5817" coordsize="1051,1716" path="m7558,7533l8609,7533,8609,5817,7558,5817,7558,7533xe" filled="true" fillcolor="#ffffff" stroked="false">
              <v:path arrowok="t"/>
              <v:fill type="solid"/>
            </v:shape>
            <w10:wrap type="none"/>
          </v:group>
        </w:pict>
      </w:r>
    </w:p>
    <w:tbl>
      <w:tblPr>
        <w:tblW w:w="0" w:type="auto"/>
        <w:jc w:val="left"/>
        <w:tblInd w:w="1151" w:type="dxa"/>
        <w:tblLayout w:type="fixed"/>
        <w:tblCellMar>
          <w:top w:w="0" w:type="dxa"/>
          <w:left w:w="0" w:type="dxa"/>
          <w:bottom w:w="0" w:type="dxa"/>
          <w:right w:w="0" w:type="dxa"/>
        </w:tblCellMar>
        <w:tblLook w:val="01E0"/>
      </w:tblPr>
      <w:tblGrid>
        <w:gridCol w:w="1068"/>
        <w:gridCol w:w="1062"/>
        <w:gridCol w:w="1062"/>
        <w:gridCol w:w="1064"/>
        <w:gridCol w:w="1064"/>
        <w:gridCol w:w="1064"/>
        <w:gridCol w:w="1064"/>
        <w:gridCol w:w="1064"/>
        <w:gridCol w:w="1059"/>
      </w:tblGrid>
      <w:tr>
        <w:trPr>
          <w:trHeight w:val="2246" w:hRule="exact"/>
        </w:trPr>
        <w:tc>
          <w:tcPr>
            <w:tcW w:w="1068" w:type="dxa"/>
            <w:tcBorders>
              <w:top w:val="single" w:sz="12" w:space="0" w:color="000000"/>
              <w:left w:val="single" w:sz="12" w:space="0" w:color="000000"/>
              <w:bottom w:val="single" w:sz="6" w:space="0" w:color="000000"/>
              <w:right w:val="single" w:sz="6" w:space="0" w:color="000000"/>
            </w:tcBorders>
          </w:tcPr>
          <w:p>
            <w:pPr/>
          </w:p>
        </w:tc>
        <w:tc>
          <w:tcPr>
            <w:tcW w:w="1062" w:type="dxa"/>
            <w:tcBorders>
              <w:top w:val="single" w:sz="12" w:space="0" w:color="000000"/>
              <w:left w:val="single" w:sz="6" w:space="0" w:color="000000"/>
              <w:bottom w:val="single" w:sz="6" w:space="0" w:color="000000"/>
              <w:right w:val="single" w:sz="6" w:space="0" w:color="000000"/>
            </w:tcBorders>
          </w:tcPr>
          <w:p>
            <w:pPr/>
          </w:p>
        </w:tc>
        <w:tc>
          <w:tcPr>
            <w:tcW w:w="1062" w:type="dxa"/>
            <w:tcBorders>
              <w:top w:val="single" w:sz="12" w:space="0" w:color="000000"/>
              <w:left w:val="single" w:sz="6" w:space="0" w:color="000000"/>
              <w:bottom w:val="single" w:sz="6" w:space="0" w:color="000000"/>
              <w:right w:val="single" w:sz="6" w:space="0" w:color="000000"/>
            </w:tcBorders>
          </w:tcPr>
          <w:p>
            <w:pPr/>
          </w:p>
        </w:tc>
        <w:tc>
          <w:tcPr>
            <w:tcW w:w="1064" w:type="dxa"/>
            <w:tcBorders>
              <w:top w:val="single" w:sz="12" w:space="0" w:color="000000"/>
              <w:left w:val="single" w:sz="6" w:space="0" w:color="000000"/>
              <w:bottom w:val="single" w:sz="6" w:space="0" w:color="000000"/>
              <w:right w:val="single" w:sz="6" w:space="0" w:color="000000"/>
            </w:tcBorders>
          </w:tcPr>
          <w:p>
            <w:pPr/>
          </w:p>
        </w:tc>
        <w:tc>
          <w:tcPr>
            <w:tcW w:w="1064" w:type="dxa"/>
            <w:tcBorders>
              <w:top w:val="single" w:sz="12" w:space="0" w:color="000000"/>
              <w:left w:val="single" w:sz="6" w:space="0" w:color="000000"/>
              <w:bottom w:val="single" w:sz="6" w:space="0" w:color="000000"/>
              <w:right w:val="single" w:sz="6" w:space="0" w:color="000000"/>
            </w:tcBorders>
          </w:tcPr>
          <w:p>
            <w:pPr>
              <w:pStyle w:val="TableParagraph"/>
              <w:spacing w:line="319" w:lineRule="auto" w:before="10"/>
              <w:ind w:left="21" w:right="126"/>
              <w:jc w:val="left"/>
              <w:rPr>
                <w:rFonts w:ascii="宋体" w:hAnsi="宋体" w:cs="宋体" w:eastAsia="宋体" w:hint="default"/>
                <w:sz w:val="18"/>
                <w:szCs w:val="18"/>
              </w:rPr>
            </w:pPr>
            <w:r>
              <w:rPr>
                <w:rFonts w:ascii="宋体" w:hAnsi="宋体" w:cs="宋体" w:eastAsia="宋体" w:hint="default"/>
                <w:sz w:val="18"/>
                <w:szCs w:val="18"/>
              </w:rPr>
              <w:t>利并履行对 应义务</w:t>
            </w:r>
          </w:p>
        </w:tc>
        <w:tc>
          <w:tcPr>
            <w:tcW w:w="1064" w:type="dxa"/>
            <w:tcBorders>
              <w:top w:val="single" w:sz="12" w:space="0" w:color="000000"/>
              <w:left w:val="single" w:sz="6" w:space="0" w:color="000000"/>
              <w:bottom w:val="single" w:sz="6" w:space="0" w:color="000000"/>
              <w:right w:val="single" w:sz="6" w:space="0" w:color="000000"/>
            </w:tcBorders>
          </w:tcPr>
          <w:p>
            <w:pPr>
              <w:pStyle w:val="TableParagraph"/>
              <w:spacing w:line="319" w:lineRule="auto" w:before="10"/>
              <w:ind w:left="20" w:right="-51"/>
              <w:jc w:val="left"/>
              <w:rPr>
                <w:rFonts w:ascii="宋体" w:hAnsi="宋体" w:cs="宋体" w:eastAsia="宋体" w:hint="default"/>
                <w:sz w:val="18"/>
                <w:szCs w:val="18"/>
              </w:rPr>
            </w:pPr>
            <w:r>
              <w:rPr>
                <w:rFonts w:ascii="宋体" w:hAnsi="宋体" w:cs="宋体" w:eastAsia="宋体" w:hint="default"/>
                <w:sz w:val="18"/>
                <w:szCs w:val="18"/>
              </w:rPr>
              <w:t>投资单位章 程履行职责， 对被投资单 位经营情况 保持动态更 </w:t>
            </w:r>
            <w:r>
              <w:rPr>
                <w:rFonts w:ascii="宋体" w:hAnsi="宋体" w:cs="宋体" w:eastAsia="宋体" w:hint="default"/>
                <w:spacing w:val="-12"/>
                <w:sz w:val="18"/>
                <w:szCs w:val="18"/>
              </w:rPr>
              <w:t>新，进行投前</w:t>
            </w:r>
            <w:r>
              <w:rPr>
                <w:rFonts w:ascii="宋体" w:hAnsi="宋体" w:cs="宋体" w:eastAsia="宋体" w:hint="default"/>
                <w:sz w:val="18"/>
                <w:szCs w:val="18"/>
              </w:rPr>
              <w:t> 投后管理</w:t>
            </w:r>
          </w:p>
        </w:tc>
        <w:tc>
          <w:tcPr>
            <w:tcW w:w="1064" w:type="dxa"/>
            <w:tcBorders>
              <w:top w:val="single" w:sz="12" w:space="0" w:color="000000"/>
              <w:left w:val="single" w:sz="6" w:space="0" w:color="000000"/>
              <w:bottom w:val="single" w:sz="6" w:space="0" w:color="000000"/>
              <w:right w:val="single" w:sz="6" w:space="0" w:color="000000"/>
            </w:tcBorders>
          </w:tcPr>
          <w:p>
            <w:pPr>
              <w:pStyle w:val="TableParagraph"/>
              <w:spacing w:line="2224" w:lineRule="exact"/>
              <w:ind w:right="-52"/>
              <w:jc w:val="left"/>
              <w:rPr>
                <w:rFonts w:ascii="宋体" w:hAnsi="宋体" w:cs="宋体" w:eastAsia="宋体" w:hint="default"/>
                <w:sz w:val="20"/>
                <w:szCs w:val="20"/>
              </w:rPr>
            </w:pPr>
            <w:r>
              <w:rPr>
                <w:rFonts w:ascii="宋体" w:hAnsi="宋体" w:cs="宋体" w:eastAsia="宋体" w:hint="default"/>
                <w:position w:val="-43"/>
                <w:sz w:val="20"/>
                <w:szCs w:val="20"/>
              </w:rPr>
              <w:pict>
                <v:group style="width:52.55pt;height:111.2pt;mso-position-horizontal-relative:char;mso-position-vertical-relative:line" coordorigin="0,0" coordsize="1051,2224">
                  <v:group style="position:absolute;left:0;top:0;width:1051;height:2224" coordorigin="0,0" coordsize="1051,2224">
                    <v:shape style="position:absolute;left:0;top:0;width:1051;height:2224" coordorigin="0,0" coordsize="1051,2224" path="m0,2224l1050,2224,1050,0,0,0,0,2224xe" filled="true" fillcolor="#ffffff" stroked="false">
                      <v:path arrowok="t"/>
                      <v:fill type="solid"/>
                    </v:shape>
                  </v:group>
                </v:group>
              </w:pict>
            </w:r>
            <w:r>
              <w:rPr>
                <w:rFonts w:ascii="宋体" w:hAnsi="宋体" w:cs="宋体" w:eastAsia="宋体" w:hint="default"/>
                <w:position w:val="-43"/>
                <w:sz w:val="20"/>
                <w:szCs w:val="20"/>
              </w:rPr>
            </w:r>
          </w:p>
        </w:tc>
        <w:tc>
          <w:tcPr>
            <w:tcW w:w="1064" w:type="dxa"/>
            <w:tcBorders>
              <w:top w:val="single" w:sz="12" w:space="0" w:color="000000"/>
              <w:left w:val="single" w:sz="6" w:space="0" w:color="000000"/>
              <w:bottom w:val="single" w:sz="6" w:space="0" w:color="000000"/>
              <w:right w:val="single" w:sz="6" w:space="0" w:color="000000"/>
            </w:tcBorders>
          </w:tcPr>
          <w:p>
            <w:pPr/>
          </w:p>
        </w:tc>
        <w:tc>
          <w:tcPr>
            <w:tcW w:w="1059" w:type="dxa"/>
            <w:tcBorders>
              <w:top w:val="single" w:sz="12" w:space="0" w:color="000000"/>
              <w:left w:val="single" w:sz="6" w:space="0" w:color="000000"/>
              <w:bottom w:val="single" w:sz="6" w:space="0" w:color="000000"/>
              <w:right w:val="single" w:sz="12" w:space="0" w:color="000000"/>
            </w:tcBorders>
          </w:tcPr>
          <w:p>
            <w:pPr/>
          </w:p>
        </w:tc>
      </w:tr>
      <w:tr>
        <w:trPr>
          <w:trHeight w:val="3839" w:hRule="exact"/>
        </w:trPr>
        <w:tc>
          <w:tcPr>
            <w:tcW w:w="10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316" w:lineRule="auto"/>
              <w:ind w:left="14" w:right="129"/>
              <w:jc w:val="left"/>
              <w:rPr>
                <w:rFonts w:ascii="宋体" w:hAnsi="宋体" w:cs="宋体" w:eastAsia="宋体" w:hint="default"/>
                <w:sz w:val="18"/>
                <w:szCs w:val="18"/>
              </w:rPr>
            </w:pPr>
            <w:r>
              <w:rPr>
                <w:rFonts w:ascii="宋体" w:hAnsi="宋体" w:cs="宋体" w:eastAsia="宋体" w:hint="default"/>
                <w:sz w:val="18"/>
                <w:szCs w:val="18"/>
              </w:rPr>
              <w:t>长期股权投 资</w:t>
            </w:r>
          </w:p>
        </w:tc>
        <w:tc>
          <w:tcPr>
            <w:tcW w:w="10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316" w:lineRule="auto"/>
              <w:ind w:left="20" w:right="125"/>
              <w:jc w:val="left"/>
              <w:rPr>
                <w:rFonts w:ascii="宋体" w:hAnsi="宋体" w:cs="宋体" w:eastAsia="宋体" w:hint="default"/>
                <w:sz w:val="18"/>
                <w:szCs w:val="18"/>
              </w:rPr>
            </w:pPr>
            <w:r>
              <w:rPr>
                <w:rFonts w:ascii="宋体" w:hAnsi="宋体" w:cs="宋体" w:eastAsia="宋体" w:hint="default"/>
                <w:sz w:val="18"/>
                <w:szCs w:val="18"/>
              </w:rPr>
              <w:t>公司对外投 资产生</w:t>
            </w:r>
          </w:p>
        </w:tc>
        <w:tc>
          <w:tcPr>
            <w:tcW w:w="10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1,302,641,28</w:t>
            </w:r>
          </w:p>
          <w:p>
            <w:pPr>
              <w:pStyle w:val="TableParagraph"/>
              <w:spacing w:line="240" w:lineRule="auto" w:before="105"/>
              <w:ind w:left="20" w:right="0"/>
              <w:jc w:val="left"/>
              <w:rPr>
                <w:rFonts w:ascii="Times New Roman" w:hAnsi="Times New Roman" w:cs="Times New Roman" w:eastAsia="Times New Roman" w:hint="default"/>
                <w:sz w:val="18"/>
                <w:szCs w:val="18"/>
              </w:rPr>
            </w:pPr>
            <w:r>
              <w:rPr>
                <w:rFonts w:ascii="Times New Roman"/>
                <w:sz w:val="18"/>
              </w:rPr>
              <w:t>0.98</w:t>
            </w:r>
          </w:p>
        </w:tc>
        <w:tc>
          <w:tcPr>
            <w:tcW w:w="1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left="20"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21" w:right="18"/>
              <w:jc w:val="left"/>
              <w:rPr>
                <w:rFonts w:ascii="宋体" w:hAnsi="宋体" w:cs="宋体" w:eastAsia="宋体" w:hint="default"/>
                <w:sz w:val="18"/>
                <w:szCs w:val="18"/>
              </w:rPr>
            </w:pPr>
            <w:r>
              <w:rPr>
                <w:rFonts w:ascii="宋体" w:hAnsi="宋体" w:cs="宋体" w:eastAsia="宋体" w:hint="default"/>
                <w:sz w:val="18"/>
                <w:szCs w:val="18"/>
              </w:rPr>
              <w:t>公司按照所 支付的投资 款取得被投 </w:t>
            </w:r>
            <w:r>
              <w:rPr>
                <w:rFonts w:ascii="宋体" w:hAnsi="宋体" w:cs="宋体" w:eastAsia="宋体" w:hint="default"/>
                <w:spacing w:val="-12"/>
                <w:sz w:val="18"/>
                <w:szCs w:val="18"/>
              </w:rPr>
              <w:t>资方股份，享</w:t>
            </w:r>
            <w:r>
              <w:rPr>
                <w:rFonts w:ascii="宋体" w:hAnsi="宋体" w:cs="宋体" w:eastAsia="宋体" w:hint="default"/>
                <w:sz w:val="18"/>
                <w:szCs w:val="18"/>
              </w:rPr>
              <w:t> 有相应的权 利并履行对 应义务</w:t>
            </w:r>
          </w:p>
        </w:tc>
        <w:tc>
          <w:tcPr>
            <w:tcW w:w="1064" w:type="dxa"/>
            <w:tcBorders>
              <w:top w:val="single" w:sz="6" w:space="0" w:color="000000"/>
              <w:left w:val="single" w:sz="6" w:space="0" w:color="000000"/>
              <w:bottom w:val="single" w:sz="6" w:space="0" w:color="000000"/>
              <w:right w:val="single" w:sz="8" w:space="0" w:color="FFFFFF"/>
            </w:tcBorders>
          </w:tcPr>
          <w:p>
            <w:pPr>
              <w:pStyle w:val="TableParagraph"/>
              <w:spacing w:line="316" w:lineRule="auto" w:before="52"/>
              <w:ind w:left="20" w:right="-54"/>
              <w:jc w:val="left"/>
              <w:rPr>
                <w:rFonts w:ascii="宋体" w:hAnsi="宋体" w:cs="宋体" w:eastAsia="宋体" w:hint="default"/>
                <w:sz w:val="18"/>
                <w:szCs w:val="18"/>
              </w:rPr>
            </w:pPr>
            <w:r>
              <w:rPr>
                <w:rFonts w:ascii="宋体" w:hAnsi="宋体" w:cs="宋体" w:eastAsia="宋体" w:hint="default"/>
                <w:sz w:val="18"/>
                <w:szCs w:val="18"/>
              </w:rPr>
              <w:t>公司定期收 集被投资单 位的财务报 </w:t>
            </w:r>
            <w:r>
              <w:rPr>
                <w:rFonts w:ascii="宋体" w:hAnsi="宋体" w:cs="宋体" w:eastAsia="宋体" w:hint="default"/>
                <w:spacing w:val="-12"/>
                <w:sz w:val="18"/>
                <w:szCs w:val="18"/>
              </w:rPr>
              <w:t>表、对外投资</w:t>
            </w:r>
            <w:r>
              <w:rPr>
                <w:rFonts w:ascii="宋体" w:hAnsi="宋体" w:cs="宋体" w:eastAsia="宋体" w:hint="default"/>
                <w:sz w:val="18"/>
                <w:szCs w:val="18"/>
              </w:rPr>
              <w:t> </w:t>
            </w:r>
            <w:r>
              <w:rPr>
                <w:rFonts w:ascii="宋体" w:hAnsi="宋体" w:cs="宋体" w:eastAsia="宋体" w:hint="default"/>
                <w:spacing w:val="-12"/>
                <w:sz w:val="18"/>
                <w:szCs w:val="18"/>
              </w:rPr>
              <w:t>报告、按照被</w:t>
            </w:r>
            <w:r>
              <w:rPr>
                <w:rFonts w:ascii="宋体" w:hAnsi="宋体" w:cs="宋体" w:eastAsia="宋体" w:hint="default"/>
                <w:sz w:val="18"/>
                <w:szCs w:val="18"/>
              </w:rPr>
              <w:t> 投资单位章 程履行职责， 对被投资单 位经营情况 保持动态更 </w:t>
            </w:r>
            <w:r>
              <w:rPr>
                <w:rFonts w:ascii="宋体" w:hAnsi="宋体" w:cs="宋体" w:eastAsia="宋体" w:hint="default"/>
                <w:spacing w:val="-12"/>
                <w:sz w:val="18"/>
                <w:szCs w:val="18"/>
              </w:rPr>
              <w:t>新，进行投前</w:t>
            </w:r>
            <w:r>
              <w:rPr>
                <w:rFonts w:ascii="宋体" w:hAnsi="宋体" w:cs="宋体" w:eastAsia="宋体" w:hint="default"/>
                <w:sz w:val="18"/>
                <w:szCs w:val="18"/>
              </w:rPr>
              <w:t> 投后管理</w:t>
            </w:r>
          </w:p>
        </w:tc>
        <w:tc>
          <w:tcPr>
            <w:tcW w:w="1064" w:type="dxa"/>
            <w:tcBorders>
              <w:top w:val="single" w:sz="6" w:space="0" w:color="000000"/>
              <w:left w:val="single" w:sz="8" w:space="0" w:color="FFFFFF"/>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left="17" w:right="0"/>
              <w:jc w:val="left"/>
              <w:rPr>
                <w:rFonts w:ascii="Times New Roman" w:hAnsi="Times New Roman" w:cs="Times New Roman" w:eastAsia="Times New Roman" w:hint="default"/>
                <w:sz w:val="18"/>
                <w:szCs w:val="18"/>
              </w:rPr>
            </w:pPr>
            <w:r>
              <w:rPr>
                <w:rFonts w:ascii="Times New Roman"/>
                <w:sz w:val="18"/>
              </w:rPr>
              <w:t>9,095,099.93</w:t>
            </w:r>
          </w:p>
        </w:tc>
        <w:tc>
          <w:tcPr>
            <w:tcW w:w="1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right="17"/>
              <w:jc w:val="right"/>
              <w:rPr>
                <w:rFonts w:ascii="Times New Roman" w:hAnsi="Times New Roman" w:cs="Times New Roman" w:eastAsia="Times New Roman" w:hint="default"/>
                <w:sz w:val="18"/>
                <w:szCs w:val="18"/>
              </w:rPr>
            </w:pPr>
            <w:r>
              <w:rPr>
                <w:rFonts w:ascii="Times New Roman"/>
                <w:sz w:val="18"/>
              </w:rPr>
              <w:t>14.70%</w:t>
            </w:r>
          </w:p>
        </w:tc>
        <w:tc>
          <w:tcPr>
            <w:tcW w:w="10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left="2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096" w:hRule="exact"/>
        </w:trPr>
        <w:tc>
          <w:tcPr>
            <w:tcW w:w="106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0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316" w:lineRule="auto"/>
              <w:ind w:left="20" w:right="125"/>
              <w:jc w:val="left"/>
              <w:rPr>
                <w:rFonts w:ascii="宋体" w:hAnsi="宋体" w:cs="宋体" w:eastAsia="宋体" w:hint="default"/>
                <w:sz w:val="18"/>
                <w:szCs w:val="18"/>
              </w:rPr>
            </w:pPr>
            <w:r>
              <w:rPr>
                <w:rFonts w:ascii="宋体" w:hAnsi="宋体" w:cs="宋体" w:eastAsia="宋体" w:hint="default"/>
                <w:sz w:val="18"/>
                <w:szCs w:val="18"/>
              </w:rPr>
              <w:t>公司对外投 资产生</w:t>
            </w:r>
          </w:p>
        </w:tc>
        <w:tc>
          <w:tcPr>
            <w:tcW w:w="10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7"/>
              <w:ind w:left="20" w:right="0"/>
              <w:jc w:val="left"/>
              <w:rPr>
                <w:rFonts w:ascii="Times New Roman" w:hAnsi="Times New Roman" w:cs="Times New Roman" w:eastAsia="Times New Roman" w:hint="default"/>
                <w:sz w:val="18"/>
                <w:szCs w:val="18"/>
              </w:rPr>
            </w:pPr>
            <w:r>
              <w:rPr>
                <w:rFonts w:ascii="Times New Roman"/>
                <w:sz w:val="18"/>
              </w:rPr>
              <w:t>578,535,838.</w:t>
            </w:r>
          </w:p>
          <w:p>
            <w:pPr>
              <w:pStyle w:val="TableParagraph"/>
              <w:spacing w:line="240" w:lineRule="auto" w:before="105"/>
              <w:ind w:left="20" w:right="0"/>
              <w:jc w:val="left"/>
              <w:rPr>
                <w:rFonts w:ascii="Times New Roman" w:hAnsi="Times New Roman" w:cs="Times New Roman" w:eastAsia="Times New Roman" w:hint="default"/>
                <w:sz w:val="18"/>
                <w:szCs w:val="18"/>
              </w:rPr>
            </w:pPr>
            <w:r>
              <w:rPr>
                <w:rFonts w:ascii="Times New Roman"/>
                <w:sz w:val="18"/>
              </w:rPr>
              <w:t>14</w:t>
            </w:r>
          </w:p>
        </w:tc>
        <w:tc>
          <w:tcPr>
            <w:tcW w:w="106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06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316" w:lineRule="auto"/>
              <w:ind w:left="21" w:right="18"/>
              <w:jc w:val="left"/>
              <w:rPr>
                <w:rFonts w:ascii="宋体" w:hAnsi="宋体" w:cs="宋体" w:eastAsia="宋体" w:hint="default"/>
                <w:sz w:val="18"/>
                <w:szCs w:val="18"/>
              </w:rPr>
            </w:pPr>
            <w:r>
              <w:rPr>
                <w:rFonts w:ascii="宋体" w:hAnsi="宋体" w:cs="宋体" w:eastAsia="宋体" w:hint="default"/>
                <w:sz w:val="18"/>
                <w:szCs w:val="18"/>
              </w:rPr>
              <w:t>公司按照购 买对价超过 被投资方可 </w:t>
            </w:r>
            <w:r>
              <w:rPr>
                <w:rFonts w:ascii="宋体" w:hAnsi="宋体" w:cs="宋体" w:eastAsia="宋体" w:hint="default"/>
                <w:spacing w:val="-12"/>
                <w:sz w:val="18"/>
                <w:szCs w:val="18"/>
              </w:rPr>
              <w:t>辨认资产、负</w:t>
            </w:r>
            <w:r>
              <w:rPr>
                <w:rFonts w:ascii="宋体" w:hAnsi="宋体" w:cs="宋体" w:eastAsia="宋体" w:hint="default"/>
                <w:sz w:val="18"/>
                <w:szCs w:val="18"/>
              </w:rPr>
              <w:t> 债公允价值 的差额确认 为商誉</w:t>
            </w:r>
          </w:p>
        </w:tc>
        <w:tc>
          <w:tcPr>
            <w:tcW w:w="1064" w:type="dxa"/>
            <w:tcBorders>
              <w:top w:val="single" w:sz="6" w:space="0" w:color="000000"/>
              <w:left w:val="single" w:sz="6" w:space="0" w:color="000000"/>
              <w:bottom w:val="single" w:sz="12" w:space="0" w:color="000000"/>
              <w:right w:val="single" w:sz="6" w:space="0" w:color="000000"/>
            </w:tcBorders>
          </w:tcPr>
          <w:p>
            <w:pPr>
              <w:pStyle w:val="TableParagraph"/>
              <w:spacing w:line="316" w:lineRule="auto" w:before="52"/>
              <w:ind w:left="20" w:right="19"/>
              <w:jc w:val="left"/>
              <w:rPr>
                <w:rFonts w:ascii="宋体" w:hAnsi="宋体" w:cs="宋体" w:eastAsia="宋体" w:hint="default"/>
                <w:sz w:val="18"/>
                <w:szCs w:val="18"/>
              </w:rPr>
            </w:pPr>
            <w:r>
              <w:rPr>
                <w:rFonts w:ascii="宋体" w:hAnsi="宋体" w:cs="宋体" w:eastAsia="宋体" w:hint="default"/>
                <w:sz w:val="18"/>
                <w:szCs w:val="18"/>
              </w:rPr>
              <w:t>公司各个业 务板块之间 </w:t>
            </w:r>
            <w:r>
              <w:rPr>
                <w:rFonts w:ascii="宋体" w:hAnsi="宋体" w:cs="宋体" w:eastAsia="宋体" w:hint="default"/>
                <w:spacing w:val="-12"/>
                <w:sz w:val="18"/>
                <w:szCs w:val="18"/>
              </w:rPr>
              <w:t>相互支持，实</w:t>
            </w:r>
            <w:r>
              <w:rPr>
                <w:rFonts w:ascii="宋体" w:hAnsi="宋体" w:cs="宋体" w:eastAsia="宋体" w:hint="default"/>
                <w:sz w:val="18"/>
                <w:szCs w:val="18"/>
              </w:rPr>
              <w:t> 现资源的整 </w:t>
            </w:r>
            <w:r>
              <w:rPr>
                <w:rFonts w:ascii="宋体" w:hAnsi="宋体" w:cs="宋体" w:eastAsia="宋体" w:hint="default"/>
                <w:spacing w:val="-12"/>
                <w:sz w:val="18"/>
                <w:szCs w:val="18"/>
              </w:rPr>
              <w:t>合，保证被投</w:t>
            </w:r>
            <w:r>
              <w:rPr>
                <w:rFonts w:ascii="宋体" w:hAnsi="宋体" w:cs="宋体" w:eastAsia="宋体" w:hint="default"/>
                <w:sz w:val="18"/>
                <w:szCs w:val="18"/>
              </w:rPr>
              <w:t> 资单位长期 稳定增长的 </w:t>
            </w:r>
            <w:r>
              <w:rPr>
                <w:rFonts w:ascii="宋体" w:hAnsi="宋体" w:cs="宋体" w:eastAsia="宋体" w:hint="default"/>
                <w:spacing w:val="-12"/>
                <w:sz w:val="18"/>
                <w:szCs w:val="18"/>
              </w:rPr>
              <w:t>发展态势。定</w:t>
            </w:r>
            <w:r>
              <w:rPr>
                <w:rFonts w:ascii="宋体" w:hAnsi="宋体" w:cs="宋体" w:eastAsia="宋体" w:hint="default"/>
                <w:sz w:val="18"/>
                <w:szCs w:val="18"/>
              </w:rPr>
              <w:t> 期收集被投 资单位的财 </w:t>
            </w:r>
            <w:r>
              <w:rPr>
                <w:rFonts w:ascii="宋体" w:hAnsi="宋体" w:cs="宋体" w:eastAsia="宋体" w:hint="default"/>
                <w:spacing w:val="-12"/>
                <w:sz w:val="18"/>
                <w:szCs w:val="18"/>
              </w:rPr>
              <w:t>务报表、对被</w:t>
            </w:r>
            <w:r>
              <w:rPr>
                <w:rFonts w:ascii="宋体" w:hAnsi="宋体" w:cs="宋体" w:eastAsia="宋体" w:hint="default"/>
                <w:sz w:val="18"/>
                <w:szCs w:val="18"/>
              </w:rPr>
              <w:t> 投资单位经 营情况保持 </w:t>
            </w:r>
            <w:r>
              <w:rPr>
                <w:rFonts w:ascii="宋体" w:hAnsi="宋体" w:cs="宋体" w:eastAsia="宋体" w:hint="default"/>
                <w:spacing w:val="-12"/>
                <w:sz w:val="18"/>
                <w:szCs w:val="18"/>
              </w:rPr>
              <w:t>动态更新，进</w:t>
            </w:r>
            <w:r>
              <w:rPr>
                <w:rFonts w:ascii="宋体" w:hAnsi="宋体" w:cs="宋体" w:eastAsia="宋体" w:hint="default"/>
                <w:sz w:val="18"/>
                <w:szCs w:val="18"/>
              </w:rPr>
              <w:t> 行商誉减值 测试</w:t>
            </w:r>
          </w:p>
        </w:tc>
        <w:tc>
          <w:tcPr>
            <w:tcW w:w="1064" w:type="dxa"/>
            <w:tcBorders>
              <w:top w:val="single" w:sz="6" w:space="0" w:color="000000"/>
              <w:left w:val="single" w:sz="6" w:space="0" w:color="000000"/>
              <w:bottom w:val="single" w:sz="12" w:space="0" w:color="000000"/>
              <w:right w:val="single" w:sz="6" w:space="0" w:color="000000"/>
            </w:tcBorders>
          </w:tcPr>
          <w:p>
            <w:pPr/>
          </w:p>
        </w:tc>
        <w:tc>
          <w:tcPr>
            <w:tcW w:w="106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6.53%</w:t>
            </w:r>
          </w:p>
        </w:tc>
        <w:tc>
          <w:tcPr>
            <w:tcW w:w="105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2"/>
        <w:rPr>
          <w:rFonts w:ascii="宋体" w:hAnsi="宋体" w:cs="宋体" w:eastAsia="宋体" w:hint="default"/>
          <w:sz w:val="18"/>
          <w:szCs w:val="18"/>
        </w:rPr>
      </w:pPr>
    </w:p>
    <w:p>
      <w:pPr>
        <w:pStyle w:val="Heading4"/>
        <w:spacing w:line="240" w:lineRule="auto" w:before="26"/>
        <w:ind w:left="1134" w:right="998"/>
        <w:jc w:val="left"/>
        <w:rPr>
          <w:b w:val="0"/>
          <w:bCs w:val="0"/>
        </w:rPr>
      </w:pPr>
      <w:bookmarkStart w:name="三、核心竞争力分析" w:id="21"/>
      <w:bookmarkEnd w:id="21"/>
      <w:r>
        <w:rPr>
          <w:b w:val="0"/>
          <w:bCs w:val="0"/>
        </w:rPr>
      </w:r>
      <w:r>
        <w:rPr/>
        <w:t>三、核心竞争力分析</w:t>
      </w:r>
      <w:r>
        <w:rPr>
          <w:b w:val="0"/>
          <w:bCs w:val="0"/>
        </w:rPr>
      </w:r>
    </w:p>
    <w:p>
      <w:pPr>
        <w:spacing w:line="240" w:lineRule="auto" w:before="7"/>
        <w:rPr>
          <w:rFonts w:ascii="宋体" w:hAnsi="宋体" w:cs="宋体" w:eastAsia="宋体" w:hint="default"/>
          <w:b/>
          <w:bCs/>
          <w:sz w:val="26"/>
          <w:szCs w:val="26"/>
        </w:rPr>
      </w:pPr>
    </w:p>
    <w:p>
      <w:pPr>
        <w:spacing w:line="357" w:lineRule="auto" w:before="0"/>
        <w:ind w:left="1133" w:right="7693"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8"/>
        <w:ind w:left="1134" w:right="998" w:firstLine="0"/>
        <w:jc w:val="left"/>
        <w:rPr>
          <w:rFonts w:ascii="宋体" w:hAnsi="宋体" w:cs="宋体" w:eastAsia="宋体" w:hint="default"/>
          <w:sz w:val="18"/>
          <w:szCs w:val="18"/>
        </w:rPr>
      </w:pPr>
      <w:r>
        <w:rPr>
          <w:rFonts w:ascii="宋体" w:hAnsi="宋体" w:cs="宋体" w:eastAsia="宋体" w:hint="default"/>
          <w:sz w:val="18"/>
          <w:szCs w:val="18"/>
        </w:rPr>
        <w:t>互联网游戏业</w:t>
      </w:r>
    </w:p>
    <w:p>
      <w:pPr>
        <w:pStyle w:val="Heading6"/>
        <w:spacing w:line="240" w:lineRule="auto" w:before="90"/>
        <w:ind w:left="1133" w:right="998"/>
        <w:jc w:val="left"/>
        <w:rPr>
          <w:b w:val="0"/>
          <w:bCs w:val="0"/>
        </w:rPr>
      </w:pPr>
      <w:r>
        <w:rPr>
          <w:rFonts w:ascii="Times New Roman" w:hAnsi="Times New Roman" w:cs="Times New Roman" w:eastAsia="Times New Roman" w:hint="default"/>
        </w:rPr>
        <w:t>1</w:t>
      </w:r>
      <w:r>
        <w:rPr/>
        <w:t>、通过社交媒体、移动游戏等产品矩阵积累了全球海量用户</w:t>
      </w:r>
      <w:r>
        <w:rPr>
          <w:b w:val="0"/>
          <w:bCs w:val="0"/>
        </w:rPr>
      </w:r>
    </w:p>
    <w:p>
      <w:pPr>
        <w:pStyle w:val="BodyText"/>
        <w:spacing w:line="240" w:lineRule="auto" w:before="21"/>
        <w:ind w:left="1554" w:right="998"/>
        <w:jc w:val="left"/>
      </w:pPr>
      <w:r>
        <w:rPr>
          <w:rFonts w:ascii="Times New Roman" w:hAnsi="Times New Roman" w:cs="Times New Roman" w:eastAsia="Times New Roman" w:hint="default"/>
        </w:rPr>
        <w:t>Grindr</w:t>
      </w:r>
      <w:r>
        <w:rPr/>
        <w:t>是全球最大的同性恋社交平台，昆仑游戏和闲徕互娱积累了大量海内外游戏用户。至此，公司</w:t>
      </w:r>
    </w:p>
    <w:p>
      <w:pPr>
        <w:spacing w:after="0" w:line="240" w:lineRule="auto"/>
        <w:jc w:val="left"/>
        <w:sectPr>
          <w:pgSz w:w="11910" w:h="16840"/>
          <w:pgMar w:header="747" w:footer="979" w:top="1060" w:bottom="1160" w:left="0" w:right="0"/>
        </w:sectPr>
      </w:pPr>
    </w:p>
    <w:p>
      <w:pPr>
        <w:spacing w:line="240" w:lineRule="auto" w:before="9"/>
        <w:rPr>
          <w:rFonts w:ascii="宋体" w:hAnsi="宋体" w:cs="宋体" w:eastAsia="宋体" w:hint="default"/>
          <w:sz w:val="24"/>
          <w:szCs w:val="24"/>
        </w:rPr>
      </w:pPr>
    </w:p>
    <w:p>
      <w:pPr>
        <w:pStyle w:val="BodyText"/>
        <w:spacing w:line="273" w:lineRule="auto" w:before="35"/>
        <w:ind w:right="998"/>
        <w:jc w:val="left"/>
      </w:pPr>
      <w:r>
        <w:rPr>
          <w:spacing w:val="-1"/>
        </w:rPr>
        <w:t>已初步形成平台级应用产品矩阵，未来公司将覆盖全球更多的互联网用户，成为全球范围内重要的互联网</w:t>
      </w:r>
      <w:r>
        <w:rPr>
          <w:spacing w:val="-81"/>
        </w:rPr>
        <w:t> </w:t>
      </w:r>
      <w:r>
        <w:rPr>
          <w:spacing w:val="-81"/>
        </w:rPr>
      </w:r>
      <w:r>
        <w:rPr/>
        <w:t>流量入口。</w:t>
      </w:r>
    </w:p>
    <w:p>
      <w:pPr>
        <w:spacing w:line="256" w:lineRule="auto" w:before="7"/>
        <w:ind w:left="1553" w:right="998"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、具备国际化市场布局与全球网络资源</w:t>
      </w:r>
      <w:r>
        <w:rPr>
          <w:rFonts w:ascii="宋体" w:hAnsi="宋体" w:cs="宋体" w:eastAsia="宋体" w:hint="default"/>
          <w:b/>
          <w:bCs/>
          <w:w w:val="99"/>
          <w:sz w:val="21"/>
          <w:szCs w:val="21"/>
        </w:rPr>
        <w:t> </w:t>
      </w:r>
      <w:r>
        <w:rPr>
          <w:rFonts w:ascii="宋体" w:hAnsi="宋体" w:cs="宋体" w:eastAsia="宋体" w:hint="default"/>
          <w:spacing w:val="-1"/>
          <w:sz w:val="21"/>
          <w:szCs w:val="21"/>
        </w:rPr>
        <w:t>公司于成立之初便有着成熟的海外软件工具团队，</w:t>
      </w:r>
      <w:r>
        <w:rPr>
          <w:rFonts w:ascii="Times New Roman" w:hAnsi="Times New Roman" w:cs="Times New Roman" w:eastAsia="Times New Roman" w:hint="default"/>
          <w:spacing w:val="-1"/>
          <w:sz w:val="21"/>
          <w:szCs w:val="21"/>
        </w:rPr>
        <w:t>2009</w:t>
      </w:r>
      <w:r>
        <w:rPr>
          <w:rFonts w:ascii="宋体" w:hAnsi="宋体" w:cs="宋体" w:eastAsia="宋体" w:hint="default"/>
          <w:spacing w:val="-1"/>
          <w:sz w:val="21"/>
          <w:szCs w:val="21"/>
        </w:rPr>
        <w:t>年开始组建海外游戏业务团队，</w:t>
      </w:r>
      <w:r>
        <w:rPr>
          <w:rFonts w:ascii="Times New Roman" w:hAnsi="Times New Roman" w:cs="Times New Roman" w:eastAsia="Times New Roman" w:hint="default"/>
          <w:spacing w:val="-1"/>
          <w:sz w:val="21"/>
          <w:szCs w:val="21"/>
        </w:rPr>
        <w:t>2016</w:t>
      </w:r>
      <w:r>
        <w:rPr>
          <w:rFonts w:ascii="宋体" w:hAnsi="宋体" w:cs="宋体" w:eastAsia="宋体" w:hint="default"/>
          <w:spacing w:val="-1"/>
          <w:sz w:val="21"/>
          <w:szCs w:val="21"/>
        </w:rPr>
        <w:t>年切入社</w:t>
      </w:r>
    </w:p>
    <w:p>
      <w:pPr>
        <w:pStyle w:val="BodyText"/>
        <w:spacing w:line="256" w:lineRule="auto" w:before="5"/>
        <w:ind w:right="998"/>
        <w:jc w:val="left"/>
      </w:pPr>
      <w:r>
        <w:rPr>
          <w:spacing w:val="-1"/>
        </w:rPr>
        <w:t>交网络和新闻资讯平台业务，现已在港澳台、东南亚、日韩、欧美、拉美等</w:t>
      </w:r>
      <w:r>
        <w:rPr>
          <w:rFonts w:ascii="Times New Roman" w:hAnsi="Times New Roman" w:cs="Times New Roman" w:eastAsia="Times New Roman" w:hint="default"/>
          <w:spacing w:val="-1"/>
        </w:rPr>
        <w:t>10</w:t>
      </w:r>
      <w:r>
        <w:rPr>
          <w:spacing w:val="-1"/>
        </w:rPr>
        <w:t>余个语种的海外市场设立办</w:t>
      </w:r>
      <w:r>
        <w:rPr>
          <w:spacing w:val="-83"/>
        </w:rPr>
        <w:t> </w:t>
      </w:r>
      <w:r>
        <w:rPr>
          <w:spacing w:val="-83"/>
        </w:rPr>
      </w:r>
      <w:r>
        <w:rPr/>
        <w:t>公室，建立起了全球化的互联网业务网络，积攒了雄厚的海外互联网产品运作实力。</w:t>
      </w:r>
    </w:p>
    <w:p>
      <w:pPr>
        <w:pStyle w:val="BodyText"/>
        <w:spacing w:line="273" w:lineRule="auto" w:before="22"/>
        <w:ind w:right="998" w:firstLine="420"/>
        <w:jc w:val="left"/>
        <w:rPr>
          <w:rFonts w:ascii="宋体" w:hAnsi="宋体" w:cs="宋体" w:eastAsia="宋体" w:hint="default"/>
        </w:rPr>
      </w:pPr>
      <w:r>
        <w:rPr>
          <w:spacing w:val="-1"/>
        </w:rPr>
        <w:t>通过海外互联网业务的不断开拓，公司与相关产品链各个环节的主要合作伙伴建立了良好的长期合作</w:t>
      </w:r>
      <w:r>
        <w:rPr/>
        <w:t> </w:t>
      </w:r>
      <w:r>
        <w:rPr>
          <w:spacing w:val="-1"/>
        </w:rPr>
        <w:t>关系，并与公司的各个业务板块产生了显著的协同效应。如在产品发行方面，与苹果、谷歌建立了坚实的</w:t>
      </w:r>
      <w:r>
        <w:rPr>
          <w:spacing w:val="-86"/>
        </w:rPr>
        <w:t> </w:t>
      </w:r>
      <w:r>
        <w:rPr>
          <w:spacing w:val="-86"/>
        </w:rPr>
      </w:r>
      <w:r>
        <w:rPr>
          <w:spacing w:val="-1"/>
        </w:rPr>
        <w:t>合作关系；在产品运营方面，与全球多个市场的主流网络产品发行和推广平台建立了长期的合作关系；在</w:t>
      </w:r>
      <w:r>
        <w:rPr>
          <w:spacing w:val="-83"/>
        </w:rPr>
        <w:t> </w:t>
      </w:r>
      <w:r>
        <w:rPr>
          <w:spacing w:val="-83"/>
        </w:rPr>
      </w:r>
      <w:r>
        <w:rPr>
          <w:spacing w:val="-1"/>
        </w:rPr>
        <w:t>支付渠道方面，公司与全球多个市场主流支付服务提供商建立了合作和服务关系，能够为全球用户提供安</w:t>
      </w:r>
      <w:r>
        <w:rPr>
          <w:spacing w:val="-81"/>
        </w:rPr>
        <w:t> </w:t>
      </w:r>
      <w:r>
        <w:rPr>
          <w:spacing w:val="-81"/>
        </w:rPr>
      </w:r>
      <w:r>
        <w:rPr>
          <w:spacing w:val="-1"/>
        </w:rPr>
        <w:t>全便捷的线上支付渠道；在服务器和网络服务方面，公司向全球知名服务器供应商进行采购，与海内外主</w:t>
      </w:r>
      <w:r>
        <w:rPr>
          <w:spacing w:val="-82"/>
        </w:rPr>
        <w:t> </w:t>
      </w:r>
      <w:r>
        <w:rPr>
          <w:spacing w:val="-82"/>
        </w:rPr>
      </w:r>
      <w:r>
        <w:rPr/>
        <w:t>流数据托管和内容分发服务提供商建立长期、稳定的合作关系，有效保证数据中心的稳定和安全。 </w:t>
      </w:r>
      <w:r>
        <w:rPr>
          <w:rFonts w:ascii="Times New Roman" w:hAnsi="Times New Roman" w:cs="Times New Roman" w:eastAsia="Times New Roman" w:hint="default"/>
          <w:b/>
          <w:bCs/>
        </w:rPr>
        <w:t>3</w:t>
      </w:r>
      <w:r>
        <w:rPr>
          <w:rFonts w:ascii="宋体" w:hAnsi="宋体" w:cs="宋体" w:eastAsia="宋体" w:hint="default"/>
          <w:b/>
          <w:bCs/>
        </w:rPr>
        <w:t>、成熟的大数据分析系统提升互联网用户体验</w:t>
      </w:r>
      <w:r>
        <w:rPr>
          <w:rFonts w:ascii="宋体" w:hAnsi="宋体" w:cs="宋体" w:eastAsia="宋体" w:hint="default"/>
        </w:rPr>
      </w:r>
    </w:p>
    <w:p>
      <w:pPr>
        <w:pStyle w:val="BodyText"/>
        <w:spacing w:line="273" w:lineRule="auto"/>
        <w:ind w:right="1024" w:firstLine="420"/>
        <w:jc w:val="left"/>
      </w:pPr>
      <w:r>
        <w:rPr/>
        <w:t>公司每个业务板块覆盖的独特用户群体，为公司积累了大量的极富特征的、精准有效的用户行为大数 </w:t>
      </w:r>
      <w:r>
        <w:rPr>
          <w:spacing w:val="-3"/>
        </w:rPr>
        <w:t>据。报告期内，公司逐步搭建集团公共平台系统，作为各版块协同作战的基础。该平台系统包括用户系统、</w:t>
      </w:r>
      <w:r>
        <w:rPr>
          <w:spacing w:val="-96"/>
        </w:rPr>
        <w:t> </w:t>
      </w:r>
      <w:r>
        <w:rPr>
          <w:spacing w:val="-96"/>
        </w:rPr>
      </w:r>
      <w:r>
        <w:rPr/>
        <w:t>大数据系统、推荐系统和广告系统。一方面可以为用户提供更好的服务体验，另一方面可以显著提高公司</w:t>
      </w:r>
      <w:r>
        <w:rPr/>
        <w:t> 的变现能力和运营效果。</w:t>
      </w:r>
    </w:p>
    <w:p>
      <w:pPr>
        <w:pStyle w:val="BodyText"/>
        <w:spacing w:line="273" w:lineRule="auto" w:before="7"/>
        <w:ind w:right="1131" w:firstLine="420"/>
        <w:jc w:val="both"/>
      </w:pPr>
      <w:r>
        <w:rPr>
          <w:spacing w:val="-1"/>
        </w:rPr>
        <w:t>公司通过优秀的数据分析能力，实现了精准的市场投放，建立了以数据为依托、以用户行为为导向的</w:t>
      </w:r>
      <w:r>
        <w:rPr/>
        <w:t> </w:t>
      </w:r>
      <w:r>
        <w:rPr>
          <w:spacing w:val="-1"/>
        </w:rPr>
        <w:t>精细化运营体系。借助高效准确的数据统计和分析，公司可以为所有运营及营销决策提供数据支持，实时</w:t>
      </w:r>
      <w:r>
        <w:rPr>
          <w:spacing w:val="-83"/>
        </w:rPr>
        <w:t> </w:t>
      </w:r>
      <w:r>
        <w:rPr>
          <w:spacing w:val="-83"/>
        </w:rPr>
      </w:r>
      <w:r>
        <w:rPr>
          <w:spacing w:val="-1"/>
        </w:rPr>
        <w:t>调整市场推广工作，优化广告投放渠道、投放时段和投放创意，实现精准的市场投放。公司还可以通过及</w:t>
      </w:r>
      <w:r>
        <w:rPr>
          <w:spacing w:val="-86"/>
        </w:rPr>
        <w:t> </w:t>
      </w:r>
      <w:r>
        <w:rPr>
          <w:spacing w:val="-86"/>
        </w:rPr>
      </w:r>
      <w:r>
        <w:rPr>
          <w:spacing w:val="-1"/>
        </w:rPr>
        <w:t>时的数据分析和产品分析，对市场变化做出迅速准确的判断，形成以数据结论为主要参考标准的科学化的</w:t>
      </w:r>
      <w:r>
        <w:rPr>
          <w:spacing w:val="-81"/>
        </w:rPr>
        <w:t> </w:t>
      </w:r>
      <w:r>
        <w:rPr>
          <w:spacing w:val="-81"/>
        </w:rPr>
      </w:r>
      <w:r>
        <w:rPr>
          <w:spacing w:val="-1"/>
        </w:rPr>
        <w:t>产品运营决策和运营策略，对产品的成功和稳定运营起到了关键的保障作用，最大程度上发挥数据支持运</w:t>
      </w:r>
      <w:r>
        <w:rPr>
          <w:spacing w:val="-81"/>
        </w:rPr>
        <w:t> </w:t>
      </w:r>
      <w:r>
        <w:rPr>
          <w:spacing w:val="-81"/>
        </w:rPr>
      </w:r>
      <w:r>
        <w:rPr/>
        <w:t>营效率。</w:t>
      </w:r>
    </w:p>
    <w:p>
      <w:pPr>
        <w:spacing w:line="256" w:lineRule="auto" w:before="7"/>
        <w:ind w:left="1553" w:right="998"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、具备平台级应用和多元化变现方式，使得各业务板块间协同发展</w:t>
      </w:r>
      <w:r>
        <w:rPr>
          <w:rFonts w:ascii="宋体" w:hAnsi="宋体" w:cs="宋体" w:eastAsia="宋体" w:hint="default"/>
          <w:b/>
          <w:bCs/>
          <w:w w:val="99"/>
          <w:sz w:val="21"/>
          <w:szCs w:val="21"/>
        </w:rPr>
        <w:t> </w:t>
      </w:r>
      <w:r>
        <w:rPr>
          <w:rFonts w:ascii="宋体" w:hAnsi="宋体" w:cs="宋体" w:eastAsia="宋体" w:hint="default"/>
          <w:spacing w:val="-1"/>
          <w:sz w:val="21"/>
          <w:szCs w:val="21"/>
        </w:rPr>
        <w:t>公司目前已形成移动游戏平台、休闲娱乐平台和社交平台三大业务板块，具备为全球互联网用户提供</w:t>
      </w:r>
    </w:p>
    <w:p>
      <w:pPr>
        <w:pStyle w:val="BodyText"/>
        <w:spacing w:line="273" w:lineRule="auto" w:before="22"/>
        <w:ind w:left="0" w:right="1110"/>
        <w:jc w:val="right"/>
      </w:pPr>
      <w:r>
        <w:rPr/>
        <w:t>综合性互联网增值服务的能力，商业模式也丰富至内容付费、会员付费、广告收入等多元化的变现方式。 </w:t>
      </w:r>
      <w:r>
        <w:rPr>
          <w:spacing w:val="-1"/>
        </w:rPr>
        <w:t>与此同时，公司各个业务板块之间相互支持，实现了资源的有效整合，形成良好的协同效应。比如在</w:t>
      </w:r>
      <w:r>
        <w:rPr/>
        <w:t> 游戏业务中深耕的国际市场和相关资源，可充分运用到其他互联网产品中去。</w:t>
      </w:r>
      <w:r>
        <w:rPr>
          <w:rFonts w:ascii="Times New Roman" w:hAnsi="Times New Roman" w:cs="Times New Roman" w:eastAsia="Times New Roman" w:hint="default"/>
        </w:rPr>
        <w:t>Grindr</w:t>
      </w:r>
      <w:r>
        <w:rPr/>
        <w:t>作为全球化的平台级</w:t>
      </w:r>
    </w:p>
    <w:p>
      <w:pPr>
        <w:pStyle w:val="BodyText"/>
        <w:spacing w:line="264" w:lineRule="exact"/>
        <w:ind w:right="998"/>
        <w:jc w:val="left"/>
      </w:pPr>
      <w:r>
        <w:rPr/>
        <w:t>应用，本身自带内容分发属性，可为公司推广网络游戏等内容类业务提供渠道。</w:t>
      </w:r>
    </w:p>
    <w:p>
      <w:pPr>
        <w:spacing w:line="256" w:lineRule="auto" w:before="37"/>
        <w:ind w:left="1553" w:right="1116"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、良好的投资回报为主营业务锦上添花</w:t>
      </w:r>
      <w:r>
        <w:rPr>
          <w:rFonts w:ascii="宋体" w:hAnsi="宋体" w:cs="宋体" w:eastAsia="宋体" w:hint="default"/>
          <w:b/>
          <w:bCs/>
          <w:w w:val="99"/>
          <w:sz w:val="21"/>
          <w:szCs w:val="21"/>
        </w:rPr>
        <w:t> </w:t>
      </w:r>
      <w:r>
        <w:rPr>
          <w:rFonts w:ascii="宋体" w:hAnsi="宋体" w:cs="宋体" w:eastAsia="宋体" w:hint="default"/>
          <w:sz w:val="21"/>
          <w:szCs w:val="21"/>
        </w:rPr>
        <w:t>上市以来，公司陆续在社交平台、</w:t>
      </w:r>
      <w:r>
        <w:rPr>
          <w:rFonts w:ascii="Times New Roman" w:hAnsi="Times New Roman" w:cs="Times New Roman" w:eastAsia="Times New Roman" w:hint="default"/>
          <w:sz w:val="21"/>
          <w:szCs w:val="21"/>
        </w:rPr>
        <w:t>O2O</w:t>
      </w:r>
      <w:r>
        <w:rPr>
          <w:rFonts w:ascii="宋体" w:hAnsi="宋体" w:cs="宋体" w:eastAsia="宋体" w:hint="default"/>
          <w:sz w:val="21"/>
          <w:szCs w:val="21"/>
        </w:rPr>
        <w:t>、视频直播、亚文化等方向进行了投资布局，并在</w:t>
      </w:r>
      <w:r>
        <w:rPr>
          <w:rFonts w:ascii="Times New Roman" w:hAnsi="Times New Roman" w:cs="Times New Roman" w:eastAsia="Times New Roman" w:hint="default"/>
          <w:sz w:val="21"/>
          <w:szCs w:val="21"/>
        </w:rPr>
        <w:t>Qudian</w:t>
      </w:r>
      <w:r>
        <w:rPr>
          <w:rFonts w:ascii="宋体" w:hAnsi="宋体" w:cs="宋体" w:eastAsia="宋体" w:hint="default"/>
          <w:sz w:val="21"/>
          <w:szCs w:val="21"/>
        </w:rPr>
        <w:t>、映</w:t>
      </w:r>
    </w:p>
    <w:p>
      <w:pPr>
        <w:pStyle w:val="BodyText"/>
        <w:spacing w:line="266" w:lineRule="auto" w:before="5"/>
        <w:ind w:left="1134" w:right="1023"/>
        <w:jc w:val="left"/>
      </w:pPr>
      <w:r>
        <w:rPr/>
        <w:t>客、银客、随手科技、洋钱罐、信达天下、</w:t>
      </w:r>
      <w:r>
        <w:rPr>
          <w:rFonts w:ascii="Times New Roman" w:hAnsi="Times New Roman" w:cs="Times New Roman" w:eastAsia="Times New Roman" w:hint="default"/>
        </w:rPr>
        <w:t>Lendinvest</w:t>
      </w:r>
      <w:r>
        <w:rPr/>
        <w:t>、汇量科技、有米科技等项目中获得了持续的且较</w:t>
      </w:r>
      <w:r>
        <w:rPr>
          <w:spacing w:val="-25"/>
        </w:rPr>
        <w:t> </w:t>
      </w:r>
      <w:r>
        <w:rPr>
          <w:spacing w:val="-25"/>
        </w:rPr>
      </w:r>
      <w:r>
        <w:rPr>
          <w:spacing w:val="-3"/>
        </w:rPr>
        <w:t>为可观的投资收益。这些投资收益有助于提升公司的业绩和股东回报、增强公司的现金流动性和运营能力。</w:t>
      </w:r>
      <w:r>
        <w:rPr>
          <w:spacing w:val="-92"/>
        </w:rPr>
        <w:t> </w:t>
      </w:r>
      <w:r>
        <w:rPr>
          <w:spacing w:val="-92"/>
        </w:rPr>
      </w:r>
      <w:r>
        <w:rPr/>
        <w:t>投资回报不仅仅体现在财务上，更多的是通过投资产生对互联网格局的判断和方向性的把握。同时反哺公</w:t>
      </w:r>
      <w:r>
        <w:rPr/>
        <w:t> 司主营业务发展，为之提供实践与指导意义。</w:t>
      </w:r>
    </w:p>
    <w:p>
      <w:pPr>
        <w:spacing w:line="256" w:lineRule="auto" w:before="14"/>
        <w:ind w:left="1554" w:right="998"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、具备精准的前瞻性的战略发展眼光</w:t>
      </w:r>
      <w:r>
        <w:rPr>
          <w:rFonts w:ascii="宋体" w:hAnsi="宋体" w:cs="宋体" w:eastAsia="宋体" w:hint="default"/>
          <w:b/>
          <w:bCs/>
          <w:w w:val="99"/>
          <w:sz w:val="21"/>
          <w:szCs w:val="21"/>
        </w:rPr>
        <w:t> </w:t>
      </w:r>
      <w:r>
        <w:rPr>
          <w:rFonts w:ascii="宋体" w:hAnsi="宋体" w:cs="宋体" w:eastAsia="宋体" w:hint="default"/>
          <w:spacing w:val="-1"/>
          <w:sz w:val="21"/>
          <w:szCs w:val="21"/>
        </w:rPr>
        <w:t>公司始终致力于发展成为全球领先的互联网综合平台商。自</w:t>
      </w:r>
      <w:r>
        <w:rPr>
          <w:rFonts w:ascii="Times New Roman" w:hAnsi="Times New Roman" w:cs="Times New Roman" w:eastAsia="Times New Roman" w:hint="default"/>
          <w:spacing w:val="-1"/>
          <w:sz w:val="21"/>
          <w:szCs w:val="21"/>
        </w:rPr>
        <w:t>2008</w:t>
      </w:r>
      <w:r>
        <w:rPr>
          <w:rFonts w:ascii="宋体" w:hAnsi="宋体" w:cs="宋体" w:eastAsia="宋体" w:hint="default"/>
          <w:spacing w:val="-1"/>
          <w:sz w:val="21"/>
          <w:szCs w:val="21"/>
        </w:rPr>
        <w:t>年成立以来，公司在国内成为率先立</w:t>
      </w:r>
    </w:p>
    <w:p>
      <w:pPr>
        <w:pStyle w:val="BodyText"/>
        <w:spacing w:line="264" w:lineRule="auto" w:before="5"/>
        <w:ind w:left="1134" w:right="1110"/>
        <w:jc w:val="both"/>
      </w:pPr>
      <w:r>
        <w:rPr>
          <w:spacing w:val="-1"/>
        </w:rPr>
        <w:t>足于网页游戏的公司之一，推动了中国网页游戏市场的快速发展。并于</w:t>
      </w:r>
      <w:r>
        <w:rPr>
          <w:rFonts w:ascii="Times New Roman" w:hAnsi="Times New Roman" w:cs="Times New Roman" w:eastAsia="Times New Roman" w:hint="default"/>
          <w:spacing w:val="-1"/>
        </w:rPr>
        <w:t>2009</w:t>
      </w:r>
      <w:r>
        <w:rPr>
          <w:spacing w:val="-1"/>
        </w:rPr>
        <w:t>年成功切入海外页游市场，成</w:t>
      </w:r>
      <w:r>
        <w:rPr>
          <w:spacing w:val="-82"/>
        </w:rPr>
        <w:t> </w:t>
      </w:r>
      <w:r>
        <w:rPr>
          <w:spacing w:val="-82"/>
        </w:rPr>
      </w:r>
      <w:r>
        <w:rPr>
          <w:spacing w:val="-1"/>
        </w:rPr>
        <w:t>为最早一批成功进军海外市场的中国游戏厂商。</w:t>
      </w:r>
      <w:r>
        <w:rPr>
          <w:rFonts w:ascii="Times New Roman" w:hAnsi="Times New Roman" w:cs="Times New Roman" w:eastAsia="Times New Roman" w:hint="default"/>
          <w:spacing w:val="-1"/>
        </w:rPr>
        <w:t>2012</w:t>
      </w:r>
      <w:r>
        <w:rPr>
          <w:spacing w:val="-1"/>
        </w:rPr>
        <w:t>年，公司敏锐察觉到移动互联网游戏的兴起，大力布</w:t>
      </w:r>
      <w:r>
        <w:rPr>
          <w:spacing w:val="-80"/>
        </w:rPr>
        <w:t> </w:t>
      </w:r>
      <w:r>
        <w:rPr>
          <w:spacing w:val="-80"/>
        </w:rPr>
      </w:r>
      <w:r>
        <w:rPr/>
        <w:t>局转型手游业务，凭借先发优势和深入的本地化运营模式，占据中国移动网络游戏产品出口的龙头地位。 </w:t>
      </w:r>
      <w:r>
        <w:rPr>
          <w:spacing w:val="-1"/>
        </w:rPr>
        <w:t>报告期内，公司积极向平台型生态化互联网公司转型，大举布局社交媒体、人工智能、二次元等极具前瞻</w:t>
      </w:r>
      <w:r>
        <w:rPr>
          <w:spacing w:val="-86"/>
        </w:rPr>
        <w:t> </w:t>
      </w:r>
      <w:r>
        <w:rPr>
          <w:spacing w:val="-86"/>
        </w:rPr>
      </w:r>
      <w:r>
        <w:rPr/>
        <w:t>性的互联网相关领域，实现了弯道超车。</w:t>
      </w:r>
    </w:p>
    <w:p>
      <w:pPr>
        <w:spacing w:line="290" w:lineRule="auto" w:before="16"/>
        <w:ind w:left="1554" w:right="1017"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、网罗全球顶尖互联网人才，完善人才激励机制</w:t>
      </w:r>
      <w:r>
        <w:rPr>
          <w:rFonts w:ascii="宋体" w:hAnsi="宋体" w:cs="宋体" w:eastAsia="宋体" w:hint="default"/>
          <w:b/>
          <w:bCs/>
          <w:w w:val="99"/>
          <w:sz w:val="21"/>
          <w:szCs w:val="21"/>
        </w:rPr>
        <w:t> </w:t>
      </w:r>
      <w:r>
        <w:rPr>
          <w:rFonts w:ascii="宋体" w:hAnsi="宋体" w:cs="宋体" w:eastAsia="宋体" w:hint="default"/>
          <w:spacing w:val="-3"/>
          <w:sz w:val="21"/>
          <w:szCs w:val="21"/>
        </w:rPr>
        <w:t>报告期内，公司在各个业务线条上均吸纳了国际化顶尖人才，确保了公司在各个细分领域的并肩发展。</w:t>
      </w:r>
    </w:p>
    <w:p>
      <w:pPr>
        <w:spacing w:after="0" w:line="290" w:lineRule="auto"/>
        <w:jc w:val="left"/>
        <w:rPr>
          <w:rFonts w:ascii="宋体" w:hAnsi="宋体" w:cs="宋体" w:eastAsia="宋体" w:hint="default"/>
          <w:sz w:val="21"/>
          <w:szCs w:val="21"/>
        </w:rPr>
        <w:sectPr>
          <w:pgSz w:w="11910" w:h="16840"/>
          <w:pgMar w:header="747" w:footer="979" w:top="1060" w:bottom="1160" w:left="0" w:right="0"/>
        </w:sectPr>
      </w:pPr>
    </w:p>
    <w:p>
      <w:pPr>
        <w:spacing w:line="240" w:lineRule="auto" w:before="9"/>
        <w:rPr>
          <w:rFonts w:ascii="宋体" w:hAnsi="宋体" w:cs="宋体" w:eastAsia="宋体" w:hint="default"/>
          <w:sz w:val="24"/>
          <w:szCs w:val="24"/>
        </w:rPr>
      </w:pPr>
    </w:p>
    <w:p>
      <w:pPr>
        <w:pStyle w:val="BodyText"/>
        <w:spacing w:line="266" w:lineRule="auto" w:before="35"/>
        <w:ind w:right="1132"/>
        <w:jc w:val="both"/>
      </w:pPr>
      <w:r>
        <w:rPr/>
        <w:t>如引进了来自腾讯、畅游、完美、人人网等知名游戏公司策划和发行人员，从</w:t>
      </w:r>
      <w:r>
        <w:rPr>
          <w:rFonts w:ascii="Times New Roman" w:hAnsi="Times New Roman" w:cs="Times New Roman" w:eastAsia="Times New Roman" w:hint="default"/>
        </w:rPr>
        <w:t>Facebook</w:t>
      </w:r>
      <w:r>
        <w:rPr/>
        <w:t>、</w:t>
      </w:r>
      <w:r>
        <w:rPr>
          <w:rFonts w:ascii="Times New Roman" w:hAnsi="Times New Roman" w:cs="Times New Roman" w:eastAsia="Times New Roman" w:hint="default"/>
        </w:rPr>
        <w:t>Google</w:t>
      </w:r>
      <w:r>
        <w:rPr/>
        <w:t>、百度、</w:t>
      </w:r>
      <w:r>
        <w:rPr>
          <w:spacing w:val="-96"/>
        </w:rPr>
        <w:t> </w:t>
      </w:r>
      <w:r>
        <w:rPr>
          <w:spacing w:val="-96"/>
        </w:rPr>
      </w:r>
      <w:r>
        <w:rPr>
          <w:spacing w:val="-1"/>
        </w:rPr>
        <w:t>今日头条等知名互联网公司引进了大量算法人才。与此同时，公司从员工培训、管理层培训、考核激励和</w:t>
      </w:r>
      <w:r>
        <w:rPr>
          <w:spacing w:val="-86"/>
        </w:rPr>
        <w:t> </w:t>
      </w:r>
      <w:r>
        <w:rPr>
          <w:spacing w:val="-86"/>
        </w:rPr>
      </w:r>
      <w:r>
        <w:rPr/>
        <w:t>薪酬分配等方面着手，进一步完善了人才培养与激励机制，为公司的长期稳定发展奠定了人力基础。</w:t>
      </w:r>
    </w:p>
    <w:p>
      <w:pPr>
        <w:spacing w:after="0" w:line="266" w:lineRule="auto"/>
        <w:jc w:val="both"/>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left="3945" w:right="998"/>
        <w:jc w:val="left"/>
        <w:rPr>
          <w:b w:val="0"/>
          <w:bCs w:val="0"/>
        </w:rPr>
      </w:pPr>
      <w:bookmarkStart w:name="_TOC_250008" w:id="22"/>
      <w:bookmarkStart w:name="第四节 经营情况讨论与分析" w:id="23"/>
      <w:r>
        <w:rPr>
          <w:b w:val="0"/>
          <w:bCs w:val="0"/>
        </w:rPr>
      </w:r>
      <w:r>
        <w:rPr/>
        <w:t>第四节</w:t>
      </w:r>
      <w:r>
        <w:rPr>
          <w:spacing w:val="-10"/>
        </w:rPr>
        <w:t> </w:t>
      </w:r>
      <w:r>
        <w:rPr/>
        <w:t>经营情况讨论与分析</w:t>
      </w:r>
      <w:bookmarkEnd w:id="22"/>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4"/>
        <w:spacing w:line="240" w:lineRule="auto" w:before="26"/>
        <w:ind w:right="0"/>
        <w:jc w:val="both"/>
        <w:rPr>
          <w:b w:val="0"/>
          <w:bCs w:val="0"/>
        </w:rPr>
      </w:pPr>
      <w:bookmarkStart w:name="一、概述" w:id="24"/>
      <w:bookmarkEnd w:id="24"/>
      <w:r>
        <w:rPr>
          <w:b w:val="0"/>
          <w:bCs w:val="0"/>
        </w:rPr>
      </w:r>
      <w:r>
        <w:rPr/>
        <w:t>一、概述</w:t>
      </w:r>
      <w:r>
        <w:rPr>
          <w:b w:val="0"/>
          <w:bCs w:val="0"/>
        </w:rPr>
      </w:r>
    </w:p>
    <w:p>
      <w:pPr>
        <w:spacing w:line="240" w:lineRule="auto" w:before="8"/>
        <w:rPr>
          <w:rFonts w:ascii="宋体" w:hAnsi="宋体" w:cs="宋体" w:eastAsia="宋体" w:hint="default"/>
          <w:b/>
          <w:bCs/>
          <w:sz w:val="30"/>
          <w:szCs w:val="30"/>
        </w:rPr>
      </w:pPr>
    </w:p>
    <w:p>
      <w:pPr>
        <w:pStyle w:val="BodyText"/>
        <w:spacing w:line="386" w:lineRule="auto"/>
        <w:ind w:right="1024" w:firstLine="420"/>
        <w:jc w:val="left"/>
      </w:pPr>
      <w:r>
        <w:rPr>
          <w:spacing w:val="-3"/>
        </w:rPr>
        <w:t>报告期内，公司实现营业收入</w:t>
      </w:r>
      <w:r>
        <w:rPr>
          <w:rFonts w:ascii="Times New Roman" w:hAnsi="Times New Roman" w:cs="Times New Roman" w:eastAsia="Times New Roman" w:hint="default"/>
          <w:spacing w:val="-3"/>
        </w:rPr>
        <w:t>34.36</w:t>
      </w:r>
      <w:r>
        <w:rPr>
          <w:spacing w:val="-3"/>
        </w:rPr>
        <w:t>亿元，同比增长</w:t>
      </w:r>
      <w:r>
        <w:rPr>
          <w:rFonts w:ascii="Times New Roman" w:hAnsi="Times New Roman" w:cs="Times New Roman" w:eastAsia="Times New Roman" w:hint="default"/>
          <w:spacing w:val="-3"/>
        </w:rPr>
        <w:t>41.73%</w:t>
      </w:r>
      <w:r>
        <w:rPr>
          <w:spacing w:val="-3"/>
        </w:rPr>
        <w:t>；实现归属上市公司股东的净利润</w:t>
      </w:r>
      <w:r>
        <w:rPr>
          <w:rFonts w:ascii="Times New Roman" w:hAnsi="Times New Roman" w:cs="Times New Roman" w:eastAsia="Times New Roman" w:hint="default"/>
          <w:spacing w:val="-3"/>
        </w:rPr>
        <w:t>9.99</w:t>
      </w:r>
      <w:r>
        <w:rPr>
          <w:spacing w:val="-3"/>
        </w:rPr>
        <w:t>亿元，</w:t>
      </w:r>
      <w:r>
        <w:rPr/>
        <w:t> 同比增长</w:t>
      </w:r>
      <w:r>
        <w:rPr>
          <w:rFonts w:ascii="Times New Roman" w:hAnsi="Times New Roman" w:cs="Times New Roman" w:eastAsia="Times New Roman" w:hint="default"/>
        </w:rPr>
        <w:t>87.9%</w:t>
      </w:r>
      <w:r>
        <w:rPr/>
        <w:t>；基本每股收益</w:t>
      </w:r>
      <w:r>
        <w:rPr>
          <w:rFonts w:ascii="Times New Roman" w:hAnsi="Times New Roman" w:cs="Times New Roman" w:eastAsia="Times New Roman" w:hint="default"/>
        </w:rPr>
        <w:t>0.89</w:t>
      </w:r>
      <w:r>
        <w:rPr/>
        <w:t>元，同比增长</w:t>
      </w:r>
      <w:r>
        <w:rPr>
          <w:rFonts w:ascii="Times New Roman" w:hAnsi="Times New Roman" w:cs="Times New Roman" w:eastAsia="Times New Roman" w:hint="default"/>
        </w:rPr>
        <w:t>89.36%</w:t>
      </w:r>
      <w:r>
        <w:rPr/>
        <w:t>；毛利率</w:t>
      </w:r>
      <w:r>
        <w:rPr>
          <w:rFonts w:ascii="Times New Roman" w:hAnsi="Times New Roman" w:cs="Times New Roman" w:eastAsia="Times New Roman" w:hint="default"/>
        </w:rPr>
        <w:t>79.79%</w:t>
      </w:r>
      <w:r>
        <w:rPr/>
        <w:t>，同比增长</w:t>
      </w:r>
      <w:r>
        <w:rPr>
          <w:rFonts w:ascii="Times New Roman" w:hAnsi="Times New Roman" w:cs="Times New Roman" w:eastAsia="Times New Roman" w:hint="default"/>
        </w:rPr>
        <w:t>26.80</w:t>
      </w:r>
      <w:r>
        <w:rPr/>
        <w:t>个百分点。截至 报告期末，公司总资产共计</w:t>
      </w:r>
      <w:r>
        <w:rPr>
          <w:rFonts w:ascii="Times New Roman" w:hAnsi="Times New Roman" w:cs="Times New Roman" w:eastAsia="Times New Roman" w:hint="default"/>
        </w:rPr>
        <w:t>120.61</w:t>
      </w:r>
      <w:r>
        <w:rPr/>
        <w:t>亿元，同比增长</w:t>
      </w:r>
      <w:r>
        <w:rPr>
          <w:rFonts w:ascii="Times New Roman" w:hAnsi="Times New Roman" w:cs="Times New Roman" w:eastAsia="Times New Roman" w:hint="default"/>
        </w:rPr>
        <w:t>91.27%</w:t>
      </w:r>
      <w:r>
        <w:rPr/>
        <w:t>。</w:t>
      </w:r>
    </w:p>
    <w:p>
      <w:pPr>
        <w:pStyle w:val="BodyText"/>
        <w:spacing w:line="386" w:lineRule="auto" w:before="35"/>
        <w:ind w:left="1554" w:right="1494"/>
        <w:jc w:val="left"/>
      </w:pPr>
      <w:r>
        <w:rPr/>
        <w:t>报告期内各业务板块发展情况详见 </w:t>
      </w:r>
      <w:r>
        <w:rPr>
          <w:rFonts w:ascii="Times New Roman" w:hAnsi="Times New Roman" w:cs="Times New Roman" w:eastAsia="Times New Roman" w:hint="default"/>
        </w:rPr>
        <w:t>“</w:t>
      </w:r>
      <w:r>
        <w:rPr/>
        <w:t>第三节 公司业务概要</w:t>
      </w:r>
      <w:r>
        <w:rPr>
          <w:spacing w:val="-63"/>
        </w:rPr>
        <w:t> </w:t>
      </w:r>
      <w:r>
        <w:rPr/>
        <w:t>一、报告期内公司从事的主要业务</w:t>
      </w:r>
      <w:r>
        <w:rPr>
          <w:rFonts w:ascii="Times New Roman" w:hAnsi="Times New Roman" w:cs="Times New Roman" w:eastAsia="Times New Roman" w:hint="default"/>
        </w:rPr>
        <w:t>”</w:t>
      </w:r>
      <w:r>
        <w:rPr/>
        <w:t>。 报告期内，公司在经营层面取得了多项积极进展：</w:t>
      </w:r>
    </w:p>
    <w:p>
      <w:pPr>
        <w:spacing w:line="386" w:lineRule="auto" w:before="65"/>
        <w:ind w:left="1554" w:right="1122"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、收入结构进一步优化，盈利能力大幅增长</w:t>
      </w:r>
      <w:r>
        <w:rPr>
          <w:rFonts w:ascii="宋体" w:hAnsi="宋体" w:cs="宋体" w:eastAsia="宋体" w:hint="default"/>
          <w:b/>
          <w:bCs/>
          <w:w w:val="99"/>
          <w:sz w:val="21"/>
          <w:szCs w:val="21"/>
        </w:rPr>
        <w:t> </w:t>
      </w:r>
      <w:r>
        <w:rPr>
          <w:rFonts w:ascii="宋体" w:hAnsi="宋体" w:cs="宋体" w:eastAsia="宋体" w:hint="default"/>
          <w:spacing w:val="-2"/>
          <w:sz w:val="21"/>
          <w:szCs w:val="21"/>
        </w:rPr>
        <w:t>报告期内，公司营业收入</w:t>
      </w:r>
      <w:r>
        <w:rPr>
          <w:rFonts w:ascii="Times New Roman" w:hAnsi="Times New Roman" w:cs="Times New Roman" w:eastAsia="Times New Roman" w:hint="default"/>
          <w:spacing w:val="-2"/>
          <w:sz w:val="21"/>
          <w:szCs w:val="21"/>
        </w:rPr>
        <w:t>34.36</w:t>
      </w:r>
      <w:r>
        <w:rPr>
          <w:rFonts w:ascii="宋体" w:hAnsi="宋体" w:cs="宋体" w:eastAsia="宋体" w:hint="default"/>
          <w:spacing w:val="-2"/>
          <w:sz w:val="21"/>
          <w:szCs w:val="21"/>
        </w:rPr>
        <w:t>亿元，其中</w:t>
      </w:r>
      <w:r>
        <w:rPr>
          <w:rFonts w:ascii="Times New Roman" w:hAnsi="Times New Roman" w:cs="Times New Roman" w:eastAsia="Times New Roman" w:hint="default"/>
          <w:spacing w:val="-2"/>
          <w:sz w:val="21"/>
          <w:szCs w:val="21"/>
        </w:rPr>
        <w:t>99.46%</w:t>
      </w:r>
      <w:r>
        <w:rPr>
          <w:rFonts w:ascii="宋体" w:hAnsi="宋体" w:cs="宋体" w:eastAsia="宋体" w:hint="default"/>
          <w:spacing w:val="-2"/>
          <w:sz w:val="21"/>
          <w:szCs w:val="21"/>
        </w:rPr>
        <w:t>均来自于互联网收入，其中来自社交网络的收入达到</w:t>
      </w:r>
    </w:p>
    <w:p>
      <w:pPr>
        <w:pStyle w:val="BodyText"/>
        <w:spacing w:line="386" w:lineRule="auto" w:before="35"/>
        <w:ind w:right="1131"/>
        <w:jc w:val="both"/>
      </w:pPr>
      <w:r>
        <w:rPr>
          <w:rFonts w:ascii="Times New Roman" w:hAnsi="Times New Roman" w:cs="Times New Roman" w:eastAsia="Times New Roman" w:hint="default"/>
          <w:spacing w:val="-2"/>
        </w:rPr>
        <w:t>16.43</w:t>
      </w:r>
      <w:r>
        <w:rPr>
          <w:spacing w:val="-2"/>
        </w:rPr>
        <w:t>亿元，占比</w:t>
      </w:r>
      <w:r>
        <w:rPr>
          <w:rFonts w:ascii="Times New Roman" w:hAnsi="Times New Roman" w:cs="Times New Roman" w:eastAsia="Times New Roman" w:hint="default"/>
          <w:spacing w:val="-2"/>
        </w:rPr>
        <w:t>47.83%</w:t>
      </w:r>
      <w:r>
        <w:rPr>
          <w:spacing w:val="-2"/>
        </w:rPr>
        <w:t>，超过了网络游戏收入，夯实了公司向互联网平台型公司转型的目标。公司整体毛</w:t>
      </w:r>
      <w:r>
        <w:rPr>
          <w:spacing w:val="-94"/>
        </w:rPr>
        <w:t> </w:t>
      </w:r>
      <w:r>
        <w:rPr>
          <w:spacing w:val="-94"/>
        </w:rPr>
      </w:r>
      <w:r>
        <w:rPr>
          <w:spacing w:val="-1"/>
        </w:rPr>
        <w:t>利率为</w:t>
      </w:r>
      <w:r>
        <w:rPr>
          <w:rFonts w:ascii="Times New Roman" w:hAnsi="Times New Roman" w:cs="Times New Roman" w:eastAsia="Times New Roman" w:hint="default"/>
          <w:spacing w:val="-1"/>
        </w:rPr>
        <w:t>79.79%</w:t>
      </w:r>
      <w:r>
        <w:rPr>
          <w:spacing w:val="-1"/>
        </w:rPr>
        <w:t>，同比增长</w:t>
      </w:r>
      <w:r>
        <w:rPr>
          <w:rFonts w:ascii="Times New Roman" w:hAnsi="Times New Roman" w:cs="Times New Roman" w:eastAsia="Times New Roman" w:hint="default"/>
          <w:spacing w:val="-1"/>
        </w:rPr>
        <w:t>26.80</w:t>
      </w:r>
      <w:r>
        <w:rPr>
          <w:spacing w:val="-1"/>
        </w:rPr>
        <w:t>个百分点，其中社交网络的毛利率为</w:t>
      </w:r>
      <w:r>
        <w:rPr>
          <w:rFonts w:ascii="Times New Roman" w:hAnsi="Times New Roman" w:cs="Times New Roman" w:eastAsia="Times New Roman" w:hint="default"/>
          <w:spacing w:val="-1"/>
        </w:rPr>
        <w:t>95.45%</w:t>
      </w:r>
      <w:r>
        <w:rPr>
          <w:spacing w:val="-1"/>
        </w:rPr>
        <w:t>，同比增长</w:t>
      </w:r>
      <w:r>
        <w:rPr>
          <w:rFonts w:ascii="Times New Roman" w:hAnsi="Times New Roman" w:cs="Times New Roman" w:eastAsia="Times New Roman" w:hint="default"/>
          <w:spacing w:val="-1"/>
        </w:rPr>
        <w:t>177.09%</w:t>
      </w:r>
      <w:r>
        <w:rPr>
          <w:spacing w:val="-1"/>
        </w:rPr>
        <w:t>，而游戏业</w:t>
      </w:r>
      <w:r>
        <w:rPr>
          <w:spacing w:val="-78"/>
        </w:rPr>
        <w:t> </w:t>
      </w:r>
      <w:r>
        <w:rPr>
          <w:spacing w:val="-78"/>
        </w:rPr>
      </w:r>
      <w:r>
        <w:rPr/>
        <w:t>务的毛利率亦有所增长，达到</w:t>
      </w:r>
      <w:r>
        <w:rPr>
          <w:rFonts w:ascii="Times New Roman" w:hAnsi="Times New Roman" w:cs="Times New Roman" w:eastAsia="Times New Roman" w:hint="default"/>
        </w:rPr>
        <w:t>61.50%</w:t>
      </w:r>
      <w:r>
        <w:rPr/>
        <w:t>，同比增长</w:t>
      </w:r>
      <w:r>
        <w:rPr>
          <w:rFonts w:ascii="Times New Roman" w:hAnsi="Times New Roman" w:cs="Times New Roman" w:eastAsia="Times New Roman" w:hint="default"/>
        </w:rPr>
        <w:t>25.62%</w:t>
      </w:r>
      <w:r>
        <w:rPr/>
        <w:t>。收入结构进一步优化，盈利能力大幅增长。</w:t>
      </w:r>
    </w:p>
    <w:p>
      <w:pPr>
        <w:spacing w:line="386" w:lineRule="auto" w:before="36"/>
        <w:ind w:left="1554" w:right="1116"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、明确自身优势，业务线条更加清晰</w:t>
      </w:r>
      <w:r>
        <w:rPr>
          <w:rFonts w:ascii="宋体" w:hAnsi="宋体" w:cs="宋体" w:eastAsia="宋体" w:hint="default"/>
          <w:b/>
          <w:bCs/>
          <w:w w:val="99"/>
          <w:sz w:val="21"/>
          <w:szCs w:val="21"/>
        </w:rPr>
        <w:t> </w:t>
      </w:r>
      <w:r>
        <w:rPr>
          <w:rFonts w:ascii="宋体" w:hAnsi="宋体" w:cs="宋体" w:eastAsia="宋体" w:hint="default"/>
          <w:sz w:val="21"/>
          <w:szCs w:val="21"/>
        </w:rPr>
        <w:t>报告期内，公司继续贯彻实施</w:t>
      </w:r>
      <w:r>
        <w:rPr>
          <w:rFonts w:ascii="Times New Roman" w:hAnsi="Times New Roman" w:cs="Times New Roman" w:eastAsia="Times New Roman" w:hint="default"/>
          <w:sz w:val="21"/>
          <w:szCs w:val="21"/>
        </w:rPr>
        <w:t>“</w:t>
      </w:r>
      <w:r>
        <w:rPr>
          <w:rFonts w:ascii="宋体" w:hAnsi="宋体" w:cs="宋体" w:eastAsia="宋体" w:hint="default"/>
          <w:sz w:val="21"/>
          <w:szCs w:val="21"/>
        </w:rPr>
        <w:t>打造海外领先的社交媒体和内容平台</w:t>
      </w:r>
      <w:r>
        <w:rPr>
          <w:rFonts w:ascii="Times New Roman" w:hAnsi="Times New Roman" w:cs="Times New Roman" w:eastAsia="Times New Roman" w:hint="default"/>
          <w:sz w:val="21"/>
          <w:szCs w:val="21"/>
        </w:rPr>
        <w:t>”</w:t>
      </w:r>
      <w:r>
        <w:rPr>
          <w:rFonts w:ascii="宋体" w:hAnsi="宋体" w:cs="宋体" w:eastAsia="宋体" w:hint="default"/>
          <w:sz w:val="21"/>
          <w:szCs w:val="21"/>
        </w:rPr>
        <w:t>的发展战略，明确以国际市场为</w:t>
      </w:r>
    </w:p>
    <w:p>
      <w:pPr>
        <w:pStyle w:val="BodyText"/>
        <w:spacing w:line="408" w:lineRule="auto" w:before="35"/>
        <w:ind w:left="1134" w:right="1130"/>
        <w:jc w:val="both"/>
      </w:pPr>
      <w:r>
        <w:rPr>
          <w:spacing w:val="-1"/>
        </w:rPr>
        <w:t>背景、平台流量为核心，内容创新为导向、人工智能为引擎的发展纲领。依托海外品牌、平台规模、变现</w:t>
      </w:r>
      <w:r>
        <w:rPr>
          <w:spacing w:val="-82"/>
        </w:rPr>
        <w:t> </w:t>
      </w:r>
      <w:r>
        <w:rPr>
          <w:spacing w:val="-82"/>
        </w:rPr>
      </w:r>
      <w:r>
        <w:rPr>
          <w:spacing w:val="-1"/>
        </w:rPr>
        <w:t>能力、研发实力等核心优势，化繁为简，明确将主业聚焦在移动游戏平台（昆仑游戏）、休闲娱乐社交平</w:t>
      </w:r>
      <w:r>
        <w:rPr>
          <w:spacing w:val="-83"/>
        </w:rPr>
        <w:t> </w:t>
      </w:r>
      <w:r>
        <w:rPr>
          <w:spacing w:val="-83"/>
        </w:rPr>
      </w:r>
      <w:r>
        <w:rPr/>
        <w:t>台（闲徕互娱）、社交平台（</w:t>
      </w:r>
      <w:r>
        <w:rPr>
          <w:rFonts w:ascii="Times New Roman" w:hAnsi="Times New Roman" w:cs="Times New Roman" w:eastAsia="Times New Roman" w:hint="default"/>
        </w:rPr>
        <w:t>grindr</w:t>
      </w:r>
      <w:r>
        <w:rPr/>
        <w:t>）三大业务板块，该三大业务板块相辅相成。</w:t>
      </w:r>
    </w:p>
    <w:p>
      <w:pPr>
        <w:pStyle w:val="BodyText"/>
        <w:spacing w:line="398" w:lineRule="auto" w:before="14"/>
        <w:ind w:left="1134" w:right="1136" w:firstLine="420"/>
        <w:jc w:val="both"/>
      </w:pPr>
      <w:r>
        <w:rPr>
          <w:spacing w:val="3"/>
        </w:rPr>
        <w:t>昆仑游戏和闲徕互娱构成内容板块，提供不同类型的游戏品类，满足用户不同场景下的娱乐需求，</w:t>
      </w:r>
      <w:r>
        <w:rPr/>
        <w:t> </w:t>
      </w:r>
      <w:r>
        <w:rPr>
          <w:rFonts w:ascii="Times New Roman" w:hAnsi="Times New Roman" w:cs="Times New Roman" w:eastAsia="Times New Roman" w:hint="default"/>
        </w:rPr>
        <w:t>Grindr</w:t>
      </w:r>
      <w:r>
        <w:rPr/>
        <w:t>则是细分垂直人群的优质平台，这三大业务板块的构成，为公司构建大数据实施人工智能奠定了坚</w:t>
      </w:r>
      <w:r>
        <w:rPr>
          <w:spacing w:val="-65"/>
        </w:rPr>
        <w:t> </w:t>
      </w:r>
      <w:r>
        <w:rPr>
          <w:spacing w:val="-65"/>
        </w:rPr>
      </w:r>
      <w:r>
        <w:rPr/>
        <w:t>实基础。</w:t>
      </w:r>
    </w:p>
    <w:p>
      <w:pPr>
        <w:spacing w:line="386" w:lineRule="auto" w:before="54"/>
        <w:ind w:left="1554" w:right="998"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、迎战互联网产品快速迭代，增强产品抗风险能力</w:t>
      </w:r>
      <w:r>
        <w:rPr>
          <w:rFonts w:ascii="宋体" w:hAnsi="宋体" w:cs="宋体" w:eastAsia="宋体" w:hint="default"/>
          <w:b/>
          <w:bCs/>
          <w:w w:val="99"/>
          <w:sz w:val="21"/>
          <w:szCs w:val="21"/>
        </w:rPr>
        <w:t> </w:t>
      </w:r>
      <w:r>
        <w:rPr>
          <w:rFonts w:ascii="宋体" w:hAnsi="宋体" w:cs="宋体" w:eastAsia="宋体" w:hint="default"/>
          <w:spacing w:val="-1"/>
          <w:sz w:val="21"/>
          <w:szCs w:val="21"/>
        </w:rPr>
        <w:t>互联网产品面临着快速迭代、窗口期愈发缩短的挑战。公司不断根据市场风向，调整产品思路，关键</w:t>
      </w:r>
    </w:p>
    <w:p>
      <w:pPr>
        <w:pStyle w:val="BodyText"/>
        <w:spacing w:line="240" w:lineRule="auto" w:before="65"/>
        <w:ind w:left="1134" w:right="0"/>
        <w:jc w:val="both"/>
      </w:pPr>
      <w:r>
        <w:rPr/>
        <w:t>时刻敢于创新和止损。</w:t>
      </w:r>
    </w:p>
    <w:p>
      <w:pPr>
        <w:spacing w:line="240" w:lineRule="auto" w:before="10"/>
        <w:rPr>
          <w:rFonts w:ascii="宋体" w:hAnsi="宋体" w:cs="宋体" w:eastAsia="宋体" w:hint="default"/>
          <w:sz w:val="14"/>
          <w:szCs w:val="14"/>
        </w:rPr>
      </w:pPr>
    </w:p>
    <w:p>
      <w:pPr>
        <w:pStyle w:val="BodyText"/>
        <w:spacing w:line="386" w:lineRule="auto"/>
        <w:ind w:right="1129" w:firstLine="420"/>
        <w:jc w:val="both"/>
      </w:pPr>
      <w:r>
        <w:rPr/>
        <w:t>昆仑游戏自研产品流水峰值和生命周期不断提高；闲徕互娱则推出</w:t>
      </w:r>
      <w:r>
        <w:rPr>
          <w:spacing w:val="-52"/>
        </w:rPr>
        <w:t> </w:t>
      </w:r>
      <w:r>
        <w:rPr>
          <w:rFonts w:ascii="Times New Roman" w:hAnsi="Times New Roman" w:cs="Times New Roman" w:eastAsia="Times New Roman" w:hint="default"/>
          <w:spacing w:val="-3"/>
        </w:rPr>
        <w:t>“</w:t>
      </w:r>
      <w:r>
        <w:rPr>
          <w:spacing w:val="-3"/>
        </w:rPr>
        <w:t>比赛场</w:t>
      </w:r>
      <w:r>
        <w:rPr>
          <w:rFonts w:ascii="Times New Roman" w:hAnsi="Times New Roman" w:cs="Times New Roman" w:eastAsia="Times New Roman" w:hint="default"/>
          <w:spacing w:val="-3"/>
        </w:rPr>
        <w:t>”</w:t>
      </w:r>
      <w:r>
        <w:rPr>
          <w:spacing w:val="-3"/>
        </w:rPr>
        <w:t>等新娱乐模式。各业务线</w:t>
      </w:r>
      <w:r>
        <w:rPr/>
        <w:t> 条积极开拓创新，使得公司整体产品矩阵的抗风险能力明显加强。</w:t>
      </w:r>
      <w:r>
        <w:rPr>
          <w:rFonts w:ascii="Times New Roman" w:hAnsi="Times New Roman" w:cs="Times New Roman" w:eastAsia="Times New Roman" w:hint="default"/>
        </w:rPr>
        <w:t>Grindr</w:t>
      </w:r>
      <w:r>
        <w:rPr/>
        <w:t>则为了满足用户的不同需求，推</w:t>
      </w:r>
      <w:r>
        <w:rPr>
          <w:spacing w:val="-65"/>
        </w:rPr>
        <w:t> </w:t>
      </w:r>
      <w:r>
        <w:rPr>
          <w:spacing w:val="-65"/>
        </w:rPr>
      </w:r>
      <w:r>
        <w:rPr/>
        <w:t>出集内容、活动、服务、社交于一身的</w:t>
      </w:r>
      <w:r>
        <w:rPr>
          <w:rFonts w:ascii="Times New Roman" w:hAnsi="Times New Roman" w:cs="Times New Roman" w:eastAsia="Times New Roman" w:hint="default"/>
        </w:rPr>
        <w:t>INTO</w:t>
      </w:r>
      <w:r>
        <w:rPr/>
        <w:t>网站；</w:t>
      </w:r>
    </w:p>
    <w:p>
      <w:pPr>
        <w:pStyle w:val="Heading6"/>
        <w:spacing w:line="240" w:lineRule="auto" w:before="35"/>
        <w:ind w:left="1556" w:right="998"/>
        <w:jc w:val="left"/>
        <w:rPr>
          <w:b w:val="0"/>
          <w:bCs w:val="0"/>
        </w:rPr>
      </w:pPr>
      <w:r>
        <w:rPr>
          <w:rFonts w:ascii="Times New Roman" w:hAnsi="Times New Roman" w:cs="Times New Roman" w:eastAsia="Times New Roman" w:hint="default"/>
        </w:rPr>
        <w:t>4</w:t>
      </w:r>
      <w:r>
        <w:rPr/>
        <w:t>、长期稳定的科技研发投入，顺应全球行业集中度变高的趋势</w:t>
      </w:r>
      <w:r>
        <w:rPr>
          <w:b w:val="0"/>
          <w:bCs w:val="0"/>
        </w:rPr>
      </w:r>
    </w:p>
    <w:p>
      <w:pPr>
        <w:spacing w:after="0" w:line="240" w:lineRule="auto"/>
        <w:jc w:val="left"/>
        <w:sectPr>
          <w:pgSz w:w="11910" w:h="16840"/>
          <w:pgMar w:header="747" w:footer="979" w:top="1060" w:bottom="1160" w:left="0" w:right="0"/>
        </w:sectPr>
      </w:pPr>
    </w:p>
    <w:p>
      <w:pPr>
        <w:spacing w:line="240" w:lineRule="auto" w:before="0"/>
        <w:rPr>
          <w:rFonts w:ascii="宋体" w:hAnsi="宋体" w:cs="宋体" w:eastAsia="宋体" w:hint="default"/>
          <w:b/>
          <w:bCs/>
          <w:sz w:val="20"/>
          <w:szCs w:val="20"/>
        </w:rPr>
      </w:pPr>
    </w:p>
    <w:p>
      <w:pPr>
        <w:pStyle w:val="BodyText"/>
        <w:spacing w:line="408" w:lineRule="auto" w:before="174"/>
        <w:ind w:right="1133" w:firstLine="420"/>
        <w:jc w:val="both"/>
      </w:pPr>
      <w:r>
        <w:rPr>
          <w:spacing w:val="-1"/>
        </w:rPr>
        <w:t>报告期内，公司更加强化科技含量高、具备创造力和创新性、进入壁垒高、人均创收高、边际效益显</w:t>
      </w:r>
      <w:r>
        <w:rPr/>
        <w:t> 著的行业和产品。</w:t>
      </w:r>
    </w:p>
    <w:p>
      <w:pPr>
        <w:pStyle w:val="BodyText"/>
        <w:spacing w:line="398" w:lineRule="auto" w:before="46"/>
        <w:ind w:right="1128" w:firstLine="420"/>
        <w:jc w:val="both"/>
      </w:pPr>
      <w:r>
        <w:rPr/>
        <w:t>公司将研发重点发力在人工智能领域，昆仑游戏和闲徕互娱也在逐步完善自己的大数据平台，</w:t>
      </w:r>
      <w:r>
        <w:rPr>
          <w:rFonts w:ascii="Times New Roman" w:hAnsi="Times New Roman" w:cs="Times New Roman" w:eastAsia="Times New Roman" w:hint="default"/>
        </w:rPr>
        <w:t>Grindr</w:t>
      </w:r>
      <w:r>
        <w:rPr>
          <w:rFonts w:ascii="Times New Roman" w:hAnsi="Times New Roman" w:cs="Times New Roman" w:eastAsia="Times New Roman" w:hint="default"/>
          <w:w w:val="99"/>
        </w:rPr>
        <w:t> </w:t>
      </w:r>
      <w:r>
        <w:rPr>
          <w:spacing w:val="-1"/>
        </w:rPr>
        <w:t>则运用深度学习来识别用户上传的图像，为精细化运营打下基础。未来，公司各业务板块通过构建统一的</w:t>
      </w:r>
      <w:r>
        <w:rPr>
          <w:spacing w:val="-84"/>
        </w:rPr>
        <w:t> </w:t>
      </w:r>
      <w:r>
        <w:rPr>
          <w:spacing w:val="-84"/>
        </w:rPr>
      </w:r>
      <w:r>
        <w:rPr/>
        <w:t>大数据系统，利用科技赋能产生裂变，以顺应全球行业集中度变高的趋势。</w:t>
      </w:r>
    </w:p>
    <w:p>
      <w:pPr>
        <w:spacing w:line="386" w:lineRule="auto" w:before="54"/>
        <w:ind w:left="1553" w:right="998"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、加强平台建设，提升流量价值</w:t>
      </w:r>
      <w:r>
        <w:rPr>
          <w:rFonts w:ascii="宋体" w:hAnsi="宋体" w:cs="宋体" w:eastAsia="宋体" w:hint="default"/>
          <w:b/>
          <w:bCs/>
          <w:w w:val="99"/>
          <w:sz w:val="21"/>
          <w:szCs w:val="21"/>
        </w:rPr>
        <w:t> </w:t>
      </w:r>
      <w:r>
        <w:rPr>
          <w:rFonts w:ascii="宋体" w:hAnsi="宋体" w:cs="宋体" w:eastAsia="宋体" w:hint="default"/>
          <w:spacing w:val="-2"/>
          <w:sz w:val="21"/>
          <w:szCs w:val="21"/>
        </w:rPr>
        <w:t>公司不断强化平台建设，报告期内，</w:t>
      </w:r>
      <w:r>
        <w:rPr>
          <w:rFonts w:ascii="Times New Roman" w:hAnsi="Times New Roman" w:cs="Times New Roman" w:eastAsia="Times New Roman" w:hint="default"/>
          <w:spacing w:val="-2"/>
          <w:sz w:val="21"/>
          <w:szCs w:val="21"/>
        </w:rPr>
        <w:t>Grindr</w:t>
      </w:r>
      <w:r>
        <w:rPr>
          <w:rFonts w:ascii="宋体" w:hAnsi="宋体" w:cs="宋体" w:eastAsia="宋体" w:hint="default"/>
          <w:spacing w:val="-2"/>
          <w:sz w:val="21"/>
          <w:szCs w:val="21"/>
        </w:rPr>
        <w:t>的月活跃用户有</w:t>
      </w:r>
      <w:r>
        <w:rPr>
          <w:rFonts w:ascii="Times New Roman" w:hAnsi="Times New Roman" w:cs="Times New Roman" w:eastAsia="Times New Roman" w:hint="default"/>
          <w:spacing w:val="-2"/>
          <w:sz w:val="21"/>
          <w:szCs w:val="21"/>
        </w:rPr>
        <w:t>20%</w:t>
      </w:r>
      <w:r>
        <w:rPr>
          <w:rFonts w:ascii="宋体" w:hAnsi="宋体" w:cs="宋体" w:eastAsia="宋体" w:hint="default"/>
          <w:spacing w:val="-2"/>
          <w:sz w:val="21"/>
          <w:szCs w:val="21"/>
        </w:rPr>
        <w:t>以上的增长。</w:t>
      </w:r>
      <w:r>
        <w:rPr>
          <w:rFonts w:ascii="Times New Roman" w:hAnsi="Times New Roman" w:cs="Times New Roman" w:eastAsia="Times New Roman" w:hint="default"/>
          <w:spacing w:val="-2"/>
          <w:sz w:val="21"/>
          <w:szCs w:val="21"/>
        </w:rPr>
        <w:t>Grindr</w:t>
      </w:r>
      <w:r>
        <w:rPr>
          <w:rFonts w:ascii="宋体" w:hAnsi="宋体" w:cs="宋体" w:eastAsia="宋体" w:hint="default"/>
          <w:spacing w:val="-2"/>
          <w:sz w:val="21"/>
          <w:szCs w:val="21"/>
        </w:rPr>
        <w:t>在社交之外增加内</w:t>
      </w:r>
    </w:p>
    <w:p>
      <w:pPr>
        <w:pStyle w:val="BodyText"/>
        <w:spacing w:line="398" w:lineRule="auto" w:before="35"/>
        <w:ind w:left="1553" w:right="1024" w:hanging="420"/>
        <w:jc w:val="left"/>
      </w:pPr>
      <w:r>
        <w:rPr>
          <w:spacing w:val="-3"/>
        </w:rPr>
        <w:t>容、活动和其他增值服务，扩大了用户覆盖面和页面点击量，广告价值得到进一步增强，收入也随之增加。</w:t>
      </w:r>
      <w:r>
        <w:rPr>
          <w:spacing w:val="-95"/>
        </w:rPr>
        <w:t> </w:t>
      </w:r>
      <w:r>
        <w:rPr>
          <w:spacing w:val="-95"/>
        </w:rPr>
      </w:r>
      <w:r>
        <w:rPr>
          <w:rFonts w:ascii="Times New Roman" w:hAnsi="Times New Roman" w:cs="Times New Roman" w:eastAsia="Times New Roman" w:hint="default"/>
          <w:b/>
          <w:bCs/>
        </w:rPr>
        <w:t>6</w:t>
      </w:r>
      <w:r>
        <w:rPr>
          <w:rFonts w:ascii="宋体" w:hAnsi="宋体" w:cs="宋体" w:eastAsia="宋体" w:hint="default"/>
          <w:b/>
          <w:bCs/>
        </w:rPr>
        <w:t>、加强人才体系建设</w:t>
      </w:r>
      <w:r>
        <w:rPr>
          <w:rFonts w:ascii="宋体" w:hAnsi="宋体" w:cs="宋体" w:eastAsia="宋体" w:hint="default"/>
          <w:b/>
          <w:bCs/>
          <w:w w:val="99"/>
        </w:rPr>
        <w:t> </w:t>
      </w:r>
      <w:r>
        <w:rPr/>
        <w:t>截至报告期末，公司员工（含昆仑游戏、</w:t>
      </w:r>
      <w:r>
        <w:rPr>
          <w:rFonts w:ascii="Times New Roman" w:hAnsi="Times New Roman" w:cs="Times New Roman" w:eastAsia="Times New Roman" w:hint="default"/>
        </w:rPr>
        <w:t>Grindr</w:t>
      </w:r>
      <w:r>
        <w:rPr/>
        <w:t>和闲徕互娱）共计</w:t>
      </w:r>
      <w:r>
        <w:rPr>
          <w:rFonts w:ascii="Times New Roman" w:hAnsi="Times New Roman" w:cs="Times New Roman" w:eastAsia="Times New Roman" w:hint="default"/>
        </w:rPr>
        <w:t>1432</w:t>
      </w:r>
      <w:r>
        <w:rPr/>
        <w:t>人，规模不断壮大。作为轻资</w:t>
      </w:r>
    </w:p>
    <w:p>
      <w:pPr>
        <w:pStyle w:val="BodyText"/>
        <w:spacing w:line="408" w:lineRule="auto" w:before="24"/>
        <w:ind w:right="1093"/>
        <w:jc w:val="left"/>
      </w:pPr>
      <w:r>
        <w:rPr/>
        <w:t>产的科技创新型企业，人力是公司重要资源之一。报告期内，公司加强建立了人才的招聘、识别、适配、 培养和激励体系，让优秀的年轻人脱颖而出。</w:t>
      </w:r>
    </w:p>
    <w:p>
      <w:pPr>
        <w:spacing w:line="386" w:lineRule="auto" w:before="46"/>
        <w:ind w:left="1638" w:right="998" w:hanging="8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、调整组织架构，集团与各业务部门职能更加清晰</w:t>
      </w:r>
      <w:r>
        <w:rPr>
          <w:rFonts w:ascii="宋体" w:hAnsi="宋体" w:cs="宋体" w:eastAsia="宋体" w:hint="default"/>
          <w:b/>
          <w:bCs/>
          <w:w w:val="99"/>
          <w:sz w:val="21"/>
          <w:szCs w:val="21"/>
        </w:rPr>
        <w:t> </w:t>
      </w:r>
      <w:r>
        <w:rPr>
          <w:rFonts w:ascii="宋体" w:hAnsi="宋体" w:cs="宋体" w:eastAsia="宋体" w:hint="default"/>
          <w:sz w:val="21"/>
          <w:szCs w:val="21"/>
        </w:rPr>
        <w:t>随着公司业务线条的明确，公司主业已经由最初单一的游戏业务延伸至目前的昆仑游戏、闲徕互娱</w:t>
      </w:r>
    </w:p>
    <w:p>
      <w:pPr>
        <w:pStyle w:val="BodyText"/>
        <w:spacing w:line="386" w:lineRule="auto" w:before="65"/>
        <w:ind w:right="1024"/>
        <w:jc w:val="left"/>
      </w:pPr>
      <w:r>
        <w:rPr/>
        <w:t>和</w:t>
      </w:r>
      <w:r>
        <w:rPr>
          <w:rFonts w:ascii="Times New Roman" w:hAnsi="Times New Roman" w:cs="Times New Roman" w:eastAsia="Times New Roman" w:hint="default"/>
        </w:rPr>
        <w:t>Grindr</w:t>
      </w:r>
      <w:r>
        <w:rPr/>
        <w:t>三大平行业务体系。因此公司重新调整组织架构，单独设置集团职能部门服务于三大业务板块，</w:t>
      </w:r>
      <w:r>
        <w:rPr>
          <w:spacing w:val="-65"/>
        </w:rPr>
        <w:t> </w:t>
      </w:r>
      <w:r>
        <w:rPr>
          <w:spacing w:val="-65"/>
        </w:rPr>
      </w:r>
      <w:r>
        <w:rPr>
          <w:spacing w:val="-3"/>
        </w:rPr>
        <w:t>使得人员分工更加明确，业务部门与集团部门各自的财务核算更加清晰，有利于各项业务的协调统一发展。</w:t>
      </w:r>
    </w:p>
    <w:p>
      <w:pPr>
        <w:spacing w:line="386" w:lineRule="auto" w:before="65"/>
        <w:ind w:left="1553" w:right="998"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、优秀的投资回报，对主营业务进行反哺</w:t>
      </w:r>
      <w:r>
        <w:rPr>
          <w:rFonts w:ascii="宋体" w:hAnsi="宋体" w:cs="宋体" w:eastAsia="宋体" w:hint="default"/>
          <w:b/>
          <w:bCs/>
          <w:w w:val="99"/>
          <w:sz w:val="21"/>
          <w:szCs w:val="21"/>
        </w:rPr>
        <w:t> </w:t>
      </w:r>
      <w:r>
        <w:rPr>
          <w:rFonts w:ascii="宋体" w:hAnsi="宋体" w:cs="宋体" w:eastAsia="宋体" w:hint="default"/>
          <w:spacing w:val="-1"/>
          <w:sz w:val="21"/>
          <w:szCs w:val="21"/>
        </w:rPr>
        <w:t>报告期内，公司聚焦互联网领域，并通过</w:t>
      </w:r>
      <w:r>
        <w:rPr>
          <w:rFonts w:ascii="Times New Roman" w:hAnsi="Times New Roman" w:cs="Times New Roman" w:eastAsia="Times New Roman" w:hint="default"/>
          <w:spacing w:val="-1"/>
          <w:sz w:val="21"/>
          <w:szCs w:val="21"/>
        </w:rPr>
        <w:t>Qudian</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Musical.ly</w:t>
      </w:r>
      <w:r>
        <w:rPr>
          <w:rFonts w:ascii="宋体" w:hAnsi="宋体" w:cs="宋体" w:eastAsia="宋体" w:hint="default"/>
          <w:spacing w:val="-1"/>
          <w:sz w:val="21"/>
          <w:szCs w:val="21"/>
        </w:rPr>
        <w:t>等项目，取得了</w:t>
      </w:r>
      <w:r>
        <w:rPr>
          <w:rFonts w:ascii="Times New Roman" w:hAnsi="Times New Roman" w:cs="Times New Roman" w:eastAsia="Times New Roman" w:hint="default"/>
          <w:spacing w:val="-1"/>
          <w:sz w:val="21"/>
          <w:szCs w:val="21"/>
        </w:rPr>
        <w:t>4.44</w:t>
      </w:r>
      <w:r>
        <w:rPr>
          <w:rFonts w:ascii="宋体" w:hAnsi="宋体" w:cs="宋体" w:eastAsia="宋体" w:hint="default"/>
          <w:spacing w:val="-1"/>
          <w:sz w:val="21"/>
          <w:szCs w:val="21"/>
        </w:rPr>
        <w:t>亿元的投资收益，成</w:t>
      </w:r>
    </w:p>
    <w:p>
      <w:pPr>
        <w:pStyle w:val="BodyText"/>
        <w:spacing w:line="240" w:lineRule="auto" w:before="35"/>
        <w:ind w:right="998"/>
        <w:jc w:val="left"/>
      </w:pPr>
      <w:r>
        <w:rPr/>
        <w:t>绩显著。</w:t>
      </w:r>
    </w:p>
    <w:p>
      <w:pPr>
        <w:spacing w:line="240" w:lineRule="auto" w:before="10"/>
        <w:rPr>
          <w:rFonts w:ascii="宋体" w:hAnsi="宋体" w:cs="宋体" w:eastAsia="宋体" w:hint="default"/>
          <w:sz w:val="14"/>
          <w:szCs w:val="14"/>
        </w:rPr>
      </w:pPr>
    </w:p>
    <w:p>
      <w:pPr>
        <w:pStyle w:val="BodyText"/>
        <w:spacing w:line="408" w:lineRule="auto"/>
        <w:ind w:right="1131" w:firstLine="420"/>
        <w:jc w:val="both"/>
      </w:pPr>
      <w:r>
        <w:rPr>
          <w:spacing w:val="-1"/>
        </w:rPr>
        <w:t>通过投资，公司可以敏锐捕捉互联网风口，接触前沿科技和优秀人才。伴随着互联网的快速迭代，公</w:t>
      </w:r>
      <w:r>
        <w:rPr/>
        <w:t> </w:t>
      </w:r>
      <w:r>
        <w:rPr>
          <w:spacing w:val="-1"/>
        </w:rPr>
        <w:t>司业务板块也需要抱有创业者的心态，与被投公司相互借鉴学习，为互联网用户和社会创造更多更有价值</w:t>
      </w:r>
      <w:r>
        <w:rPr>
          <w:spacing w:val="-81"/>
        </w:rPr>
        <w:t> </w:t>
      </w:r>
      <w:r>
        <w:rPr>
          <w:spacing w:val="-81"/>
        </w:rPr>
      </w:r>
      <w:r>
        <w:rPr/>
        <w:t>的产品与服务。</w:t>
      </w:r>
    </w:p>
    <w:p>
      <w:pPr>
        <w:pStyle w:val="BodyText"/>
        <w:spacing w:line="408" w:lineRule="auto" w:before="46"/>
        <w:ind w:right="1131" w:firstLine="420"/>
        <w:jc w:val="both"/>
      </w:pPr>
      <w:r>
        <w:rPr>
          <w:spacing w:val="-1"/>
        </w:rPr>
        <w:t>同时，可观的投资收益有益于公司保持良好的资金流动性，提升公司的研发和运营实力，为公司应对</w:t>
      </w:r>
      <w:r>
        <w:rPr/>
        <w:t> 互联网的激烈竞争提供了有力保障。</w:t>
      </w:r>
    </w:p>
    <w:p>
      <w:pPr>
        <w:pStyle w:val="Heading6"/>
        <w:spacing w:line="240" w:lineRule="auto" w:before="46"/>
        <w:ind w:left="1556" w:right="998"/>
        <w:jc w:val="left"/>
        <w:rPr>
          <w:b w:val="0"/>
          <w:bCs w:val="0"/>
        </w:rPr>
      </w:pPr>
      <w:r>
        <w:rPr>
          <w:rFonts w:ascii="Times New Roman" w:hAnsi="Times New Roman" w:cs="Times New Roman" w:eastAsia="Times New Roman" w:hint="default"/>
        </w:rPr>
        <w:t>9</w:t>
      </w:r>
      <w:r>
        <w:rPr/>
        <w:t>、公司获得的荣誉及奖项</w:t>
      </w:r>
      <w:r>
        <w:rPr>
          <w:b w:val="0"/>
          <w:bCs w:val="0"/>
        </w:rPr>
      </w:r>
    </w:p>
    <w:p>
      <w:pPr>
        <w:spacing w:line="240" w:lineRule="auto" w:before="9"/>
        <w:rPr>
          <w:rFonts w:ascii="宋体" w:hAnsi="宋体" w:cs="宋体" w:eastAsia="宋体" w:hint="default"/>
          <w:b/>
          <w:bCs/>
          <w:sz w:val="8"/>
          <w:szCs w:val="8"/>
        </w:rPr>
      </w:pPr>
    </w:p>
    <w:tbl>
      <w:tblPr>
        <w:tblW w:w="0" w:type="auto"/>
        <w:jc w:val="left"/>
        <w:tblInd w:w="1772" w:type="dxa"/>
        <w:tblLayout w:type="fixed"/>
        <w:tblCellMar>
          <w:top w:w="0" w:type="dxa"/>
          <w:left w:w="0" w:type="dxa"/>
          <w:bottom w:w="0" w:type="dxa"/>
          <w:right w:w="0" w:type="dxa"/>
        </w:tblCellMar>
        <w:tblLook w:val="01E0"/>
      </w:tblPr>
      <w:tblGrid>
        <w:gridCol w:w="959"/>
        <w:gridCol w:w="2693"/>
        <w:gridCol w:w="4679"/>
      </w:tblGrid>
      <w:tr>
        <w:trPr>
          <w:trHeight w:val="510" w:hRule="exact"/>
        </w:trPr>
        <w:tc>
          <w:tcPr>
            <w:tcW w:w="959" w:type="dxa"/>
            <w:tcBorders>
              <w:top w:val="single" w:sz="12" w:space="0" w:color="000000"/>
              <w:left w:val="single" w:sz="12" w:space="0" w:color="000000"/>
              <w:bottom w:val="single" w:sz="6" w:space="0" w:color="000000"/>
              <w:right w:val="single" w:sz="6" w:space="0" w:color="000000"/>
            </w:tcBorders>
            <w:shd w:val="clear" w:color="auto" w:fill="EDEBE0"/>
          </w:tcPr>
          <w:p>
            <w:pPr>
              <w:pStyle w:val="TableParagraph"/>
              <w:spacing w:line="240" w:lineRule="auto" w:before="98"/>
              <w:ind w:right="106"/>
              <w:jc w:val="right"/>
              <w:rPr>
                <w:rFonts w:ascii="宋体" w:hAnsi="宋体" w:cs="宋体" w:eastAsia="宋体" w:hint="default"/>
                <w:sz w:val="18"/>
                <w:szCs w:val="18"/>
              </w:rPr>
            </w:pPr>
            <w:r>
              <w:rPr>
                <w:rFonts w:ascii="宋体" w:hAnsi="宋体" w:cs="宋体" w:eastAsia="宋体" w:hint="default"/>
                <w:b/>
                <w:bCs/>
                <w:w w:val="95"/>
                <w:sz w:val="18"/>
                <w:szCs w:val="18"/>
              </w:rPr>
              <w:t>获奖单位</w:t>
            </w:r>
            <w:r>
              <w:rPr>
                <w:rFonts w:ascii="宋体" w:hAnsi="宋体" w:cs="宋体" w:eastAsia="宋体" w:hint="default"/>
                <w:sz w:val="18"/>
                <w:szCs w:val="18"/>
              </w:rPr>
            </w:r>
          </w:p>
        </w:tc>
        <w:tc>
          <w:tcPr>
            <w:tcW w:w="2693" w:type="dxa"/>
            <w:tcBorders>
              <w:top w:val="single" w:sz="12" w:space="0" w:color="000000"/>
              <w:left w:val="single" w:sz="6" w:space="0" w:color="000000"/>
              <w:bottom w:val="single" w:sz="6" w:space="0" w:color="000000"/>
              <w:right w:val="single" w:sz="6" w:space="0" w:color="000000"/>
            </w:tcBorders>
            <w:shd w:val="clear" w:color="auto" w:fill="EDEBE0"/>
          </w:tcPr>
          <w:p>
            <w:pPr>
              <w:pStyle w:val="TableParagraph"/>
              <w:spacing w:line="240" w:lineRule="auto" w:before="98"/>
              <w:ind w:right="1"/>
              <w:jc w:val="center"/>
              <w:rPr>
                <w:rFonts w:ascii="宋体" w:hAnsi="宋体" w:cs="宋体" w:eastAsia="宋体" w:hint="default"/>
                <w:sz w:val="18"/>
                <w:szCs w:val="18"/>
              </w:rPr>
            </w:pPr>
            <w:r>
              <w:rPr>
                <w:rFonts w:ascii="宋体" w:hAnsi="宋体" w:cs="宋体" w:eastAsia="宋体" w:hint="default"/>
                <w:b/>
                <w:bCs/>
                <w:sz w:val="18"/>
                <w:szCs w:val="18"/>
              </w:rPr>
              <w:t>颁奖方</w:t>
            </w:r>
            <w:r>
              <w:rPr>
                <w:rFonts w:ascii="宋体" w:hAnsi="宋体" w:cs="宋体" w:eastAsia="宋体" w:hint="default"/>
                <w:sz w:val="18"/>
                <w:szCs w:val="18"/>
              </w:rPr>
            </w:r>
          </w:p>
        </w:tc>
        <w:tc>
          <w:tcPr>
            <w:tcW w:w="4679" w:type="dxa"/>
            <w:tcBorders>
              <w:top w:val="single" w:sz="12" w:space="0" w:color="000000"/>
              <w:left w:val="single" w:sz="6" w:space="0" w:color="000000"/>
              <w:bottom w:val="single" w:sz="6" w:space="0" w:color="000000"/>
              <w:right w:val="single" w:sz="12" w:space="0" w:color="000000"/>
            </w:tcBorders>
            <w:shd w:val="clear" w:color="auto" w:fill="EDEBE0"/>
          </w:tcPr>
          <w:p>
            <w:pPr>
              <w:pStyle w:val="TableParagraph"/>
              <w:spacing w:line="240" w:lineRule="auto" w:before="98"/>
              <w:ind w:left="6" w:right="0"/>
              <w:jc w:val="center"/>
              <w:rPr>
                <w:rFonts w:ascii="宋体" w:hAnsi="宋体" w:cs="宋体" w:eastAsia="宋体" w:hint="default"/>
                <w:sz w:val="18"/>
                <w:szCs w:val="18"/>
              </w:rPr>
            </w:pPr>
            <w:r>
              <w:rPr>
                <w:rFonts w:ascii="宋体" w:hAnsi="宋体" w:cs="宋体" w:eastAsia="宋体" w:hint="default"/>
                <w:b/>
                <w:bCs/>
                <w:sz w:val="18"/>
                <w:szCs w:val="18"/>
              </w:rPr>
              <w:t>奖项名称</w:t>
            </w:r>
            <w:r>
              <w:rPr>
                <w:rFonts w:ascii="宋体" w:hAnsi="宋体" w:cs="宋体" w:eastAsia="宋体" w:hint="default"/>
                <w:sz w:val="18"/>
                <w:szCs w:val="18"/>
              </w:rPr>
            </w:r>
          </w:p>
        </w:tc>
      </w:tr>
      <w:tr>
        <w:trPr>
          <w:trHeight w:val="504" w:hRule="exact"/>
        </w:trPr>
        <w:tc>
          <w:tcPr>
            <w:tcW w:w="9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8"/>
              <w:ind w:right="107"/>
              <w:jc w:val="right"/>
              <w:rPr>
                <w:rFonts w:ascii="宋体" w:hAnsi="宋体" w:cs="宋体" w:eastAsia="宋体" w:hint="default"/>
                <w:sz w:val="18"/>
                <w:szCs w:val="18"/>
              </w:rPr>
            </w:pPr>
            <w:r>
              <w:rPr>
                <w:rFonts w:ascii="宋体" w:hAnsi="宋体" w:cs="宋体" w:eastAsia="宋体" w:hint="default"/>
                <w:sz w:val="18"/>
                <w:szCs w:val="18"/>
              </w:rPr>
              <w:t>昆仑万维</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2" w:right="0"/>
              <w:jc w:val="left"/>
              <w:rPr>
                <w:rFonts w:ascii="宋体" w:hAnsi="宋体" w:cs="宋体" w:eastAsia="宋体" w:hint="default"/>
                <w:sz w:val="18"/>
                <w:szCs w:val="18"/>
              </w:rPr>
            </w:pPr>
            <w:r>
              <w:rPr>
                <w:rFonts w:ascii="宋体" w:hAnsi="宋体" w:cs="宋体" w:eastAsia="宋体" w:hint="default"/>
                <w:sz w:val="18"/>
                <w:szCs w:val="18"/>
              </w:rPr>
              <w:t>腾讯内容开放平台</w:t>
            </w:r>
          </w:p>
        </w:tc>
        <w:tc>
          <w:tcPr>
            <w:tcW w:w="46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8"/>
              <w:ind w:left="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十大优秀手机游戏公司</w:t>
            </w:r>
          </w:p>
        </w:tc>
      </w:tr>
      <w:tr>
        <w:trPr>
          <w:trHeight w:val="979" w:hRule="exact"/>
        </w:trPr>
        <w:tc>
          <w:tcPr>
            <w:tcW w:w="95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9"/>
              <w:ind w:right="107"/>
              <w:jc w:val="right"/>
              <w:rPr>
                <w:rFonts w:ascii="宋体" w:hAnsi="宋体" w:cs="宋体" w:eastAsia="宋体" w:hint="default"/>
                <w:sz w:val="18"/>
                <w:szCs w:val="18"/>
              </w:rPr>
            </w:pPr>
            <w:r>
              <w:rPr>
                <w:rFonts w:ascii="宋体" w:hAnsi="宋体" w:cs="宋体" w:eastAsia="宋体" w:hint="default"/>
                <w:sz w:val="18"/>
                <w:szCs w:val="18"/>
              </w:rPr>
              <w:t>昆仑万维</w:t>
            </w:r>
          </w:p>
        </w:tc>
        <w:tc>
          <w:tcPr>
            <w:tcW w:w="269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9"/>
              <w:ind w:left="2" w:right="0"/>
              <w:jc w:val="left"/>
              <w:rPr>
                <w:rFonts w:ascii="宋体" w:hAnsi="宋体" w:cs="宋体" w:eastAsia="宋体" w:hint="default"/>
                <w:sz w:val="18"/>
                <w:szCs w:val="18"/>
              </w:rPr>
            </w:pPr>
            <w:r>
              <w:rPr>
                <w:rFonts w:ascii="宋体" w:hAnsi="宋体" w:cs="宋体" w:eastAsia="宋体" w:hint="default"/>
                <w:spacing w:val="-2"/>
                <w:sz w:val="18"/>
                <w:szCs w:val="18"/>
              </w:rPr>
              <w:t>中国互联网协会；工业和信息化部</w:t>
            </w: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left="2" w:right="0"/>
              <w:jc w:val="left"/>
              <w:rPr>
                <w:rFonts w:ascii="宋体" w:hAnsi="宋体" w:cs="宋体" w:eastAsia="宋体" w:hint="default"/>
                <w:sz w:val="18"/>
                <w:szCs w:val="18"/>
              </w:rPr>
            </w:pPr>
            <w:r>
              <w:rPr>
                <w:rFonts w:ascii="宋体" w:hAnsi="宋体" w:cs="宋体" w:eastAsia="宋体" w:hint="default"/>
                <w:sz w:val="18"/>
                <w:szCs w:val="18"/>
              </w:rPr>
              <w:t>信息中心</w:t>
            </w:r>
          </w:p>
        </w:tc>
        <w:tc>
          <w:tcPr>
            <w:tcW w:w="467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9"/>
              <w:ind w:left="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年中国互联网百强企业排名</w:t>
            </w:r>
            <w:r>
              <w:rPr>
                <w:rFonts w:ascii="Times New Roman" w:hAnsi="Times New Roman" w:cs="Times New Roman" w:eastAsia="Times New Roman" w:hint="default"/>
                <w:sz w:val="18"/>
                <w:szCs w:val="18"/>
              </w:rPr>
              <w:t>28</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0" w:right="0"/>
        </w:sectPr>
      </w:pPr>
    </w:p>
    <w:p>
      <w:pPr>
        <w:spacing w:line="240" w:lineRule="auto" w:before="6"/>
        <w:rPr>
          <w:rFonts w:ascii="宋体" w:hAnsi="宋体" w:cs="宋体" w:eastAsia="宋体" w:hint="default"/>
          <w:b/>
          <w:bCs/>
          <w:sz w:val="28"/>
          <w:szCs w:val="28"/>
        </w:rPr>
      </w:pPr>
    </w:p>
    <w:tbl>
      <w:tblPr>
        <w:tblW w:w="0" w:type="auto"/>
        <w:jc w:val="left"/>
        <w:tblInd w:w="1772" w:type="dxa"/>
        <w:tblLayout w:type="fixed"/>
        <w:tblCellMar>
          <w:top w:w="0" w:type="dxa"/>
          <w:left w:w="0" w:type="dxa"/>
          <w:bottom w:w="0" w:type="dxa"/>
          <w:right w:w="0" w:type="dxa"/>
        </w:tblCellMar>
        <w:tblLook w:val="01E0"/>
      </w:tblPr>
      <w:tblGrid>
        <w:gridCol w:w="959"/>
        <w:gridCol w:w="2693"/>
        <w:gridCol w:w="4679"/>
      </w:tblGrid>
      <w:tr>
        <w:trPr>
          <w:trHeight w:val="511" w:hRule="exact"/>
        </w:trPr>
        <w:tc>
          <w:tcPr>
            <w:tcW w:w="95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98"/>
              <w:ind w:right="107"/>
              <w:jc w:val="right"/>
              <w:rPr>
                <w:rFonts w:ascii="宋体" w:hAnsi="宋体" w:cs="宋体" w:eastAsia="宋体" w:hint="default"/>
                <w:sz w:val="18"/>
                <w:szCs w:val="18"/>
              </w:rPr>
            </w:pPr>
            <w:r>
              <w:rPr>
                <w:rFonts w:ascii="宋体" w:hAnsi="宋体" w:cs="宋体" w:eastAsia="宋体" w:hint="default"/>
                <w:sz w:val="18"/>
                <w:szCs w:val="18"/>
              </w:rPr>
              <w:t>昆仑万维</w:t>
            </w:r>
          </w:p>
        </w:tc>
        <w:tc>
          <w:tcPr>
            <w:tcW w:w="269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8"/>
              <w:ind w:left="2" w:right="0"/>
              <w:jc w:val="left"/>
              <w:rPr>
                <w:rFonts w:ascii="宋体" w:hAnsi="宋体" w:cs="宋体" w:eastAsia="宋体" w:hint="default"/>
                <w:sz w:val="18"/>
                <w:szCs w:val="18"/>
              </w:rPr>
            </w:pPr>
            <w:r>
              <w:rPr>
                <w:rFonts w:ascii="宋体" w:hAnsi="宋体" w:cs="宋体" w:eastAsia="宋体" w:hint="default"/>
                <w:sz w:val="18"/>
                <w:szCs w:val="18"/>
              </w:rPr>
              <w:t>中国音像与数字出版协会</w:t>
            </w:r>
          </w:p>
        </w:tc>
        <w:tc>
          <w:tcPr>
            <w:tcW w:w="467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98"/>
              <w:ind w:left="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年度中国十大海外拓展游戏企业</w:t>
            </w:r>
          </w:p>
        </w:tc>
      </w:tr>
      <w:tr>
        <w:trPr>
          <w:trHeight w:val="971" w:hRule="exact"/>
        </w:trPr>
        <w:tc>
          <w:tcPr>
            <w:tcW w:w="9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8"/>
              <w:ind w:right="107"/>
              <w:jc w:val="right"/>
              <w:rPr>
                <w:rFonts w:ascii="宋体" w:hAnsi="宋体" w:cs="宋体" w:eastAsia="宋体" w:hint="default"/>
                <w:sz w:val="18"/>
                <w:szCs w:val="18"/>
              </w:rPr>
            </w:pPr>
            <w:r>
              <w:rPr>
                <w:rFonts w:ascii="宋体" w:hAnsi="宋体" w:cs="宋体" w:eastAsia="宋体" w:hint="default"/>
                <w:sz w:val="18"/>
                <w:szCs w:val="18"/>
              </w:rPr>
              <w:t>昆仑万维</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2" w:right="0"/>
              <w:jc w:val="left"/>
              <w:rPr>
                <w:rFonts w:ascii="宋体" w:hAnsi="宋体" w:cs="宋体" w:eastAsia="宋体" w:hint="default"/>
                <w:sz w:val="18"/>
                <w:szCs w:val="18"/>
              </w:rPr>
            </w:pPr>
            <w:r>
              <w:rPr>
                <w:rFonts w:ascii="宋体" w:hAnsi="宋体" w:cs="宋体" w:eastAsia="宋体" w:hint="default"/>
                <w:spacing w:val="-2"/>
                <w:sz w:val="18"/>
                <w:szCs w:val="18"/>
              </w:rPr>
              <w:t>清华大学产业创新与金融研究、清</w:t>
            </w: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left="2" w:right="0"/>
              <w:jc w:val="left"/>
              <w:rPr>
                <w:rFonts w:ascii="宋体" w:hAnsi="宋体" w:cs="宋体" w:eastAsia="宋体" w:hint="default"/>
                <w:sz w:val="18"/>
                <w:szCs w:val="18"/>
              </w:rPr>
            </w:pPr>
            <w:r>
              <w:rPr>
                <w:rFonts w:ascii="宋体" w:hAnsi="宋体" w:cs="宋体" w:eastAsia="宋体" w:hint="default"/>
                <w:sz w:val="18"/>
                <w:szCs w:val="18"/>
              </w:rPr>
              <w:t>华校友总会</w:t>
            </w:r>
          </w:p>
        </w:tc>
        <w:tc>
          <w:tcPr>
            <w:tcW w:w="46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8"/>
              <w:ind w:left="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年度清华校友企业创新奖</w:t>
            </w:r>
          </w:p>
        </w:tc>
      </w:tr>
      <w:tr>
        <w:trPr>
          <w:trHeight w:val="503" w:hRule="exact"/>
        </w:trPr>
        <w:tc>
          <w:tcPr>
            <w:tcW w:w="9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right="107"/>
              <w:jc w:val="right"/>
              <w:rPr>
                <w:rFonts w:ascii="宋体" w:hAnsi="宋体" w:cs="宋体" w:eastAsia="宋体" w:hint="default"/>
                <w:sz w:val="18"/>
                <w:szCs w:val="18"/>
              </w:rPr>
            </w:pPr>
            <w:r>
              <w:rPr>
                <w:rFonts w:ascii="宋体" w:hAnsi="宋体" w:cs="宋体" w:eastAsia="宋体" w:hint="default"/>
                <w:sz w:val="18"/>
                <w:szCs w:val="18"/>
              </w:rPr>
              <w:t>昆仑万维</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2" w:right="0"/>
              <w:jc w:val="left"/>
              <w:rPr>
                <w:rFonts w:ascii="宋体" w:hAnsi="宋体" w:cs="宋体" w:eastAsia="宋体" w:hint="default"/>
                <w:sz w:val="18"/>
                <w:szCs w:val="18"/>
              </w:rPr>
            </w:pPr>
            <w:r>
              <w:rPr>
                <w:rFonts w:ascii="宋体" w:hAnsi="宋体" w:cs="宋体" w:eastAsia="宋体" w:hint="default"/>
                <w:sz w:val="18"/>
                <w:szCs w:val="18"/>
              </w:rPr>
              <w:t>中国文化娱乐行业协会</w:t>
            </w:r>
          </w:p>
        </w:tc>
        <w:tc>
          <w:tcPr>
            <w:tcW w:w="46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left="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年度金手指优秀企业</w:t>
            </w:r>
          </w:p>
        </w:tc>
      </w:tr>
      <w:tr>
        <w:trPr>
          <w:trHeight w:val="503" w:hRule="exact"/>
        </w:trPr>
        <w:tc>
          <w:tcPr>
            <w:tcW w:w="9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right="107"/>
              <w:jc w:val="right"/>
              <w:rPr>
                <w:rFonts w:ascii="宋体" w:hAnsi="宋体" w:cs="宋体" w:eastAsia="宋体" w:hint="default"/>
                <w:sz w:val="18"/>
                <w:szCs w:val="18"/>
              </w:rPr>
            </w:pPr>
            <w:r>
              <w:rPr>
                <w:rFonts w:ascii="宋体" w:hAnsi="宋体" w:cs="宋体" w:eastAsia="宋体" w:hint="default"/>
                <w:sz w:val="18"/>
                <w:szCs w:val="18"/>
              </w:rPr>
              <w:t>昆仑万维</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2" w:right="0"/>
              <w:jc w:val="left"/>
              <w:rPr>
                <w:rFonts w:ascii="宋体" w:hAnsi="宋体" w:cs="宋体" w:eastAsia="宋体" w:hint="default"/>
                <w:sz w:val="18"/>
                <w:szCs w:val="18"/>
              </w:rPr>
            </w:pPr>
            <w:r>
              <w:rPr>
                <w:rFonts w:ascii="宋体" w:hAnsi="宋体" w:cs="宋体" w:eastAsia="宋体" w:hint="default"/>
                <w:sz w:val="18"/>
                <w:szCs w:val="18"/>
              </w:rPr>
              <w:t>中国文化娱乐行业协会</w:t>
            </w:r>
          </w:p>
        </w:tc>
        <w:tc>
          <w:tcPr>
            <w:tcW w:w="46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left="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年度产品运营先进单位</w:t>
            </w:r>
          </w:p>
        </w:tc>
      </w:tr>
      <w:tr>
        <w:trPr>
          <w:trHeight w:val="503" w:hRule="exact"/>
        </w:trPr>
        <w:tc>
          <w:tcPr>
            <w:tcW w:w="9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right="107"/>
              <w:jc w:val="right"/>
              <w:rPr>
                <w:rFonts w:ascii="宋体" w:hAnsi="宋体" w:cs="宋体" w:eastAsia="宋体" w:hint="default"/>
                <w:sz w:val="18"/>
                <w:szCs w:val="18"/>
              </w:rPr>
            </w:pPr>
            <w:r>
              <w:rPr>
                <w:rFonts w:ascii="宋体" w:hAnsi="宋体" w:cs="宋体" w:eastAsia="宋体" w:hint="default"/>
                <w:sz w:val="18"/>
                <w:szCs w:val="18"/>
              </w:rPr>
              <w:t>昆仑游戏</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2" w:right="0"/>
              <w:jc w:val="left"/>
              <w:rPr>
                <w:rFonts w:ascii="宋体" w:hAnsi="宋体" w:cs="宋体" w:eastAsia="宋体" w:hint="default"/>
                <w:sz w:val="18"/>
                <w:szCs w:val="18"/>
              </w:rPr>
            </w:pPr>
            <w:r>
              <w:rPr>
                <w:rFonts w:ascii="宋体" w:hAnsi="宋体" w:cs="宋体" w:eastAsia="宋体" w:hint="default"/>
                <w:sz w:val="18"/>
                <w:szCs w:val="18"/>
              </w:rPr>
              <w:t>游联社</w:t>
            </w:r>
          </w:p>
        </w:tc>
        <w:tc>
          <w:tcPr>
            <w:tcW w:w="46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left="3" w:right="0"/>
              <w:jc w:val="left"/>
              <w:rPr>
                <w:rFonts w:ascii="宋体" w:hAnsi="宋体" w:cs="宋体" w:eastAsia="宋体" w:hint="default"/>
                <w:sz w:val="18"/>
                <w:szCs w:val="18"/>
              </w:rPr>
            </w:pPr>
            <w:r>
              <w:rPr>
                <w:rFonts w:ascii="宋体" w:hAnsi="宋体" w:cs="宋体" w:eastAsia="宋体" w:hint="default"/>
                <w:sz w:val="18"/>
                <w:szCs w:val="18"/>
              </w:rPr>
              <w:t>最佳海外产品运营企业</w:t>
            </w:r>
          </w:p>
        </w:tc>
      </w:tr>
      <w:tr>
        <w:trPr>
          <w:trHeight w:val="503" w:hRule="exact"/>
        </w:trPr>
        <w:tc>
          <w:tcPr>
            <w:tcW w:w="9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right="107"/>
              <w:jc w:val="right"/>
              <w:rPr>
                <w:rFonts w:ascii="宋体" w:hAnsi="宋体" w:cs="宋体" w:eastAsia="宋体" w:hint="default"/>
                <w:sz w:val="18"/>
                <w:szCs w:val="18"/>
              </w:rPr>
            </w:pPr>
            <w:r>
              <w:rPr>
                <w:rFonts w:ascii="宋体" w:hAnsi="宋体" w:cs="宋体" w:eastAsia="宋体" w:hint="default"/>
                <w:sz w:val="18"/>
                <w:szCs w:val="18"/>
              </w:rPr>
              <w:t>昆仑游戏</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2" w:right="0"/>
              <w:jc w:val="left"/>
              <w:rPr>
                <w:rFonts w:ascii="宋体" w:hAnsi="宋体" w:cs="宋体" w:eastAsia="宋体" w:hint="default"/>
                <w:sz w:val="18"/>
                <w:szCs w:val="18"/>
              </w:rPr>
            </w:pPr>
            <w:r>
              <w:rPr>
                <w:rFonts w:ascii="宋体" w:hAnsi="宋体" w:cs="宋体" w:eastAsia="宋体" w:hint="default"/>
                <w:sz w:val="18"/>
                <w:szCs w:val="18"/>
              </w:rPr>
              <w:t>金鲸奖</w:t>
            </w:r>
          </w:p>
        </w:tc>
        <w:tc>
          <w:tcPr>
            <w:tcW w:w="46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left="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年度最受期待手机游戏：《偷星九月天》</w:t>
            </w:r>
          </w:p>
        </w:tc>
      </w:tr>
      <w:tr>
        <w:trPr>
          <w:trHeight w:val="504" w:hRule="exact"/>
        </w:trPr>
        <w:tc>
          <w:tcPr>
            <w:tcW w:w="9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right="107"/>
              <w:jc w:val="right"/>
              <w:rPr>
                <w:rFonts w:ascii="宋体" w:hAnsi="宋体" w:cs="宋体" w:eastAsia="宋体" w:hint="default"/>
                <w:sz w:val="18"/>
                <w:szCs w:val="18"/>
              </w:rPr>
            </w:pPr>
            <w:r>
              <w:rPr>
                <w:rFonts w:ascii="宋体" w:hAnsi="宋体" w:cs="宋体" w:eastAsia="宋体" w:hint="default"/>
                <w:sz w:val="18"/>
                <w:szCs w:val="18"/>
              </w:rPr>
              <w:t>昆仑游戏</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2" w:right="0"/>
              <w:jc w:val="left"/>
              <w:rPr>
                <w:rFonts w:ascii="宋体" w:hAnsi="宋体" w:cs="宋体" w:eastAsia="宋体" w:hint="default"/>
                <w:sz w:val="18"/>
                <w:szCs w:val="18"/>
              </w:rPr>
            </w:pPr>
            <w:r>
              <w:rPr>
                <w:rFonts w:ascii="宋体" w:hAnsi="宋体" w:cs="宋体" w:eastAsia="宋体" w:hint="default"/>
                <w:sz w:val="18"/>
                <w:szCs w:val="18"/>
              </w:rPr>
              <w:t>阿里巴巴集团；阿里云</w:t>
            </w:r>
          </w:p>
        </w:tc>
        <w:tc>
          <w:tcPr>
            <w:tcW w:w="46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left="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年度最佳出海游戏奖：《轩辕剑之汉之云》</w:t>
            </w:r>
          </w:p>
        </w:tc>
      </w:tr>
      <w:tr>
        <w:trPr>
          <w:trHeight w:val="503" w:hRule="exact"/>
        </w:trPr>
        <w:tc>
          <w:tcPr>
            <w:tcW w:w="9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8"/>
              <w:ind w:right="107"/>
              <w:jc w:val="right"/>
              <w:rPr>
                <w:rFonts w:ascii="宋体" w:hAnsi="宋体" w:cs="宋体" w:eastAsia="宋体" w:hint="default"/>
                <w:sz w:val="18"/>
                <w:szCs w:val="18"/>
              </w:rPr>
            </w:pPr>
            <w:r>
              <w:rPr>
                <w:rFonts w:ascii="宋体" w:hAnsi="宋体" w:cs="宋体" w:eastAsia="宋体" w:hint="default"/>
                <w:sz w:val="18"/>
                <w:szCs w:val="18"/>
              </w:rPr>
              <w:t>昆仑游戏</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2" w:right="0"/>
              <w:jc w:val="left"/>
              <w:rPr>
                <w:rFonts w:ascii="宋体" w:hAnsi="宋体" w:cs="宋体" w:eastAsia="宋体" w:hint="default"/>
                <w:sz w:val="18"/>
                <w:szCs w:val="18"/>
              </w:rPr>
            </w:pPr>
            <w:r>
              <w:rPr>
                <w:rFonts w:ascii="宋体" w:hAnsi="宋体" w:cs="宋体" w:eastAsia="宋体" w:hint="default"/>
                <w:sz w:val="18"/>
                <w:szCs w:val="18"/>
              </w:rPr>
              <w:t>金手指奖评审委员会</w:t>
            </w:r>
          </w:p>
        </w:tc>
        <w:tc>
          <w:tcPr>
            <w:tcW w:w="46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8"/>
              <w:ind w:left="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年度金手指奖最受期待产品奖</w:t>
            </w:r>
            <w:r>
              <w:rPr>
                <w:rFonts w:ascii="Times New Roman" w:hAnsi="Times New Roman" w:cs="Times New Roman" w:eastAsia="Times New Roman" w:hint="default"/>
                <w:sz w:val="18"/>
                <w:szCs w:val="18"/>
              </w:rPr>
              <w:t>:</w:t>
            </w:r>
            <w:r>
              <w:rPr>
                <w:rFonts w:ascii="宋体" w:hAnsi="宋体" w:cs="宋体" w:eastAsia="宋体" w:hint="default"/>
                <w:sz w:val="18"/>
                <w:szCs w:val="18"/>
              </w:rPr>
              <w:t>《境</w:t>
            </w:r>
            <w:r>
              <w:rPr>
                <w:rFonts w:ascii="Times New Roman" w:hAnsi="Times New Roman" w:cs="Times New Roman" w:eastAsia="Times New Roman" w:hint="default"/>
                <w:sz w:val="18"/>
                <w:szCs w:val="18"/>
              </w:rPr>
              <w:t>·</w:t>
            </w:r>
            <w:r>
              <w:rPr>
                <w:rFonts w:ascii="宋体" w:hAnsi="宋体" w:cs="宋体" w:eastAsia="宋体" w:hint="default"/>
                <w:sz w:val="18"/>
                <w:szCs w:val="18"/>
              </w:rPr>
              <w:t>界</w:t>
            </w:r>
            <w:r>
              <w:rPr>
                <w:rFonts w:ascii="Times New Roman" w:hAnsi="Times New Roman" w:cs="Times New Roman" w:eastAsia="Times New Roman" w:hint="default"/>
                <w:sz w:val="18"/>
                <w:szCs w:val="18"/>
              </w:rPr>
              <w:t>-</w:t>
            </w:r>
            <w:r>
              <w:rPr>
                <w:rFonts w:ascii="宋体" w:hAnsi="宋体" w:cs="宋体" w:eastAsia="宋体" w:hint="default"/>
                <w:sz w:val="18"/>
                <w:szCs w:val="18"/>
              </w:rPr>
              <w:t>魂之觉醒》</w:t>
            </w:r>
          </w:p>
        </w:tc>
      </w:tr>
      <w:tr>
        <w:trPr>
          <w:trHeight w:val="503" w:hRule="exact"/>
        </w:trPr>
        <w:tc>
          <w:tcPr>
            <w:tcW w:w="9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right="107"/>
              <w:jc w:val="right"/>
              <w:rPr>
                <w:rFonts w:ascii="宋体" w:hAnsi="宋体" w:cs="宋体" w:eastAsia="宋体" w:hint="default"/>
                <w:sz w:val="18"/>
                <w:szCs w:val="18"/>
              </w:rPr>
            </w:pPr>
            <w:r>
              <w:rPr>
                <w:rFonts w:ascii="宋体" w:hAnsi="宋体" w:cs="宋体" w:eastAsia="宋体" w:hint="default"/>
                <w:sz w:val="18"/>
                <w:szCs w:val="18"/>
              </w:rPr>
              <w:t>昆仑游戏</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2" w:right="0"/>
              <w:jc w:val="left"/>
              <w:rPr>
                <w:rFonts w:ascii="宋体" w:hAnsi="宋体" w:cs="宋体" w:eastAsia="宋体" w:hint="default"/>
                <w:sz w:val="18"/>
                <w:szCs w:val="18"/>
              </w:rPr>
            </w:pPr>
            <w:r>
              <w:rPr>
                <w:rFonts w:ascii="宋体" w:hAnsi="宋体" w:cs="宋体" w:eastAsia="宋体" w:hint="default"/>
                <w:sz w:val="18"/>
                <w:szCs w:val="18"/>
              </w:rPr>
              <w:t>金手指奖评审委员会</w:t>
            </w:r>
          </w:p>
        </w:tc>
        <w:tc>
          <w:tcPr>
            <w:tcW w:w="46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left="3" w:right="0"/>
              <w:jc w:val="left"/>
              <w:rPr>
                <w:rFonts w:ascii="宋体" w:hAnsi="宋体" w:cs="宋体" w:eastAsia="宋体" w:hint="default"/>
                <w:sz w:val="18"/>
                <w:szCs w:val="18"/>
              </w:rPr>
            </w:pPr>
            <w:r>
              <w:rPr>
                <w:rFonts w:ascii="宋体" w:hAnsi="宋体" w:cs="宋体" w:eastAsia="宋体" w:hint="default"/>
                <w:sz w:val="18"/>
                <w:szCs w:val="18"/>
              </w:rPr>
              <w:t>中国游戏行业</w:t>
            </w:r>
            <w:r>
              <w:rPr>
                <w:rFonts w:ascii="Times New Roman" w:hAnsi="Times New Roman" w:cs="Times New Roman" w:eastAsia="Times New Roman" w:hint="default"/>
                <w:sz w:val="18"/>
                <w:szCs w:val="18"/>
              </w:rPr>
              <w:t>2017</w:t>
            </w:r>
            <w:r>
              <w:rPr>
                <w:rFonts w:ascii="宋体" w:hAnsi="宋体" w:cs="宋体" w:eastAsia="宋体" w:hint="default"/>
                <w:sz w:val="18"/>
                <w:szCs w:val="18"/>
              </w:rPr>
              <w:t>年度优秀游戏</w:t>
            </w:r>
            <w:r>
              <w:rPr>
                <w:rFonts w:ascii="Times New Roman" w:hAnsi="Times New Roman" w:cs="Times New Roman" w:eastAsia="Times New Roman" w:hint="default"/>
                <w:sz w:val="18"/>
                <w:szCs w:val="18"/>
              </w:rPr>
              <w:t>:</w:t>
            </w:r>
            <w:r>
              <w:rPr>
                <w:rFonts w:ascii="宋体" w:hAnsi="宋体" w:cs="宋体" w:eastAsia="宋体" w:hint="default"/>
                <w:sz w:val="18"/>
                <w:szCs w:val="18"/>
              </w:rPr>
              <w:t>《轩辕剑之汉之云》</w:t>
            </w:r>
          </w:p>
        </w:tc>
      </w:tr>
      <w:tr>
        <w:trPr>
          <w:trHeight w:val="503" w:hRule="exact"/>
        </w:trPr>
        <w:tc>
          <w:tcPr>
            <w:tcW w:w="9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right="107"/>
              <w:jc w:val="right"/>
              <w:rPr>
                <w:rFonts w:ascii="宋体" w:hAnsi="宋体" w:cs="宋体" w:eastAsia="宋体" w:hint="default"/>
                <w:sz w:val="18"/>
                <w:szCs w:val="18"/>
              </w:rPr>
            </w:pPr>
            <w:r>
              <w:rPr>
                <w:rFonts w:ascii="宋体" w:hAnsi="宋体" w:cs="宋体" w:eastAsia="宋体" w:hint="default"/>
                <w:sz w:val="18"/>
                <w:szCs w:val="18"/>
              </w:rPr>
              <w:t>闲徕互娱</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2" w:right="0"/>
              <w:jc w:val="left"/>
              <w:rPr>
                <w:rFonts w:ascii="宋体" w:hAnsi="宋体" w:cs="宋体" w:eastAsia="宋体" w:hint="default"/>
                <w:sz w:val="18"/>
                <w:szCs w:val="18"/>
              </w:rPr>
            </w:pPr>
            <w:r>
              <w:rPr>
                <w:rFonts w:ascii="宋体" w:hAnsi="宋体" w:cs="宋体" w:eastAsia="宋体" w:hint="default"/>
                <w:sz w:val="18"/>
                <w:szCs w:val="18"/>
              </w:rPr>
              <w:t>阿里游戏</w:t>
            </w:r>
          </w:p>
        </w:tc>
        <w:tc>
          <w:tcPr>
            <w:tcW w:w="46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left="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最佳棋牌游戏奖</w:t>
            </w:r>
            <w:r>
              <w:rPr>
                <w:rFonts w:ascii="Times New Roman" w:hAnsi="Times New Roman" w:cs="Times New Roman" w:eastAsia="Times New Roman" w:hint="default"/>
                <w:sz w:val="18"/>
                <w:szCs w:val="18"/>
              </w:rPr>
              <w:t>:</w:t>
            </w:r>
            <w:r>
              <w:rPr>
                <w:rFonts w:ascii="宋体" w:hAnsi="宋体" w:cs="宋体" w:eastAsia="宋体" w:hint="default"/>
                <w:sz w:val="18"/>
                <w:szCs w:val="18"/>
              </w:rPr>
              <w:t>《闲来麻将》</w:t>
            </w:r>
          </w:p>
        </w:tc>
      </w:tr>
      <w:tr>
        <w:trPr>
          <w:trHeight w:val="503" w:hRule="exact"/>
        </w:trPr>
        <w:tc>
          <w:tcPr>
            <w:tcW w:w="9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9"/>
              <w:ind w:right="107"/>
              <w:jc w:val="right"/>
              <w:rPr>
                <w:rFonts w:ascii="宋体" w:hAnsi="宋体" w:cs="宋体" w:eastAsia="宋体" w:hint="default"/>
                <w:sz w:val="18"/>
                <w:szCs w:val="18"/>
              </w:rPr>
            </w:pPr>
            <w:r>
              <w:rPr>
                <w:rFonts w:ascii="宋体" w:hAnsi="宋体" w:cs="宋体" w:eastAsia="宋体" w:hint="default"/>
                <w:sz w:val="18"/>
                <w:szCs w:val="18"/>
              </w:rPr>
              <w:t>闲徕互娱</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泛娱乐产业领袖峰会</w:t>
            </w:r>
          </w:p>
        </w:tc>
        <w:tc>
          <w:tcPr>
            <w:tcW w:w="46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left="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宝鼎奖</w:t>
            </w:r>
            <w:r>
              <w:rPr>
                <w:rFonts w:ascii="宋体" w:hAnsi="宋体" w:cs="宋体" w:eastAsia="宋体" w:hint="default"/>
                <w:spacing w:val="-19"/>
                <w:sz w:val="18"/>
                <w:szCs w:val="18"/>
              </w:rPr>
              <w:t> </w:t>
            </w:r>
            <w:r>
              <w:rPr>
                <w:rFonts w:ascii="宋体" w:hAnsi="宋体" w:cs="宋体" w:eastAsia="宋体" w:hint="default"/>
                <w:sz w:val="18"/>
                <w:szCs w:val="18"/>
              </w:rPr>
              <w:t>年度新锐企业</w:t>
            </w:r>
          </w:p>
        </w:tc>
      </w:tr>
      <w:tr>
        <w:trPr>
          <w:trHeight w:val="511" w:hRule="exact"/>
        </w:trPr>
        <w:tc>
          <w:tcPr>
            <w:tcW w:w="95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9"/>
              <w:ind w:right="107"/>
              <w:jc w:val="right"/>
              <w:rPr>
                <w:rFonts w:ascii="宋体" w:hAnsi="宋体" w:cs="宋体" w:eastAsia="宋体" w:hint="default"/>
                <w:sz w:val="18"/>
                <w:szCs w:val="18"/>
              </w:rPr>
            </w:pPr>
            <w:r>
              <w:rPr>
                <w:rFonts w:ascii="宋体" w:hAnsi="宋体" w:cs="宋体" w:eastAsia="宋体" w:hint="default"/>
                <w:sz w:val="18"/>
                <w:szCs w:val="18"/>
              </w:rPr>
              <w:t>闲徕互娱</w:t>
            </w:r>
          </w:p>
        </w:tc>
        <w:tc>
          <w:tcPr>
            <w:tcW w:w="269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9"/>
              <w:ind w:left="2" w:right="0"/>
              <w:jc w:val="left"/>
              <w:rPr>
                <w:rFonts w:ascii="宋体" w:hAnsi="宋体" w:cs="宋体" w:eastAsia="宋体" w:hint="default"/>
                <w:sz w:val="18"/>
                <w:szCs w:val="18"/>
              </w:rPr>
            </w:pPr>
            <w:r>
              <w:rPr>
                <w:rFonts w:ascii="宋体" w:hAnsi="宋体" w:cs="宋体" w:eastAsia="宋体" w:hint="default"/>
                <w:sz w:val="18"/>
                <w:szCs w:val="18"/>
              </w:rPr>
              <w:t>游戏茶馆</w:t>
            </w:r>
          </w:p>
        </w:tc>
        <w:tc>
          <w:tcPr>
            <w:tcW w:w="467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9"/>
              <w:ind w:left="3" w:right="0"/>
              <w:jc w:val="left"/>
              <w:rPr>
                <w:rFonts w:ascii="宋体" w:hAnsi="宋体" w:cs="宋体" w:eastAsia="宋体" w:hint="default"/>
                <w:sz w:val="18"/>
                <w:szCs w:val="18"/>
              </w:rPr>
            </w:pPr>
            <w:r>
              <w:rPr>
                <w:rFonts w:ascii="宋体" w:hAnsi="宋体" w:cs="宋体" w:eastAsia="宋体" w:hint="default"/>
                <w:sz w:val="18"/>
                <w:szCs w:val="18"/>
              </w:rPr>
              <w:t>第五届金茶奖</w:t>
            </w:r>
            <w:r>
              <w:rPr>
                <w:rFonts w:ascii="宋体" w:hAnsi="宋体" w:cs="宋体" w:eastAsia="宋体" w:hint="default"/>
                <w:spacing w:val="-18"/>
                <w:sz w:val="18"/>
                <w:szCs w:val="18"/>
              </w:rPr>
              <w:t> </w:t>
            </w:r>
            <w:r>
              <w:rPr>
                <w:rFonts w:ascii="Times New Roman" w:hAnsi="Times New Roman" w:cs="Times New Roman" w:eastAsia="Times New Roman" w:hint="default"/>
                <w:sz w:val="18"/>
                <w:szCs w:val="18"/>
              </w:rPr>
              <w:t>2017</w:t>
            </w:r>
            <w:r>
              <w:rPr>
                <w:rFonts w:ascii="宋体" w:hAnsi="宋体" w:cs="宋体" w:eastAsia="宋体" w:hint="default"/>
                <w:sz w:val="18"/>
                <w:szCs w:val="18"/>
              </w:rPr>
              <w:t>年度最佳棋牌游戏企业</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spacing w:before="44"/>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公司需遵守《深圳证券交易所创业板行业信息披露指引第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上市公司从事互联网游戏业务》的披露要求：</w:t>
      </w:r>
    </w:p>
    <w:p>
      <w:pPr>
        <w:spacing w:line="240" w:lineRule="auto" w:before="0"/>
        <w:rPr>
          <w:rFonts w:ascii="宋体" w:hAnsi="宋体" w:cs="宋体" w:eastAsia="宋体" w:hint="default"/>
          <w:sz w:val="24"/>
          <w:szCs w:val="24"/>
        </w:rPr>
      </w:pPr>
    </w:p>
    <w:p>
      <w:pPr>
        <w:pStyle w:val="Heading4"/>
        <w:spacing w:line="240" w:lineRule="auto"/>
        <w:ind w:right="998"/>
        <w:jc w:val="left"/>
        <w:rPr>
          <w:b w:val="0"/>
          <w:bCs w:val="0"/>
        </w:rPr>
      </w:pPr>
      <w:bookmarkStart w:name="二、主营业务分析" w:id="25"/>
      <w:bookmarkEnd w:id="25"/>
      <w:r>
        <w:rPr>
          <w:b w:val="0"/>
          <w:bCs w:val="0"/>
        </w:rPr>
      </w:r>
      <w:r>
        <w:rPr/>
        <w:t>二、主营业务分析</w:t>
      </w:r>
      <w:r>
        <w:rPr>
          <w:b w:val="0"/>
          <w:bCs w:val="0"/>
        </w:rPr>
      </w:r>
    </w:p>
    <w:p>
      <w:pPr>
        <w:spacing w:line="240" w:lineRule="auto" w:before="9"/>
        <w:rPr>
          <w:rFonts w:ascii="宋体" w:hAnsi="宋体" w:cs="宋体" w:eastAsia="宋体" w:hint="default"/>
          <w:b/>
          <w:bCs/>
          <w:sz w:val="24"/>
          <w:szCs w:val="24"/>
        </w:rPr>
      </w:pPr>
    </w:p>
    <w:p>
      <w:pPr>
        <w:pStyle w:val="Heading6"/>
        <w:spacing w:line="240" w:lineRule="auto"/>
        <w:ind w:left="1133" w:right="998"/>
        <w:jc w:val="left"/>
        <w:rPr>
          <w:b w:val="0"/>
          <w:bCs w:val="0"/>
        </w:rPr>
      </w:pPr>
      <w:bookmarkStart w:name="1、概述" w:id="26"/>
      <w:bookmarkEnd w:id="26"/>
      <w:r>
        <w:rPr>
          <w:b w:val="0"/>
          <w:bCs w:val="0"/>
        </w:rPr>
      </w:r>
      <w:r>
        <w:rPr>
          <w:rFonts w:ascii="Times New Roman" w:hAnsi="Times New Roman" w:cs="Times New Roman" w:eastAsia="Times New Roman" w:hint="default"/>
        </w:rPr>
        <w:t>1</w:t>
      </w:r>
      <w:r>
        <w:rPr/>
        <w:t>、概述</w:t>
      </w:r>
      <w:r>
        <w:rPr>
          <w:b w:val="0"/>
          <w:bCs w:val="0"/>
        </w:rPr>
      </w:r>
    </w:p>
    <w:p>
      <w:pPr>
        <w:spacing w:line="240" w:lineRule="auto" w:before="8"/>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参见“经营情况讨论与分析”中的“一、概述”相关内容。</w:t>
      </w:r>
    </w:p>
    <w:p>
      <w:pPr>
        <w:spacing w:line="240" w:lineRule="auto" w:before="10"/>
        <w:rPr>
          <w:rFonts w:ascii="宋体" w:hAnsi="宋体" w:cs="宋体" w:eastAsia="宋体" w:hint="default"/>
          <w:sz w:val="26"/>
          <w:szCs w:val="26"/>
        </w:rPr>
      </w:pPr>
    </w:p>
    <w:p>
      <w:pPr>
        <w:pStyle w:val="Heading6"/>
        <w:spacing w:line="240" w:lineRule="auto"/>
        <w:ind w:right="998"/>
        <w:jc w:val="left"/>
        <w:rPr>
          <w:b w:val="0"/>
          <w:bCs w:val="0"/>
        </w:rPr>
      </w:pPr>
      <w:bookmarkStart w:name="2、收入与成本" w:id="27"/>
      <w:bookmarkEnd w:id="27"/>
      <w:r>
        <w:rPr>
          <w:b w:val="0"/>
          <w:bCs w:val="0"/>
        </w:rPr>
      </w:r>
      <w:r>
        <w:rPr>
          <w:rFonts w:ascii="Times New Roman" w:hAnsi="Times New Roman" w:cs="Times New Roman" w:eastAsia="Times New Roman" w:hint="default"/>
        </w:rPr>
        <w:t>2</w:t>
      </w:r>
      <w:r>
        <w:rPr/>
        <w:t>、收入与成本</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right="998"/>
        <w:jc w:val="left"/>
        <w:rPr>
          <w:b w:val="0"/>
          <w:bCs w:val="0"/>
        </w:rPr>
      </w:pPr>
      <w:bookmarkStart w:name="（1）营业收入构成" w:id="28"/>
      <w:bookmarkEnd w:id="28"/>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公司是否需要遵守光伏产业链相关业的披露要求：否</w:t>
      </w:r>
    </w:p>
    <w:p>
      <w:pPr>
        <w:spacing w:before="116"/>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上市公司从事广播电影电视业务》的披露要求：否</w:t>
      </w:r>
    </w:p>
    <w:p>
      <w:pPr>
        <w:spacing w:line="338" w:lineRule="auto" w:before="103"/>
        <w:ind w:left="1133" w:right="1394"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上市公司从事互联网游戏业务》的披露要求：是 主要游戏基本情况</w:t>
      </w:r>
    </w:p>
    <w:p>
      <w:pPr>
        <w:spacing w:before="4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52" w:type="dxa"/>
        <w:tblLayout w:type="fixed"/>
        <w:tblCellMar>
          <w:top w:w="0" w:type="dxa"/>
          <w:left w:w="0" w:type="dxa"/>
          <w:bottom w:w="0" w:type="dxa"/>
          <w:right w:w="0" w:type="dxa"/>
        </w:tblCellMar>
        <w:tblLook w:val="01E0"/>
      </w:tblPr>
      <w:tblGrid>
        <w:gridCol w:w="1086"/>
        <w:gridCol w:w="1088"/>
        <w:gridCol w:w="1090"/>
        <w:gridCol w:w="1089"/>
        <w:gridCol w:w="1090"/>
        <w:gridCol w:w="1088"/>
        <w:gridCol w:w="1013"/>
        <w:gridCol w:w="1013"/>
        <w:gridCol w:w="1013"/>
      </w:tblGrid>
      <w:tr>
        <w:trPr>
          <w:trHeight w:val="1358" w:hRule="exact"/>
        </w:trPr>
        <w:tc>
          <w:tcPr>
            <w:tcW w:w="1086" w:type="dxa"/>
            <w:tcBorders>
              <w:top w:val="single" w:sz="12" w:space="0" w:color="000000"/>
              <w:left w:val="single" w:sz="12" w:space="0" w:color="000000"/>
              <w:bottom w:val="single" w:sz="12"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游戏名称</w:t>
            </w:r>
          </w:p>
        </w:tc>
        <w:tc>
          <w:tcPr>
            <w:tcW w:w="1088"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76" w:right="0"/>
              <w:jc w:val="left"/>
              <w:rPr>
                <w:rFonts w:ascii="宋体" w:hAnsi="宋体" w:cs="宋体" w:eastAsia="宋体" w:hint="default"/>
                <w:sz w:val="18"/>
                <w:szCs w:val="18"/>
              </w:rPr>
            </w:pPr>
            <w:r>
              <w:rPr>
                <w:rFonts w:ascii="宋体" w:hAnsi="宋体" w:cs="宋体" w:eastAsia="宋体" w:hint="default"/>
                <w:sz w:val="18"/>
                <w:szCs w:val="18"/>
              </w:rPr>
              <w:t>游戏类型</w:t>
            </w:r>
          </w:p>
        </w:tc>
        <w:tc>
          <w:tcPr>
            <w:tcW w:w="1090"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76" w:right="0"/>
              <w:jc w:val="left"/>
              <w:rPr>
                <w:rFonts w:ascii="宋体" w:hAnsi="宋体" w:cs="宋体" w:eastAsia="宋体" w:hint="default"/>
                <w:sz w:val="18"/>
                <w:szCs w:val="18"/>
              </w:rPr>
            </w:pPr>
            <w:r>
              <w:rPr>
                <w:rFonts w:ascii="宋体" w:hAnsi="宋体" w:cs="宋体" w:eastAsia="宋体" w:hint="default"/>
                <w:sz w:val="18"/>
                <w:szCs w:val="18"/>
              </w:rPr>
              <w:t>运营模式</w:t>
            </w:r>
          </w:p>
        </w:tc>
        <w:tc>
          <w:tcPr>
            <w:tcW w:w="1089"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76" w:right="0"/>
              <w:jc w:val="left"/>
              <w:rPr>
                <w:rFonts w:ascii="宋体" w:hAnsi="宋体" w:cs="宋体" w:eastAsia="宋体" w:hint="default"/>
                <w:sz w:val="18"/>
                <w:szCs w:val="18"/>
              </w:rPr>
            </w:pPr>
            <w:r>
              <w:rPr>
                <w:rFonts w:ascii="宋体" w:hAnsi="宋体" w:cs="宋体" w:eastAsia="宋体" w:hint="default"/>
                <w:sz w:val="18"/>
                <w:szCs w:val="18"/>
              </w:rPr>
              <w:t>收费方式</w:t>
            </w:r>
          </w:p>
        </w:tc>
        <w:tc>
          <w:tcPr>
            <w:tcW w:w="1090"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356" w:right="0"/>
              <w:jc w:val="left"/>
              <w:rPr>
                <w:rFonts w:ascii="宋体" w:hAnsi="宋体" w:cs="宋体" w:eastAsia="宋体" w:hint="default"/>
                <w:sz w:val="18"/>
                <w:szCs w:val="18"/>
              </w:rPr>
            </w:pPr>
            <w:r>
              <w:rPr>
                <w:rFonts w:ascii="宋体" w:hAnsi="宋体" w:cs="宋体" w:eastAsia="宋体" w:hint="default"/>
                <w:sz w:val="18"/>
                <w:szCs w:val="18"/>
              </w:rPr>
              <w:t>收入</w:t>
            </w:r>
          </w:p>
        </w:tc>
        <w:tc>
          <w:tcPr>
            <w:tcW w:w="1088"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86" w:right="85"/>
              <w:jc w:val="center"/>
              <w:rPr>
                <w:rFonts w:ascii="宋体" w:hAnsi="宋体" w:cs="宋体" w:eastAsia="宋体" w:hint="default"/>
                <w:sz w:val="18"/>
                <w:szCs w:val="18"/>
              </w:rPr>
            </w:pPr>
            <w:r>
              <w:rPr>
                <w:rFonts w:ascii="宋体" w:hAnsi="宋体" w:cs="宋体" w:eastAsia="宋体" w:hint="default"/>
                <w:sz w:val="18"/>
                <w:szCs w:val="18"/>
              </w:rPr>
              <w:t>收入占游戏 业务收入的 比例</w:t>
            </w:r>
          </w:p>
        </w:tc>
        <w:tc>
          <w:tcPr>
            <w:tcW w:w="1013"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0" w:right="76"/>
              <w:jc w:val="left"/>
              <w:rPr>
                <w:rFonts w:ascii="宋体" w:hAnsi="宋体" w:cs="宋体" w:eastAsia="宋体" w:hint="default"/>
                <w:sz w:val="18"/>
                <w:szCs w:val="18"/>
              </w:rPr>
            </w:pPr>
            <w:r>
              <w:rPr>
                <w:rFonts w:ascii="宋体" w:hAnsi="宋体" w:cs="宋体" w:eastAsia="宋体" w:hint="default"/>
                <w:sz w:val="18"/>
                <w:szCs w:val="18"/>
              </w:rPr>
              <w:t>推广营销费 用</w:t>
            </w:r>
          </w:p>
        </w:tc>
        <w:tc>
          <w:tcPr>
            <w:tcW w:w="1013"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316" w:lineRule="auto" w:before="51"/>
              <w:ind w:left="21" w:right="74"/>
              <w:jc w:val="both"/>
              <w:rPr>
                <w:rFonts w:ascii="宋体" w:hAnsi="宋体" w:cs="宋体" w:eastAsia="宋体" w:hint="default"/>
                <w:sz w:val="18"/>
                <w:szCs w:val="18"/>
              </w:rPr>
            </w:pPr>
            <w:r>
              <w:rPr>
                <w:rFonts w:ascii="宋体" w:hAnsi="宋体" w:cs="宋体" w:eastAsia="宋体" w:hint="default"/>
                <w:sz w:val="18"/>
                <w:szCs w:val="18"/>
              </w:rPr>
              <w:t>推广营销费 用占游戏推 广营销费用 总额的比例</w:t>
            </w:r>
          </w:p>
        </w:tc>
        <w:tc>
          <w:tcPr>
            <w:tcW w:w="1013" w:type="dxa"/>
            <w:tcBorders>
              <w:top w:val="single" w:sz="12" w:space="0" w:color="000000"/>
              <w:left w:val="single" w:sz="6" w:space="0" w:color="000000"/>
              <w:bottom w:val="single" w:sz="12" w:space="0" w:color="000000"/>
              <w:right w:val="single" w:sz="12" w:space="0" w:color="000000"/>
            </w:tcBorders>
            <w:shd w:val="clear" w:color="auto" w:fill="D2D2D2"/>
          </w:tcPr>
          <w:p>
            <w:pPr>
              <w:pStyle w:val="TableParagraph"/>
              <w:spacing w:line="316" w:lineRule="auto" w:before="51"/>
              <w:ind w:left="21" w:right="67"/>
              <w:jc w:val="both"/>
              <w:rPr>
                <w:rFonts w:ascii="宋体" w:hAnsi="宋体" w:cs="宋体" w:eastAsia="宋体" w:hint="default"/>
                <w:sz w:val="18"/>
                <w:szCs w:val="18"/>
              </w:rPr>
            </w:pPr>
            <w:r>
              <w:rPr>
                <w:rFonts w:ascii="宋体" w:hAnsi="宋体" w:cs="宋体" w:eastAsia="宋体" w:hint="default"/>
                <w:sz w:val="18"/>
                <w:szCs w:val="18"/>
              </w:rPr>
              <w:t>推广营销费 用占主要游 戏收入总额 的比例</w:t>
            </w:r>
          </w:p>
        </w:tc>
      </w:tr>
    </w:tbl>
    <w:p>
      <w:pPr>
        <w:spacing w:after="0" w:line="316" w:lineRule="auto"/>
        <w:jc w:val="both"/>
        <w:rPr>
          <w:rFonts w:ascii="宋体" w:hAnsi="宋体" w:cs="宋体" w:eastAsia="宋体" w:hint="default"/>
          <w:sz w:val="18"/>
          <w:szCs w:val="18"/>
        </w:rPr>
        <w:sectPr>
          <w:pgSz w:w="11910" w:h="16840"/>
          <w:pgMar w:header="74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51" w:type="dxa"/>
        <w:tblLayout w:type="fixed"/>
        <w:tblCellMar>
          <w:top w:w="0" w:type="dxa"/>
          <w:left w:w="0" w:type="dxa"/>
          <w:bottom w:w="0" w:type="dxa"/>
          <w:right w:w="0" w:type="dxa"/>
        </w:tblCellMar>
        <w:tblLook w:val="01E0"/>
      </w:tblPr>
      <w:tblGrid>
        <w:gridCol w:w="1087"/>
        <w:gridCol w:w="1088"/>
        <w:gridCol w:w="1090"/>
        <w:gridCol w:w="1089"/>
        <w:gridCol w:w="1090"/>
        <w:gridCol w:w="1088"/>
        <w:gridCol w:w="1013"/>
        <w:gridCol w:w="1013"/>
        <w:gridCol w:w="1013"/>
      </w:tblGrid>
      <w:tr>
        <w:trPr>
          <w:trHeight w:val="734" w:hRule="exact"/>
        </w:trPr>
        <w:tc>
          <w:tcPr>
            <w:tcW w:w="1087" w:type="dxa"/>
            <w:tcBorders>
              <w:top w:val="single" w:sz="12" w:space="0" w:color="000000"/>
              <w:left w:val="single" w:sz="12" w:space="0" w:color="000000"/>
              <w:bottom w:val="single" w:sz="12"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神魔圣域</w:t>
            </w:r>
          </w:p>
        </w:tc>
        <w:tc>
          <w:tcPr>
            <w:tcW w:w="108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手游</w:t>
            </w:r>
          </w:p>
        </w:tc>
        <w:tc>
          <w:tcPr>
            <w:tcW w:w="109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自主运营</w:t>
            </w:r>
          </w:p>
        </w:tc>
        <w:tc>
          <w:tcPr>
            <w:tcW w:w="108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道具收费</w:t>
            </w:r>
          </w:p>
        </w:tc>
        <w:tc>
          <w:tcPr>
            <w:tcW w:w="109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560,878,737.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28</w:t>
            </w:r>
          </w:p>
        </w:tc>
        <w:tc>
          <w:tcPr>
            <w:tcW w:w="108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99" w:right="0"/>
              <w:jc w:val="left"/>
              <w:rPr>
                <w:rFonts w:ascii="Times New Roman" w:hAnsi="Times New Roman" w:cs="Times New Roman" w:eastAsia="Times New Roman" w:hint="default"/>
                <w:sz w:val="18"/>
                <w:szCs w:val="18"/>
              </w:rPr>
            </w:pPr>
            <w:r>
              <w:rPr>
                <w:rFonts w:ascii="Times New Roman"/>
                <w:sz w:val="18"/>
              </w:rPr>
              <w:t>35.85%</w:t>
            </w:r>
          </w:p>
        </w:tc>
        <w:tc>
          <w:tcPr>
            <w:tcW w:w="101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106,530,396.</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69</w:t>
            </w:r>
          </w:p>
        </w:tc>
        <w:tc>
          <w:tcPr>
            <w:tcW w:w="1013"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24" w:right="0"/>
              <w:jc w:val="left"/>
              <w:rPr>
                <w:rFonts w:ascii="Times New Roman" w:hAnsi="Times New Roman" w:cs="Times New Roman" w:eastAsia="Times New Roman" w:hint="default"/>
                <w:sz w:val="18"/>
                <w:szCs w:val="18"/>
              </w:rPr>
            </w:pPr>
            <w:r>
              <w:rPr>
                <w:rFonts w:ascii="Times New Roman"/>
                <w:sz w:val="18"/>
              </w:rPr>
              <w:t>22.32%</w:t>
            </w:r>
          </w:p>
        </w:tc>
        <w:tc>
          <w:tcPr>
            <w:tcW w:w="1013" w:type="dxa"/>
            <w:tcBorders>
              <w:top w:val="single" w:sz="12" w:space="0" w:color="000000"/>
              <w:left w:val="single" w:sz="6" w:space="0" w:color="000000"/>
              <w:bottom w:val="single" w:sz="12"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14" w:right="0"/>
              <w:jc w:val="left"/>
              <w:rPr>
                <w:rFonts w:ascii="Times New Roman" w:hAnsi="Times New Roman" w:cs="Times New Roman" w:eastAsia="Times New Roman" w:hint="default"/>
                <w:sz w:val="18"/>
                <w:szCs w:val="18"/>
              </w:rPr>
            </w:pPr>
            <w:r>
              <w:rPr>
                <w:rFonts w:ascii="Times New Roman"/>
                <w:sz w:val="18"/>
              </w:rPr>
              <w:t>6.81%</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主要游戏分季度运营数据</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51" w:type="dxa"/>
        <w:tblLayout w:type="fixed"/>
        <w:tblCellMar>
          <w:top w:w="0" w:type="dxa"/>
          <w:left w:w="0" w:type="dxa"/>
          <w:bottom w:w="0" w:type="dxa"/>
          <w:right w:w="0" w:type="dxa"/>
        </w:tblCellMar>
        <w:tblLook w:val="01E0"/>
      </w:tblPr>
      <w:tblGrid>
        <w:gridCol w:w="1369"/>
        <w:gridCol w:w="1368"/>
        <w:gridCol w:w="1367"/>
        <w:gridCol w:w="1367"/>
        <w:gridCol w:w="1367"/>
        <w:gridCol w:w="1367"/>
        <w:gridCol w:w="1366"/>
      </w:tblGrid>
      <w:tr>
        <w:trPr>
          <w:trHeight w:val="413" w:hRule="exact"/>
        </w:trPr>
        <w:tc>
          <w:tcPr>
            <w:tcW w:w="1369"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309" w:right="0"/>
              <w:jc w:val="left"/>
              <w:rPr>
                <w:rFonts w:ascii="宋体" w:hAnsi="宋体" w:cs="宋体" w:eastAsia="宋体" w:hint="default"/>
                <w:sz w:val="18"/>
                <w:szCs w:val="18"/>
              </w:rPr>
            </w:pPr>
            <w:r>
              <w:rPr>
                <w:rFonts w:ascii="宋体" w:hAnsi="宋体" w:cs="宋体" w:eastAsia="宋体" w:hint="default"/>
                <w:sz w:val="18"/>
                <w:szCs w:val="18"/>
              </w:rPr>
              <w:t>游戏名称</w:t>
            </w:r>
          </w:p>
        </w:tc>
        <w:tc>
          <w:tcPr>
            <w:tcW w:w="136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季度</w:t>
            </w:r>
          </w:p>
        </w:tc>
        <w:tc>
          <w:tcPr>
            <w:tcW w:w="136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315" w:right="0"/>
              <w:jc w:val="left"/>
              <w:rPr>
                <w:rFonts w:ascii="宋体" w:hAnsi="宋体" w:cs="宋体" w:eastAsia="宋体" w:hint="default"/>
                <w:sz w:val="18"/>
                <w:szCs w:val="18"/>
              </w:rPr>
            </w:pPr>
            <w:r>
              <w:rPr>
                <w:rFonts w:ascii="宋体" w:hAnsi="宋体" w:cs="宋体" w:eastAsia="宋体" w:hint="default"/>
                <w:sz w:val="18"/>
                <w:szCs w:val="18"/>
              </w:rPr>
              <w:t>用户数量</w:t>
            </w:r>
          </w:p>
        </w:tc>
        <w:tc>
          <w:tcPr>
            <w:tcW w:w="136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225" w:right="0"/>
              <w:jc w:val="left"/>
              <w:rPr>
                <w:rFonts w:ascii="宋体" w:hAnsi="宋体" w:cs="宋体" w:eastAsia="宋体" w:hint="default"/>
                <w:sz w:val="18"/>
                <w:szCs w:val="18"/>
              </w:rPr>
            </w:pPr>
            <w:r>
              <w:rPr>
                <w:rFonts w:ascii="宋体" w:hAnsi="宋体" w:cs="宋体" w:eastAsia="宋体" w:hint="default"/>
                <w:sz w:val="18"/>
                <w:szCs w:val="18"/>
              </w:rPr>
              <w:t>活跃用户数</w:t>
            </w:r>
          </w:p>
        </w:tc>
        <w:tc>
          <w:tcPr>
            <w:tcW w:w="136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35" w:right="0"/>
              <w:jc w:val="left"/>
              <w:rPr>
                <w:rFonts w:ascii="宋体" w:hAnsi="宋体" w:cs="宋体" w:eastAsia="宋体" w:hint="default"/>
                <w:sz w:val="18"/>
                <w:szCs w:val="18"/>
              </w:rPr>
            </w:pPr>
            <w:r>
              <w:rPr>
                <w:rFonts w:ascii="宋体" w:hAnsi="宋体" w:cs="宋体" w:eastAsia="宋体" w:hint="default"/>
                <w:sz w:val="18"/>
                <w:szCs w:val="18"/>
              </w:rPr>
              <w:t>付费用户数量</w:t>
            </w:r>
          </w:p>
        </w:tc>
        <w:tc>
          <w:tcPr>
            <w:tcW w:w="136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3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ARPU</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值</w:t>
            </w:r>
          </w:p>
        </w:tc>
        <w:tc>
          <w:tcPr>
            <w:tcW w:w="1366"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316" w:right="0"/>
              <w:jc w:val="left"/>
              <w:rPr>
                <w:rFonts w:ascii="宋体" w:hAnsi="宋体" w:cs="宋体" w:eastAsia="宋体" w:hint="default"/>
                <w:sz w:val="18"/>
                <w:szCs w:val="18"/>
              </w:rPr>
            </w:pPr>
            <w:r>
              <w:rPr>
                <w:rFonts w:ascii="宋体" w:hAnsi="宋体" w:cs="宋体" w:eastAsia="宋体" w:hint="default"/>
                <w:sz w:val="18"/>
                <w:szCs w:val="18"/>
              </w:rPr>
              <w:t>充值流水</w:t>
            </w:r>
          </w:p>
        </w:tc>
      </w:tr>
      <w:tr>
        <w:trPr>
          <w:trHeight w:val="407" w:hRule="exact"/>
        </w:trPr>
        <w:tc>
          <w:tcPr>
            <w:tcW w:w="13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神魔圣域</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9,967,331</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4,623,837</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212,283</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541.76</w:t>
            </w:r>
          </w:p>
        </w:tc>
        <w:tc>
          <w:tcPr>
            <w:tcW w:w="13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8"/>
              <w:jc w:val="right"/>
              <w:rPr>
                <w:rFonts w:ascii="Times New Roman" w:hAnsi="Times New Roman" w:cs="Times New Roman" w:eastAsia="Times New Roman" w:hint="default"/>
                <w:sz w:val="18"/>
                <w:szCs w:val="18"/>
              </w:rPr>
            </w:pPr>
            <w:r>
              <w:rPr>
                <w:rFonts w:ascii="Times New Roman"/>
                <w:spacing w:val="-1"/>
                <w:sz w:val="18"/>
              </w:rPr>
              <w:t>115,006,852.41</w:t>
            </w:r>
          </w:p>
        </w:tc>
      </w:tr>
      <w:tr>
        <w:trPr>
          <w:trHeight w:val="408" w:hRule="exact"/>
        </w:trPr>
        <w:tc>
          <w:tcPr>
            <w:tcW w:w="13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神魔圣域</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13,117,674</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3,785,742</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187,377</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791.12</w:t>
            </w:r>
          </w:p>
        </w:tc>
        <w:tc>
          <w:tcPr>
            <w:tcW w:w="13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8"/>
              <w:jc w:val="right"/>
              <w:rPr>
                <w:rFonts w:ascii="Times New Roman" w:hAnsi="Times New Roman" w:cs="Times New Roman" w:eastAsia="Times New Roman" w:hint="default"/>
                <w:sz w:val="18"/>
                <w:szCs w:val="18"/>
              </w:rPr>
            </w:pPr>
            <w:r>
              <w:rPr>
                <w:rFonts w:ascii="Times New Roman"/>
                <w:spacing w:val="-1"/>
                <w:sz w:val="18"/>
              </w:rPr>
              <w:t>148,237,241.75</w:t>
            </w:r>
          </w:p>
        </w:tc>
      </w:tr>
      <w:tr>
        <w:trPr>
          <w:trHeight w:val="407" w:hRule="exact"/>
        </w:trPr>
        <w:tc>
          <w:tcPr>
            <w:tcW w:w="13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神魔圣域</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15,641,370</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3,098,587</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146,775</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972.90</w:t>
            </w:r>
          </w:p>
        </w:tc>
        <w:tc>
          <w:tcPr>
            <w:tcW w:w="13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pacing w:val="-1"/>
                <w:sz w:val="18"/>
              </w:rPr>
              <w:t>142,798,007.44</w:t>
            </w:r>
          </w:p>
        </w:tc>
      </w:tr>
      <w:tr>
        <w:trPr>
          <w:trHeight w:val="407" w:hRule="exact"/>
        </w:trPr>
        <w:tc>
          <w:tcPr>
            <w:tcW w:w="13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神魔圣域</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第四季度</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17,699,189</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2,587,952</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117,733</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1,091.23</w:t>
            </w:r>
          </w:p>
        </w:tc>
        <w:tc>
          <w:tcPr>
            <w:tcW w:w="13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pacing w:val="-1"/>
                <w:sz w:val="18"/>
              </w:rPr>
              <w:t>128,474,354.15</w:t>
            </w:r>
          </w:p>
        </w:tc>
      </w:tr>
      <w:tr>
        <w:trPr>
          <w:trHeight w:val="415" w:hRule="exact"/>
        </w:trPr>
        <w:tc>
          <w:tcPr>
            <w:tcW w:w="1369" w:type="dxa"/>
            <w:tcBorders>
              <w:top w:val="single" w:sz="6" w:space="0" w:color="000000"/>
              <w:left w:val="single" w:sz="12" w:space="0" w:color="000000"/>
              <w:bottom w:val="single" w:sz="12" w:space="0" w:color="000000"/>
              <w:right w:val="single" w:sz="6" w:space="0" w:color="000000"/>
            </w:tcBorders>
          </w:tcPr>
          <w:p>
            <w:pPr/>
          </w:p>
        </w:tc>
        <w:tc>
          <w:tcPr>
            <w:tcW w:w="136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3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56,425,564</w:t>
            </w:r>
          </w:p>
        </w:tc>
        <w:tc>
          <w:tcPr>
            <w:tcW w:w="13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14,096,118</w:t>
            </w:r>
          </w:p>
        </w:tc>
        <w:tc>
          <w:tcPr>
            <w:tcW w:w="13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664,168</w:t>
            </w:r>
          </w:p>
        </w:tc>
        <w:tc>
          <w:tcPr>
            <w:tcW w:w="13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804.79</w:t>
            </w:r>
          </w:p>
        </w:tc>
        <w:tc>
          <w:tcPr>
            <w:tcW w:w="136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pacing w:val="-1"/>
                <w:sz w:val="18"/>
              </w:rPr>
              <w:t>534,516,455.75</w:t>
            </w:r>
          </w:p>
        </w:tc>
      </w:tr>
    </w:tbl>
    <w:p>
      <w:pPr>
        <w:spacing w:line="300" w:lineRule="auto" w:before="51"/>
        <w:ind w:left="1134" w:right="1136"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产业链相关业务》的披露要求： 否</w:t>
      </w:r>
    </w:p>
    <w:p>
      <w:pPr>
        <w:spacing w:line="338" w:lineRule="auto" w:before="72"/>
        <w:ind w:left="1133" w:right="1484"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上市公司从事医疗器械业务》的披露要求：否 营业收入整体情况</w:t>
      </w:r>
    </w:p>
    <w:p>
      <w:pPr>
        <w:spacing w:before="4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54" w:type="dxa"/>
        <w:tblLayout w:type="fixed"/>
        <w:tblCellMar>
          <w:top w:w="0" w:type="dxa"/>
          <w:left w:w="0" w:type="dxa"/>
          <w:bottom w:w="0" w:type="dxa"/>
          <w:right w:w="0" w:type="dxa"/>
        </w:tblCellMar>
        <w:tblLook w:val="01E0"/>
      </w:tblPr>
      <w:tblGrid>
        <w:gridCol w:w="1600"/>
        <w:gridCol w:w="1594"/>
        <w:gridCol w:w="1592"/>
        <w:gridCol w:w="1596"/>
        <w:gridCol w:w="1589"/>
        <w:gridCol w:w="1597"/>
      </w:tblGrid>
      <w:tr>
        <w:trPr>
          <w:trHeight w:val="218" w:hRule="exact"/>
        </w:trPr>
        <w:tc>
          <w:tcPr>
            <w:tcW w:w="1600" w:type="dxa"/>
            <w:tcBorders>
              <w:top w:val="single" w:sz="12" w:space="0" w:color="000000"/>
              <w:left w:val="single" w:sz="12" w:space="0" w:color="000000"/>
              <w:bottom w:val="nil" w:sz="6" w:space="0" w:color="auto"/>
              <w:right w:val="single" w:sz="6" w:space="0" w:color="000000"/>
            </w:tcBorders>
            <w:shd w:val="clear" w:color="auto" w:fill="D2D2D2"/>
          </w:tcPr>
          <w:p>
            <w:pPr/>
          </w:p>
        </w:tc>
        <w:tc>
          <w:tcPr>
            <w:tcW w:w="3186" w:type="dxa"/>
            <w:gridSpan w:val="2"/>
            <w:vMerge w:val="restart"/>
            <w:tcBorders>
              <w:top w:val="single" w:sz="12" w:space="0" w:color="000000"/>
              <w:left w:val="single" w:sz="6" w:space="0" w:color="000000"/>
              <w:right w:val="single" w:sz="6" w:space="0" w:color="000000"/>
            </w:tcBorders>
            <w:shd w:val="clear" w:color="auto" w:fill="D2D2D2"/>
          </w:tcPr>
          <w:p>
            <w:pPr>
              <w:pStyle w:val="TableParagraph"/>
              <w:spacing w:line="240" w:lineRule="auto" w:before="51"/>
              <w:ind w:right="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85" w:type="dxa"/>
            <w:gridSpan w:val="2"/>
            <w:vMerge w:val="restart"/>
            <w:tcBorders>
              <w:top w:val="single" w:sz="12" w:space="0" w:color="000000"/>
              <w:left w:val="single" w:sz="6" w:space="0" w:color="000000"/>
              <w:right w:val="single" w:sz="6"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7" w:type="dxa"/>
            <w:tcBorders>
              <w:top w:val="single" w:sz="12" w:space="0" w:color="000000"/>
              <w:left w:val="single" w:sz="6" w:space="0" w:color="000000"/>
              <w:bottom w:val="nil" w:sz="6" w:space="0" w:color="auto"/>
              <w:right w:val="single" w:sz="12" w:space="0" w:color="000000"/>
            </w:tcBorders>
            <w:shd w:val="clear" w:color="auto" w:fill="D2D2D2"/>
          </w:tcPr>
          <w:p>
            <w:pPr/>
          </w:p>
        </w:tc>
      </w:tr>
      <w:tr>
        <w:trPr>
          <w:trHeight w:val="196" w:hRule="exact"/>
        </w:trPr>
        <w:tc>
          <w:tcPr>
            <w:tcW w:w="1600" w:type="dxa"/>
            <w:vMerge w:val="restart"/>
            <w:tcBorders>
              <w:top w:val="nil" w:sz="6" w:space="0" w:color="auto"/>
              <w:left w:val="single" w:sz="12" w:space="0" w:color="000000"/>
              <w:right w:val="single" w:sz="6" w:space="0" w:color="000000"/>
            </w:tcBorders>
            <w:shd w:val="clear" w:color="auto" w:fill="D2D2D2"/>
          </w:tcPr>
          <w:p>
            <w:pPr/>
          </w:p>
        </w:tc>
        <w:tc>
          <w:tcPr>
            <w:tcW w:w="3186" w:type="dxa"/>
            <w:gridSpan w:val="2"/>
            <w:vMerge/>
            <w:tcBorders>
              <w:left w:val="single" w:sz="6" w:space="0" w:color="000000"/>
              <w:bottom w:val="single" w:sz="6" w:space="0" w:color="000000"/>
              <w:right w:val="single" w:sz="6" w:space="0" w:color="000000"/>
            </w:tcBorders>
            <w:shd w:val="clear" w:color="auto" w:fill="D2D2D2"/>
          </w:tcPr>
          <w:p>
            <w:pPr/>
          </w:p>
        </w:tc>
        <w:tc>
          <w:tcPr>
            <w:tcW w:w="3185" w:type="dxa"/>
            <w:gridSpan w:val="2"/>
            <w:vMerge/>
            <w:tcBorders>
              <w:left w:val="single" w:sz="6" w:space="0" w:color="000000"/>
              <w:bottom w:val="single" w:sz="6" w:space="0" w:color="000000"/>
              <w:right w:val="single" w:sz="6" w:space="0" w:color="000000"/>
            </w:tcBorders>
            <w:shd w:val="clear" w:color="auto" w:fill="D2D2D2"/>
          </w:tcPr>
          <w:p>
            <w:pPr/>
          </w:p>
        </w:tc>
        <w:tc>
          <w:tcPr>
            <w:tcW w:w="1597" w:type="dxa"/>
            <w:vMerge w:val="restart"/>
            <w:tcBorders>
              <w:top w:val="nil" w:sz="6" w:space="0" w:color="auto"/>
              <w:left w:val="single" w:sz="6" w:space="0" w:color="000000"/>
              <w:right w:val="single" w:sz="12"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196" w:hRule="exact"/>
        </w:trPr>
        <w:tc>
          <w:tcPr>
            <w:tcW w:w="1600" w:type="dxa"/>
            <w:vMerge/>
            <w:tcBorders>
              <w:left w:val="single" w:sz="12" w:space="0" w:color="000000"/>
              <w:bottom w:val="nil" w:sz="6" w:space="0" w:color="auto"/>
              <w:right w:val="single" w:sz="6" w:space="0" w:color="000000"/>
            </w:tcBorders>
            <w:shd w:val="clear" w:color="auto" w:fill="D2D2D2"/>
          </w:tcPr>
          <w:p>
            <w:pPr/>
          </w:p>
        </w:tc>
        <w:tc>
          <w:tcPr>
            <w:tcW w:w="1594" w:type="dxa"/>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before="52"/>
              <w:ind w:right="3"/>
              <w:jc w:val="center"/>
              <w:rPr>
                <w:rFonts w:ascii="宋体" w:hAnsi="宋体" w:cs="宋体" w:eastAsia="宋体" w:hint="default"/>
                <w:sz w:val="18"/>
                <w:szCs w:val="18"/>
              </w:rPr>
            </w:pPr>
            <w:r>
              <w:rPr>
                <w:rFonts w:ascii="宋体" w:hAnsi="宋体" w:cs="宋体" w:eastAsia="宋体" w:hint="default"/>
                <w:sz w:val="18"/>
                <w:szCs w:val="18"/>
              </w:rPr>
              <w:t>金额</w:t>
            </w:r>
          </w:p>
        </w:tc>
        <w:tc>
          <w:tcPr>
            <w:tcW w:w="1592" w:type="dxa"/>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before="52"/>
              <w:ind w:left="158"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6" w:type="dxa"/>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89" w:type="dxa"/>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before="52"/>
              <w:ind w:left="157"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7" w:type="dxa"/>
            <w:vMerge/>
            <w:tcBorders>
              <w:left w:val="single" w:sz="6" w:space="0" w:color="000000"/>
              <w:bottom w:val="nil" w:sz="6" w:space="0" w:color="auto"/>
              <w:right w:val="single" w:sz="12" w:space="0" w:color="000000"/>
            </w:tcBorders>
            <w:shd w:val="clear" w:color="auto" w:fill="D2D2D2"/>
          </w:tcPr>
          <w:p>
            <w:pPr/>
          </w:p>
        </w:tc>
      </w:tr>
      <w:tr>
        <w:trPr>
          <w:trHeight w:val="211" w:hRule="exact"/>
        </w:trPr>
        <w:tc>
          <w:tcPr>
            <w:tcW w:w="1600" w:type="dxa"/>
            <w:tcBorders>
              <w:top w:val="nil" w:sz="6" w:space="0" w:color="auto"/>
              <w:left w:val="single" w:sz="12" w:space="0" w:color="000000"/>
              <w:bottom w:val="single" w:sz="6" w:space="0" w:color="000000"/>
              <w:right w:val="single" w:sz="6" w:space="0" w:color="000000"/>
            </w:tcBorders>
            <w:shd w:val="clear" w:color="auto" w:fill="D2D2D2"/>
          </w:tcPr>
          <w:p>
            <w:pPr/>
          </w:p>
        </w:tc>
        <w:tc>
          <w:tcPr>
            <w:tcW w:w="1594" w:type="dxa"/>
            <w:vMerge/>
            <w:tcBorders>
              <w:left w:val="single" w:sz="6" w:space="0" w:color="000000"/>
              <w:bottom w:val="single" w:sz="6" w:space="0" w:color="000000"/>
              <w:right w:val="single" w:sz="6" w:space="0" w:color="000000"/>
            </w:tcBorders>
            <w:shd w:val="clear" w:color="auto" w:fill="D2D2D2"/>
          </w:tcPr>
          <w:p>
            <w:pPr/>
          </w:p>
        </w:tc>
        <w:tc>
          <w:tcPr>
            <w:tcW w:w="1592" w:type="dxa"/>
            <w:vMerge/>
            <w:tcBorders>
              <w:left w:val="single" w:sz="6" w:space="0" w:color="000000"/>
              <w:bottom w:val="single" w:sz="6" w:space="0" w:color="000000"/>
              <w:right w:val="single" w:sz="6" w:space="0" w:color="000000"/>
            </w:tcBorders>
            <w:shd w:val="clear" w:color="auto" w:fill="D2D2D2"/>
          </w:tcPr>
          <w:p>
            <w:pPr/>
          </w:p>
        </w:tc>
        <w:tc>
          <w:tcPr>
            <w:tcW w:w="1596" w:type="dxa"/>
            <w:vMerge/>
            <w:tcBorders>
              <w:left w:val="single" w:sz="6" w:space="0" w:color="000000"/>
              <w:bottom w:val="single" w:sz="6" w:space="0" w:color="000000"/>
              <w:right w:val="single" w:sz="6" w:space="0" w:color="000000"/>
            </w:tcBorders>
            <w:shd w:val="clear" w:color="auto" w:fill="D2D2D2"/>
          </w:tcPr>
          <w:p>
            <w:pPr/>
          </w:p>
        </w:tc>
        <w:tc>
          <w:tcPr>
            <w:tcW w:w="1589" w:type="dxa"/>
            <w:vMerge/>
            <w:tcBorders>
              <w:left w:val="single" w:sz="6" w:space="0" w:color="000000"/>
              <w:bottom w:val="single" w:sz="6" w:space="0" w:color="000000"/>
              <w:right w:val="single" w:sz="6" w:space="0" w:color="000000"/>
            </w:tcBorders>
            <w:shd w:val="clear" w:color="auto" w:fill="D2D2D2"/>
          </w:tcPr>
          <w:p>
            <w:pPr/>
          </w:p>
        </w:tc>
        <w:tc>
          <w:tcPr>
            <w:tcW w:w="1597" w:type="dxa"/>
            <w:tcBorders>
              <w:top w:val="nil" w:sz="6" w:space="0" w:color="auto"/>
              <w:left w:val="single" w:sz="6" w:space="0" w:color="000000"/>
              <w:bottom w:val="single" w:sz="6" w:space="0" w:color="000000"/>
              <w:right w:val="single" w:sz="12" w:space="0" w:color="000000"/>
            </w:tcBorders>
            <w:shd w:val="clear" w:color="auto" w:fill="D2D2D2"/>
          </w:tcPr>
          <w:p>
            <w:pPr/>
          </w:p>
        </w:tc>
      </w:tr>
      <w:tr>
        <w:trPr>
          <w:trHeight w:val="414" w:hRule="exact"/>
        </w:trPr>
        <w:tc>
          <w:tcPr>
            <w:tcW w:w="160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6" w:space="0" w:color="000000"/>
              <w:left w:val="single" w:sz="14" w:space="0" w:color="D2D2D2"/>
              <w:bottom w:val="single" w:sz="6" w:space="0" w:color="000000"/>
              <w:right w:val="single" w:sz="14" w:space="0" w:color="D2D2D2"/>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pacing w:val="-1"/>
                <w:sz w:val="18"/>
              </w:rPr>
              <w:t>3,436,369,668.04</w:t>
            </w:r>
          </w:p>
        </w:tc>
        <w:tc>
          <w:tcPr>
            <w:tcW w:w="159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6" w:type="dxa"/>
            <w:tcBorders>
              <w:top w:val="single" w:sz="6" w:space="0" w:color="000000"/>
              <w:left w:val="single" w:sz="14" w:space="0" w:color="D2D2D2"/>
              <w:bottom w:val="single" w:sz="6" w:space="0" w:color="000000"/>
              <w:right w:val="single" w:sz="14" w:space="0" w:color="D2D2D2"/>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pacing w:val="-1"/>
                <w:sz w:val="18"/>
              </w:rPr>
              <w:t>2,424,670,626.82</w:t>
            </w:r>
          </w:p>
        </w:tc>
        <w:tc>
          <w:tcPr>
            <w:tcW w:w="1589"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7" w:type="dxa"/>
            <w:tcBorders>
              <w:top w:val="single" w:sz="6" w:space="0" w:color="000000"/>
              <w:left w:val="single" w:sz="9" w:space="0" w:color="D2D2D2"/>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41.73%</w:t>
            </w:r>
          </w:p>
        </w:tc>
      </w:tr>
      <w:tr>
        <w:trPr>
          <w:trHeight w:val="400" w:hRule="exact"/>
        </w:trPr>
        <w:tc>
          <w:tcPr>
            <w:tcW w:w="9568" w:type="dxa"/>
            <w:gridSpan w:val="6"/>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44"/>
              <w:ind w:left="13"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7" w:hRule="exact"/>
        </w:trPr>
        <w:tc>
          <w:tcPr>
            <w:tcW w:w="160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互联网收入</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3,417,968,800.94</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99.46%</w:t>
            </w:r>
          </w:p>
        </w:tc>
        <w:tc>
          <w:tcPr>
            <w:tcW w:w="15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2,400,784,076.22</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99.01%</w:t>
            </w:r>
          </w:p>
        </w:tc>
        <w:tc>
          <w:tcPr>
            <w:tcW w:w="15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42.37%</w:t>
            </w:r>
          </w:p>
        </w:tc>
      </w:tr>
      <w:tr>
        <w:trPr>
          <w:trHeight w:val="407" w:hRule="exact"/>
        </w:trPr>
        <w:tc>
          <w:tcPr>
            <w:tcW w:w="160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其他收入</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18,400,867.10</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0.54%</w:t>
            </w:r>
          </w:p>
        </w:tc>
        <w:tc>
          <w:tcPr>
            <w:tcW w:w="15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23,886,550.60</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4"/>
              <w:jc w:val="right"/>
              <w:rPr>
                <w:rFonts w:ascii="Times New Roman" w:hAnsi="Times New Roman" w:cs="Times New Roman" w:eastAsia="Times New Roman" w:hint="default"/>
                <w:sz w:val="18"/>
                <w:szCs w:val="18"/>
              </w:rPr>
            </w:pPr>
            <w:r>
              <w:rPr>
                <w:rFonts w:ascii="Times New Roman"/>
                <w:sz w:val="18"/>
              </w:rPr>
              <w:t>0.99%</w:t>
            </w:r>
          </w:p>
        </w:tc>
        <w:tc>
          <w:tcPr>
            <w:tcW w:w="15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-22.97%</w:t>
            </w:r>
          </w:p>
        </w:tc>
      </w:tr>
      <w:tr>
        <w:trPr>
          <w:trHeight w:val="407" w:hRule="exact"/>
        </w:trPr>
        <w:tc>
          <w:tcPr>
            <w:tcW w:w="9568" w:type="dxa"/>
            <w:gridSpan w:val="6"/>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分业务</w:t>
            </w:r>
          </w:p>
        </w:tc>
      </w:tr>
      <w:tr>
        <w:trPr>
          <w:trHeight w:val="720" w:hRule="exact"/>
        </w:trPr>
        <w:tc>
          <w:tcPr>
            <w:tcW w:w="1600" w:type="dxa"/>
            <w:tcBorders>
              <w:top w:val="single" w:sz="6" w:space="0" w:color="000000"/>
              <w:left w:val="single" w:sz="12" w:space="0" w:color="000000"/>
              <w:bottom w:val="single" w:sz="6" w:space="0" w:color="000000"/>
              <w:right w:val="single" w:sz="6" w:space="0" w:color="000000"/>
            </w:tcBorders>
          </w:tcPr>
          <w:p>
            <w:pPr>
              <w:pStyle w:val="TableParagraph"/>
              <w:spacing w:line="300" w:lineRule="auto" w:before="52"/>
              <w:ind w:left="13" w:right="61"/>
              <w:jc w:val="left"/>
              <w:rPr>
                <w:rFonts w:ascii="宋体" w:hAnsi="宋体" w:cs="宋体" w:eastAsia="宋体" w:hint="default"/>
                <w:sz w:val="18"/>
                <w:szCs w:val="18"/>
              </w:rPr>
            </w:pPr>
            <w:r>
              <w:rPr>
                <w:rFonts w:ascii="宋体" w:hAnsi="宋体" w:cs="宋体" w:eastAsia="宋体" w:hint="default"/>
                <w:sz w:val="18"/>
                <w:szCs w:val="18"/>
              </w:rPr>
              <w:t>增值服务收入</w:t>
            </w:r>
            <w:r>
              <w:rPr>
                <w:rFonts w:ascii="Times New Roman" w:hAnsi="Times New Roman" w:cs="Times New Roman" w:eastAsia="Times New Roman" w:hint="default"/>
                <w:sz w:val="18"/>
                <w:szCs w:val="18"/>
              </w:rPr>
              <w:t>-</w:t>
            </w:r>
            <w:r>
              <w:rPr>
                <w:rFonts w:ascii="宋体" w:hAnsi="宋体" w:cs="宋体" w:eastAsia="宋体" w:hint="default"/>
                <w:sz w:val="18"/>
                <w:szCs w:val="18"/>
              </w:rPr>
              <w:t>游戏 收入</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1,564,573,450.10</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45.53%</w:t>
            </w:r>
          </w:p>
        </w:tc>
        <w:tc>
          <w:tcPr>
            <w:tcW w:w="15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1,955,838,605.16</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80.66%</w:t>
            </w:r>
          </w:p>
        </w:tc>
        <w:tc>
          <w:tcPr>
            <w:tcW w:w="15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-20.00%</w:t>
            </w:r>
          </w:p>
        </w:tc>
      </w:tr>
      <w:tr>
        <w:trPr>
          <w:trHeight w:val="719" w:hRule="exact"/>
        </w:trPr>
        <w:tc>
          <w:tcPr>
            <w:tcW w:w="1600" w:type="dxa"/>
            <w:tcBorders>
              <w:top w:val="single" w:sz="6" w:space="0" w:color="000000"/>
              <w:left w:val="single" w:sz="12" w:space="0" w:color="000000"/>
              <w:bottom w:val="single" w:sz="6" w:space="0" w:color="000000"/>
              <w:right w:val="single" w:sz="6" w:space="0" w:color="000000"/>
            </w:tcBorders>
          </w:tcPr>
          <w:p>
            <w:pPr>
              <w:pStyle w:val="TableParagraph"/>
              <w:spacing w:line="300" w:lineRule="auto" w:before="51"/>
              <w:ind w:left="13" w:right="61"/>
              <w:jc w:val="left"/>
              <w:rPr>
                <w:rFonts w:ascii="宋体" w:hAnsi="宋体" w:cs="宋体" w:eastAsia="宋体" w:hint="default"/>
                <w:sz w:val="18"/>
                <w:szCs w:val="18"/>
              </w:rPr>
            </w:pPr>
            <w:r>
              <w:rPr>
                <w:rFonts w:ascii="宋体" w:hAnsi="宋体" w:cs="宋体" w:eastAsia="宋体" w:hint="default"/>
                <w:sz w:val="18"/>
                <w:szCs w:val="18"/>
              </w:rPr>
              <w:t>增值服务收入</w:t>
            </w:r>
            <w:r>
              <w:rPr>
                <w:rFonts w:ascii="Times New Roman" w:hAnsi="Times New Roman" w:cs="Times New Roman" w:eastAsia="Times New Roman" w:hint="default"/>
                <w:sz w:val="18"/>
                <w:szCs w:val="18"/>
              </w:rPr>
              <w:t>-</w:t>
            </w:r>
            <w:r>
              <w:rPr>
                <w:rFonts w:ascii="宋体" w:hAnsi="宋体" w:cs="宋体" w:eastAsia="宋体" w:hint="default"/>
                <w:sz w:val="18"/>
                <w:szCs w:val="18"/>
              </w:rPr>
              <w:t>社交 网络收入</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1,643,488,061.52</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47.83%</w:t>
            </w:r>
          </w:p>
        </w:tc>
        <w:tc>
          <w:tcPr>
            <w:tcW w:w="15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154,920,808.72</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6.39%</w:t>
            </w:r>
          </w:p>
        </w:tc>
        <w:tc>
          <w:tcPr>
            <w:tcW w:w="15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960.86%</w:t>
            </w:r>
          </w:p>
        </w:tc>
      </w:tr>
      <w:tr>
        <w:trPr>
          <w:trHeight w:val="407" w:hRule="exact"/>
        </w:trPr>
        <w:tc>
          <w:tcPr>
            <w:tcW w:w="160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网络广告收入</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209,907,289.32</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6.11%</w:t>
            </w:r>
          </w:p>
        </w:tc>
        <w:tc>
          <w:tcPr>
            <w:tcW w:w="15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290,024,662.34</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2"/>
                <w:sz w:val="18"/>
              </w:rPr>
              <w:t>11.96%</w:t>
            </w:r>
          </w:p>
        </w:tc>
        <w:tc>
          <w:tcPr>
            <w:tcW w:w="15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-27.62%</w:t>
            </w:r>
          </w:p>
        </w:tc>
      </w:tr>
      <w:tr>
        <w:trPr>
          <w:trHeight w:val="407" w:hRule="exact"/>
        </w:trPr>
        <w:tc>
          <w:tcPr>
            <w:tcW w:w="160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其他收入</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18,400,867.10</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0.54%</w:t>
            </w:r>
          </w:p>
        </w:tc>
        <w:tc>
          <w:tcPr>
            <w:tcW w:w="15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23,886,550.60</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0.99%</w:t>
            </w:r>
          </w:p>
        </w:tc>
        <w:tc>
          <w:tcPr>
            <w:tcW w:w="15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-22.97%</w:t>
            </w:r>
          </w:p>
        </w:tc>
      </w:tr>
      <w:tr>
        <w:trPr>
          <w:trHeight w:val="407" w:hRule="exact"/>
        </w:trPr>
        <w:tc>
          <w:tcPr>
            <w:tcW w:w="9568" w:type="dxa"/>
            <w:gridSpan w:val="6"/>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7" w:hRule="exact"/>
        </w:trPr>
        <w:tc>
          <w:tcPr>
            <w:tcW w:w="160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境内</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1,812,107,538.89</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52.73%</w:t>
            </w:r>
          </w:p>
        </w:tc>
        <w:tc>
          <w:tcPr>
            <w:tcW w:w="15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858,074,350.66</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4"/>
              <w:jc w:val="right"/>
              <w:rPr>
                <w:rFonts w:ascii="Times New Roman" w:hAnsi="Times New Roman" w:cs="Times New Roman" w:eastAsia="Times New Roman" w:hint="default"/>
                <w:sz w:val="18"/>
                <w:szCs w:val="18"/>
              </w:rPr>
            </w:pPr>
            <w:r>
              <w:rPr>
                <w:rFonts w:ascii="Times New Roman"/>
                <w:sz w:val="18"/>
              </w:rPr>
              <w:t>35.39%</w:t>
            </w:r>
          </w:p>
        </w:tc>
        <w:tc>
          <w:tcPr>
            <w:tcW w:w="15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10"/>
              <w:jc w:val="right"/>
              <w:rPr>
                <w:rFonts w:ascii="Times New Roman" w:hAnsi="Times New Roman" w:cs="Times New Roman" w:eastAsia="Times New Roman" w:hint="default"/>
                <w:sz w:val="18"/>
                <w:szCs w:val="18"/>
              </w:rPr>
            </w:pPr>
            <w:r>
              <w:rPr>
                <w:rFonts w:ascii="Times New Roman"/>
                <w:spacing w:val="-3"/>
                <w:sz w:val="18"/>
              </w:rPr>
              <w:t>111.18%</w:t>
            </w:r>
          </w:p>
        </w:tc>
      </w:tr>
      <w:tr>
        <w:trPr>
          <w:trHeight w:val="416" w:hRule="exact"/>
        </w:trPr>
        <w:tc>
          <w:tcPr>
            <w:tcW w:w="160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境外</w:t>
            </w:r>
          </w:p>
        </w:tc>
        <w:tc>
          <w:tcPr>
            <w:tcW w:w="15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1,624,262,129.15</w:t>
            </w:r>
          </w:p>
        </w:tc>
        <w:tc>
          <w:tcPr>
            <w:tcW w:w="15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47.27%</w:t>
            </w:r>
          </w:p>
        </w:tc>
        <w:tc>
          <w:tcPr>
            <w:tcW w:w="15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1,566,596,276.16</w:t>
            </w:r>
          </w:p>
        </w:tc>
        <w:tc>
          <w:tcPr>
            <w:tcW w:w="158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4"/>
              <w:jc w:val="right"/>
              <w:rPr>
                <w:rFonts w:ascii="Times New Roman" w:hAnsi="Times New Roman" w:cs="Times New Roman" w:eastAsia="Times New Roman" w:hint="default"/>
                <w:sz w:val="18"/>
                <w:szCs w:val="18"/>
              </w:rPr>
            </w:pPr>
            <w:r>
              <w:rPr>
                <w:rFonts w:ascii="Times New Roman"/>
                <w:sz w:val="18"/>
              </w:rPr>
              <w:t>64.61%</w:t>
            </w:r>
          </w:p>
        </w:tc>
        <w:tc>
          <w:tcPr>
            <w:tcW w:w="159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3.68%</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2）占公司营业收入或营业利润10%以上的行业、产品或地区情况" w:id="29"/>
      <w:bookmarkEnd w:id="29"/>
      <w:r>
        <w:rPr>
          <w:b w:val="0"/>
          <w:bCs w:val="0"/>
        </w:rPr>
      </w:r>
      <w:r>
        <w:rPr/>
        <w:t>（</w:t>
      </w:r>
      <w:r>
        <w:rPr>
          <w:rFonts w:ascii="Times New Roman" w:hAnsi="Times New Roman" w:cs="Times New Roman" w:eastAsia="Times New Roman" w:hint="default"/>
        </w:rPr>
        <w:t>2</w:t>
      </w:r>
      <w:r>
        <w:rPr/>
        <w:t>）占公司营业收入或营业利润</w:t>
      </w:r>
      <w:r>
        <w:rPr>
          <w:spacing w:val="-59"/>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8"/>
        <w:rPr>
          <w:rFonts w:ascii="宋体" w:hAnsi="宋体" w:cs="宋体" w:eastAsia="宋体" w:hint="default"/>
          <w:b/>
          <w:bCs/>
          <w:sz w:val="26"/>
          <w:szCs w:val="26"/>
        </w:rPr>
      </w:pPr>
    </w:p>
    <w:p>
      <w:pPr>
        <w:spacing w:line="338" w:lineRule="auto" w:before="0"/>
        <w:ind w:left="1133" w:right="733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公司是否需要遵守特殊行业的披露要求：是</w:t>
      </w:r>
    </w:p>
    <w:p>
      <w:pPr>
        <w:spacing w:after="0" w:line="338" w:lineRule="auto"/>
        <w:jc w:val="left"/>
        <w:rPr>
          <w:rFonts w:ascii="宋体" w:hAnsi="宋体" w:cs="宋体" w:eastAsia="宋体" w:hint="default"/>
          <w:sz w:val="18"/>
          <w:szCs w:val="18"/>
        </w:rPr>
        <w:sectPr>
          <w:pgSz w:w="11910" w:h="16840"/>
          <w:pgMar w:header="747" w:footer="979" w:top="1060" w:bottom="1160" w:left="0" w:right="0"/>
        </w:sectPr>
      </w:pPr>
    </w:p>
    <w:p>
      <w:pPr>
        <w:spacing w:line="240" w:lineRule="auto" w:before="13"/>
        <w:rPr>
          <w:rFonts w:ascii="宋体" w:hAnsi="宋体" w:cs="宋体" w:eastAsia="宋体" w:hint="default"/>
          <w:sz w:val="25"/>
          <w:szCs w:val="25"/>
        </w:rPr>
      </w:pPr>
    </w:p>
    <w:p>
      <w:pPr>
        <w:spacing w:before="44"/>
        <w:ind w:left="1133" w:right="998" w:firstLine="0"/>
        <w:jc w:val="left"/>
        <w:rPr>
          <w:rFonts w:ascii="宋体" w:hAnsi="宋体" w:cs="宋体" w:eastAsia="宋体" w:hint="default"/>
          <w:sz w:val="18"/>
          <w:szCs w:val="18"/>
        </w:rPr>
      </w:pPr>
      <w:r>
        <w:rPr>
          <w:rFonts w:ascii="宋体" w:hAnsi="宋体" w:cs="宋体" w:eastAsia="宋体" w:hint="default"/>
          <w:sz w:val="18"/>
          <w:szCs w:val="18"/>
        </w:rPr>
        <w:t>互联网游戏业</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51" w:type="dxa"/>
        <w:tblLayout w:type="fixed"/>
        <w:tblCellMar>
          <w:top w:w="0" w:type="dxa"/>
          <w:left w:w="0" w:type="dxa"/>
          <w:bottom w:w="0" w:type="dxa"/>
          <w:right w:w="0" w:type="dxa"/>
        </w:tblCellMar>
        <w:tblLook w:val="01E0"/>
      </w:tblPr>
      <w:tblGrid>
        <w:gridCol w:w="1368"/>
        <w:gridCol w:w="1366"/>
        <w:gridCol w:w="1366"/>
        <w:gridCol w:w="1368"/>
        <w:gridCol w:w="1367"/>
        <w:gridCol w:w="1367"/>
        <w:gridCol w:w="1370"/>
      </w:tblGrid>
      <w:tr>
        <w:trPr>
          <w:trHeight w:val="726" w:hRule="exact"/>
        </w:trPr>
        <w:tc>
          <w:tcPr>
            <w:tcW w:w="1368" w:type="dxa"/>
            <w:tcBorders>
              <w:top w:val="single" w:sz="12" w:space="0" w:color="000000"/>
              <w:left w:val="single" w:sz="12" w:space="0" w:color="000000"/>
              <w:bottom w:val="single" w:sz="6" w:space="0" w:color="000000"/>
              <w:right w:val="single" w:sz="6" w:space="0" w:color="000000"/>
            </w:tcBorders>
            <w:shd w:val="clear" w:color="auto" w:fill="D2D2D2"/>
          </w:tcPr>
          <w:p>
            <w:pPr/>
          </w:p>
        </w:tc>
        <w:tc>
          <w:tcPr>
            <w:tcW w:w="136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5"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6"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315" w:right="44"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316" w:right="45" w:hanging="271"/>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0"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316" w:lineRule="auto" w:before="51"/>
              <w:ind w:left="407" w:right="37"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6" w:hRule="exact"/>
        </w:trPr>
        <w:tc>
          <w:tcPr>
            <w:tcW w:w="9571" w:type="dxa"/>
            <w:gridSpan w:val="7"/>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8" w:hRule="exact"/>
        </w:trPr>
        <w:tc>
          <w:tcPr>
            <w:tcW w:w="13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互联网收入</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3,417,968,800.94</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693,516,089.17</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79.71%</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42.37%</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-39.15%</w:t>
            </w:r>
          </w:p>
        </w:tc>
        <w:tc>
          <w:tcPr>
            <w:tcW w:w="13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51.76%</w:t>
            </w:r>
          </w:p>
        </w:tc>
      </w:tr>
      <w:tr>
        <w:trPr>
          <w:trHeight w:val="407" w:hRule="exact"/>
        </w:trPr>
        <w:tc>
          <w:tcPr>
            <w:tcW w:w="9571" w:type="dxa"/>
            <w:gridSpan w:val="7"/>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分业务</w:t>
            </w:r>
          </w:p>
        </w:tc>
      </w:tr>
      <w:tr>
        <w:trPr>
          <w:trHeight w:val="719" w:hRule="exact"/>
        </w:trPr>
        <w:tc>
          <w:tcPr>
            <w:tcW w:w="1368" w:type="dxa"/>
            <w:tcBorders>
              <w:top w:val="single" w:sz="6" w:space="0" w:color="000000"/>
              <w:left w:val="single" w:sz="12" w:space="0" w:color="000000"/>
              <w:bottom w:val="single" w:sz="6" w:space="0" w:color="000000"/>
              <w:right w:val="single" w:sz="6" w:space="0" w:color="000000"/>
            </w:tcBorders>
          </w:tcPr>
          <w:p>
            <w:pPr>
              <w:pStyle w:val="TableParagraph"/>
              <w:spacing w:line="302" w:lineRule="auto" w:before="51"/>
              <w:ind w:left="13" w:right="190"/>
              <w:jc w:val="left"/>
              <w:rPr>
                <w:rFonts w:ascii="宋体" w:hAnsi="宋体" w:cs="宋体" w:eastAsia="宋体" w:hint="default"/>
                <w:sz w:val="18"/>
                <w:szCs w:val="18"/>
              </w:rPr>
            </w:pPr>
            <w:r>
              <w:rPr>
                <w:rFonts w:ascii="宋体" w:hAnsi="宋体" w:cs="宋体" w:eastAsia="宋体" w:hint="default"/>
                <w:sz w:val="18"/>
                <w:szCs w:val="18"/>
              </w:rPr>
              <w:t>增值服务收入</w:t>
            </w:r>
            <w:r>
              <w:rPr>
                <w:rFonts w:ascii="Times New Roman" w:hAnsi="Times New Roman" w:cs="Times New Roman" w:eastAsia="Times New Roman" w:hint="default"/>
                <w:sz w:val="18"/>
                <w:szCs w:val="18"/>
              </w:rPr>
              <w:t>- </w:t>
            </w:r>
            <w:r>
              <w:rPr>
                <w:rFonts w:ascii="宋体" w:hAnsi="宋体" w:cs="宋体" w:eastAsia="宋体" w:hint="default"/>
                <w:sz w:val="18"/>
                <w:szCs w:val="18"/>
              </w:rPr>
              <w:t>游戏收入</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1,564,573,450.10</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602,335,942.68</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61.50%</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-20.00%</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-39.66%</w:t>
            </w:r>
          </w:p>
        </w:tc>
        <w:tc>
          <w:tcPr>
            <w:tcW w:w="13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25.62%</w:t>
            </w:r>
          </w:p>
        </w:tc>
      </w:tr>
      <w:tr>
        <w:trPr>
          <w:trHeight w:val="719" w:hRule="exact"/>
        </w:trPr>
        <w:tc>
          <w:tcPr>
            <w:tcW w:w="1368" w:type="dxa"/>
            <w:tcBorders>
              <w:top w:val="single" w:sz="6" w:space="0" w:color="000000"/>
              <w:left w:val="single" w:sz="12" w:space="0" w:color="000000"/>
              <w:bottom w:val="single" w:sz="6" w:space="0" w:color="000000"/>
              <w:right w:val="single" w:sz="6" w:space="0" w:color="000000"/>
            </w:tcBorders>
          </w:tcPr>
          <w:p>
            <w:pPr>
              <w:pStyle w:val="TableParagraph"/>
              <w:spacing w:line="302" w:lineRule="auto" w:before="51"/>
              <w:ind w:left="13" w:right="190"/>
              <w:jc w:val="left"/>
              <w:rPr>
                <w:rFonts w:ascii="宋体" w:hAnsi="宋体" w:cs="宋体" w:eastAsia="宋体" w:hint="default"/>
                <w:sz w:val="18"/>
                <w:szCs w:val="18"/>
              </w:rPr>
            </w:pPr>
            <w:r>
              <w:rPr>
                <w:rFonts w:ascii="宋体" w:hAnsi="宋体" w:cs="宋体" w:eastAsia="宋体" w:hint="default"/>
                <w:sz w:val="18"/>
                <w:szCs w:val="18"/>
              </w:rPr>
              <w:t>增值服务收入</w:t>
            </w:r>
            <w:r>
              <w:rPr>
                <w:rFonts w:ascii="Times New Roman" w:hAnsi="Times New Roman" w:cs="Times New Roman" w:eastAsia="Times New Roman" w:hint="default"/>
                <w:sz w:val="18"/>
                <w:szCs w:val="18"/>
              </w:rPr>
              <w:t>- </w:t>
            </w:r>
            <w:r>
              <w:rPr>
                <w:rFonts w:ascii="宋体" w:hAnsi="宋体" w:cs="宋体" w:eastAsia="宋体" w:hint="default"/>
                <w:sz w:val="18"/>
                <w:szCs w:val="18"/>
              </w:rPr>
              <w:t>社交网络收入</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1,643,488,061.52</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74,805,436.03</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95.45%</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960.86%</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-26.34%</w:t>
            </w:r>
          </w:p>
        </w:tc>
        <w:tc>
          <w:tcPr>
            <w:tcW w:w="13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177.09%</w:t>
            </w:r>
          </w:p>
        </w:tc>
      </w:tr>
      <w:tr>
        <w:trPr>
          <w:trHeight w:val="415" w:hRule="exact"/>
        </w:trPr>
        <w:tc>
          <w:tcPr>
            <w:tcW w:w="13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网络广告收入</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209,907,289.32</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16,374,710.47</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92.20%</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-27.62%</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-58.97%</w:t>
            </w:r>
          </w:p>
        </w:tc>
        <w:tc>
          <w:tcPr>
            <w:tcW w:w="13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6.91%</w:t>
            </w:r>
          </w:p>
        </w:tc>
      </w:tr>
      <w:tr>
        <w:trPr>
          <w:trHeight w:val="398" w:hRule="exact"/>
        </w:trPr>
        <w:tc>
          <w:tcPr>
            <w:tcW w:w="9571" w:type="dxa"/>
            <w:gridSpan w:val="7"/>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44"/>
              <w:ind w:left="13"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8" w:hRule="exact"/>
        </w:trPr>
        <w:tc>
          <w:tcPr>
            <w:tcW w:w="13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境内</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1,812,107,538.89</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344,990,545.50</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80.96%</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3"/>
                <w:sz w:val="18"/>
              </w:rPr>
              <w:t>111.18%</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-47.34%</w:t>
            </w:r>
          </w:p>
        </w:tc>
        <w:tc>
          <w:tcPr>
            <w:tcW w:w="13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242.29%</w:t>
            </w:r>
          </w:p>
        </w:tc>
      </w:tr>
      <w:tr>
        <w:trPr>
          <w:trHeight w:val="415" w:hRule="exact"/>
        </w:trPr>
        <w:tc>
          <w:tcPr>
            <w:tcW w:w="136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境外</w:t>
            </w:r>
          </w:p>
        </w:tc>
        <w:tc>
          <w:tcPr>
            <w:tcW w:w="136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1,624,262,129.15</w:t>
            </w:r>
          </w:p>
        </w:tc>
        <w:tc>
          <w:tcPr>
            <w:tcW w:w="136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349,557,291.30</w:t>
            </w:r>
          </w:p>
        </w:tc>
        <w:tc>
          <w:tcPr>
            <w:tcW w:w="136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78.48%</w:t>
            </w:r>
          </w:p>
        </w:tc>
        <w:tc>
          <w:tcPr>
            <w:tcW w:w="13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3.68%</w:t>
            </w:r>
          </w:p>
        </w:tc>
        <w:tc>
          <w:tcPr>
            <w:tcW w:w="13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-27.90%</w:t>
            </w:r>
          </w:p>
        </w:tc>
        <w:tc>
          <w:tcPr>
            <w:tcW w:w="137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13.65%</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公司主营业务数据统计口径在报告期发生调整的情况下，公司最近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年）按报告期末口径调整后的主营业务数据</w:t>
      </w:r>
    </w:p>
    <w:p>
      <w:pPr>
        <w:spacing w:before="102"/>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51" w:type="dxa"/>
        <w:tblLayout w:type="fixed"/>
        <w:tblCellMar>
          <w:top w:w="0" w:type="dxa"/>
          <w:left w:w="0" w:type="dxa"/>
          <w:bottom w:w="0" w:type="dxa"/>
          <w:right w:w="0" w:type="dxa"/>
        </w:tblCellMar>
        <w:tblLook w:val="01E0"/>
      </w:tblPr>
      <w:tblGrid>
        <w:gridCol w:w="1368"/>
        <w:gridCol w:w="1366"/>
        <w:gridCol w:w="1366"/>
        <w:gridCol w:w="1368"/>
        <w:gridCol w:w="1367"/>
        <w:gridCol w:w="1367"/>
        <w:gridCol w:w="1370"/>
      </w:tblGrid>
      <w:tr>
        <w:trPr>
          <w:trHeight w:val="727" w:hRule="exact"/>
        </w:trPr>
        <w:tc>
          <w:tcPr>
            <w:tcW w:w="1368" w:type="dxa"/>
            <w:tcBorders>
              <w:top w:val="single" w:sz="12" w:space="0" w:color="000000"/>
              <w:left w:val="single" w:sz="12" w:space="0" w:color="000000"/>
              <w:bottom w:val="single" w:sz="6" w:space="0" w:color="000000"/>
              <w:right w:val="single" w:sz="6" w:space="0" w:color="000000"/>
            </w:tcBorders>
            <w:shd w:val="clear" w:color="auto" w:fill="D2D2D2"/>
          </w:tcPr>
          <w:p>
            <w:pPr/>
          </w:p>
        </w:tc>
        <w:tc>
          <w:tcPr>
            <w:tcW w:w="136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5"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6"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315" w:right="44"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316" w:right="45" w:hanging="271"/>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0"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316" w:lineRule="auto" w:before="51"/>
              <w:ind w:left="407" w:right="37"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7" w:hRule="exact"/>
        </w:trPr>
        <w:tc>
          <w:tcPr>
            <w:tcW w:w="9571" w:type="dxa"/>
            <w:gridSpan w:val="7"/>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15" w:hRule="exact"/>
        </w:trPr>
        <w:tc>
          <w:tcPr>
            <w:tcW w:w="13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互联网收入</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2,400,784,076.22</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1,139,774,174.95</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52.52%</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35.89%</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63.15%</w:t>
            </w:r>
          </w:p>
        </w:tc>
        <w:tc>
          <w:tcPr>
            <w:tcW w:w="13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-13.12%</w:t>
            </w:r>
          </w:p>
        </w:tc>
      </w:tr>
      <w:tr>
        <w:trPr>
          <w:trHeight w:val="398" w:hRule="exact"/>
        </w:trPr>
        <w:tc>
          <w:tcPr>
            <w:tcW w:w="9571" w:type="dxa"/>
            <w:gridSpan w:val="7"/>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44"/>
              <w:ind w:left="13" w:right="0"/>
              <w:jc w:val="left"/>
              <w:rPr>
                <w:rFonts w:ascii="宋体" w:hAnsi="宋体" w:cs="宋体" w:eastAsia="宋体" w:hint="default"/>
                <w:sz w:val="18"/>
                <w:szCs w:val="18"/>
              </w:rPr>
            </w:pPr>
            <w:r>
              <w:rPr>
                <w:rFonts w:ascii="宋体" w:hAnsi="宋体" w:cs="宋体" w:eastAsia="宋体" w:hint="default"/>
                <w:sz w:val="18"/>
                <w:szCs w:val="18"/>
              </w:rPr>
              <w:t>分业务</w:t>
            </w:r>
          </w:p>
        </w:tc>
      </w:tr>
      <w:tr>
        <w:trPr>
          <w:trHeight w:val="719" w:hRule="exact"/>
        </w:trPr>
        <w:tc>
          <w:tcPr>
            <w:tcW w:w="1368" w:type="dxa"/>
            <w:tcBorders>
              <w:top w:val="single" w:sz="6" w:space="0" w:color="000000"/>
              <w:left w:val="single" w:sz="12" w:space="0" w:color="000000"/>
              <w:bottom w:val="single" w:sz="6" w:space="0" w:color="000000"/>
              <w:right w:val="single" w:sz="6" w:space="0" w:color="000000"/>
            </w:tcBorders>
          </w:tcPr>
          <w:p>
            <w:pPr>
              <w:pStyle w:val="TableParagraph"/>
              <w:spacing w:line="300" w:lineRule="auto" w:before="52"/>
              <w:ind w:left="13" w:right="190"/>
              <w:jc w:val="left"/>
              <w:rPr>
                <w:rFonts w:ascii="宋体" w:hAnsi="宋体" w:cs="宋体" w:eastAsia="宋体" w:hint="default"/>
                <w:sz w:val="18"/>
                <w:szCs w:val="18"/>
              </w:rPr>
            </w:pPr>
            <w:r>
              <w:rPr>
                <w:rFonts w:ascii="宋体" w:hAnsi="宋体" w:cs="宋体" w:eastAsia="宋体" w:hint="default"/>
                <w:sz w:val="18"/>
                <w:szCs w:val="18"/>
              </w:rPr>
              <w:t>增值服务收入</w:t>
            </w:r>
            <w:r>
              <w:rPr>
                <w:rFonts w:ascii="Times New Roman" w:hAnsi="Times New Roman" w:cs="Times New Roman" w:eastAsia="Times New Roman" w:hint="default"/>
                <w:sz w:val="18"/>
                <w:szCs w:val="18"/>
              </w:rPr>
              <w:t>- </w:t>
            </w:r>
            <w:r>
              <w:rPr>
                <w:rFonts w:ascii="宋体" w:hAnsi="宋体" w:cs="宋体" w:eastAsia="宋体" w:hint="default"/>
                <w:sz w:val="18"/>
                <w:szCs w:val="18"/>
              </w:rPr>
              <w:t>游戏收入</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1,955,838,605.16</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998,308,897.48</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48.96%</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12.10%</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44.28%</w:t>
            </w:r>
          </w:p>
        </w:tc>
        <w:tc>
          <w:tcPr>
            <w:tcW w:w="13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-18.87%</w:t>
            </w:r>
          </w:p>
        </w:tc>
      </w:tr>
      <w:tr>
        <w:trPr>
          <w:trHeight w:val="720" w:hRule="exact"/>
        </w:trPr>
        <w:tc>
          <w:tcPr>
            <w:tcW w:w="1368" w:type="dxa"/>
            <w:tcBorders>
              <w:top w:val="single" w:sz="6" w:space="0" w:color="000000"/>
              <w:left w:val="single" w:sz="12" w:space="0" w:color="000000"/>
              <w:bottom w:val="single" w:sz="6" w:space="0" w:color="000000"/>
              <w:right w:val="single" w:sz="6" w:space="0" w:color="000000"/>
            </w:tcBorders>
          </w:tcPr>
          <w:p>
            <w:pPr>
              <w:pStyle w:val="TableParagraph"/>
              <w:spacing w:line="300" w:lineRule="auto" w:before="52"/>
              <w:ind w:left="13" w:right="190"/>
              <w:jc w:val="left"/>
              <w:rPr>
                <w:rFonts w:ascii="宋体" w:hAnsi="宋体" w:cs="宋体" w:eastAsia="宋体" w:hint="default"/>
                <w:sz w:val="18"/>
                <w:szCs w:val="18"/>
              </w:rPr>
            </w:pPr>
            <w:r>
              <w:rPr>
                <w:rFonts w:ascii="宋体" w:hAnsi="宋体" w:cs="宋体" w:eastAsia="宋体" w:hint="default"/>
                <w:sz w:val="18"/>
                <w:szCs w:val="18"/>
              </w:rPr>
              <w:t>增值服务收入</w:t>
            </w:r>
            <w:r>
              <w:rPr>
                <w:rFonts w:ascii="Times New Roman" w:hAnsi="Times New Roman" w:cs="Times New Roman" w:eastAsia="Times New Roman" w:hint="default"/>
                <w:sz w:val="18"/>
                <w:szCs w:val="18"/>
              </w:rPr>
              <w:t>- </w:t>
            </w:r>
            <w:r>
              <w:rPr>
                <w:rFonts w:ascii="宋体" w:hAnsi="宋体" w:cs="宋体" w:eastAsia="宋体" w:hint="default"/>
                <w:sz w:val="18"/>
                <w:szCs w:val="18"/>
              </w:rPr>
              <w:t>社交网络收入</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154,920,808.72</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101,555,880.89</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34.45%</w:t>
            </w:r>
          </w:p>
        </w:tc>
        <w:tc>
          <w:tcPr>
            <w:tcW w:w="1367" w:type="dxa"/>
            <w:tcBorders>
              <w:top w:val="single" w:sz="6" w:space="0" w:color="000000"/>
              <w:left w:val="single" w:sz="6" w:space="0" w:color="000000"/>
              <w:bottom w:val="single" w:sz="6" w:space="0" w:color="000000"/>
              <w:right w:val="single" w:sz="6" w:space="0" w:color="000000"/>
            </w:tcBorders>
          </w:tcPr>
          <w:p>
            <w:pPr/>
          </w:p>
        </w:tc>
        <w:tc>
          <w:tcPr>
            <w:tcW w:w="1367"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12" w:space="0" w:color="000000"/>
            </w:tcBorders>
          </w:tcPr>
          <w:p>
            <w:pPr/>
          </w:p>
        </w:tc>
      </w:tr>
      <w:tr>
        <w:trPr>
          <w:trHeight w:val="407" w:hRule="exact"/>
        </w:trPr>
        <w:tc>
          <w:tcPr>
            <w:tcW w:w="13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网络广告收入</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290,024,662.34</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39,909,396.59</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86.24%</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1,217.89%</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495.34%</w:t>
            </w:r>
          </w:p>
        </w:tc>
        <w:tc>
          <w:tcPr>
            <w:tcW w:w="13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24.02%</w:t>
            </w:r>
          </w:p>
        </w:tc>
      </w:tr>
      <w:tr>
        <w:trPr>
          <w:trHeight w:val="407" w:hRule="exact"/>
        </w:trPr>
        <w:tc>
          <w:tcPr>
            <w:tcW w:w="9571" w:type="dxa"/>
            <w:gridSpan w:val="7"/>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7" w:hRule="exact"/>
        </w:trPr>
        <w:tc>
          <w:tcPr>
            <w:tcW w:w="13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境内</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858,074,350.66</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655,110,983.93</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23.65%</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84.34%</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187.22%</w:t>
            </w:r>
          </w:p>
        </w:tc>
        <w:tc>
          <w:tcPr>
            <w:tcW w:w="13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-53.62%</w:t>
            </w:r>
          </w:p>
        </w:tc>
      </w:tr>
      <w:tr>
        <w:trPr>
          <w:trHeight w:val="415" w:hRule="exact"/>
        </w:trPr>
        <w:tc>
          <w:tcPr>
            <w:tcW w:w="136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境外</w:t>
            </w:r>
          </w:p>
        </w:tc>
        <w:tc>
          <w:tcPr>
            <w:tcW w:w="136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1,566,596,276.16</w:t>
            </w:r>
          </w:p>
        </w:tc>
        <w:tc>
          <w:tcPr>
            <w:tcW w:w="136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484,797,903.06</w:t>
            </w:r>
          </w:p>
        </w:tc>
        <w:tc>
          <w:tcPr>
            <w:tcW w:w="136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69.05%</w:t>
            </w:r>
          </w:p>
        </w:tc>
        <w:tc>
          <w:tcPr>
            <w:tcW w:w="13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18.35%</w:t>
            </w:r>
          </w:p>
        </w:tc>
        <w:tc>
          <w:tcPr>
            <w:tcW w:w="13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3.03%</w:t>
            </w:r>
          </w:p>
        </w:tc>
        <w:tc>
          <w:tcPr>
            <w:tcW w:w="137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7.14%</w:t>
            </w:r>
          </w:p>
        </w:tc>
      </w:tr>
    </w:tbl>
    <w:p>
      <w:pPr>
        <w:spacing w:line="240" w:lineRule="auto" w:before="6"/>
        <w:rPr>
          <w:rFonts w:ascii="宋体" w:hAnsi="宋体" w:cs="宋体" w:eastAsia="宋体" w:hint="default"/>
          <w:sz w:val="6"/>
          <w:szCs w:val="6"/>
        </w:rPr>
      </w:pPr>
    </w:p>
    <w:p>
      <w:pPr>
        <w:spacing w:before="44"/>
        <w:ind w:left="1134" w:right="998" w:firstLine="0"/>
        <w:jc w:val="left"/>
        <w:rPr>
          <w:rFonts w:ascii="宋体" w:hAnsi="宋体" w:cs="宋体" w:eastAsia="宋体" w:hint="default"/>
          <w:sz w:val="18"/>
          <w:szCs w:val="18"/>
        </w:rPr>
      </w:pPr>
      <w:r>
        <w:rPr>
          <w:rFonts w:ascii="宋体" w:hAnsi="宋体" w:cs="宋体" w:eastAsia="宋体" w:hint="default"/>
          <w:sz w:val="18"/>
          <w:szCs w:val="18"/>
        </w:rPr>
        <w:t>变更口径的理由</w:t>
      </w:r>
    </w:p>
    <w:p>
      <w:pPr>
        <w:spacing w:line="240" w:lineRule="auto" w:before="2"/>
        <w:rPr>
          <w:rFonts w:ascii="宋体" w:hAnsi="宋体" w:cs="宋体" w:eastAsia="宋体" w:hint="default"/>
          <w:sz w:val="17"/>
          <w:szCs w:val="17"/>
        </w:rPr>
      </w:pPr>
    </w:p>
    <w:p>
      <w:pPr>
        <w:pStyle w:val="Heading5"/>
        <w:spacing w:line="357" w:lineRule="auto" w:before="0"/>
        <w:ind w:right="1135" w:firstLine="420"/>
        <w:jc w:val="both"/>
      </w:pPr>
      <w:r>
        <w:rPr>
          <w:spacing w:val="2"/>
        </w:rPr>
        <w:t>随着聚焦“打造海外领先的社交媒体和内容平台”的发展战略，围绕研发及运营的核心</w:t>
      </w:r>
      <w:r>
        <w:rPr/>
        <w:t> 优势，逐渐在全球范围内形成了由移动游戏平台（昆仑游戏）、休闲娱乐社交平台（闲徕互 娱）、社交平台</w:t>
      </w:r>
      <w:r>
        <w:rPr>
          <w:rFonts w:ascii="宋体" w:hAnsi="宋体" w:cs="宋体" w:eastAsia="宋体" w:hint="default"/>
        </w:rPr>
        <w:t>(Grindr)</w:t>
      </w:r>
      <w:r>
        <w:rPr/>
        <w:t>等三大业务板块组成的社交媒体和内容平台，并通过构建集团大数</w:t>
      </w:r>
    </w:p>
    <w:p>
      <w:pPr>
        <w:spacing w:after="0" w:line="357" w:lineRule="auto"/>
        <w:jc w:val="both"/>
        <w:sectPr>
          <w:pgSz w:w="11910" w:h="16840"/>
          <w:pgMar w:header="747" w:footer="979" w:top="1060" w:bottom="1160" w:left="0" w:right="0"/>
        </w:sectPr>
      </w:pPr>
    </w:p>
    <w:p>
      <w:pPr>
        <w:spacing w:line="240" w:lineRule="auto" w:before="7"/>
        <w:rPr>
          <w:rFonts w:ascii="宋体" w:hAnsi="宋体" w:cs="宋体" w:eastAsia="宋体" w:hint="default"/>
          <w:sz w:val="29"/>
          <w:szCs w:val="29"/>
        </w:rPr>
      </w:pPr>
    </w:p>
    <w:p>
      <w:pPr>
        <w:pStyle w:val="Heading5"/>
        <w:spacing w:line="357" w:lineRule="auto"/>
        <w:ind w:right="998"/>
        <w:jc w:val="left"/>
      </w:pPr>
      <w:r>
        <w:rPr/>
        <w:t>据系统驱动各板块产生协同效应，为便于投资者更清晰理解公司的核心优势及业务形态，公 司对本期及上年同期的“分行业”统计口径做出调整。</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Heading6"/>
        <w:spacing w:line="240" w:lineRule="auto" w:before="161"/>
        <w:ind w:left="1133" w:right="998"/>
        <w:jc w:val="left"/>
        <w:rPr>
          <w:b w:val="0"/>
          <w:bCs w:val="0"/>
        </w:rPr>
      </w:pPr>
      <w:bookmarkStart w:name="（3）公司实物销售收入是否大于劳务收入" w:id="30"/>
      <w:bookmarkEnd w:id="30"/>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8"/>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10"/>
        <w:rPr>
          <w:rFonts w:ascii="宋体" w:hAnsi="宋体" w:cs="宋体" w:eastAsia="宋体" w:hint="default"/>
          <w:sz w:val="25"/>
          <w:szCs w:val="25"/>
        </w:rPr>
      </w:pPr>
    </w:p>
    <w:p>
      <w:pPr>
        <w:pStyle w:val="Heading6"/>
        <w:spacing w:line="240" w:lineRule="auto"/>
        <w:ind w:left="1133" w:right="998"/>
        <w:jc w:val="left"/>
        <w:rPr>
          <w:b w:val="0"/>
          <w:bCs w:val="0"/>
        </w:rPr>
      </w:pPr>
      <w:bookmarkStart w:name="（4）公司已签订的重大销售合同截至本报告期的履行情况" w:id="31"/>
      <w:bookmarkEnd w:id="31"/>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8"/>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6"/>
        <w:spacing w:line="240" w:lineRule="auto"/>
        <w:ind w:left="1133" w:right="998"/>
        <w:jc w:val="left"/>
        <w:rPr>
          <w:b w:val="0"/>
          <w:bCs w:val="0"/>
        </w:rPr>
      </w:pPr>
      <w:bookmarkStart w:name="（5）营业成本构成" w:id="32"/>
      <w:bookmarkEnd w:id="32"/>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4"/>
        <w:rPr>
          <w:rFonts w:ascii="宋体" w:hAnsi="宋体" w:cs="宋体" w:eastAsia="宋体" w:hint="default"/>
          <w:b/>
          <w:bCs/>
          <w:sz w:val="23"/>
          <w:szCs w:val="23"/>
        </w:rPr>
      </w:pPr>
    </w:p>
    <w:p>
      <w:pPr>
        <w:spacing w:before="44"/>
        <w:ind w:left="1134" w:right="998" w:firstLine="0"/>
        <w:jc w:val="left"/>
        <w:rPr>
          <w:rFonts w:ascii="宋体" w:hAnsi="宋体" w:cs="宋体" w:eastAsia="宋体" w:hint="default"/>
          <w:sz w:val="18"/>
          <w:szCs w:val="18"/>
        </w:rPr>
      </w:pPr>
      <w:r>
        <w:rPr>
          <w:rFonts w:ascii="宋体" w:hAnsi="宋体" w:cs="宋体" w:eastAsia="宋体" w:hint="default"/>
          <w:sz w:val="18"/>
          <w:szCs w:val="18"/>
        </w:rPr>
        <w:t>行业和产品分类</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090" w:type="dxa"/>
        <w:tblLayout w:type="fixed"/>
        <w:tblCellMar>
          <w:top w:w="0" w:type="dxa"/>
          <w:left w:w="0" w:type="dxa"/>
          <w:bottom w:w="0" w:type="dxa"/>
          <w:right w:w="0" w:type="dxa"/>
        </w:tblCellMar>
        <w:tblLook w:val="01E0"/>
      </w:tblPr>
      <w:tblGrid>
        <w:gridCol w:w="1619"/>
        <w:gridCol w:w="1616"/>
        <w:gridCol w:w="1616"/>
        <w:gridCol w:w="1614"/>
        <w:gridCol w:w="1616"/>
        <w:gridCol w:w="1615"/>
      </w:tblGrid>
      <w:tr>
        <w:trPr>
          <w:trHeight w:val="415" w:hRule="exact"/>
        </w:trPr>
        <w:tc>
          <w:tcPr>
            <w:tcW w:w="1619" w:type="dxa"/>
            <w:vMerge w:val="restart"/>
            <w:tcBorders>
              <w:top w:val="single" w:sz="12" w:space="0" w:color="000000"/>
              <w:left w:val="single" w:sz="12" w:space="0" w:color="000000"/>
              <w:right w:val="single" w:sz="6"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34"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3232" w:type="dxa"/>
            <w:gridSpan w:val="2"/>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30" w:type="dxa"/>
            <w:gridSpan w:val="2"/>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5" w:type="dxa"/>
            <w:vMerge w:val="restart"/>
            <w:tcBorders>
              <w:top w:val="single" w:sz="12" w:space="0" w:color="000000"/>
              <w:left w:val="single" w:sz="6" w:space="0" w:color="000000"/>
              <w:right w:val="single" w:sz="12"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40"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7" w:hRule="exact"/>
        </w:trPr>
        <w:tc>
          <w:tcPr>
            <w:tcW w:w="1619" w:type="dxa"/>
            <w:vMerge/>
            <w:tcBorders>
              <w:left w:val="single" w:sz="12" w:space="0" w:color="000000"/>
              <w:bottom w:val="single" w:sz="6" w:space="0" w:color="000000"/>
              <w:right w:val="single" w:sz="6" w:space="0" w:color="000000"/>
            </w:tcBorders>
            <w:shd w:val="clear" w:color="auto" w:fill="D2D2D2"/>
          </w:tcPr>
          <w:p>
            <w:pPr/>
          </w:p>
        </w:tc>
        <w:tc>
          <w:tcPr>
            <w:tcW w:w="161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61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69"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614"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61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70"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615" w:type="dxa"/>
            <w:vMerge/>
            <w:tcBorders>
              <w:left w:val="single" w:sz="6" w:space="0" w:color="000000"/>
              <w:bottom w:val="single" w:sz="6" w:space="0" w:color="000000"/>
              <w:right w:val="single" w:sz="12" w:space="0" w:color="000000"/>
            </w:tcBorders>
            <w:shd w:val="clear" w:color="auto" w:fill="D2D2D2"/>
          </w:tcPr>
          <w:p>
            <w:pPr/>
          </w:p>
        </w:tc>
      </w:tr>
      <w:tr>
        <w:trPr>
          <w:trHeight w:val="407"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互联网成本</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693,516,089.17</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99.85%</w:t>
            </w:r>
          </w:p>
        </w:tc>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1,139,774,174.95</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99.99%</w:t>
            </w:r>
          </w:p>
        </w:tc>
        <w:tc>
          <w:tcPr>
            <w:tcW w:w="161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-39.15%</w:t>
            </w:r>
          </w:p>
        </w:tc>
      </w:tr>
      <w:tr>
        <w:trPr>
          <w:trHeight w:val="415" w:hRule="exact"/>
        </w:trPr>
        <w:tc>
          <w:tcPr>
            <w:tcW w:w="161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3"/>
              <w:ind w:left="13" w:right="0"/>
              <w:jc w:val="left"/>
              <w:rPr>
                <w:rFonts w:ascii="宋体" w:hAnsi="宋体" w:cs="宋体" w:eastAsia="宋体" w:hint="default"/>
                <w:sz w:val="18"/>
                <w:szCs w:val="18"/>
              </w:rPr>
            </w:pPr>
            <w:r>
              <w:rPr>
                <w:rFonts w:ascii="宋体" w:hAnsi="宋体" w:cs="宋体" w:eastAsia="宋体" w:hint="default"/>
                <w:sz w:val="18"/>
                <w:szCs w:val="18"/>
              </w:rPr>
              <w:t>其他成本</w:t>
            </w:r>
          </w:p>
        </w:tc>
        <w:tc>
          <w:tcPr>
            <w:tcW w:w="16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1,031,747.66</w:t>
            </w:r>
          </w:p>
        </w:tc>
        <w:tc>
          <w:tcPr>
            <w:tcW w:w="16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0.15%</w:t>
            </w:r>
          </w:p>
        </w:tc>
        <w:tc>
          <w:tcPr>
            <w:tcW w:w="16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134,712.03</w:t>
            </w:r>
          </w:p>
        </w:tc>
        <w:tc>
          <w:tcPr>
            <w:tcW w:w="16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0.01%</w:t>
            </w:r>
          </w:p>
        </w:tc>
        <w:tc>
          <w:tcPr>
            <w:tcW w:w="161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665.89%</w:t>
            </w:r>
          </w:p>
        </w:tc>
      </w:tr>
    </w:tbl>
    <w:p>
      <w:pPr>
        <w:spacing w:before="51"/>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090" w:type="dxa"/>
        <w:tblLayout w:type="fixed"/>
        <w:tblCellMar>
          <w:top w:w="0" w:type="dxa"/>
          <w:left w:w="0" w:type="dxa"/>
          <w:bottom w:w="0" w:type="dxa"/>
          <w:right w:w="0" w:type="dxa"/>
        </w:tblCellMar>
        <w:tblLook w:val="01E0"/>
      </w:tblPr>
      <w:tblGrid>
        <w:gridCol w:w="1619"/>
        <w:gridCol w:w="1616"/>
        <w:gridCol w:w="1616"/>
        <w:gridCol w:w="1614"/>
        <w:gridCol w:w="1616"/>
        <w:gridCol w:w="1615"/>
      </w:tblGrid>
      <w:tr>
        <w:trPr>
          <w:trHeight w:val="415" w:hRule="exact"/>
        </w:trPr>
        <w:tc>
          <w:tcPr>
            <w:tcW w:w="1619" w:type="dxa"/>
            <w:vMerge w:val="restart"/>
            <w:tcBorders>
              <w:top w:val="single" w:sz="12" w:space="0" w:color="000000"/>
              <w:left w:val="single" w:sz="12" w:space="0" w:color="000000"/>
              <w:right w:val="single" w:sz="6"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34"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3232" w:type="dxa"/>
            <w:gridSpan w:val="2"/>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30" w:type="dxa"/>
            <w:gridSpan w:val="2"/>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5" w:type="dxa"/>
            <w:vMerge w:val="restart"/>
            <w:tcBorders>
              <w:top w:val="single" w:sz="12" w:space="0" w:color="000000"/>
              <w:left w:val="single" w:sz="6" w:space="0" w:color="000000"/>
              <w:right w:val="single" w:sz="12" w:space="0" w:color="000000"/>
            </w:tcBorders>
            <w:shd w:val="clear" w:color="auto" w:fill="D2D2D2"/>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40"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7" w:hRule="exact"/>
        </w:trPr>
        <w:tc>
          <w:tcPr>
            <w:tcW w:w="1619" w:type="dxa"/>
            <w:vMerge/>
            <w:tcBorders>
              <w:left w:val="single" w:sz="12" w:space="0" w:color="000000"/>
              <w:bottom w:val="single" w:sz="6" w:space="0" w:color="000000"/>
              <w:right w:val="single" w:sz="6" w:space="0" w:color="000000"/>
            </w:tcBorders>
            <w:shd w:val="clear" w:color="auto" w:fill="D2D2D2"/>
          </w:tcPr>
          <w:p>
            <w:pPr/>
          </w:p>
        </w:tc>
        <w:tc>
          <w:tcPr>
            <w:tcW w:w="161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61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69"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614"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61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70"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615" w:type="dxa"/>
            <w:vMerge/>
            <w:tcBorders>
              <w:left w:val="single" w:sz="6" w:space="0" w:color="000000"/>
              <w:bottom w:val="single" w:sz="6" w:space="0" w:color="000000"/>
              <w:right w:val="single" w:sz="12" w:space="0" w:color="000000"/>
            </w:tcBorders>
            <w:shd w:val="clear" w:color="auto" w:fill="D2D2D2"/>
          </w:tcPr>
          <w:p>
            <w:pPr/>
          </w:p>
        </w:tc>
      </w:tr>
      <w:tr>
        <w:trPr>
          <w:trHeight w:val="719"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302" w:lineRule="auto" w:before="51"/>
              <w:ind w:left="13" w:right="80"/>
              <w:jc w:val="left"/>
              <w:rPr>
                <w:rFonts w:ascii="宋体" w:hAnsi="宋体" w:cs="宋体" w:eastAsia="宋体" w:hint="default"/>
                <w:sz w:val="18"/>
                <w:szCs w:val="18"/>
              </w:rPr>
            </w:pPr>
            <w:r>
              <w:rPr>
                <w:rFonts w:ascii="宋体" w:hAnsi="宋体" w:cs="宋体" w:eastAsia="宋体" w:hint="default"/>
                <w:sz w:val="18"/>
                <w:szCs w:val="18"/>
              </w:rPr>
              <w:t>增值服务成本</w:t>
            </w:r>
            <w:r>
              <w:rPr>
                <w:rFonts w:ascii="Times New Roman" w:hAnsi="Times New Roman" w:cs="Times New Roman" w:eastAsia="Times New Roman" w:hint="default"/>
                <w:sz w:val="18"/>
                <w:szCs w:val="18"/>
              </w:rPr>
              <w:t>-</w:t>
            </w:r>
            <w:r>
              <w:rPr>
                <w:rFonts w:ascii="宋体" w:hAnsi="宋体" w:cs="宋体" w:eastAsia="宋体" w:hint="default"/>
                <w:sz w:val="18"/>
                <w:szCs w:val="18"/>
              </w:rPr>
              <w:t>游戏 成本</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602,335,942.68</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86.72%</w:t>
            </w:r>
          </w:p>
        </w:tc>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998,308,897.48</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87.58%</w:t>
            </w:r>
          </w:p>
        </w:tc>
        <w:tc>
          <w:tcPr>
            <w:tcW w:w="161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-39.66%</w:t>
            </w:r>
          </w:p>
        </w:tc>
      </w:tr>
      <w:tr>
        <w:trPr>
          <w:trHeight w:val="719"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300" w:lineRule="auto" w:before="52"/>
              <w:ind w:left="13" w:right="80"/>
              <w:jc w:val="left"/>
              <w:rPr>
                <w:rFonts w:ascii="宋体" w:hAnsi="宋体" w:cs="宋体" w:eastAsia="宋体" w:hint="default"/>
                <w:sz w:val="18"/>
                <w:szCs w:val="18"/>
              </w:rPr>
            </w:pPr>
            <w:r>
              <w:rPr>
                <w:rFonts w:ascii="宋体" w:hAnsi="宋体" w:cs="宋体" w:eastAsia="宋体" w:hint="default"/>
                <w:sz w:val="18"/>
                <w:szCs w:val="18"/>
              </w:rPr>
              <w:t>增值服务成本</w:t>
            </w:r>
            <w:r>
              <w:rPr>
                <w:rFonts w:ascii="Times New Roman" w:hAnsi="Times New Roman" w:cs="Times New Roman" w:eastAsia="Times New Roman" w:hint="default"/>
                <w:sz w:val="18"/>
                <w:szCs w:val="18"/>
              </w:rPr>
              <w:t>-</w:t>
            </w:r>
            <w:r>
              <w:rPr>
                <w:rFonts w:ascii="宋体" w:hAnsi="宋体" w:cs="宋体" w:eastAsia="宋体" w:hint="default"/>
                <w:sz w:val="18"/>
                <w:szCs w:val="18"/>
              </w:rPr>
              <w:t>社交 网络成本</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74,805,436.03</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10.77%</w:t>
            </w:r>
          </w:p>
        </w:tc>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101,555,880.89</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8.91%</w:t>
            </w:r>
          </w:p>
        </w:tc>
        <w:tc>
          <w:tcPr>
            <w:tcW w:w="161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-26.34%</w:t>
            </w:r>
          </w:p>
        </w:tc>
      </w:tr>
      <w:tr>
        <w:trPr>
          <w:trHeight w:val="407"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网络广告成本</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16,374,710.47</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2.36%</w:t>
            </w:r>
          </w:p>
        </w:tc>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39,909,396.59</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3.50%</w:t>
            </w:r>
          </w:p>
        </w:tc>
        <w:tc>
          <w:tcPr>
            <w:tcW w:w="161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-58.97%</w:t>
            </w:r>
          </w:p>
        </w:tc>
      </w:tr>
      <w:tr>
        <w:trPr>
          <w:trHeight w:val="416" w:hRule="exact"/>
        </w:trPr>
        <w:tc>
          <w:tcPr>
            <w:tcW w:w="161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其他成本</w:t>
            </w:r>
          </w:p>
        </w:tc>
        <w:tc>
          <w:tcPr>
            <w:tcW w:w="16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1,031,747.66</w:t>
            </w:r>
          </w:p>
        </w:tc>
        <w:tc>
          <w:tcPr>
            <w:tcW w:w="16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0.15%</w:t>
            </w:r>
          </w:p>
        </w:tc>
        <w:tc>
          <w:tcPr>
            <w:tcW w:w="16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134,712.03</w:t>
            </w:r>
          </w:p>
        </w:tc>
        <w:tc>
          <w:tcPr>
            <w:tcW w:w="16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0.01%</w:t>
            </w:r>
          </w:p>
        </w:tc>
        <w:tc>
          <w:tcPr>
            <w:tcW w:w="161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665.89%</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说明</w:t>
      </w:r>
    </w:p>
    <w:p>
      <w:pPr>
        <w:spacing w:line="240" w:lineRule="auto" w:before="13"/>
        <w:rPr>
          <w:rFonts w:ascii="宋体" w:hAnsi="宋体" w:cs="宋体" w:eastAsia="宋体" w:hint="default"/>
          <w:sz w:val="7"/>
          <w:szCs w:val="7"/>
        </w:rPr>
      </w:pPr>
    </w:p>
    <w:tbl>
      <w:tblPr>
        <w:tblW w:w="0" w:type="auto"/>
        <w:jc w:val="left"/>
        <w:tblInd w:w="1161" w:type="dxa"/>
        <w:tblLayout w:type="fixed"/>
        <w:tblCellMar>
          <w:top w:w="0" w:type="dxa"/>
          <w:left w:w="0" w:type="dxa"/>
          <w:bottom w:w="0" w:type="dxa"/>
          <w:right w:w="0" w:type="dxa"/>
        </w:tblCellMar>
        <w:tblLook w:val="01E0"/>
      </w:tblPr>
      <w:tblGrid>
        <w:gridCol w:w="1518"/>
        <w:gridCol w:w="1842"/>
        <w:gridCol w:w="1702"/>
        <w:gridCol w:w="1842"/>
        <w:gridCol w:w="1602"/>
        <w:gridCol w:w="1047"/>
      </w:tblGrid>
      <w:tr>
        <w:trPr>
          <w:trHeight w:val="334" w:hRule="exact"/>
        </w:trPr>
        <w:tc>
          <w:tcPr>
            <w:tcW w:w="1518" w:type="dxa"/>
            <w:vMerge w:val="restart"/>
            <w:tcBorders>
              <w:top w:val="single" w:sz="12" w:space="0" w:color="000000"/>
              <w:left w:val="single" w:sz="12" w:space="0" w:color="000000"/>
              <w:right w:val="single" w:sz="6" w:space="0" w:color="000000"/>
            </w:tcBorders>
            <w:shd w:val="clear" w:color="auto" w:fill="D2D2D2"/>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项目</w:t>
            </w:r>
          </w:p>
        </w:tc>
        <w:tc>
          <w:tcPr>
            <w:tcW w:w="3544" w:type="dxa"/>
            <w:gridSpan w:val="2"/>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444" w:type="dxa"/>
            <w:gridSpan w:val="2"/>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047"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10"/>
              <w:ind w:right="146"/>
              <w:jc w:val="right"/>
              <w:rPr>
                <w:rFonts w:ascii="宋体" w:hAnsi="宋体" w:cs="宋体" w:eastAsia="宋体" w:hint="default"/>
                <w:sz w:val="18"/>
                <w:szCs w:val="18"/>
              </w:rPr>
            </w:pPr>
            <w:r>
              <w:rPr>
                <w:rFonts w:ascii="宋体" w:hAnsi="宋体" w:cs="宋体" w:eastAsia="宋体" w:hint="default"/>
                <w:sz w:val="18"/>
                <w:szCs w:val="18"/>
              </w:rPr>
              <w:t>同比增减</w:t>
            </w:r>
          </w:p>
        </w:tc>
      </w:tr>
      <w:tr>
        <w:trPr>
          <w:trHeight w:val="328" w:hRule="exact"/>
        </w:trPr>
        <w:tc>
          <w:tcPr>
            <w:tcW w:w="1518" w:type="dxa"/>
            <w:vMerge/>
            <w:tcBorders>
              <w:left w:val="single" w:sz="12" w:space="0" w:color="000000"/>
              <w:bottom w:val="single" w:sz="6" w:space="0" w:color="000000"/>
              <w:right w:val="single" w:sz="6" w:space="0" w:color="000000"/>
            </w:tcBorders>
            <w:shd w:val="clear" w:color="auto" w:fill="D2D2D2"/>
          </w:tcPr>
          <w:p>
            <w:pPr/>
          </w:p>
        </w:tc>
        <w:tc>
          <w:tcPr>
            <w:tcW w:w="184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70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left="213"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84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0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left="163"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047" w:type="dxa"/>
            <w:tcBorders>
              <w:top w:val="single" w:sz="6" w:space="0" w:color="000000"/>
              <w:left w:val="single" w:sz="6" w:space="0" w:color="000000"/>
              <w:bottom w:val="single" w:sz="6" w:space="0" w:color="000000"/>
              <w:right w:val="single" w:sz="12" w:space="0" w:color="000000"/>
            </w:tcBorders>
            <w:shd w:val="clear" w:color="auto" w:fill="D2D2D2"/>
          </w:tcPr>
          <w:p>
            <w:pPr/>
          </w:p>
        </w:tc>
      </w:tr>
      <w:tr>
        <w:trPr>
          <w:trHeight w:val="326" w:hRule="exact"/>
        </w:trPr>
        <w:tc>
          <w:tcPr>
            <w:tcW w:w="151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left="93" w:right="0"/>
              <w:jc w:val="left"/>
              <w:rPr>
                <w:rFonts w:ascii="宋体" w:hAnsi="宋体" w:cs="宋体" w:eastAsia="宋体" w:hint="default"/>
                <w:sz w:val="18"/>
                <w:szCs w:val="18"/>
              </w:rPr>
            </w:pPr>
            <w:r>
              <w:rPr>
                <w:rFonts w:ascii="宋体" w:hAnsi="宋体" w:cs="宋体" w:eastAsia="宋体" w:hint="default"/>
                <w:sz w:val="18"/>
                <w:szCs w:val="18"/>
              </w:rPr>
              <w:t>游戏分成</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499,638,350.73</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z w:val="18"/>
              </w:rPr>
              <w:t>43.83%</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864,575,207.30</w:t>
            </w:r>
          </w:p>
        </w:tc>
        <w:tc>
          <w:tcPr>
            <w:tcW w:w="1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z w:val="18"/>
              </w:rPr>
              <w:t>75.85%</w:t>
            </w:r>
          </w:p>
        </w:tc>
        <w:tc>
          <w:tcPr>
            <w:tcW w:w="104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right="89"/>
              <w:jc w:val="right"/>
              <w:rPr>
                <w:rFonts w:ascii="Times New Roman" w:hAnsi="Times New Roman" w:cs="Times New Roman" w:eastAsia="Times New Roman" w:hint="default"/>
                <w:sz w:val="18"/>
                <w:szCs w:val="18"/>
              </w:rPr>
            </w:pPr>
            <w:r>
              <w:rPr>
                <w:rFonts w:ascii="Times New Roman"/>
                <w:sz w:val="18"/>
              </w:rPr>
              <w:t>-42.21%</w:t>
            </w:r>
          </w:p>
        </w:tc>
      </w:tr>
      <w:tr>
        <w:trPr>
          <w:trHeight w:val="328" w:hRule="exact"/>
        </w:trPr>
        <w:tc>
          <w:tcPr>
            <w:tcW w:w="151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带宽成本</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28,964,885.63</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2.54%</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1"/>
                <w:sz w:val="18"/>
              </w:rPr>
              <w:t>36,626,614.97</w:t>
            </w:r>
          </w:p>
        </w:tc>
        <w:tc>
          <w:tcPr>
            <w:tcW w:w="1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3.21%</w:t>
            </w:r>
          </w:p>
        </w:tc>
        <w:tc>
          <w:tcPr>
            <w:tcW w:w="104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z w:val="18"/>
              </w:rPr>
              <w:t>-20.92%</w:t>
            </w:r>
          </w:p>
        </w:tc>
      </w:tr>
      <w:tr>
        <w:trPr>
          <w:trHeight w:val="327" w:hRule="exact"/>
        </w:trPr>
        <w:tc>
          <w:tcPr>
            <w:tcW w:w="151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服务器成本</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51,109,348.92</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z w:val="18"/>
              </w:rPr>
              <w:t>4.48%</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5,923,775.80</w:t>
            </w:r>
          </w:p>
        </w:tc>
        <w:tc>
          <w:tcPr>
            <w:tcW w:w="1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z w:val="18"/>
              </w:rPr>
              <w:t>0.52%</w:t>
            </w:r>
          </w:p>
        </w:tc>
        <w:tc>
          <w:tcPr>
            <w:tcW w:w="104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right="89"/>
              <w:jc w:val="right"/>
              <w:rPr>
                <w:rFonts w:ascii="Times New Roman" w:hAnsi="Times New Roman" w:cs="Times New Roman" w:eastAsia="Times New Roman" w:hint="default"/>
                <w:sz w:val="18"/>
                <w:szCs w:val="18"/>
              </w:rPr>
            </w:pPr>
            <w:r>
              <w:rPr>
                <w:rFonts w:ascii="Times New Roman"/>
                <w:sz w:val="18"/>
              </w:rPr>
              <w:t>762.78%</w:t>
            </w:r>
          </w:p>
        </w:tc>
      </w:tr>
      <w:tr>
        <w:trPr>
          <w:trHeight w:val="328" w:hRule="exact"/>
        </w:trPr>
        <w:tc>
          <w:tcPr>
            <w:tcW w:w="151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授权金摊销成本</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29,681,983.52</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2.60%</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1"/>
                <w:sz w:val="18"/>
              </w:rPr>
              <w:t>75,919,062.84</w:t>
            </w:r>
          </w:p>
        </w:tc>
        <w:tc>
          <w:tcPr>
            <w:tcW w:w="1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6.66%</w:t>
            </w:r>
          </w:p>
        </w:tc>
        <w:tc>
          <w:tcPr>
            <w:tcW w:w="104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18"/>
                <w:szCs w:val="18"/>
              </w:rPr>
            </w:pPr>
            <w:r>
              <w:rPr>
                <w:rFonts w:ascii="Times New Roman"/>
                <w:sz w:val="18"/>
              </w:rPr>
              <w:t>-60.90%</w:t>
            </w:r>
          </w:p>
        </w:tc>
      </w:tr>
      <w:tr>
        <w:trPr>
          <w:trHeight w:val="334" w:hRule="exact"/>
        </w:trPr>
        <w:tc>
          <w:tcPr>
            <w:tcW w:w="151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0"/>
              <w:ind w:left="93" w:right="0"/>
              <w:jc w:val="left"/>
              <w:rPr>
                <w:rFonts w:ascii="宋体" w:hAnsi="宋体" w:cs="宋体" w:eastAsia="宋体" w:hint="default"/>
                <w:sz w:val="18"/>
                <w:szCs w:val="18"/>
              </w:rPr>
            </w:pPr>
            <w:r>
              <w:rPr>
                <w:rFonts w:ascii="宋体" w:hAnsi="宋体" w:cs="宋体" w:eastAsia="宋体" w:hint="default"/>
                <w:sz w:val="18"/>
                <w:szCs w:val="18"/>
              </w:rPr>
              <w:t>其他成本</w:t>
            </w:r>
          </w:p>
        </w:tc>
        <w:tc>
          <w:tcPr>
            <w:tcW w:w="18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85,153,267.99</w:t>
            </w:r>
          </w:p>
        </w:tc>
        <w:tc>
          <w:tcPr>
            <w:tcW w:w="17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z w:val="18"/>
              </w:rPr>
              <w:t>7.47%</w:t>
            </w:r>
          </w:p>
        </w:tc>
        <w:tc>
          <w:tcPr>
            <w:tcW w:w="18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156,864,226.08</w:t>
            </w:r>
          </w:p>
        </w:tc>
        <w:tc>
          <w:tcPr>
            <w:tcW w:w="16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z w:val="18"/>
              </w:rPr>
              <w:t>13.76%</w:t>
            </w:r>
          </w:p>
        </w:tc>
        <w:tc>
          <w:tcPr>
            <w:tcW w:w="104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0"/>
              <w:ind w:right="89"/>
              <w:jc w:val="right"/>
              <w:rPr>
                <w:rFonts w:ascii="Times New Roman" w:hAnsi="Times New Roman" w:cs="Times New Roman" w:eastAsia="Times New Roman" w:hint="default"/>
                <w:sz w:val="18"/>
                <w:szCs w:val="18"/>
              </w:rPr>
            </w:pPr>
            <w:r>
              <w:rPr>
                <w:rFonts w:ascii="Times New Roman"/>
                <w:sz w:val="18"/>
              </w:rPr>
              <w:t>-45.72%</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6）报告期内合并范围是否发生变动" w:id="33"/>
      <w:bookmarkEnd w:id="33"/>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8"/>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9"/>
        <w:rPr>
          <w:rFonts w:ascii="宋体" w:hAnsi="宋体" w:cs="宋体" w:eastAsia="宋体" w:hint="default"/>
          <w:sz w:val="13"/>
          <w:szCs w:val="13"/>
        </w:rPr>
      </w:pPr>
    </w:p>
    <w:p>
      <w:pPr>
        <w:spacing w:line="451" w:lineRule="auto" w:before="0"/>
        <w:ind w:left="1133" w:right="1153" w:firstLine="0"/>
        <w:jc w:val="left"/>
        <w:rPr>
          <w:rFonts w:ascii="宋体" w:hAnsi="宋体" w:cs="宋体" w:eastAsia="宋体" w:hint="default"/>
          <w:sz w:val="18"/>
          <w:szCs w:val="18"/>
        </w:rPr>
      </w:pPr>
      <w:r>
        <w:rPr>
          <w:rFonts w:ascii="宋体" w:hAnsi="宋体" w:cs="宋体" w:eastAsia="宋体" w:hint="default"/>
          <w:sz w:val="18"/>
          <w:szCs w:val="18"/>
        </w:rPr>
        <w:t>①</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10</w:t>
      </w:r>
      <w:r>
        <w:rPr>
          <w:rFonts w:ascii="宋体" w:hAnsi="宋体" w:cs="宋体" w:eastAsia="宋体" w:hint="default"/>
          <w:sz w:val="18"/>
          <w:szCs w:val="18"/>
        </w:rPr>
        <w:t>日，公司出资</w:t>
      </w:r>
      <w:r>
        <w:rPr>
          <w:rFonts w:ascii="Times New Roman" w:hAnsi="Times New Roman" w:cs="Times New Roman" w:eastAsia="Times New Roman" w:hint="default"/>
          <w:sz w:val="18"/>
          <w:szCs w:val="18"/>
        </w:rPr>
        <w:t>1,000</w:t>
      </w:r>
      <w:r>
        <w:rPr>
          <w:rFonts w:ascii="宋体" w:hAnsi="宋体" w:cs="宋体" w:eastAsia="宋体" w:hint="default"/>
          <w:sz w:val="18"/>
          <w:szCs w:val="18"/>
        </w:rPr>
        <w:t>万元设立霍尔果斯昆仑点金科技网络有限公司。公司以货币出资</w:t>
      </w:r>
      <w:r>
        <w:rPr>
          <w:rFonts w:ascii="Times New Roman" w:hAnsi="Times New Roman" w:cs="Times New Roman" w:eastAsia="Times New Roman" w:hint="default"/>
          <w:sz w:val="18"/>
          <w:szCs w:val="18"/>
        </w:rPr>
        <w:t>1,000</w:t>
      </w:r>
      <w:r>
        <w:rPr>
          <w:rFonts w:ascii="宋体" w:hAnsi="宋体" w:cs="宋体" w:eastAsia="宋体" w:hint="default"/>
          <w:sz w:val="18"/>
          <w:szCs w:val="18"/>
        </w:rPr>
        <w:t>万元，持有</w:t>
      </w:r>
      <w:r>
        <w:rPr>
          <w:rFonts w:ascii="Times New Roman" w:hAnsi="Times New Roman" w:cs="Times New Roman" w:eastAsia="Times New Roman" w:hint="default"/>
          <w:sz w:val="18"/>
          <w:szCs w:val="18"/>
        </w:rPr>
        <w:t>100%</w:t>
      </w:r>
      <w:r>
        <w:rPr>
          <w:rFonts w:ascii="宋体" w:hAnsi="宋体" w:cs="宋体" w:eastAsia="宋体" w:hint="default"/>
          <w:sz w:val="18"/>
          <w:szCs w:val="18"/>
        </w:rPr>
        <w:t>股 权。截至报告期末，公司累计出资</w:t>
      </w:r>
      <w:r>
        <w:rPr>
          <w:rFonts w:ascii="Times New Roman" w:hAnsi="Times New Roman" w:cs="Times New Roman" w:eastAsia="Times New Roman" w:hint="default"/>
          <w:sz w:val="18"/>
          <w:szCs w:val="18"/>
        </w:rPr>
        <w:t>0.00</w:t>
      </w:r>
      <w:r>
        <w:rPr>
          <w:rFonts w:ascii="宋体" w:hAnsi="宋体" w:cs="宋体" w:eastAsia="宋体" w:hint="default"/>
          <w:sz w:val="18"/>
          <w:szCs w:val="18"/>
        </w:rPr>
        <w:t>万元。</w:t>
      </w:r>
    </w:p>
    <w:p>
      <w:pPr>
        <w:spacing w:line="451" w:lineRule="auto" w:before="43"/>
        <w:ind w:left="1133" w:right="1153" w:firstLine="0"/>
        <w:jc w:val="left"/>
        <w:rPr>
          <w:rFonts w:ascii="宋体" w:hAnsi="宋体" w:cs="宋体" w:eastAsia="宋体" w:hint="default"/>
          <w:sz w:val="18"/>
          <w:szCs w:val="18"/>
        </w:rPr>
      </w:pPr>
      <w:r>
        <w:rPr>
          <w:rFonts w:ascii="宋体" w:hAnsi="宋体" w:cs="宋体" w:eastAsia="宋体" w:hint="default"/>
          <w:sz w:val="18"/>
          <w:szCs w:val="18"/>
        </w:rPr>
        <w:t>②</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17</w:t>
      </w:r>
      <w:r>
        <w:rPr>
          <w:rFonts w:ascii="宋体" w:hAnsi="宋体" w:cs="宋体" w:eastAsia="宋体" w:hint="default"/>
          <w:sz w:val="18"/>
          <w:szCs w:val="18"/>
        </w:rPr>
        <w:t>日，公司出资</w:t>
      </w:r>
      <w:r>
        <w:rPr>
          <w:rFonts w:ascii="Times New Roman" w:hAnsi="Times New Roman" w:cs="Times New Roman" w:eastAsia="Times New Roman" w:hint="default"/>
          <w:sz w:val="18"/>
          <w:szCs w:val="18"/>
        </w:rPr>
        <w:t>3,000</w:t>
      </w:r>
      <w:r>
        <w:rPr>
          <w:rFonts w:ascii="宋体" w:hAnsi="宋体" w:cs="宋体" w:eastAsia="宋体" w:hint="default"/>
          <w:sz w:val="18"/>
          <w:szCs w:val="18"/>
        </w:rPr>
        <w:t>万元设立霍尔果斯昆诺天勤创业投资有限公司。公司以货币出资</w:t>
      </w:r>
      <w:r>
        <w:rPr>
          <w:rFonts w:ascii="Times New Roman" w:hAnsi="Times New Roman" w:cs="Times New Roman" w:eastAsia="Times New Roman" w:hint="default"/>
          <w:sz w:val="18"/>
          <w:szCs w:val="18"/>
        </w:rPr>
        <w:t>3,000</w:t>
      </w:r>
      <w:r>
        <w:rPr>
          <w:rFonts w:ascii="宋体" w:hAnsi="宋体" w:cs="宋体" w:eastAsia="宋体" w:hint="default"/>
          <w:sz w:val="18"/>
          <w:szCs w:val="18"/>
        </w:rPr>
        <w:t>万元，持有</w:t>
      </w:r>
      <w:r>
        <w:rPr>
          <w:rFonts w:ascii="Times New Roman" w:hAnsi="Times New Roman" w:cs="Times New Roman" w:eastAsia="Times New Roman" w:hint="default"/>
          <w:sz w:val="18"/>
          <w:szCs w:val="18"/>
        </w:rPr>
        <w:t>100%</w:t>
      </w:r>
      <w:r>
        <w:rPr>
          <w:rFonts w:ascii="宋体" w:hAnsi="宋体" w:cs="宋体" w:eastAsia="宋体" w:hint="default"/>
          <w:sz w:val="18"/>
          <w:szCs w:val="18"/>
        </w:rPr>
        <w:t>股 权。截至报告期末，公司累计出资</w:t>
      </w:r>
      <w:r>
        <w:rPr>
          <w:rFonts w:ascii="Times New Roman" w:hAnsi="Times New Roman" w:cs="Times New Roman" w:eastAsia="Times New Roman" w:hint="default"/>
          <w:sz w:val="18"/>
          <w:szCs w:val="18"/>
        </w:rPr>
        <w:t>3,000.00</w:t>
      </w:r>
      <w:r>
        <w:rPr>
          <w:rFonts w:ascii="宋体" w:hAnsi="宋体" w:cs="宋体" w:eastAsia="宋体" w:hint="default"/>
          <w:sz w:val="18"/>
          <w:szCs w:val="18"/>
        </w:rPr>
        <w:t>万元。</w:t>
      </w:r>
    </w:p>
    <w:p>
      <w:pPr>
        <w:spacing w:line="451" w:lineRule="auto" w:before="43"/>
        <w:ind w:left="1133" w:right="998" w:firstLine="0"/>
        <w:jc w:val="left"/>
        <w:rPr>
          <w:rFonts w:ascii="宋体" w:hAnsi="宋体" w:cs="宋体" w:eastAsia="宋体" w:hint="default"/>
          <w:sz w:val="18"/>
          <w:szCs w:val="18"/>
        </w:rPr>
      </w:pPr>
      <w:r>
        <w:rPr>
          <w:rFonts w:ascii="宋体" w:hAnsi="宋体" w:cs="宋体" w:eastAsia="宋体" w:hint="default"/>
          <w:spacing w:val="-4"/>
          <w:sz w:val="18"/>
          <w:szCs w:val="18"/>
        </w:rPr>
        <w:t>③</w:t>
      </w:r>
      <w:r>
        <w:rPr>
          <w:rFonts w:ascii="Times New Roman" w:hAnsi="Times New Roman" w:cs="Times New Roman" w:eastAsia="Times New Roman" w:hint="default"/>
          <w:spacing w:val="-4"/>
          <w:sz w:val="18"/>
          <w:szCs w:val="18"/>
        </w:rPr>
        <w:t>2017</w:t>
      </w:r>
      <w:r>
        <w:rPr>
          <w:rFonts w:ascii="宋体" w:hAnsi="宋体" w:cs="宋体" w:eastAsia="宋体" w:hint="default"/>
          <w:spacing w:val="-4"/>
          <w:sz w:val="18"/>
          <w:szCs w:val="18"/>
        </w:rPr>
        <w:t>年</w:t>
      </w:r>
      <w:r>
        <w:rPr>
          <w:rFonts w:ascii="Times New Roman" w:hAnsi="Times New Roman" w:cs="Times New Roman" w:eastAsia="Times New Roman" w:hint="default"/>
          <w:spacing w:val="-4"/>
          <w:sz w:val="18"/>
          <w:szCs w:val="18"/>
        </w:rPr>
        <w:t>11</w:t>
      </w:r>
      <w:r>
        <w:rPr>
          <w:rFonts w:ascii="宋体" w:hAnsi="宋体" w:cs="宋体" w:eastAsia="宋体" w:hint="default"/>
          <w:spacing w:val="-4"/>
          <w:sz w:val="18"/>
          <w:szCs w:val="18"/>
        </w:rPr>
        <w:t>月</w:t>
      </w:r>
      <w:r>
        <w:rPr>
          <w:rFonts w:ascii="Times New Roman" w:hAnsi="Times New Roman" w:cs="Times New Roman" w:eastAsia="Times New Roman" w:hint="default"/>
          <w:spacing w:val="-4"/>
          <w:sz w:val="18"/>
          <w:szCs w:val="18"/>
        </w:rPr>
        <w:t>24</w:t>
      </w:r>
      <w:r>
        <w:rPr>
          <w:rFonts w:ascii="宋体" w:hAnsi="宋体" w:cs="宋体" w:eastAsia="宋体" w:hint="default"/>
          <w:spacing w:val="-4"/>
          <w:sz w:val="18"/>
          <w:szCs w:val="18"/>
        </w:rPr>
        <w:t>日，公司出资</w:t>
      </w:r>
      <w:r>
        <w:rPr>
          <w:rFonts w:ascii="Times New Roman" w:hAnsi="Times New Roman" w:cs="Times New Roman" w:eastAsia="Times New Roman" w:hint="default"/>
          <w:spacing w:val="-4"/>
          <w:sz w:val="18"/>
          <w:szCs w:val="18"/>
        </w:rPr>
        <w:t>50,000</w:t>
      </w:r>
      <w:r>
        <w:rPr>
          <w:rFonts w:ascii="宋体" w:hAnsi="宋体" w:cs="宋体" w:eastAsia="宋体" w:hint="default"/>
          <w:spacing w:val="-4"/>
          <w:sz w:val="18"/>
          <w:szCs w:val="18"/>
        </w:rPr>
        <w:t>万元设立新余市昆仑乐云网络小额贷款有限公司。公司以货币出资</w:t>
      </w:r>
      <w:r>
        <w:rPr>
          <w:rFonts w:ascii="Times New Roman" w:hAnsi="Times New Roman" w:cs="Times New Roman" w:eastAsia="Times New Roman" w:hint="default"/>
          <w:spacing w:val="-4"/>
          <w:sz w:val="18"/>
          <w:szCs w:val="18"/>
        </w:rPr>
        <w:t>50,000</w:t>
      </w:r>
      <w:r>
        <w:rPr>
          <w:rFonts w:ascii="宋体" w:hAnsi="宋体" w:cs="宋体" w:eastAsia="宋体" w:hint="default"/>
          <w:spacing w:val="-4"/>
          <w:sz w:val="18"/>
          <w:szCs w:val="18"/>
        </w:rPr>
        <w:t>万元，持有</w:t>
      </w:r>
      <w:r>
        <w:rPr>
          <w:rFonts w:ascii="Times New Roman" w:hAnsi="Times New Roman" w:cs="Times New Roman" w:eastAsia="Times New Roman" w:hint="default"/>
          <w:spacing w:val="-4"/>
          <w:sz w:val="18"/>
          <w:szCs w:val="18"/>
        </w:rPr>
        <w:t>100%</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股权。截至报告期末，公司累计出资</w:t>
      </w:r>
      <w:r>
        <w:rPr>
          <w:rFonts w:ascii="Times New Roman" w:hAnsi="Times New Roman" w:cs="Times New Roman" w:eastAsia="Times New Roman" w:hint="default"/>
          <w:sz w:val="18"/>
          <w:szCs w:val="18"/>
        </w:rPr>
        <w:t>50,000.00</w:t>
      </w:r>
      <w:r>
        <w:rPr>
          <w:rFonts w:ascii="宋体" w:hAnsi="宋体" w:cs="宋体" w:eastAsia="宋体" w:hint="default"/>
          <w:sz w:val="18"/>
          <w:szCs w:val="18"/>
        </w:rPr>
        <w:t>万元。</w:t>
      </w:r>
    </w:p>
    <w:p>
      <w:pPr>
        <w:spacing w:before="43"/>
        <w:ind w:left="1133" w:right="998"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④</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7</w:t>
      </w:r>
      <w:r>
        <w:rPr>
          <w:rFonts w:ascii="宋体" w:hAnsi="宋体" w:cs="宋体" w:eastAsia="宋体" w:hint="default"/>
          <w:sz w:val="18"/>
          <w:szCs w:val="18"/>
        </w:rPr>
        <w:t>日，</w:t>
      </w:r>
      <w:r>
        <w:rPr>
          <w:rFonts w:ascii="Times New Roman" w:hAnsi="Times New Roman" w:cs="Times New Roman" w:eastAsia="Times New Roman" w:hint="default"/>
          <w:sz w:val="18"/>
          <w:szCs w:val="18"/>
        </w:rPr>
        <w:t>Kunlun</w:t>
      </w:r>
      <w:r>
        <w:rPr>
          <w:rFonts w:ascii="Times New Roman" w:hAnsi="Times New Roman" w:cs="Times New Roman" w:eastAsia="Times New Roman" w:hint="default"/>
          <w:spacing w:val="-10"/>
          <w:sz w:val="18"/>
          <w:szCs w:val="18"/>
        </w:rPr>
        <w:t> </w:t>
      </w:r>
      <w:r>
        <w:rPr>
          <w:rFonts w:ascii="Times New Roman" w:hAnsi="Times New Roman" w:cs="Times New Roman" w:eastAsia="Times New Roman" w:hint="default"/>
          <w:sz w:val="18"/>
          <w:szCs w:val="18"/>
        </w:rPr>
        <w:t>Group</w:t>
      </w:r>
      <w:r>
        <w:rPr>
          <w:rFonts w:ascii="Times New Roman" w:hAnsi="Times New Roman" w:cs="Times New Roman" w:eastAsia="Times New Roman" w:hint="default"/>
          <w:spacing w:val="-11"/>
          <w:sz w:val="18"/>
          <w:szCs w:val="18"/>
        </w:rPr>
        <w:t> </w:t>
      </w:r>
      <w:r>
        <w:rPr>
          <w:rFonts w:ascii="Times New Roman" w:hAnsi="Times New Roman" w:cs="Times New Roman" w:eastAsia="Times New Roman" w:hint="default"/>
          <w:sz w:val="18"/>
          <w:szCs w:val="18"/>
        </w:rPr>
        <w:t>Limited</w:t>
      </w:r>
      <w:r>
        <w:rPr>
          <w:rFonts w:ascii="宋体" w:hAnsi="宋体" w:cs="宋体" w:eastAsia="宋体" w:hint="default"/>
          <w:sz w:val="18"/>
          <w:szCs w:val="18"/>
        </w:rPr>
        <w:t>出资</w:t>
      </w:r>
      <w:r>
        <w:rPr>
          <w:rFonts w:ascii="Times New Roman" w:hAnsi="Times New Roman" w:cs="Times New Roman" w:eastAsia="Times New Roman" w:hint="default"/>
          <w:sz w:val="18"/>
          <w:szCs w:val="18"/>
        </w:rPr>
        <w:t>50,000</w:t>
      </w:r>
      <w:r>
        <w:rPr>
          <w:rFonts w:ascii="宋体" w:hAnsi="宋体" w:cs="宋体" w:eastAsia="宋体" w:hint="default"/>
          <w:sz w:val="18"/>
          <w:szCs w:val="18"/>
        </w:rPr>
        <w:t>美元设立</w:t>
      </w:r>
      <w:r>
        <w:rPr>
          <w:rFonts w:ascii="Times New Roman" w:hAnsi="Times New Roman" w:cs="Times New Roman" w:eastAsia="Times New Roman" w:hint="default"/>
          <w:sz w:val="18"/>
          <w:szCs w:val="18"/>
        </w:rPr>
        <w:t>Cayman</w:t>
      </w:r>
      <w:r>
        <w:rPr>
          <w:rFonts w:ascii="Times New Roman" w:hAnsi="Times New Roman" w:cs="Times New Roman" w:eastAsia="Times New Roman" w:hint="default"/>
          <w:spacing w:val="-11"/>
          <w:sz w:val="18"/>
          <w:szCs w:val="18"/>
        </w:rPr>
        <w:t> </w:t>
      </w:r>
      <w:r>
        <w:rPr>
          <w:rFonts w:ascii="Times New Roman" w:hAnsi="Times New Roman" w:cs="Times New Roman" w:eastAsia="Times New Roman" w:hint="default"/>
          <w:sz w:val="18"/>
          <w:szCs w:val="18"/>
        </w:rPr>
        <w:t>Kunlun</w:t>
      </w:r>
      <w:r>
        <w:rPr>
          <w:rFonts w:ascii="Times New Roman" w:hAnsi="Times New Roman" w:cs="Times New Roman" w:eastAsia="Times New Roman" w:hint="default"/>
          <w:spacing w:val="-11"/>
          <w:sz w:val="18"/>
          <w:szCs w:val="18"/>
        </w:rPr>
        <w:t> </w:t>
      </w:r>
      <w:r>
        <w:rPr>
          <w:rFonts w:ascii="Times New Roman" w:hAnsi="Times New Roman" w:cs="Times New Roman" w:eastAsia="Times New Roman" w:hint="default"/>
          <w:sz w:val="18"/>
          <w:szCs w:val="18"/>
        </w:rPr>
        <w:t>Group</w:t>
      </w:r>
      <w:r>
        <w:rPr>
          <w:rFonts w:ascii="宋体" w:hAnsi="宋体" w:cs="宋体" w:eastAsia="宋体" w:hint="default"/>
          <w:sz w:val="18"/>
          <w:szCs w:val="18"/>
        </w:rPr>
        <w:t>。</w:t>
      </w:r>
      <w:r>
        <w:rPr>
          <w:rFonts w:ascii="Times New Roman" w:hAnsi="Times New Roman" w:cs="Times New Roman" w:eastAsia="Times New Roman" w:hint="default"/>
          <w:sz w:val="18"/>
          <w:szCs w:val="18"/>
        </w:rPr>
        <w:t>Kunlun</w:t>
      </w:r>
      <w:r>
        <w:rPr>
          <w:rFonts w:ascii="Times New Roman" w:hAnsi="Times New Roman" w:cs="Times New Roman" w:eastAsia="Times New Roman" w:hint="default"/>
          <w:spacing w:val="-10"/>
          <w:sz w:val="18"/>
          <w:szCs w:val="18"/>
        </w:rPr>
        <w:t> </w:t>
      </w:r>
      <w:r>
        <w:rPr>
          <w:rFonts w:ascii="Times New Roman" w:hAnsi="Times New Roman" w:cs="Times New Roman" w:eastAsia="Times New Roman" w:hint="default"/>
          <w:sz w:val="18"/>
          <w:szCs w:val="18"/>
        </w:rPr>
        <w:t>Group</w:t>
      </w:r>
      <w:r>
        <w:rPr>
          <w:rFonts w:ascii="Times New Roman" w:hAnsi="Times New Roman" w:cs="Times New Roman" w:eastAsia="Times New Roman" w:hint="default"/>
          <w:spacing w:val="-11"/>
          <w:sz w:val="18"/>
          <w:szCs w:val="18"/>
        </w:rPr>
        <w:t> </w:t>
      </w:r>
      <w:r>
        <w:rPr>
          <w:rFonts w:ascii="Times New Roman" w:hAnsi="Times New Roman" w:cs="Times New Roman" w:eastAsia="Times New Roman" w:hint="default"/>
          <w:sz w:val="18"/>
          <w:szCs w:val="18"/>
        </w:rPr>
        <w:t>Limited</w:t>
      </w:r>
      <w:r>
        <w:rPr>
          <w:rFonts w:ascii="宋体" w:hAnsi="宋体" w:cs="宋体" w:eastAsia="宋体" w:hint="default"/>
          <w:sz w:val="18"/>
          <w:szCs w:val="18"/>
        </w:rPr>
        <w:t>以货币出资</w:t>
      </w:r>
      <w:r>
        <w:rPr>
          <w:rFonts w:ascii="Times New Roman" w:hAnsi="Times New Roman" w:cs="Times New Roman" w:eastAsia="Times New Roman" w:hint="default"/>
          <w:sz w:val="18"/>
          <w:szCs w:val="18"/>
        </w:rPr>
        <w:t>50,000</w:t>
      </w:r>
    </w:p>
    <w:p>
      <w:pPr>
        <w:spacing w:line="240" w:lineRule="auto" w:before="0"/>
        <w:rPr>
          <w:rFonts w:ascii="Times New Roman" w:hAnsi="Times New Roman" w:cs="Times New Roman" w:eastAsia="Times New Roman" w:hint="default"/>
          <w:sz w:val="19"/>
          <w:szCs w:val="19"/>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美元，持有</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股权。截至报告期末，公司累计出资</w:t>
      </w:r>
      <w:r>
        <w:rPr>
          <w:rFonts w:ascii="Times New Roman" w:hAnsi="Times New Roman" w:cs="Times New Roman" w:eastAsia="Times New Roman" w:hint="default"/>
          <w:sz w:val="18"/>
          <w:szCs w:val="18"/>
        </w:rPr>
        <w:t>0.00</w:t>
      </w:r>
      <w:r>
        <w:rPr>
          <w:rFonts w:ascii="宋体" w:hAnsi="宋体" w:cs="宋体" w:eastAsia="宋体" w:hint="default"/>
          <w:sz w:val="18"/>
          <w:szCs w:val="18"/>
        </w:rPr>
        <w:t>美元。</w:t>
      </w:r>
    </w:p>
    <w:p>
      <w:pPr>
        <w:spacing w:line="240" w:lineRule="auto" w:before="9"/>
        <w:rPr>
          <w:rFonts w:ascii="宋体" w:hAnsi="宋体" w:cs="宋体" w:eastAsia="宋体" w:hint="default"/>
          <w:sz w:val="16"/>
          <w:szCs w:val="16"/>
        </w:rPr>
      </w:pPr>
    </w:p>
    <w:p>
      <w:pPr>
        <w:spacing w:line="458" w:lineRule="auto" w:before="0"/>
        <w:ind w:left="1133" w:right="1033" w:firstLine="0"/>
        <w:jc w:val="left"/>
        <w:rPr>
          <w:rFonts w:ascii="宋体" w:hAnsi="宋体" w:cs="宋体" w:eastAsia="宋体" w:hint="default"/>
          <w:sz w:val="18"/>
          <w:szCs w:val="18"/>
        </w:rPr>
      </w:pPr>
      <w:r>
        <w:rPr>
          <w:rFonts w:ascii="宋体" w:hAnsi="宋体" w:cs="宋体" w:eastAsia="宋体" w:hint="default"/>
          <w:spacing w:val="-2"/>
          <w:sz w:val="18"/>
          <w:szCs w:val="18"/>
        </w:rPr>
        <w:t>⑤</w:t>
      </w:r>
      <w:r>
        <w:rPr>
          <w:rFonts w:ascii="Times New Roman" w:hAnsi="Times New Roman" w:cs="Times New Roman" w:eastAsia="Times New Roman" w:hint="default"/>
          <w:spacing w:val="-2"/>
          <w:sz w:val="18"/>
          <w:szCs w:val="18"/>
        </w:rPr>
        <w:t>2016</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12</w:t>
      </w:r>
      <w:r>
        <w:rPr>
          <w:rFonts w:ascii="宋体" w:hAnsi="宋体" w:cs="宋体" w:eastAsia="宋体" w:hint="default"/>
          <w:spacing w:val="-2"/>
          <w:sz w:val="18"/>
          <w:szCs w:val="18"/>
        </w:rPr>
        <w:t>月</w:t>
      </w:r>
      <w:r>
        <w:rPr>
          <w:rFonts w:ascii="Times New Roman" w:hAnsi="Times New Roman" w:cs="Times New Roman" w:eastAsia="Times New Roman" w:hint="default"/>
          <w:spacing w:val="-2"/>
          <w:sz w:val="18"/>
          <w:szCs w:val="18"/>
        </w:rPr>
        <w:t>14</w:t>
      </w:r>
      <w:r>
        <w:rPr>
          <w:rFonts w:ascii="宋体" w:hAnsi="宋体" w:cs="宋体" w:eastAsia="宋体" w:hint="default"/>
          <w:spacing w:val="-2"/>
          <w:sz w:val="18"/>
          <w:szCs w:val="18"/>
        </w:rPr>
        <w:t>日，公司以全资子公司西藏昆诺赢展创业投资有限责任公司为投资主体签署了《北京闲徕互娱网络科技有限</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公司收购协议》。根据收购协议，西藏昆诺赢展创业投资有限责任公司参与了北京闲徕互娱网络科技有限公司的收购交易， 持股比例</w:t>
      </w:r>
      <w:r>
        <w:rPr>
          <w:rFonts w:ascii="Times New Roman" w:hAnsi="Times New Roman" w:cs="Times New Roman" w:eastAsia="Times New Roman" w:hint="default"/>
          <w:sz w:val="18"/>
          <w:szCs w:val="18"/>
        </w:rPr>
        <w:t>51.00%</w:t>
      </w:r>
      <w:r>
        <w:rPr>
          <w:rFonts w:ascii="宋体" w:hAnsi="宋体" w:cs="宋体" w:eastAsia="宋体" w:hint="default"/>
          <w:sz w:val="18"/>
          <w:szCs w:val="18"/>
        </w:rPr>
        <w:t>，总投资金额为人民币</w:t>
      </w:r>
      <w:r>
        <w:rPr>
          <w:rFonts w:ascii="Times New Roman" w:hAnsi="Times New Roman" w:cs="Times New Roman" w:eastAsia="Times New Roman" w:hint="default"/>
          <w:sz w:val="18"/>
          <w:szCs w:val="18"/>
        </w:rPr>
        <w:t>1,020,000,000.00</w:t>
      </w:r>
      <w:r>
        <w:rPr>
          <w:rFonts w:ascii="宋体" w:hAnsi="宋体" w:cs="宋体" w:eastAsia="宋体" w:hint="default"/>
          <w:sz w:val="18"/>
          <w:szCs w:val="18"/>
        </w:rPr>
        <w:t>元，于</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月将北京闲徕互娱网络科技有限公司纳入财务报表合 并范围。</w:t>
      </w:r>
    </w:p>
    <w:p>
      <w:pPr>
        <w:spacing w:line="451" w:lineRule="auto" w:before="68"/>
        <w:ind w:left="1133" w:right="998" w:firstLine="0"/>
        <w:jc w:val="left"/>
        <w:rPr>
          <w:rFonts w:ascii="宋体" w:hAnsi="宋体" w:cs="宋体" w:eastAsia="宋体" w:hint="default"/>
          <w:sz w:val="18"/>
          <w:szCs w:val="18"/>
        </w:rPr>
      </w:pPr>
      <w:r>
        <w:rPr>
          <w:rFonts w:ascii="宋体" w:hAnsi="宋体" w:cs="宋体" w:eastAsia="宋体" w:hint="default"/>
          <w:sz w:val="18"/>
          <w:szCs w:val="18"/>
        </w:rPr>
        <w:t>⑥</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10</w:t>
      </w:r>
      <w:r>
        <w:rPr>
          <w:rFonts w:ascii="宋体" w:hAnsi="宋体" w:cs="宋体" w:eastAsia="宋体" w:hint="default"/>
          <w:sz w:val="18"/>
          <w:szCs w:val="18"/>
        </w:rPr>
        <w:t>日，公司以全资子公司西藏昆诺赢展创业投资有限责任公司为投资主体签署了《成都杰蛙科技有限公司股权 </w:t>
      </w:r>
      <w:r>
        <w:rPr>
          <w:rFonts w:ascii="宋体" w:hAnsi="宋体" w:cs="宋体" w:eastAsia="宋体" w:hint="default"/>
          <w:spacing w:val="-1"/>
          <w:sz w:val="18"/>
          <w:szCs w:val="18"/>
        </w:rPr>
        <w:t>转让协议》。根据收购协议，西藏昆诺赢展创业投资有限责任公司受让了成都杰蛙科技有限公司的股权，持股比例</w:t>
      </w:r>
      <w:r>
        <w:rPr>
          <w:rFonts w:ascii="Times New Roman" w:hAnsi="Times New Roman" w:cs="Times New Roman" w:eastAsia="Times New Roman" w:hint="default"/>
          <w:spacing w:val="-1"/>
          <w:sz w:val="18"/>
          <w:szCs w:val="18"/>
        </w:rPr>
        <w:t>60.00%</w:t>
      </w:r>
      <w:r>
        <w:rPr>
          <w:rFonts w:ascii="宋体" w:hAnsi="宋体" w:cs="宋体" w:eastAsia="宋体" w:hint="default"/>
          <w:spacing w:val="-1"/>
          <w:sz w:val="18"/>
          <w:szCs w:val="18"/>
        </w:rPr>
        <w:t>，</w:t>
      </w:r>
      <w:r>
        <w:rPr>
          <w:rFonts w:ascii="宋体" w:hAnsi="宋体" w:cs="宋体" w:eastAsia="宋体" w:hint="default"/>
          <w:spacing w:val="-42"/>
          <w:sz w:val="18"/>
          <w:szCs w:val="18"/>
        </w:rPr>
        <w:t> </w:t>
      </w:r>
      <w:r>
        <w:rPr>
          <w:rFonts w:ascii="宋体" w:hAnsi="宋体" w:cs="宋体" w:eastAsia="宋体" w:hint="default"/>
          <w:sz w:val="18"/>
          <w:szCs w:val="18"/>
        </w:rPr>
        <w:t>总投资金额为人民币</w:t>
      </w:r>
      <w:r>
        <w:rPr>
          <w:rFonts w:ascii="Times New Roman" w:hAnsi="Times New Roman" w:cs="Times New Roman" w:eastAsia="Times New Roman" w:hint="default"/>
          <w:sz w:val="18"/>
          <w:szCs w:val="18"/>
        </w:rPr>
        <w:t>11,500,000.00</w:t>
      </w:r>
      <w:r>
        <w:rPr>
          <w:rFonts w:ascii="宋体" w:hAnsi="宋体" w:cs="宋体" w:eastAsia="宋体" w:hint="default"/>
          <w:sz w:val="18"/>
          <w:szCs w:val="18"/>
        </w:rPr>
        <w:t>元，于</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月将成都杰蛙科技有限公司纳入财务报表合并范围。</w:t>
      </w:r>
    </w:p>
    <w:p>
      <w:pPr>
        <w:spacing w:line="240" w:lineRule="auto" w:before="6"/>
        <w:rPr>
          <w:rFonts w:ascii="宋体" w:hAnsi="宋体" w:cs="宋体" w:eastAsia="宋体" w:hint="default"/>
          <w:sz w:val="18"/>
          <w:szCs w:val="18"/>
        </w:rPr>
      </w:pPr>
    </w:p>
    <w:p>
      <w:pPr>
        <w:pStyle w:val="Heading6"/>
        <w:spacing w:line="240" w:lineRule="auto"/>
        <w:ind w:right="998"/>
        <w:jc w:val="left"/>
        <w:rPr>
          <w:b w:val="0"/>
          <w:bCs w:val="0"/>
        </w:rPr>
      </w:pPr>
      <w:bookmarkStart w:name="（7）公司报告期内业务、产品或服务发生重大变化或调整有关情况" w:id="34"/>
      <w:bookmarkEnd w:id="34"/>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6"/>
        <w:spacing w:line="240" w:lineRule="auto"/>
        <w:ind w:left="1133" w:right="998"/>
        <w:jc w:val="left"/>
        <w:rPr>
          <w:b w:val="0"/>
          <w:bCs w:val="0"/>
        </w:rPr>
      </w:pPr>
      <w:bookmarkStart w:name="（8）主要销售客户和主要供应商情况" w:id="35"/>
      <w:bookmarkEnd w:id="35"/>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8"/>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公司主要销售客户情况</w:t>
      </w:r>
    </w:p>
    <w:p>
      <w:pPr>
        <w:spacing w:line="240" w:lineRule="auto" w:before="1"/>
        <w:rPr>
          <w:rFonts w:ascii="宋体" w:hAnsi="宋体" w:cs="宋体" w:eastAsia="宋体" w:hint="default"/>
          <w:sz w:val="8"/>
          <w:szCs w:val="8"/>
        </w:rPr>
      </w:pPr>
    </w:p>
    <w:tbl>
      <w:tblPr>
        <w:tblW w:w="0" w:type="auto"/>
        <w:jc w:val="left"/>
        <w:tblInd w:w="1159" w:type="dxa"/>
        <w:tblLayout w:type="fixed"/>
        <w:tblCellMar>
          <w:top w:w="0" w:type="dxa"/>
          <w:left w:w="0" w:type="dxa"/>
          <w:bottom w:w="0" w:type="dxa"/>
          <w:right w:w="0" w:type="dxa"/>
        </w:tblCellMar>
        <w:tblLook w:val="01E0"/>
      </w:tblPr>
      <w:tblGrid>
        <w:gridCol w:w="4242"/>
        <w:gridCol w:w="5322"/>
      </w:tblGrid>
      <w:tr>
        <w:trPr>
          <w:trHeight w:val="414" w:hRule="exact"/>
        </w:trPr>
        <w:tc>
          <w:tcPr>
            <w:tcW w:w="4242"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22" w:type="dxa"/>
            <w:tcBorders>
              <w:top w:val="single" w:sz="12" w:space="0" w:color="000000"/>
              <w:left w:val="single" w:sz="14" w:space="0" w:color="D2D2D2"/>
              <w:bottom w:val="single" w:sz="6" w:space="0" w:color="000000"/>
              <w:right w:val="single" w:sz="12" w:space="0" w:color="000000"/>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pacing w:val="-1"/>
                <w:sz w:val="18"/>
              </w:rPr>
              <w:t>2,597,224,656.09</w:t>
            </w:r>
          </w:p>
        </w:tc>
      </w:tr>
      <w:tr>
        <w:trPr>
          <w:trHeight w:val="408" w:hRule="exact"/>
        </w:trPr>
        <w:tc>
          <w:tcPr>
            <w:tcW w:w="4242"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22"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z w:val="18"/>
              </w:rPr>
              <w:t>75.58%</w:t>
            </w:r>
          </w:p>
        </w:tc>
      </w:tr>
      <w:tr>
        <w:trPr>
          <w:trHeight w:val="726" w:hRule="exact"/>
        </w:trPr>
        <w:tc>
          <w:tcPr>
            <w:tcW w:w="4242"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316" w:lineRule="auto" w:before="50"/>
              <w:ind w:left="6" w:right="70"/>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 例</w:t>
            </w:r>
          </w:p>
        </w:tc>
        <w:tc>
          <w:tcPr>
            <w:tcW w:w="5322" w:type="dxa"/>
            <w:tcBorders>
              <w:top w:val="single" w:sz="6" w:space="0" w:color="000000"/>
              <w:left w:val="single" w:sz="14" w:space="0" w:color="D2D2D2"/>
              <w:bottom w:val="single" w:sz="12" w:space="0" w:color="000000"/>
              <w:right w:val="single" w:sz="12"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大客户资料</w:t>
      </w:r>
    </w:p>
    <w:p>
      <w:pPr>
        <w:spacing w:line="240" w:lineRule="auto" w:before="12"/>
        <w:rPr>
          <w:rFonts w:ascii="宋体" w:hAnsi="宋体" w:cs="宋体" w:eastAsia="宋体" w:hint="default"/>
          <w:sz w:val="6"/>
          <w:szCs w:val="6"/>
        </w:rPr>
      </w:pPr>
    </w:p>
    <w:tbl>
      <w:tblPr>
        <w:tblW w:w="0" w:type="auto"/>
        <w:jc w:val="left"/>
        <w:tblInd w:w="1159" w:type="dxa"/>
        <w:tblLayout w:type="fixed"/>
        <w:tblCellMar>
          <w:top w:w="0" w:type="dxa"/>
          <w:left w:w="0" w:type="dxa"/>
          <w:bottom w:w="0" w:type="dxa"/>
          <w:right w:w="0" w:type="dxa"/>
        </w:tblCellMar>
        <w:tblLook w:val="01E0"/>
      </w:tblPr>
      <w:tblGrid>
        <w:gridCol w:w="786"/>
        <w:gridCol w:w="3311"/>
        <w:gridCol w:w="2322"/>
        <w:gridCol w:w="3144"/>
      </w:tblGrid>
      <w:tr>
        <w:trPr>
          <w:trHeight w:val="415" w:hRule="exact"/>
        </w:trPr>
        <w:tc>
          <w:tcPr>
            <w:tcW w:w="786"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199"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11"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614"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4"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755"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7" w:hRule="exact"/>
        </w:trPr>
        <w:tc>
          <w:tcPr>
            <w:tcW w:w="78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92"/>
              <w:ind w:left="6" w:right="0"/>
              <w:jc w:val="left"/>
              <w:rPr>
                <w:rFonts w:ascii="Times New Roman" w:hAnsi="Times New Roman" w:cs="Times New Roman" w:eastAsia="Times New Roman" w:hint="default"/>
                <w:sz w:val="18"/>
                <w:szCs w:val="18"/>
              </w:rPr>
            </w:pPr>
            <w:r>
              <w:rPr>
                <w:rFonts w:ascii="Times New Roman"/>
                <w:sz w:val="18"/>
              </w:rPr>
              <w:t>1</w:t>
            </w:r>
          </w:p>
        </w:tc>
        <w:tc>
          <w:tcPr>
            <w:tcW w:w="3311"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52"/>
              <w:ind w:left="2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2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936,353,416.67</w:t>
            </w:r>
          </w:p>
        </w:tc>
        <w:tc>
          <w:tcPr>
            <w:tcW w:w="314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27.25%</w:t>
            </w:r>
          </w:p>
        </w:tc>
      </w:tr>
      <w:tr>
        <w:trPr>
          <w:trHeight w:val="415" w:hRule="exact"/>
        </w:trPr>
        <w:tc>
          <w:tcPr>
            <w:tcW w:w="786"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92"/>
              <w:ind w:left="6" w:right="0"/>
              <w:jc w:val="left"/>
              <w:rPr>
                <w:rFonts w:ascii="Times New Roman" w:hAnsi="Times New Roman" w:cs="Times New Roman" w:eastAsia="Times New Roman" w:hint="default"/>
                <w:sz w:val="18"/>
                <w:szCs w:val="18"/>
              </w:rPr>
            </w:pPr>
            <w:r>
              <w:rPr>
                <w:rFonts w:ascii="Times New Roman"/>
                <w:sz w:val="18"/>
              </w:rPr>
              <w:t>2</w:t>
            </w:r>
          </w:p>
        </w:tc>
        <w:tc>
          <w:tcPr>
            <w:tcW w:w="3311" w:type="dxa"/>
            <w:tcBorders>
              <w:top w:val="single" w:sz="6" w:space="0" w:color="000000"/>
              <w:left w:val="single" w:sz="14" w:space="0" w:color="D2D2D2"/>
              <w:bottom w:val="single" w:sz="12" w:space="0" w:color="000000"/>
              <w:right w:val="single" w:sz="6" w:space="0" w:color="000000"/>
            </w:tcBorders>
          </w:tcPr>
          <w:p>
            <w:pPr>
              <w:pStyle w:val="TableParagraph"/>
              <w:spacing w:line="240" w:lineRule="auto" w:before="52"/>
              <w:ind w:left="2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232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568,766,370.01</w:t>
            </w:r>
          </w:p>
        </w:tc>
        <w:tc>
          <w:tcPr>
            <w:tcW w:w="314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16.55%</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59" w:type="dxa"/>
        <w:tblLayout w:type="fixed"/>
        <w:tblCellMar>
          <w:top w:w="0" w:type="dxa"/>
          <w:left w:w="0" w:type="dxa"/>
          <w:bottom w:w="0" w:type="dxa"/>
          <w:right w:w="0" w:type="dxa"/>
        </w:tblCellMar>
        <w:tblLook w:val="01E0"/>
      </w:tblPr>
      <w:tblGrid>
        <w:gridCol w:w="786"/>
        <w:gridCol w:w="3311"/>
        <w:gridCol w:w="2322"/>
        <w:gridCol w:w="3144"/>
      </w:tblGrid>
      <w:tr>
        <w:trPr>
          <w:trHeight w:val="415" w:hRule="exact"/>
        </w:trPr>
        <w:tc>
          <w:tcPr>
            <w:tcW w:w="786"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91"/>
              <w:ind w:left="6" w:right="0"/>
              <w:jc w:val="left"/>
              <w:rPr>
                <w:rFonts w:ascii="Times New Roman" w:hAnsi="Times New Roman" w:cs="Times New Roman" w:eastAsia="Times New Roman" w:hint="default"/>
                <w:sz w:val="18"/>
                <w:szCs w:val="18"/>
              </w:rPr>
            </w:pPr>
            <w:r>
              <w:rPr>
                <w:rFonts w:ascii="Times New Roman"/>
                <w:sz w:val="18"/>
              </w:rPr>
              <w:t>3</w:t>
            </w:r>
          </w:p>
        </w:tc>
        <w:tc>
          <w:tcPr>
            <w:tcW w:w="3311" w:type="dxa"/>
            <w:tcBorders>
              <w:top w:val="single" w:sz="12" w:space="0" w:color="000000"/>
              <w:left w:val="single" w:sz="14" w:space="0" w:color="D2D2D2"/>
              <w:bottom w:val="single" w:sz="6" w:space="0" w:color="000000"/>
              <w:right w:val="single" w:sz="6" w:space="0" w:color="000000"/>
            </w:tcBorders>
          </w:tcPr>
          <w:p>
            <w:pPr>
              <w:pStyle w:val="TableParagraph"/>
              <w:spacing w:line="240" w:lineRule="auto" w:before="51"/>
              <w:ind w:left="2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232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556,806,373.26</w:t>
            </w:r>
          </w:p>
        </w:tc>
        <w:tc>
          <w:tcPr>
            <w:tcW w:w="314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16.20%</w:t>
            </w:r>
          </w:p>
        </w:tc>
      </w:tr>
      <w:tr>
        <w:trPr>
          <w:trHeight w:val="407" w:hRule="exact"/>
        </w:trPr>
        <w:tc>
          <w:tcPr>
            <w:tcW w:w="78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91"/>
              <w:ind w:left="6" w:right="0"/>
              <w:jc w:val="left"/>
              <w:rPr>
                <w:rFonts w:ascii="Times New Roman" w:hAnsi="Times New Roman" w:cs="Times New Roman" w:eastAsia="Times New Roman" w:hint="default"/>
                <w:sz w:val="18"/>
                <w:szCs w:val="18"/>
              </w:rPr>
            </w:pPr>
            <w:r>
              <w:rPr>
                <w:rFonts w:ascii="Times New Roman"/>
                <w:sz w:val="18"/>
              </w:rPr>
              <w:t>4</w:t>
            </w:r>
          </w:p>
        </w:tc>
        <w:tc>
          <w:tcPr>
            <w:tcW w:w="3311"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51"/>
              <w:ind w:left="2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p>
        </w:tc>
        <w:tc>
          <w:tcPr>
            <w:tcW w:w="2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455,943,638.62</w:t>
            </w:r>
          </w:p>
        </w:tc>
        <w:tc>
          <w:tcPr>
            <w:tcW w:w="314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13.27%</w:t>
            </w:r>
          </w:p>
        </w:tc>
      </w:tr>
      <w:tr>
        <w:trPr>
          <w:trHeight w:val="407" w:hRule="exact"/>
        </w:trPr>
        <w:tc>
          <w:tcPr>
            <w:tcW w:w="78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91"/>
              <w:ind w:left="6" w:right="0"/>
              <w:jc w:val="left"/>
              <w:rPr>
                <w:rFonts w:ascii="Times New Roman" w:hAnsi="Times New Roman" w:cs="Times New Roman" w:eastAsia="Times New Roman" w:hint="default"/>
                <w:sz w:val="18"/>
                <w:szCs w:val="18"/>
              </w:rPr>
            </w:pPr>
            <w:r>
              <w:rPr>
                <w:rFonts w:ascii="Times New Roman"/>
                <w:sz w:val="18"/>
              </w:rPr>
              <w:t>5</w:t>
            </w:r>
          </w:p>
        </w:tc>
        <w:tc>
          <w:tcPr>
            <w:tcW w:w="3311"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51"/>
              <w:ind w:left="2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p>
        </w:tc>
        <w:tc>
          <w:tcPr>
            <w:tcW w:w="2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79,354,857.53</w:t>
            </w:r>
          </w:p>
        </w:tc>
        <w:tc>
          <w:tcPr>
            <w:tcW w:w="314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2.31%</w:t>
            </w:r>
          </w:p>
        </w:tc>
      </w:tr>
      <w:tr>
        <w:trPr>
          <w:trHeight w:val="414" w:hRule="exact"/>
        </w:trPr>
        <w:tc>
          <w:tcPr>
            <w:tcW w:w="786"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11"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6" w:space="0" w:color="000000"/>
              <w:left w:val="single" w:sz="9" w:space="0" w:color="D2D2D2"/>
              <w:bottom w:val="single" w:sz="12"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2,597,224,656.09</w:t>
            </w:r>
          </w:p>
        </w:tc>
        <w:tc>
          <w:tcPr>
            <w:tcW w:w="314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75.58%</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主要客户其他情况说明</w:t>
      </w:r>
    </w:p>
    <w:p>
      <w:pPr>
        <w:spacing w:line="338" w:lineRule="auto" w:before="117"/>
        <w:ind w:left="1133" w:right="913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公司主要供应商情况</w:t>
      </w:r>
    </w:p>
    <w:p>
      <w:pPr>
        <w:spacing w:line="240" w:lineRule="auto" w:before="4"/>
        <w:rPr>
          <w:rFonts w:ascii="宋体" w:hAnsi="宋体" w:cs="宋体" w:eastAsia="宋体" w:hint="default"/>
          <w:sz w:val="2"/>
          <w:szCs w:val="2"/>
        </w:rPr>
      </w:pPr>
    </w:p>
    <w:tbl>
      <w:tblPr>
        <w:tblW w:w="0" w:type="auto"/>
        <w:jc w:val="left"/>
        <w:tblInd w:w="1159" w:type="dxa"/>
        <w:tblLayout w:type="fixed"/>
        <w:tblCellMar>
          <w:top w:w="0" w:type="dxa"/>
          <w:left w:w="0" w:type="dxa"/>
          <w:bottom w:w="0" w:type="dxa"/>
          <w:right w:w="0" w:type="dxa"/>
        </w:tblCellMar>
        <w:tblLook w:val="01E0"/>
      </w:tblPr>
      <w:tblGrid>
        <w:gridCol w:w="4242"/>
        <w:gridCol w:w="5322"/>
      </w:tblGrid>
      <w:tr>
        <w:trPr>
          <w:trHeight w:val="415" w:hRule="exact"/>
        </w:trPr>
        <w:tc>
          <w:tcPr>
            <w:tcW w:w="4242"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22" w:type="dxa"/>
            <w:tcBorders>
              <w:top w:val="single" w:sz="12" w:space="0" w:color="000000"/>
              <w:left w:val="single" w:sz="14" w:space="0" w:color="D2D2D2"/>
              <w:bottom w:val="single" w:sz="6" w:space="0" w:color="000000"/>
              <w:right w:val="single" w:sz="12" w:space="0" w:color="000000"/>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469,611,371.45</w:t>
            </w:r>
          </w:p>
        </w:tc>
      </w:tr>
      <w:tr>
        <w:trPr>
          <w:trHeight w:val="407" w:hRule="exact"/>
        </w:trPr>
        <w:tc>
          <w:tcPr>
            <w:tcW w:w="4242"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22"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z w:val="18"/>
              </w:rPr>
              <w:t>67.61%</w:t>
            </w:r>
          </w:p>
        </w:tc>
      </w:tr>
      <w:tr>
        <w:trPr>
          <w:trHeight w:val="726" w:hRule="exact"/>
        </w:trPr>
        <w:tc>
          <w:tcPr>
            <w:tcW w:w="4242"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316" w:lineRule="auto" w:before="52"/>
              <w:ind w:left="6" w:right="70"/>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 比例</w:t>
            </w:r>
          </w:p>
        </w:tc>
        <w:tc>
          <w:tcPr>
            <w:tcW w:w="5322" w:type="dxa"/>
            <w:tcBorders>
              <w:top w:val="single" w:sz="6" w:space="0" w:color="000000"/>
              <w:left w:val="single" w:sz="14" w:space="0" w:color="D2D2D2"/>
              <w:bottom w:val="single" w:sz="12"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名供应商资料</w:t>
      </w:r>
    </w:p>
    <w:p>
      <w:pPr>
        <w:spacing w:line="240" w:lineRule="auto" w:before="0"/>
        <w:rPr>
          <w:rFonts w:ascii="宋体" w:hAnsi="宋体" w:cs="宋体" w:eastAsia="宋体" w:hint="default"/>
          <w:sz w:val="7"/>
          <w:szCs w:val="7"/>
        </w:rPr>
      </w:pPr>
    </w:p>
    <w:tbl>
      <w:tblPr>
        <w:tblW w:w="0" w:type="auto"/>
        <w:jc w:val="left"/>
        <w:tblInd w:w="1159" w:type="dxa"/>
        <w:tblLayout w:type="fixed"/>
        <w:tblCellMar>
          <w:top w:w="0" w:type="dxa"/>
          <w:left w:w="0" w:type="dxa"/>
          <w:bottom w:w="0" w:type="dxa"/>
          <w:right w:w="0" w:type="dxa"/>
        </w:tblCellMar>
        <w:tblLook w:val="01E0"/>
      </w:tblPr>
      <w:tblGrid>
        <w:gridCol w:w="919"/>
        <w:gridCol w:w="3179"/>
        <w:gridCol w:w="2322"/>
        <w:gridCol w:w="3144"/>
      </w:tblGrid>
      <w:tr>
        <w:trPr>
          <w:trHeight w:val="415" w:hRule="exact"/>
        </w:trPr>
        <w:tc>
          <w:tcPr>
            <w:tcW w:w="919"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265"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7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614"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4"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755"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7" w:hRule="exact"/>
        </w:trPr>
        <w:tc>
          <w:tcPr>
            <w:tcW w:w="91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91"/>
              <w:ind w:left="6" w:right="0"/>
              <w:jc w:val="left"/>
              <w:rPr>
                <w:rFonts w:ascii="Times New Roman" w:hAnsi="Times New Roman" w:cs="Times New Roman" w:eastAsia="Times New Roman" w:hint="default"/>
                <w:sz w:val="18"/>
                <w:szCs w:val="18"/>
              </w:rPr>
            </w:pPr>
            <w:r>
              <w:rPr>
                <w:rFonts w:ascii="Times New Roman"/>
                <w:sz w:val="18"/>
              </w:rPr>
              <w:t>1</w:t>
            </w:r>
          </w:p>
        </w:tc>
        <w:tc>
          <w:tcPr>
            <w:tcW w:w="3179"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51"/>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2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266,191,851.67</w:t>
            </w:r>
          </w:p>
        </w:tc>
        <w:tc>
          <w:tcPr>
            <w:tcW w:w="314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38.33%</w:t>
            </w:r>
          </w:p>
        </w:tc>
      </w:tr>
      <w:tr>
        <w:trPr>
          <w:trHeight w:val="407" w:hRule="exact"/>
        </w:trPr>
        <w:tc>
          <w:tcPr>
            <w:tcW w:w="91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91"/>
              <w:ind w:left="6" w:right="0"/>
              <w:jc w:val="left"/>
              <w:rPr>
                <w:rFonts w:ascii="Times New Roman" w:hAnsi="Times New Roman" w:cs="Times New Roman" w:eastAsia="Times New Roman" w:hint="default"/>
                <w:sz w:val="18"/>
                <w:szCs w:val="18"/>
              </w:rPr>
            </w:pPr>
            <w:r>
              <w:rPr>
                <w:rFonts w:ascii="Times New Roman"/>
                <w:sz w:val="18"/>
              </w:rPr>
              <w:t>2</w:t>
            </w:r>
          </w:p>
        </w:tc>
        <w:tc>
          <w:tcPr>
            <w:tcW w:w="3179"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51"/>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2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86,611,210.60</w:t>
            </w:r>
          </w:p>
        </w:tc>
        <w:tc>
          <w:tcPr>
            <w:tcW w:w="314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12.47%</w:t>
            </w:r>
          </w:p>
        </w:tc>
      </w:tr>
      <w:tr>
        <w:trPr>
          <w:trHeight w:val="407" w:hRule="exact"/>
        </w:trPr>
        <w:tc>
          <w:tcPr>
            <w:tcW w:w="91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92"/>
              <w:ind w:left="6" w:right="0"/>
              <w:jc w:val="left"/>
              <w:rPr>
                <w:rFonts w:ascii="Times New Roman" w:hAnsi="Times New Roman" w:cs="Times New Roman" w:eastAsia="Times New Roman" w:hint="default"/>
                <w:sz w:val="18"/>
                <w:szCs w:val="18"/>
              </w:rPr>
            </w:pPr>
            <w:r>
              <w:rPr>
                <w:rFonts w:ascii="Times New Roman"/>
                <w:sz w:val="18"/>
              </w:rPr>
              <w:t>3</w:t>
            </w:r>
          </w:p>
        </w:tc>
        <w:tc>
          <w:tcPr>
            <w:tcW w:w="3179"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52"/>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2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52,276,667.01</w:t>
            </w:r>
          </w:p>
        </w:tc>
        <w:tc>
          <w:tcPr>
            <w:tcW w:w="314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7.53%</w:t>
            </w:r>
          </w:p>
        </w:tc>
      </w:tr>
      <w:tr>
        <w:trPr>
          <w:trHeight w:val="407" w:hRule="exact"/>
        </w:trPr>
        <w:tc>
          <w:tcPr>
            <w:tcW w:w="91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92"/>
              <w:ind w:left="6" w:right="0"/>
              <w:jc w:val="left"/>
              <w:rPr>
                <w:rFonts w:ascii="Times New Roman" w:hAnsi="Times New Roman" w:cs="Times New Roman" w:eastAsia="Times New Roman" w:hint="default"/>
                <w:sz w:val="18"/>
                <w:szCs w:val="18"/>
              </w:rPr>
            </w:pPr>
            <w:r>
              <w:rPr>
                <w:rFonts w:ascii="Times New Roman"/>
                <w:sz w:val="18"/>
              </w:rPr>
              <w:t>4</w:t>
            </w:r>
          </w:p>
        </w:tc>
        <w:tc>
          <w:tcPr>
            <w:tcW w:w="3179"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52"/>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p>
        </w:tc>
        <w:tc>
          <w:tcPr>
            <w:tcW w:w="2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40,131,787.78</w:t>
            </w:r>
          </w:p>
        </w:tc>
        <w:tc>
          <w:tcPr>
            <w:tcW w:w="314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5.78%</w:t>
            </w:r>
          </w:p>
        </w:tc>
      </w:tr>
      <w:tr>
        <w:trPr>
          <w:trHeight w:val="409" w:hRule="exact"/>
        </w:trPr>
        <w:tc>
          <w:tcPr>
            <w:tcW w:w="91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92"/>
              <w:ind w:left="6" w:right="0"/>
              <w:jc w:val="left"/>
              <w:rPr>
                <w:rFonts w:ascii="Times New Roman" w:hAnsi="Times New Roman" w:cs="Times New Roman" w:eastAsia="Times New Roman" w:hint="default"/>
                <w:sz w:val="18"/>
                <w:szCs w:val="18"/>
              </w:rPr>
            </w:pPr>
            <w:r>
              <w:rPr>
                <w:rFonts w:ascii="Times New Roman"/>
                <w:sz w:val="18"/>
              </w:rPr>
              <w:t>5</w:t>
            </w:r>
          </w:p>
        </w:tc>
        <w:tc>
          <w:tcPr>
            <w:tcW w:w="3179"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53"/>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p>
        </w:tc>
        <w:tc>
          <w:tcPr>
            <w:tcW w:w="2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24,399,854.40</w:t>
            </w:r>
          </w:p>
        </w:tc>
        <w:tc>
          <w:tcPr>
            <w:tcW w:w="314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3.51%</w:t>
            </w:r>
          </w:p>
        </w:tc>
      </w:tr>
      <w:tr>
        <w:trPr>
          <w:trHeight w:val="414" w:hRule="exact"/>
        </w:trPr>
        <w:tc>
          <w:tcPr>
            <w:tcW w:w="919"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0"/>
              <w:ind w:left="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79"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90"/>
              <w:ind w:left="9"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6" w:space="0" w:color="000000"/>
              <w:left w:val="single" w:sz="9" w:space="0" w:color="D2D2D2"/>
              <w:bottom w:val="single" w:sz="12" w:space="0" w:color="000000"/>
              <w:right w:val="single" w:sz="6" w:space="0" w:color="000000"/>
            </w:tcBorders>
          </w:tcPr>
          <w:p>
            <w:pPr>
              <w:pStyle w:val="TableParagraph"/>
              <w:spacing w:line="240" w:lineRule="auto" w:before="90"/>
              <w:ind w:right="17"/>
              <w:jc w:val="right"/>
              <w:rPr>
                <w:rFonts w:ascii="Times New Roman" w:hAnsi="Times New Roman" w:cs="Times New Roman" w:eastAsia="Times New Roman" w:hint="default"/>
                <w:sz w:val="18"/>
                <w:szCs w:val="18"/>
              </w:rPr>
            </w:pPr>
            <w:r>
              <w:rPr>
                <w:rFonts w:ascii="Times New Roman"/>
                <w:spacing w:val="-1"/>
                <w:sz w:val="18"/>
              </w:rPr>
              <w:t>469,611,371.45</w:t>
            </w:r>
          </w:p>
        </w:tc>
        <w:tc>
          <w:tcPr>
            <w:tcW w:w="314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0"/>
              <w:ind w:right="9"/>
              <w:jc w:val="right"/>
              <w:rPr>
                <w:rFonts w:ascii="Times New Roman" w:hAnsi="Times New Roman" w:cs="Times New Roman" w:eastAsia="Times New Roman" w:hint="default"/>
                <w:sz w:val="18"/>
                <w:szCs w:val="18"/>
              </w:rPr>
            </w:pPr>
            <w:r>
              <w:rPr>
                <w:rFonts w:ascii="Times New Roman"/>
                <w:sz w:val="18"/>
              </w:rPr>
              <w:t>67.61%</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主要供应商其他情况说明</w:t>
      </w:r>
    </w:p>
    <w:p>
      <w:pPr>
        <w:spacing w:before="116"/>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6"/>
        <w:spacing w:line="240" w:lineRule="auto"/>
        <w:ind w:left="1133" w:right="998"/>
        <w:jc w:val="left"/>
        <w:rPr>
          <w:b w:val="0"/>
          <w:bCs w:val="0"/>
        </w:rPr>
      </w:pPr>
      <w:bookmarkStart w:name="3、费用" w:id="36"/>
      <w:bookmarkEnd w:id="36"/>
      <w:r>
        <w:rPr>
          <w:b w:val="0"/>
          <w:bCs w:val="0"/>
        </w:rPr>
      </w:r>
      <w:r>
        <w:rPr>
          <w:rFonts w:ascii="Times New Roman" w:hAnsi="Times New Roman" w:cs="Times New Roman" w:eastAsia="Times New Roman" w:hint="default"/>
        </w:rPr>
        <w:t>3</w:t>
      </w:r>
      <w:r>
        <w:rPr/>
        <w:t>、费用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59" w:type="dxa"/>
        <w:tblLayout w:type="fixed"/>
        <w:tblCellMar>
          <w:top w:w="0" w:type="dxa"/>
          <w:left w:w="0" w:type="dxa"/>
          <w:bottom w:w="0" w:type="dxa"/>
          <w:right w:w="0" w:type="dxa"/>
        </w:tblCellMar>
        <w:tblLook w:val="01E0"/>
      </w:tblPr>
      <w:tblGrid>
        <w:gridCol w:w="1899"/>
        <w:gridCol w:w="1647"/>
        <w:gridCol w:w="1637"/>
        <w:gridCol w:w="1462"/>
        <w:gridCol w:w="2918"/>
      </w:tblGrid>
      <w:tr>
        <w:trPr>
          <w:trHeight w:val="415" w:hRule="exact"/>
        </w:trPr>
        <w:tc>
          <w:tcPr>
            <w:tcW w:w="1899" w:type="dxa"/>
            <w:tcBorders>
              <w:top w:val="single" w:sz="12" w:space="0" w:color="000000"/>
              <w:left w:val="single" w:sz="12" w:space="0" w:color="000000"/>
              <w:bottom w:val="single" w:sz="6" w:space="0" w:color="000000"/>
              <w:right w:val="single" w:sz="6" w:space="0" w:color="000000"/>
            </w:tcBorders>
            <w:shd w:val="clear" w:color="auto" w:fill="D2D2D2"/>
          </w:tcPr>
          <w:p>
            <w:pPr/>
          </w:p>
        </w:tc>
        <w:tc>
          <w:tcPr>
            <w:tcW w:w="164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5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6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363"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8"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7" w:hRule="exact"/>
        </w:trPr>
        <w:tc>
          <w:tcPr>
            <w:tcW w:w="189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47"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left="477" w:right="0"/>
              <w:jc w:val="left"/>
              <w:rPr>
                <w:rFonts w:ascii="Times New Roman" w:hAnsi="Times New Roman" w:cs="Times New Roman" w:eastAsia="Times New Roman" w:hint="default"/>
                <w:sz w:val="18"/>
                <w:szCs w:val="18"/>
              </w:rPr>
            </w:pPr>
            <w:r>
              <w:rPr>
                <w:rFonts w:ascii="Times New Roman"/>
                <w:sz w:val="18"/>
              </w:rPr>
              <w:t>953,910,836.54</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638,900,658.96</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49.31%</w:t>
            </w:r>
          </w:p>
        </w:tc>
        <w:tc>
          <w:tcPr>
            <w:tcW w:w="29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新增合并闲徕业务所致</w:t>
            </w:r>
          </w:p>
        </w:tc>
      </w:tr>
      <w:tr>
        <w:trPr>
          <w:trHeight w:val="407" w:hRule="exact"/>
        </w:trPr>
        <w:tc>
          <w:tcPr>
            <w:tcW w:w="189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47"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left="477" w:right="0"/>
              <w:jc w:val="left"/>
              <w:rPr>
                <w:rFonts w:ascii="Times New Roman" w:hAnsi="Times New Roman" w:cs="Times New Roman" w:eastAsia="Times New Roman" w:hint="default"/>
                <w:sz w:val="18"/>
                <w:szCs w:val="18"/>
              </w:rPr>
            </w:pPr>
            <w:r>
              <w:rPr>
                <w:rFonts w:ascii="Times New Roman"/>
                <w:sz w:val="18"/>
              </w:rPr>
              <w:t>666,730,798.65</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443,522,811.44</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50.33%</w:t>
            </w:r>
          </w:p>
        </w:tc>
        <w:tc>
          <w:tcPr>
            <w:tcW w:w="29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新增合并闲徕业务所致</w:t>
            </w:r>
          </w:p>
        </w:tc>
      </w:tr>
      <w:tr>
        <w:trPr>
          <w:trHeight w:val="415" w:hRule="exact"/>
        </w:trPr>
        <w:tc>
          <w:tcPr>
            <w:tcW w:w="1899"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47" w:type="dxa"/>
            <w:tcBorders>
              <w:top w:val="single" w:sz="6" w:space="0" w:color="000000"/>
              <w:left w:val="single" w:sz="14" w:space="0" w:color="D2D2D2"/>
              <w:bottom w:val="single" w:sz="12" w:space="0" w:color="000000"/>
              <w:right w:val="single" w:sz="6" w:space="0" w:color="000000"/>
            </w:tcBorders>
          </w:tcPr>
          <w:p>
            <w:pPr>
              <w:pStyle w:val="TableParagraph"/>
              <w:spacing w:line="240" w:lineRule="auto" w:before="91"/>
              <w:ind w:left="567" w:right="0"/>
              <w:jc w:val="left"/>
              <w:rPr>
                <w:rFonts w:ascii="Times New Roman" w:hAnsi="Times New Roman" w:cs="Times New Roman" w:eastAsia="Times New Roman" w:hint="default"/>
                <w:sz w:val="18"/>
                <w:szCs w:val="18"/>
              </w:rPr>
            </w:pPr>
            <w:r>
              <w:rPr>
                <w:rFonts w:ascii="Times New Roman"/>
                <w:sz w:val="18"/>
              </w:rPr>
              <w:t>96,408,579.24</w:t>
            </w:r>
          </w:p>
        </w:tc>
        <w:tc>
          <w:tcPr>
            <w:tcW w:w="163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55,053,404.45</w:t>
            </w:r>
          </w:p>
        </w:tc>
        <w:tc>
          <w:tcPr>
            <w:tcW w:w="14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75.12%</w:t>
            </w:r>
          </w:p>
        </w:tc>
        <w:tc>
          <w:tcPr>
            <w:tcW w:w="291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汇率变动及利息支出所致</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4、研发投入" w:id="37"/>
      <w:bookmarkEnd w:id="37"/>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pStyle w:val="BodyText"/>
        <w:spacing w:line="240" w:lineRule="auto" w:before="154"/>
        <w:ind w:right="998"/>
        <w:jc w:val="left"/>
      </w:pPr>
      <w:r>
        <w:rPr/>
        <w:t>报告期内公司进行的研发项目包括：</w:t>
      </w:r>
    </w:p>
    <w:p>
      <w:pPr>
        <w:spacing w:line="240" w:lineRule="auto" w:before="10"/>
        <w:rPr>
          <w:rFonts w:ascii="宋体" w:hAnsi="宋体" w:cs="宋体" w:eastAsia="宋体" w:hint="default"/>
          <w:sz w:val="14"/>
          <w:szCs w:val="14"/>
        </w:rPr>
      </w:pPr>
    </w:p>
    <w:p>
      <w:pPr>
        <w:spacing w:line="386" w:lineRule="auto" w:before="0"/>
        <w:ind w:left="1553" w:right="998"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S</w:t>
      </w:r>
      <w:r>
        <w:rPr>
          <w:rFonts w:ascii="Times New Roman" w:hAnsi="Times New Roman" w:cs="Times New Roman" w:eastAsia="Times New Roman" w:hint="default"/>
          <w:b/>
          <w:bCs/>
          <w:sz w:val="21"/>
          <w:szCs w:val="21"/>
        </w:rPr>
        <w:t>eal</w:t>
      </w:r>
      <w:r>
        <w:rPr>
          <w:rFonts w:ascii="Times New Roman" w:hAnsi="Times New Roman" w:cs="Times New Roman" w:eastAsia="Times New Roman" w:hint="default"/>
          <w:b/>
          <w:bCs/>
          <w:spacing w:val="52"/>
          <w:sz w:val="21"/>
          <w:szCs w:val="21"/>
        </w:rPr>
        <w:t> </w:t>
      </w:r>
      <w:r>
        <w:rPr>
          <w:rFonts w:ascii="宋体" w:hAnsi="宋体" w:cs="宋体" w:eastAsia="宋体" w:hint="default"/>
          <w:b/>
          <w:bCs/>
          <w:sz w:val="21"/>
          <w:szCs w:val="21"/>
        </w:rPr>
        <w:t>希望：新世界》</w:t>
      </w:r>
      <w:r>
        <w:rPr>
          <w:rFonts w:ascii="宋体" w:hAnsi="宋体" w:cs="宋体" w:eastAsia="宋体" w:hint="default"/>
          <w:b/>
          <w:bCs/>
          <w:w w:val="99"/>
          <w:sz w:val="21"/>
          <w:szCs w:val="21"/>
        </w:rPr>
        <w:t> </w:t>
      </w:r>
      <w:r>
        <w:rPr>
          <w:rFonts w:ascii="宋体" w:hAnsi="宋体" w:cs="宋体" w:eastAsia="宋体" w:hint="default"/>
          <w:spacing w:val="-3"/>
          <w:sz w:val="21"/>
          <w:szCs w:val="21"/>
        </w:rPr>
        <w:t>本产品为基于端游</w:t>
      </w:r>
      <w:r>
        <w:rPr>
          <w:rFonts w:ascii="Times New Roman" w:hAnsi="Times New Roman" w:cs="Times New Roman" w:eastAsia="Times New Roman" w:hint="default"/>
          <w:spacing w:val="-3"/>
          <w:sz w:val="21"/>
          <w:szCs w:val="21"/>
        </w:rPr>
        <w:t>IP</w:t>
      </w:r>
      <w:r>
        <w:rPr>
          <w:rFonts w:ascii="宋体" w:hAnsi="宋体" w:cs="宋体" w:eastAsia="宋体" w:hint="default"/>
          <w:spacing w:val="-3"/>
          <w:sz w:val="21"/>
          <w:szCs w:val="21"/>
        </w:rPr>
        <w:t>开发的</w:t>
      </w:r>
      <w:r>
        <w:rPr>
          <w:rFonts w:ascii="Times New Roman" w:hAnsi="Times New Roman" w:cs="Times New Roman" w:eastAsia="Times New Roman" w:hint="default"/>
          <w:spacing w:val="-3"/>
          <w:sz w:val="21"/>
          <w:szCs w:val="21"/>
        </w:rPr>
        <w:t>MMORPG</w:t>
      </w:r>
      <w:r>
        <w:rPr>
          <w:rFonts w:ascii="宋体" w:hAnsi="宋体" w:cs="宋体" w:eastAsia="宋体" w:hint="default"/>
          <w:spacing w:val="-3"/>
          <w:sz w:val="21"/>
          <w:szCs w:val="21"/>
        </w:rPr>
        <w:t>移动网络游戏，采用清新可爱画风，在保留端游美术风格的基础</w:t>
      </w:r>
    </w:p>
    <w:p>
      <w:pPr>
        <w:spacing w:after="0" w:line="386" w:lineRule="auto"/>
        <w:jc w:val="left"/>
        <w:rPr>
          <w:rFonts w:ascii="宋体" w:hAnsi="宋体" w:cs="宋体" w:eastAsia="宋体" w:hint="default"/>
          <w:sz w:val="21"/>
          <w:szCs w:val="21"/>
        </w:rPr>
        <w:sectPr>
          <w:pgSz w:w="11910" w:h="16840"/>
          <w:pgMar w:header="747" w:footer="979" w:top="1060" w:bottom="1160" w:left="0" w:right="0"/>
        </w:sectPr>
      </w:pPr>
    </w:p>
    <w:p>
      <w:pPr>
        <w:spacing w:line="240" w:lineRule="auto" w:before="0"/>
        <w:rPr>
          <w:rFonts w:ascii="宋体" w:hAnsi="宋体" w:cs="宋体" w:eastAsia="宋体" w:hint="default"/>
          <w:sz w:val="20"/>
          <w:szCs w:val="20"/>
        </w:rPr>
      </w:pPr>
    </w:p>
    <w:p>
      <w:pPr>
        <w:pStyle w:val="BodyText"/>
        <w:spacing w:line="386" w:lineRule="auto" w:before="174"/>
        <w:ind w:right="1134"/>
        <w:jc w:val="both"/>
      </w:pPr>
      <w:r>
        <w:rPr/>
        <w:t>上做了适合手游的更加精美的设计。已于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月在台港澳地区公测，上架首日荣获商店免费下载排行</w:t>
      </w:r>
      <w:r>
        <w:rPr>
          <w:spacing w:val="-31"/>
        </w:rPr>
        <w:t> </w:t>
      </w:r>
      <w:r>
        <w:rPr>
          <w:spacing w:val="-31"/>
        </w:rPr>
      </w:r>
      <w:r>
        <w:rPr/>
        <w:t>冠军，三天内冲进畅销排行榜前十名，</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18</w:t>
      </w:r>
      <w:r>
        <w:rPr/>
        <w:t>日更挤进畅销排行前五名，赢得众多玩家好评。并在下半年</w:t>
      </w:r>
      <w:r>
        <w:rPr>
          <w:spacing w:val="-30"/>
        </w:rPr>
        <w:t> </w:t>
      </w:r>
      <w:r>
        <w:rPr>
          <w:spacing w:val="-30"/>
        </w:rPr>
      </w:r>
      <w:r>
        <w:rPr/>
        <w:t>分别登陆东南亚、韩国、日本、北美、南美等国家地区，取得不俗成绩。</w:t>
      </w:r>
    </w:p>
    <w:p>
      <w:pPr>
        <w:pStyle w:val="Heading6"/>
        <w:spacing w:line="240" w:lineRule="auto" w:before="65"/>
        <w:ind w:left="1133" w:right="998"/>
        <w:jc w:val="left"/>
        <w:rPr>
          <w:b w:val="0"/>
          <w:bCs w:val="0"/>
        </w:rPr>
      </w:pPr>
      <w:r>
        <w:rPr/>
        <w:t>《洛奇》</w:t>
      </w:r>
      <w:r>
        <w:rPr>
          <w:b w:val="0"/>
          <w:bCs w:val="0"/>
        </w:rPr>
      </w:r>
    </w:p>
    <w:p>
      <w:pPr>
        <w:spacing w:line="240" w:lineRule="auto" w:before="10"/>
        <w:rPr>
          <w:rFonts w:ascii="宋体" w:hAnsi="宋体" w:cs="宋体" w:eastAsia="宋体" w:hint="default"/>
          <w:b/>
          <w:bCs/>
          <w:sz w:val="14"/>
          <w:szCs w:val="14"/>
        </w:rPr>
      </w:pPr>
    </w:p>
    <w:p>
      <w:pPr>
        <w:pStyle w:val="BodyText"/>
        <w:spacing w:line="386" w:lineRule="auto"/>
        <w:ind w:right="998" w:firstLine="420"/>
        <w:jc w:val="left"/>
      </w:pPr>
      <w:r>
        <w:rPr/>
        <w:t>本产品为基于端游</w:t>
      </w:r>
      <w:r>
        <w:rPr>
          <w:rFonts w:ascii="Times New Roman" w:hAnsi="Times New Roman" w:cs="Times New Roman" w:eastAsia="Times New Roman" w:hint="default"/>
        </w:rPr>
        <w:t>IP</w:t>
      </w:r>
      <w:r>
        <w:rPr/>
        <w:t>开发的</w:t>
      </w:r>
      <w:r>
        <w:rPr>
          <w:rFonts w:ascii="Times New Roman" w:hAnsi="Times New Roman" w:cs="Times New Roman" w:eastAsia="Times New Roman" w:hint="default"/>
        </w:rPr>
        <w:t>ARPG</w:t>
      </w:r>
      <w:r>
        <w:rPr/>
        <w:t>移动网络游戏，采用韩式卡通风格，主打宠物和副本玩法，面向传 统端游用户。计划于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月封测。</w:t>
      </w:r>
    </w:p>
    <w:p>
      <w:pPr>
        <w:pStyle w:val="BodyText"/>
        <w:spacing w:line="408" w:lineRule="auto" w:before="35"/>
        <w:ind w:left="1553" w:right="998" w:hanging="420"/>
        <w:jc w:val="left"/>
      </w:pPr>
      <w:r>
        <w:rPr>
          <w:rFonts w:ascii="宋体" w:hAnsi="宋体" w:cs="宋体" w:eastAsia="宋体" w:hint="default"/>
          <w:b/>
          <w:bCs/>
        </w:rPr>
        <w:t>《偷星九月天》</w:t>
      </w:r>
      <w:r>
        <w:rPr>
          <w:rFonts w:ascii="宋体" w:hAnsi="宋体" w:cs="宋体" w:eastAsia="宋体" w:hint="default"/>
          <w:b/>
          <w:bCs/>
          <w:w w:val="99"/>
        </w:rPr>
        <w:t> </w:t>
      </w:r>
      <w:r>
        <w:rPr>
          <w:spacing w:val="-2"/>
        </w:rPr>
        <w:t>本产品为首款国产动漫题材</w:t>
      </w:r>
      <w:r>
        <w:rPr>
          <w:rFonts w:ascii="Times New Roman" w:hAnsi="Times New Roman" w:cs="Times New Roman" w:eastAsia="Times New Roman" w:hint="default"/>
          <w:spacing w:val="-2"/>
        </w:rPr>
        <w:t>MMORPG</w:t>
      </w:r>
      <w:r>
        <w:rPr>
          <w:spacing w:val="-2"/>
        </w:rPr>
        <w:t>移动网络游戏，采用轻松可爱的日式</w:t>
      </w:r>
      <w:r>
        <w:rPr>
          <w:rFonts w:ascii="Times New Roman" w:hAnsi="Times New Roman" w:cs="Times New Roman" w:eastAsia="Times New Roman" w:hint="default"/>
          <w:spacing w:val="-2"/>
        </w:rPr>
        <w:t>Q</w:t>
      </w:r>
      <w:r>
        <w:rPr>
          <w:spacing w:val="-2"/>
        </w:rPr>
        <w:t>萌画风，主打社交互动玩</w:t>
      </w:r>
    </w:p>
    <w:p>
      <w:pPr>
        <w:pStyle w:val="BodyText"/>
        <w:spacing w:line="240" w:lineRule="auto" w:before="14"/>
        <w:ind w:right="998"/>
        <w:jc w:val="left"/>
      </w:pPr>
      <w:r>
        <w:rPr/>
        <w:t>法，面向亚洲地区二次元用户。计划于</w:t>
      </w:r>
      <w:r>
        <w:rPr>
          <w:rFonts w:ascii="Times New Roman" w:hAnsi="Times New Roman" w:cs="Times New Roman" w:eastAsia="Times New Roman" w:hint="default"/>
        </w:rPr>
        <w:t>2018</w:t>
      </w:r>
      <w:r>
        <w:rPr/>
        <w:t>年二季度进行封测。</w:t>
      </w:r>
    </w:p>
    <w:p>
      <w:pPr>
        <w:spacing w:line="386" w:lineRule="auto" w:before="177"/>
        <w:ind w:left="1554" w:right="998"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BLEACH</w:t>
      </w:r>
      <w:r>
        <w:rPr>
          <w:rFonts w:ascii="宋体" w:hAnsi="宋体" w:cs="宋体" w:eastAsia="宋体" w:hint="default"/>
          <w:b/>
          <w:bCs/>
          <w:sz w:val="21"/>
          <w:szCs w:val="21"/>
        </w:rPr>
        <w:t>境</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界</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魂之觉醒》</w:t>
      </w:r>
      <w:r>
        <w:rPr>
          <w:rFonts w:ascii="宋体" w:hAnsi="宋体" w:cs="宋体" w:eastAsia="宋体" w:hint="default"/>
          <w:b/>
          <w:bCs/>
          <w:w w:val="99"/>
          <w:sz w:val="21"/>
          <w:szCs w:val="21"/>
        </w:rPr>
        <w:t> </w:t>
      </w:r>
      <w:r>
        <w:rPr>
          <w:rFonts w:ascii="宋体" w:hAnsi="宋体" w:cs="宋体" w:eastAsia="宋体" w:hint="default"/>
          <w:sz w:val="21"/>
          <w:szCs w:val="21"/>
        </w:rPr>
        <w:t>本产品为基于著名日本动漫《</w:t>
      </w:r>
      <w:r>
        <w:rPr>
          <w:rFonts w:ascii="Times New Roman" w:hAnsi="Times New Roman" w:cs="Times New Roman" w:eastAsia="Times New Roman" w:hint="default"/>
          <w:sz w:val="21"/>
          <w:szCs w:val="21"/>
        </w:rPr>
        <w:t>BLEACH</w:t>
      </w:r>
      <w:r>
        <w:rPr>
          <w:rFonts w:ascii="宋体" w:hAnsi="宋体" w:cs="宋体" w:eastAsia="宋体" w:hint="default"/>
          <w:sz w:val="21"/>
          <w:szCs w:val="21"/>
        </w:rPr>
        <w:t>境</w:t>
      </w:r>
      <w:r>
        <w:rPr>
          <w:rFonts w:ascii="Times New Roman" w:hAnsi="Times New Roman" w:cs="Times New Roman" w:eastAsia="Times New Roman" w:hint="default"/>
          <w:sz w:val="21"/>
          <w:szCs w:val="21"/>
        </w:rPr>
        <w:t>•</w:t>
      </w:r>
      <w:r>
        <w:rPr>
          <w:rFonts w:ascii="宋体" w:hAnsi="宋体" w:cs="宋体" w:eastAsia="宋体" w:hint="default"/>
          <w:sz w:val="21"/>
          <w:szCs w:val="21"/>
        </w:rPr>
        <w:t>界》开发的</w:t>
      </w:r>
      <w:r>
        <w:rPr>
          <w:rFonts w:ascii="Times New Roman" w:hAnsi="Times New Roman" w:cs="Times New Roman" w:eastAsia="Times New Roman" w:hint="default"/>
          <w:sz w:val="21"/>
          <w:szCs w:val="21"/>
        </w:rPr>
        <w:t>MMORPG</w:t>
      </w:r>
      <w:r>
        <w:rPr>
          <w:rFonts w:ascii="宋体" w:hAnsi="宋体" w:cs="宋体" w:eastAsia="宋体" w:hint="default"/>
          <w:sz w:val="21"/>
          <w:szCs w:val="21"/>
        </w:rPr>
        <w:t>移动网络游戏，采用日式动漫画风，</w:t>
      </w:r>
    </w:p>
    <w:p>
      <w:pPr>
        <w:pStyle w:val="BodyText"/>
        <w:spacing w:line="240" w:lineRule="auto" w:before="35"/>
        <w:ind w:left="1134" w:right="998"/>
        <w:jc w:val="left"/>
      </w:pPr>
      <w:r>
        <w:rPr/>
        <w:t>主打团队交互玩法，面向中国、港澳台、东南亚、韩国地区动漫用户。</w:t>
      </w:r>
    </w:p>
    <w:p>
      <w:pPr>
        <w:spacing w:line="240" w:lineRule="auto" w:before="10"/>
        <w:rPr>
          <w:rFonts w:ascii="宋体" w:hAnsi="宋体" w:cs="宋体" w:eastAsia="宋体" w:hint="default"/>
          <w:sz w:val="14"/>
          <w:szCs w:val="14"/>
        </w:rPr>
      </w:pPr>
    </w:p>
    <w:p>
      <w:pPr>
        <w:pStyle w:val="Heading6"/>
        <w:spacing w:line="240" w:lineRule="auto"/>
        <w:ind w:right="998"/>
        <w:jc w:val="left"/>
        <w:rPr>
          <w:b w:val="0"/>
          <w:bCs w:val="0"/>
        </w:rPr>
      </w:pPr>
      <w:r>
        <w:rPr/>
        <w:t>《</w:t>
      </w:r>
      <w:r>
        <w:rPr>
          <w:rFonts w:ascii="Times New Roman" w:hAnsi="Times New Roman" w:cs="Times New Roman" w:eastAsia="Times New Roman" w:hint="default"/>
        </w:rPr>
        <w:t>Project</w:t>
      </w:r>
      <w:r>
        <w:rPr>
          <w:rFonts w:ascii="Times New Roman" w:hAnsi="Times New Roman" w:cs="Times New Roman" w:eastAsia="Times New Roman" w:hint="default"/>
          <w:spacing w:val="-3"/>
        </w:rPr>
        <w:t> </w:t>
      </w:r>
      <w:r>
        <w:rPr>
          <w:rFonts w:ascii="Times New Roman" w:hAnsi="Times New Roman" w:cs="Times New Roman" w:eastAsia="Times New Roman" w:hint="default"/>
        </w:rPr>
        <w:t>P</w:t>
      </w:r>
      <w:r>
        <w:rPr/>
        <w:t>》</w:t>
      </w:r>
      <w:r>
        <w:rPr>
          <w:b w:val="0"/>
          <w:bCs w:val="0"/>
        </w:rPr>
      </w:r>
    </w:p>
    <w:p>
      <w:pPr>
        <w:pStyle w:val="BodyText"/>
        <w:spacing w:line="386" w:lineRule="auto" w:before="177"/>
        <w:ind w:left="1134" w:right="1127" w:firstLine="420"/>
        <w:jc w:val="left"/>
      </w:pPr>
      <w:r>
        <w:rPr>
          <w:spacing w:val="-1"/>
        </w:rPr>
        <w:t>本产品为中国古典风格的大型</w:t>
      </w:r>
      <w:r>
        <w:rPr>
          <w:rFonts w:ascii="Times New Roman" w:hAnsi="Times New Roman" w:cs="Times New Roman" w:eastAsia="Times New Roman" w:hint="default"/>
          <w:spacing w:val="-1"/>
        </w:rPr>
        <w:t>MMORPG</w:t>
      </w:r>
      <w:r>
        <w:rPr>
          <w:spacing w:val="-1"/>
        </w:rPr>
        <w:t>移动网络游戏，采用中式</w:t>
      </w:r>
      <w:r>
        <w:rPr>
          <w:rFonts w:ascii="Times New Roman" w:hAnsi="Times New Roman" w:cs="Times New Roman" w:eastAsia="Times New Roman" w:hint="default"/>
          <w:spacing w:val="-1"/>
        </w:rPr>
        <w:t>Q</w:t>
      </w:r>
      <w:r>
        <w:rPr>
          <w:spacing w:val="-1"/>
        </w:rPr>
        <w:t>版风格，主打多人</w:t>
      </w:r>
      <w:r>
        <w:rPr>
          <w:rFonts w:ascii="Times New Roman" w:hAnsi="Times New Roman" w:cs="Times New Roman" w:eastAsia="Times New Roman" w:hint="default"/>
          <w:spacing w:val="-1"/>
        </w:rPr>
        <w:t>PVE</w:t>
      </w:r>
      <w:r>
        <w:rPr>
          <w:spacing w:val="-1"/>
        </w:rPr>
        <w:t>玩法，面向</w:t>
      </w:r>
      <w:r>
        <w:rPr/>
        <w:t> 亚洲用户。目前处于研发阶段，上线时间待定。</w:t>
      </w:r>
    </w:p>
    <w:p>
      <w:pPr>
        <w:spacing w:line="240" w:lineRule="auto" w:before="12"/>
        <w:rPr>
          <w:rFonts w:ascii="宋体" w:hAnsi="宋体" w:cs="宋体" w:eastAsia="宋体" w:hint="default"/>
          <w:sz w:val="27"/>
          <w:szCs w:val="27"/>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近三年公司研发投入金额及占营业收入的比例</w:t>
      </w:r>
    </w:p>
    <w:p>
      <w:pPr>
        <w:spacing w:line="240" w:lineRule="auto" w:before="1"/>
        <w:rPr>
          <w:rFonts w:ascii="宋体" w:hAnsi="宋体" w:cs="宋体" w:eastAsia="宋体" w:hint="default"/>
          <w:sz w:val="8"/>
          <w:szCs w:val="8"/>
        </w:rPr>
      </w:pPr>
    </w:p>
    <w:tbl>
      <w:tblPr>
        <w:tblW w:w="0" w:type="auto"/>
        <w:jc w:val="left"/>
        <w:tblInd w:w="1159" w:type="dxa"/>
        <w:tblLayout w:type="fixed"/>
        <w:tblCellMar>
          <w:top w:w="0" w:type="dxa"/>
          <w:left w:w="0" w:type="dxa"/>
          <w:bottom w:w="0" w:type="dxa"/>
          <w:right w:w="0" w:type="dxa"/>
        </w:tblCellMar>
        <w:tblLook w:val="01E0"/>
      </w:tblPr>
      <w:tblGrid>
        <w:gridCol w:w="2376"/>
        <w:gridCol w:w="2403"/>
        <w:gridCol w:w="2392"/>
        <w:gridCol w:w="2392"/>
      </w:tblGrid>
      <w:tr>
        <w:trPr>
          <w:trHeight w:val="413" w:hRule="exact"/>
        </w:trPr>
        <w:tc>
          <w:tcPr>
            <w:tcW w:w="2376" w:type="dxa"/>
            <w:tcBorders>
              <w:top w:val="single" w:sz="12" w:space="0" w:color="000000"/>
              <w:left w:val="single" w:sz="12" w:space="0" w:color="000000"/>
              <w:bottom w:val="single" w:sz="6" w:space="0" w:color="000000"/>
              <w:right w:val="single" w:sz="6" w:space="0" w:color="000000"/>
            </w:tcBorders>
            <w:shd w:val="clear" w:color="auto" w:fill="D2D2D2"/>
          </w:tcPr>
          <w:p>
            <w:pPr/>
          </w:p>
        </w:tc>
        <w:tc>
          <w:tcPr>
            <w:tcW w:w="2403"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854</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372</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11"/>
              <w:jc w:val="right"/>
              <w:rPr>
                <w:rFonts w:ascii="Times New Roman" w:hAnsi="Times New Roman" w:cs="Times New Roman" w:eastAsia="Times New Roman" w:hint="default"/>
                <w:sz w:val="18"/>
                <w:szCs w:val="18"/>
              </w:rPr>
            </w:pPr>
            <w:r>
              <w:rPr>
                <w:rFonts w:ascii="Times New Roman"/>
                <w:sz w:val="18"/>
              </w:rPr>
              <w:t>330</w:t>
            </w:r>
          </w:p>
        </w:tc>
      </w:tr>
      <w:tr>
        <w:trPr>
          <w:trHeight w:val="408"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59.64%</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53.91%</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44.47%</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282,647,779.43</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100,966,109.83</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pacing w:val="-1"/>
                <w:sz w:val="18"/>
              </w:rPr>
              <w:t>93,059,527.96</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8.23%</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4.16%</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5.20%</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研发支出资本化的金额（元）</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0.00</w:t>
            </w:r>
          </w:p>
        </w:tc>
      </w:tr>
      <w:tr>
        <w:trPr>
          <w:trHeight w:val="719"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6" w:lineRule="auto" w:before="52"/>
              <w:ind w:left="6" w:right="185"/>
              <w:jc w:val="left"/>
              <w:rPr>
                <w:rFonts w:ascii="宋体" w:hAnsi="宋体" w:cs="宋体" w:eastAsia="宋体" w:hint="default"/>
                <w:sz w:val="18"/>
                <w:szCs w:val="18"/>
              </w:rPr>
            </w:pPr>
            <w:r>
              <w:rPr>
                <w:rFonts w:ascii="宋体" w:hAnsi="宋体" w:cs="宋体" w:eastAsia="宋体" w:hint="default"/>
                <w:sz w:val="18"/>
                <w:szCs w:val="18"/>
              </w:rPr>
              <w:t>资本化研发支出占研发投入 的比例</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0.00%</w:t>
            </w:r>
          </w:p>
        </w:tc>
      </w:tr>
      <w:tr>
        <w:trPr>
          <w:trHeight w:val="727" w:hRule="exact"/>
        </w:trPr>
        <w:tc>
          <w:tcPr>
            <w:tcW w:w="2376"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316" w:lineRule="auto" w:before="52"/>
              <w:ind w:left="6" w:right="185"/>
              <w:jc w:val="left"/>
              <w:rPr>
                <w:rFonts w:ascii="宋体" w:hAnsi="宋体" w:cs="宋体" w:eastAsia="宋体" w:hint="default"/>
                <w:sz w:val="18"/>
                <w:szCs w:val="18"/>
              </w:rPr>
            </w:pPr>
            <w:r>
              <w:rPr>
                <w:rFonts w:ascii="宋体" w:hAnsi="宋体" w:cs="宋体" w:eastAsia="宋体" w:hint="default"/>
                <w:sz w:val="18"/>
                <w:szCs w:val="18"/>
              </w:rPr>
              <w:t>资本化研发支出占当期净利 润的比重</w:t>
            </w:r>
          </w:p>
        </w:tc>
        <w:tc>
          <w:tcPr>
            <w:tcW w:w="2403" w:type="dxa"/>
            <w:tcBorders>
              <w:top w:val="single" w:sz="6" w:space="0" w:color="000000"/>
              <w:left w:val="single" w:sz="14" w:space="0" w:color="D2D2D2"/>
              <w:bottom w:val="single" w:sz="12"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研发投入总额占营业收入的比重较上年发生显著变化的原因</w:t>
      </w:r>
    </w:p>
    <w:p>
      <w:pPr>
        <w:spacing w:line="338" w:lineRule="auto" w:before="117"/>
        <w:ind w:left="1133" w:right="67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研发投入资本化率大幅变动的原因及其合理性说明</w:t>
      </w:r>
    </w:p>
    <w:p>
      <w:pPr>
        <w:spacing w:before="43"/>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7" w:footer="979" w:top="1060" w:bottom="1160" w:left="0" w:right="0"/>
        </w:sectPr>
      </w:pPr>
    </w:p>
    <w:p>
      <w:pPr>
        <w:spacing w:line="240" w:lineRule="auto" w:before="9"/>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5、现金流" w:id="38"/>
      <w:bookmarkEnd w:id="38"/>
      <w:r>
        <w:rPr>
          <w:b w:val="0"/>
          <w:bCs w:val="0"/>
        </w:rPr>
      </w:r>
      <w:r>
        <w:rPr>
          <w:rFonts w:ascii="Times New Roman" w:hAnsi="Times New Roman" w:cs="Times New Roman" w:eastAsia="Times New Roman" w:hint="default"/>
        </w:rPr>
        <w:t>5</w:t>
      </w:r>
      <w:r>
        <w:rPr/>
        <w:t>、现金流</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59" w:type="dxa"/>
        <w:tblLayout w:type="fixed"/>
        <w:tblCellMar>
          <w:top w:w="0" w:type="dxa"/>
          <w:left w:w="0" w:type="dxa"/>
          <w:bottom w:w="0" w:type="dxa"/>
          <w:right w:w="0" w:type="dxa"/>
        </w:tblCellMar>
        <w:tblLook w:val="01E0"/>
      </w:tblPr>
      <w:tblGrid>
        <w:gridCol w:w="2376"/>
        <w:gridCol w:w="2403"/>
        <w:gridCol w:w="2392"/>
        <w:gridCol w:w="2392"/>
      </w:tblGrid>
      <w:tr>
        <w:trPr>
          <w:trHeight w:val="415" w:hRule="exact"/>
        </w:trPr>
        <w:tc>
          <w:tcPr>
            <w:tcW w:w="2376"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right="4"/>
              <w:jc w:val="center"/>
              <w:rPr>
                <w:rFonts w:ascii="宋体" w:hAnsi="宋体" w:cs="宋体" w:eastAsia="宋体" w:hint="default"/>
                <w:sz w:val="18"/>
                <w:szCs w:val="18"/>
              </w:rPr>
            </w:pPr>
            <w:r>
              <w:rPr>
                <w:rFonts w:ascii="宋体" w:hAnsi="宋体" w:cs="宋体" w:eastAsia="宋体" w:hint="default"/>
                <w:sz w:val="18"/>
                <w:szCs w:val="18"/>
              </w:rPr>
              <w:t>项目</w:t>
            </w:r>
          </w:p>
        </w:tc>
        <w:tc>
          <w:tcPr>
            <w:tcW w:w="2403"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3,346,593,215.28</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2,422,626,916.90</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38.14%</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2,300,797,230.28</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2,065,505,940.01</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10"/>
              <w:jc w:val="right"/>
              <w:rPr>
                <w:rFonts w:ascii="Times New Roman" w:hAnsi="Times New Roman" w:cs="Times New Roman" w:eastAsia="Times New Roman" w:hint="default"/>
                <w:sz w:val="18"/>
                <w:szCs w:val="18"/>
              </w:rPr>
            </w:pPr>
            <w:r>
              <w:rPr>
                <w:rFonts w:ascii="Times New Roman"/>
                <w:spacing w:val="-2"/>
                <w:sz w:val="18"/>
              </w:rPr>
              <w:t>11.39%</w:t>
            </w:r>
          </w:p>
        </w:tc>
      </w:tr>
      <w:tr>
        <w:trPr>
          <w:trHeight w:val="720"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6" w:lineRule="auto" w:before="52"/>
              <w:ind w:left="6" w:right="185"/>
              <w:jc w:val="left"/>
              <w:rPr>
                <w:rFonts w:ascii="宋体" w:hAnsi="宋体" w:cs="宋体" w:eastAsia="宋体" w:hint="default"/>
                <w:sz w:val="18"/>
                <w:szCs w:val="18"/>
              </w:rPr>
            </w:pPr>
            <w:r>
              <w:rPr>
                <w:rFonts w:ascii="宋体" w:hAnsi="宋体" w:cs="宋体" w:eastAsia="宋体" w:hint="default"/>
                <w:sz w:val="18"/>
                <w:szCs w:val="18"/>
              </w:rPr>
              <w:t>经营活动产生的现金流量净 额</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1,045,795,985.00</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357,120,976.89</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192.84%</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1,444,844,625.48</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1,483,655,324.87</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-2.62%</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1,379,805,813.68</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3,440,186,233.66</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-59.89%</w:t>
            </w:r>
          </w:p>
        </w:tc>
      </w:tr>
      <w:tr>
        <w:trPr>
          <w:trHeight w:val="719"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9" w:lineRule="auto" w:before="51"/>
              <w:ind w:left="6" w:right="185"/>
              <w:jc w:val="left"/>
              <w:rPr>
                <w:rFonts w:ascii="宋体" w:hAnsi="宋体" w:cs="宋体" w:eastAsia="宋体" w:hint="default"/>
                <w:sz w:val="18"/>
                <w:szCs w:val="18"/>
              </w:rPr>
            </w:pPr>
            <w:r>
              <w:rPr>
                <w:rFonts w:ascii="宋体" w:hAnsi="宋体" w:cs="宋体" w:eastAsia="宋体" w:hint="default"/>
                <w:sz w:val="18"/>
                <w:szCs w:val="18"/>
              </w:rPr>
              <w:t>投资活动产生的现金流量净 额</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65,038,811.80</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-1,956,530,908.79</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103.32%</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2,411,127,548.29</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2,953,870,454.41</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-18.37%</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2,523,172,552.33</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1,305,868,696.55</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93.22%</w:t>
            </w:r>
          </w:p>
        </w:tc>
      </w:tr>
      <w:tr>
        <w:trPr>
          <w:trHeight w:val="720"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6" w:lineRule="auto" w:before="52"/>
              <w:ind w:left="6" w:right="185"/>
              <w:jc w:val="left"/>
              <w:rPr>
                <w:rFonts w:ascii="宋体" w:hAnsi="宋体" w:cs="宋体" w:eastAsia="宋体" w:hint="default"/>
                <w:sz w:val="18"/>
                <w:szCs w:val="18"/>
              </w:rPr>
            </w:pPr>
            <w:r>
              <w:rPr>
                <w:rFonts w:ascii="宋体" w:hAnsi="宋体" w:cs="宋体" w:eastAsia="宋体" w:hint="default"/>
                <w:sz w:val="18"/>
                <w:szCs w:val="18"/>
              </w:rPr>
              <w:t>筹资活动产生的现金流量净 额</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-112,045,004.04</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1,648,001,757.86</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w w:val="95"/>
                <w:sz w:val="18"/>
              </w:rPr>
              <w:t>-106.80%</w:t>
            </w:r>
            <w:r>
              <w:rPr>
                <w:rFonts w:ascii="Times New Roman"/>
                <w:sz w:val="18"/>
              </w:rPr>
            </w:r>
          </w:p>
        </w:tc>
      </w:tr>
      <w:tr>
        <w:trPr>
          <w:trHeight w:val="415" w:hRule="exact"/>
        </w:trPr>
        <w:tc>
          <w:tcPr>
            <w:tcW w:w="2376"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403" w:type="dxa"/>
            <w:tcBorders>
              <w:top w:val="single" w:sz="6" w:space="0" w:color="000000"/>
              <w:left w:val="single" w:sz="14" w:space="0" w:color="D2D2D2"/>
              <w:bottom w:val="single" w:sz="12"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967,493,880.01</w:t>
            </w:r>
          </w:p>
        </w:tc>
        <w:tc>
          <w:tcPr>
            <w:tcW w:w="23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62,285,841.23</w:t>
            </w:r>
          </w:p>
        </w:tc>
        <w:tc>
          <w:tcPr>
            <w:tcW w:w="239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1,453.31%</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相关数据同比发生重大变动的主要影响因素说明</w:t>
      </w:r>
    </w:p>
    <w:p>
      <w:pPr>
        <w:spacing w:before="116"/>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13"/>
          <w:szCs w:val="13"/>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）经营活动现金流入小计较上年同期增加</w:t>
      </w:r>
      <w:r>
        <w:rPr>
          <w:rFonts w:ascii="Times New Roman" w:hAnsi="Times New Roman" w:cs="Times New Roman" w:eastAsia="Times New Roman" w:hint="default"/>
          <w:sz w:val="18"/>
          <w:szCs w:val="18"/>
        </w:rPr>
        <w:t>38.14%</w:t>
      </w:r>
      <w:r>
        <w:rPr>
          <w:rFonts w:ascii="宋体" w:hAnsi="宋体" w:cs="宋体" w:eastAsia="宋体" w:hint="default"/>
          <w:sz w:val="18"/>
          <w:szCs w:val="18"/>
        </w:rPr>
        <w:t>，主要是由于闲徕纳入合并报表范围所致；</w:t>
      </w:r>
    </w:p>
    <w:p>
      <w:pPr>
        <w:spacing w:line="240" w:lineRule="auto" w:before="9"/>
        <w:rPr>
          <w:rFonts w:ascii="宋体" w:hAnsi="宋体" w:cs="宋体" w:eastAsia="宋体" w:hint="default"/>
          <w:sz w:val="16"/>
          <w:szCs w:val="1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）投资活动现金流出小计较上年同期减少</w:t>
      </w:r>
      <w:r>
        <w:rPr>
          <w:rFonts w:ascii="Times New Roman" w:hAnsi="Times New Roman" w:cs="Times New Roman" w:eastAsia="Times New Roman" w:hint="default"/>
          <w:sz w:val="18"/>
          <w:szCs w:val="18"/>
        </w:rPr>
        <w:t>59.89%</w:t>
      </w:r>
      <w:r>
        <w:rPr>
          <w:rFonts w:ascii="宋体" w:hAnsi="宋体" w:cs="宋体" w:eastAsia="宋体" w:hint="default"/>
          <w:sz w:val="18"/>
          <w:szCs w:val="18"/>
        </w:rPr>
        <w:t>，主要是由于公司对外投资减少所致；</w:t>
      </w:r>
    </w:p>
    <w:p>
      <w:pPr>
        <w:spacing w:line="240" w:lineRule="auto" w:before="9"/>
        <w:rPr>
          <w:rFonts w:ascii="宋体" w:hAnsi="宋体" w:cs="宋体" w:eastAsia="宋体" w:hint="default"/>
          <w:sz w:val="16"/>
          <w:szCs w:val="16"/>
        </w:rPr>
      </w:pPr>
    </w:p>
    <w:p>
      <w:pPr>
        <w:spacing w:line="415" w:lineRule="auto" w:before="0"/>
        <w:ind w:left="1134" w:right="2727"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）筹资活动现金流出较上年同期增加</w:t>
      </w:r>
      <w:r>
        <w:rPr>
          <w:rFonts w:ascii="Times New Roman" w:hAnsi="Times New Roman" w:cs="Times New Roman" w:eastAsia="Times New Roman" w:hint="default"/>
          <w:sz w:val="18"/>
          <w:szCs w:val="18"/>
        </w:rPr>
        <w:t>93.22%</w:t>
      </w:r>
      <w:r>
        <w:rPr>
          <w:rFonts w:ascii="宋体" w:hAnsi="宋体" w:cs="宋体" w:eastAsia="宋体" w:hint="default"/>
          <w:sz w:val="18"/>
          <w:szCs w:val="18"/>
        </w:rPr>
        <w:t>，主要是由于偿还借款及闲徕纳入合并报表范围所致。 报告期内公司经营活动产生的现金净流量与本年度净利润存在重大差异的原因说明</w:t>
      </w:r>
    </w:p>
    <w:p>
      <w:pPr>
        <w:spacing w:line="234" w:lineRule="exact"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4"/>
        <w:spacing w:line="240" w:lineRule="auto"/>
        <w:ind w:right="998"/>
        <w:jc w:val="left"/>
        <w:rPr>
          <w:b w:val="0"/>
          <w:bCs w:val="0"/>
        </w:rPr>
      </w:pPr>
      <w:bookmarkStart w:name="三、非主营业务情况" w:id="39"/>
      <w:bookmarkEnd w:id="39"/>
      <w:r>
        <w:rPr>
          <w:b w:val="0"/>
          <w:bCs w:val="0"/>
        </w:rPr>
      </w:r>
      <w:r>
        <w:rPr/>
        <w:t>三、非主营业务情况</w:t>
      </w:r>
      <w:r>
        <w:rPr>
          <w:b w:val="0"/>
          <w:bCs w:val="0"/>
        </w:rPr>
      </w:r>
    </w:p>
    <w:p>
      <w:pPr>
        <w:spacing w:line="240" w:lineRule="auto" w:before="2"/>
        <w:rPr>
          <w:rFonts w:ascii="宋体" w:hAnsi="宋体" w:cs="宋体" w:eastAsia="宋体" w:hint="default"/>
          <w:b/>
          <w:bCs/>
          <w:sz w:val="23"/>
          <w:szCs w:val="23"/>
        </w:rPr>
      </w:pPr>
    </w:p>
    <w:p>
      <w:pPr>
        <w:spacing w:before="44"/>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090" w:type="dxa"/>
        <w:tblLayout w:type="fixed"/>
        <w:tblCellMar>
          <w:top w:w="0" w:type="dxa"/>
          <w:left w:w="0" w:type="dxa"/>
          <w:bottom w:w="0" w:type="dxa"/>
          <w:right w:w="0" w:type="dxa"/>
        </w:tblCellMar>
        <w:tblLook w:val="01E0"/>
      </w:tblPr>
      <w:tblGrid>
        <w:gridCol w:w="2045"/>
        <w:gridCol w:w="2570"/>
        <w:gridCol w:w="2177"/>
        <w:gridCol w:w="2904"/>
      </w:tblGrid>
      <w:tr>
        <w:trPr>
          <w:trHeight w:val="415" w:hRule="exact"/>
        </w:trPr>
        <w:tc>
          <w:tcPr>
            <w:tcW w:w="2045" w:type="dxa"/>
            <w:tcBorders>
              <w:top w:val="single" w:sz="12" w:space="0" w:color="000000"/>
              <w:left w:val="single" w:sz="12" w:space="0" w:color="000000"/>
              <w:bottom w:val="single" w:sz="6" w:space="0" w:color="000000"/>
              <w:right w:val="single" w:sz="6" w:space="0" w:color="000000"/>
            </w:tcBorders>
            <w:shd w:val="clear" w:color="auto" w:fill="D2D2D2"/>
          </w:tcPr>
          <w:p>
            <w:pPr/>
          </w:p>
        </w:tc>
        <w:tc>
          <w:tcPr>
            <w:tcW w:w="257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217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451"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c>
          <w:tcPr>
            <w:tcW w:w="2904"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903" w:right="0"/>
              <w:jc w:val="left"/>
              <w:rPr>
                <w:rFonts w:ascii="宋体" w:hAnsi="宋体" w:cs="宋体" w:eastAsia="宋体" w:hint="default"/>
                <w:sz w:val="18"/>
                <w:szCs w:val="18"/>
              </w:rPr>
            </w:pPr>
            <w:r>
              <w:rPr>
                <w:rFonts w:ascii="宋体" w:hAnsi="宋体" w:cs="宋体" w:eastAsia="宋体" w:hint="default"/>
                <w:sz w:val="18"/>
                <w:szCs w:val="18"/>
              </w:rPr>
              <w:t>形成原因说明</w:t>
            </w:r>
          </w:p>
        </w:tc>
      </w:tr>
      <w:tr>
        <w:trPr>
          <w:trHeight w:val="319" w:hRule="exact"/>
        </w:trPr>
        <w:tc>
          <w:tcPr>
            <w:tcW w:w="2045" w:type="dxa"/>
            <w:tcBorders>
              <w:top w:val="single" w:sz="6" w:space="0" w:color="000000"/>
              <w:left w:val="single" w:sz="12" w:space="0" w:color="000000"/>
              <w:bottom w:val="nil" w:sz="6" w:space="0" w:color="auto"/>
              <w:right w:val="single" w:sz="6" w:space="0" w:color="000000"/>
            </w:tcBorders>
            <w:shd w:val="clear" w:color="auto" w:fill="D2D2D2"/>
          </w:tcPr>
          <w:p>
            <w:pPr/>
          </w:p>
        </w:tc>
        <w:tc>
          <w:tcPr>
            <w:tcW w:w="2570" w:type="dxa"/>
            <w:vMerge w:val="restart"/>
            <w:tcBorders>
              <w:top w:val="single" w:sz="6" w:space="0" w:color="000000"/>
              <w:left w:val="single" w:sz="8" w:space="0" w:color="D2D2D2"/>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495" w:right="0"/>
              <w:jc w:val="left"/>
              <w:rPr>
                <w:rFonts w:ascii="Times New Roman" w:hAnsi="Times New Roman" w:cs="Times New Roman" w:eastAsia="Times New Roman" w:hint="default"/>
                <w:sz w:val="18"/>
                <w:szCs w:val="18"/>
              </w:rPr>
            </w:pPr>
            <w:r>
              <w:rPr>
                <w:rFonts w:ascii="Times New Roman"/>
                <w:sz w:val="18"/>
              </w:rPr>
              <w:t>31,666,901.58</w:t>
            </w:r>
          </w:p>
        </w:tc>
        <w:tc>
          <w:tcPr>
            <w:tcW w:w="217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2.16%</w:t>
            </w:r>
          </w:p>
        </w:tc>
        <w:tc>
          <w:tcPr>
            <w:tcW w:w="2904" w:type="dxa"/>
            <w:vMerge w:val="restart"/>
            <w:tcBorders>
              <w:top w:val="single" w:sz="6" w:space="0" w:color="000000"/>
              <w:left w:val="single" w:sz="6" w:space="0" w:color="000000"/>
              <w:right w:val="single" w:sz="12" w:space="0" w:color="000000"/>
            </w:tcBorders>
          </w:tcPr>
          <w:p>
            <w:pPr>
              <w:pStyle w:val="TableParagraph"/>
              <w:spacing w:line="300" w:lineRule="auto" w:before="51"/>
              <w:ind w:left="20" w:right="11"/>
              <w:jc w:val="left"/>
              <w:rPr>
                <w:rFonts w:ascii="宋体" w:hAnsi="宋体" w:cs="宋体" w:eastAsia="宋体" w:hint="default"/>
                <w:sz w:val="18"/>
                <w:szCs w:val="18"/>
              </w:rPr>
            </w:pPr>
            <w:r>
              <w:rPr>
                <w:rFonts w:ascii="宋体" w:hAnsi="宋体" w:cs="宋体" w:eastAsia="宋体" w:hint="default"/>
                <w:sz w:val="18"/>
                <w:szCs w:val="18"/>
              </w:rPr>
              <w:t>坏账损失 </w:t>
            </w:r>
            <w:r>
              <w:rPr>
                <w:rFonts w:ascii="Times New Roman" w:hAnsi="Times New Roman" w:cs="Times New Roman" w:eastAsia="Times New Roman" w:hint="default"/>
                <w:sz w:val="18"/>
                <w:szCs w:val="18"/>
              </w:rPr>
              <w:t>14,323,159.78 </w:t>
            </w:r>
            <w:r>
              <w:rPr>
                <w:rFonts w:ascii="宋体" w:hAnsi="宋体" w:cs="宋体" w:eastAsia="宋体" w:hint="default"/>
                <w:sz w:val="18"/>
                <w:szCs w:val="18"/>
              </w:rPr>
              <w:t>元；</w:t>
            </w:r>
            <w:r>
              <w:rPr>
                <w:rFonts w:ascii="宋体" w:hAnsi="宋体" w:cs="宋体" w:eastAsia="宋体" w:hint="default"/>
                <w:spacing w:val="-48"/>
                <w:sz w:val="18"/>
                <w:szCs w:val="18"/>
              </w:rPr>
              <w:t> </w:t>
            </w:r>
            <w:r>
              <w:rPr>
                <w:rFonts w:ascii="宋体" w:hAnsi="宋体" w:cs="宋体" w:eastAsia="宋体" w:hint="default"/>
                <w:sz w:val="18"/>
                <w:szCs w:val="18"/>
              </w:rPr>
              <w:t>长期待</w:t>
            </w:r>
            <w:r>
              <w:rPr>
                <w:rFonts w:ascii="宋体" w:hAnsi="宋体" w:cs="宋体" w:eastAsia="宋体" w:hint="default"/>
                <w:sz w:val="18"/>
                <w:szCs w:val="18"/>
              </w:rPr>
              <w:t> 摊费用减值损失</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8,957,246.56</w:t>
            </w:r>
            <w:r>
              <w:rPr>
                <w:rFonts w:ascii="Times New Roman" w:hAnsi="Times New Roman" w:cs="Times New Roman" w:eastAsia="Times New Roman" w:hint="default"/>
                <w:spacing w:val="-2"/>
                <w:sz w:val="18"/>
                <w:szCs w:val="18"/>
              </w:rPr>
              <w:t> </w:t>
            </w:r>
            <w:r>
              <w:rPr>
                <w:rFonts w:ascii="宋体" w:hAnsi="宋体" w:cs="宋体" w:eastAsia="宋体" w:hint="default"/>
                <w:spacing w:val="4"/>
                <w:sz w:val="18"/>
                <w:szCs w:val="18"/>
              </w:rPr>
              <w:t>元；商</w:t>
            </w:r>
          </w:p>
          <w:p>
            <w:pPr>
              <w:pStyle w:val="TableParagraph"/>
              <w:spacing w:line="240" w:lineRule="auto" w:before="14"/>
              <w:ind w:left="20" w:right="0"/>
              <w:jc w:val="left"/>
              <w:rPr>
                <w:rFonts w:ascii="宋体" w:hAnsi="宋体" w:cs="宋体" w:eastAsia="宋体" w:hint="default"/>
                <w:sz w:val="18"/>
                <w:szCs w:val="18"/>
              </w:rPr>
            </w:pPr>
            <w:r>
              <w:rPr>
                <w:rFonts w:ascii="宋体" w:hAnsi="宋体" w:cs="宋体" w:eastAsia="宋体" w:hint="default"/>
                <w:sz w:val="18"/>
                <w:szCs w:val="18"/>
              </w:rPr>
              <w:t>誉减值损失</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8,386,495.24 </w:t>
            </w:r>
            <w:r>
              <w:rPr>
                <w:rFonts w:ascii="宋体" w:hAnsi="宋体" w:cs="宋体" w:eastAsia="宋体" w:hint="default"/>
                <w:sz w:val="18"/>
                <w:szCs w:val="18"/>
              </w:rPr>
              <w:t>元。</w:t>
            </w:r>
          </w:p>
        </w:tc>
      </w:tr>
      <w:tr>
        <w:trPr>
          <w:trHeight w:val="392" w:hRule="exact"/>
        </w:trPr>
        <w:tc>
          <w:tcPr>
            <w:tcW w:w="2045"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2570" w:type="dxa"/>
            <w:vMerge/>
            <w:tcBorders>
              <w:left w:val="single" w:sz="8" w:space="0" w:color="D2D2D2"/>
              <w:right w:val="single" w:sz="6" w:space="0" w:color="000000"/>
            </w:tcBorders>
          </w:tcPr>
          <w:p>
            <w:pPr/>
          </w:p>
        </w:tc>
        <w:tc>
          <w:tcPr>
            <w:tcW w:w="2177" w:type="dxa"/>
            <w:vMerge/>
            <w:tcBorders>
              <w:left w:val="single" w:sz="6" w:space="0" w:color="000000"/>
              <w:right w:val="single" w:sz="6" w:space="0" w:color="000000"/>
            </w:tcBorders>
          </w:tcPr>
          <w:p>
            <w:pPr/>
          </w:p>
        </w:tc>
        <w:tc>
          <w:tcPr>
            <w:tcW w:w="2904" w:type="dxa"/>
            <w:vMerge/>
            <w:tcBorders>
              <w:left w:val="single" w:sz="6" w:space="0" w:color="000000"/>
              <w:right w:val="single" w:sz="12" w:space="0" w:color="000000"/>
            </w:tcBorders>
          </w:tcPr>
          <w:p>
            <w:pPr/>
          </w:p>
        </w:tc>
      </w:tr>
      <w:tr>
        <w:trPr>
          <w:trHeight w:val="319" w:hRule="exact"/>
        </w:trPr>
        <w:tc>
          <w:tcPr>
            <w:tcW w:w="2045" w:type="dxa"/>
            <w:tcBorders>
              <w:top w:val="nil" w:sz="6" w:space="0" w:color="auto"/>
              <w:left w:val="single" w:sz="12" w:space="0" w:color="000000"/>
              <w:bottom w:val="single" w:sz="6" w:space="0" w:color="000000"/>
              <w:right w:val="single" w:sz="6" w:space="0" w:color="000000"/>
            </w:tcBorders>
            <w:shd w:val="clear" w:color="auto" w:fill="D2D2D2"/>
          </w:tcPr>
          <w:p>
            <w:pPr/>
          </w:p>
        </w:tc>
        <w:tc>
          <w:tcPr>
            <w:tcW w:w="2570" w:type="dxa"/>
            <w:vMerge/>
            <w:tcBorders>
              <w:left w:val="single" w:sz="8" w:space="0" w:color="D2D2D2"/>
              <w:bottom w:val="single" w:sz="6" w:space="0" w:color="000000"/>
              <w:right w:val="single" w:sz="6" w:space="0" w:color="000000"/>
            </w:tcBorders>
          </w:tcPr>
          <w:p>
            <w:pPr/>
          </w:p>
        </w:tc>
        <w:tc>
          <w:tcPr>
            <w:tcW w:w="2177" w:type="dxa"/>
            <w:vMerge/>
            <w:tcBorders>
              <w:left w:val="single" w:sz="6" w:space="0" w:color="000000"/>
              <w:bottom w:val="single" w:sz="6" w:space="0" w:color="000000"/>
              <w:right w:val="single" w:sz="6" w:space="0" w:color="000000"/>
            </w:tcBorders>
          </w:tcPr>
          <w:p>
            <w:pPr/>
          </w:p>
        </w:tc>
        <w:tc>
          <w:tcPr>
            <w:tcW w:w="2904" w:type="dxa"/>
            <w:vMerge/>
            <w:tcBorders>
              <w:left w:val="single" w:sz="6" w:space="0" w:color="000000"/>
              <w:bottom w:val="single" w:sz="6" w:space="0" w:color="000000"/>
              <w:right w:val="single" w:sz="12" w:space="0" w:color="000000"/>
            </w:tcBorders>
          </w:tcPr>
          <w:p>
            <w:pPr/>
          </w:p>
        </w:tc>
      </w:tr>
      <w:tr>
        <w:trPr>
          <w:trHeight w:val="320" w:hRule="exact"/>
        </w:trPr>
        <w:tc>
          <w:tcPr>
            <w:tcW w:w="2045" w:type="dxa"/>
            <w:tcBorders>
              <w:top w:val="single" w:sz="6" w:space="0" w:color="000000"/>
              <w:left w:val="single" w:sz="12" w:space="0" w:color="000000"/>
              <w:bottom w:val="nil" w:sz="6" w:space="0" w:color="auto"/>
              <w:right w:val="single" w:sz="6" w:space="0" w:color="000000"/>
            </w:tcBorders>
            <w:shd w:val="clear" w:color="auto" w:fill="D2D2D2"/>
          </w:tcPr>
          <w:p>
            <w:pPr/>
          </w:p>
        </w:tc>
        <w:tc>
          <w:tcPr>
            <w:tcW w:w="2570" w:type="dxa"/>
            <w:vMerge w:val="restart"/>
            <w:tcBorders>
              <w:top w:val="single" w:sz="6" w:space="0" w:color="000000"/>
              <w:left w:val="single" w:sz="8" w:space="0" w:color="D2D2D2"/>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585" w:right="0"/>
              <w:jc w:val="left"/>
              <w:rPr>
                <w:rFonts w:ascii="Times New Roman" w:hAnsi="Times New Roman" w:cs="Times New Roman" w:eastAsia="Times New Roman" w:hint="default"/>
                <w:sz w:val="18"/>
                <w:szCs w:val="18"/>
              </w:rPr>
            </w:pPr>
            <w:r>
              <w:rPr>
                <w:rFonts w:ascii="Times New Roman"/>
                <w:sz w:val="18"/>
              </w:rPr>
              <w:t>3,319,083.59</w:t>
            </w:r>
          </w:p>
        </w:tc>
        <w:tc>
          <w:tcPr>
            <w:tcW w:w="217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0.23%</w:t>
            </w:r>
          </w:p>
        </w:tc>
        <w:tc>
          <w:tcPr>
            <w:tcW w:w="2904" w:type="dxa"/>
            <w:vMerge w:val="restart"/>
            <w:tcBorders>
              <w:top w:val="single" w:sz="6" w:space="0" w:color="000000"/>
              <w:left w:val="single" w:sz="6" w:space="0" w:color="000000"/>
              <w:right w:val="single" w:sz="12" w:space="0" w:color="000000"/>
            </w:tcBorders>
          </w:tcPr>
          <w:p>
            <w:pPr>
              <w:pStyle w:val="TableParagraph"/>
              <w:spacing w:line="300" w:lineRule="auto" w:before="51"/>
              <w:ind w:left="20" w:right="24"/>
              <w:jc w:val="left"/>
              <w:rPr>
                <w:rFonts w:ascii="宋体" w:hAnsi="宋体" w:cs="宋体" w:eastAsia="宋体" w:hint="default"/>
                <w:sz w:val="18"/>
                <w:szCs w:val="18"/>
              </w:rPr>
            </w:pPr>
            <w:r>
              <w:rPr>
                <w:rFonts w:ascii="宋体" w:hAnsi="宋体" w:cs="宋体" w:eastAsia="宋体" w:hint="default"/>
                <w:sz w:val="18"/>
                <w:szCs w:val="18"/>
              </w:rPr>
              <w:t>代扣税手续费返还</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1,196,742.73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 装修补贴款 </w:t>
            </w:r>
            <w:r>
              <w:rPr>
                <w:rFonts w:ascii="Times New Roman" w:hAnsi="Times New Roman" w:cs="Times New Roman" w:eastAsia="Times New Roman" w:hint="default"/>
                <w:sz w:val="18"/>
                <w:szCs w:val="18"/>
              </w:rPr>
              <w:t>1,048,136.2 </w:t>
            </w:r>
            <w:r>
              <w:rPr>
                <w:rFonts w:ascii="宋体" w:hAnsi="宋体" w:cs="宋体" w:eastAsia="宋体" w:hint="default"/>
                <w:sz w:val="18"/>
                <w:szCs w:val="18"/>
              </w:rPr>
              <w:t>元；</w:t>
            </w:r>
            <w:r>
              <w:rPr>
                <w:rFonts w:ascii="宋体" w:hAnsi="宋体" w:cs="宋体" w:eastAsia="宋体" w:hint="default"/>
                <w:spacing w:val="-48"/>
                <w:sz w:val="18"/>
                <w:szCs w:val="18"/>
              </w:rPr>
              <w:t> </w:t>
            </w:r>
            <w:r>
              <w:rPr>
                <w:rFonts w:ascii="宋体" w:hAnsi="宋体" w:cs="宋体" w:eastAsia="宋体" w:hint="default"/>
                <w:sz w:val="18"/>
                <w:szCs w:val="18"/>
              </w:rPr>
              <w:t>其他</w:t>
            </w:r>
            <w:r>
              <w:rPr>
                <w:rFonts w:ascii="宋体" w:hAnsi="宋体" w:cs="宋体" w:eastAsia="宋体" w:hint="default"/>
                <w:sz w:val="18"/>
                <w:szCs w:val="18"/>
              </w:rPr>
              <w:t> </w:t>
            </w:r>
            <w:r>
              <w:rPr>
                <w:rFonts w:ascii="Times New Roman" w:hAnsi="Times New Roman" w:cs="Times New Roman" w:eastAsia="Times New Roman" w:hint="default"/>
                <w:sz w:val="18"/>
                <w:szCs w:val="18"/>
              </w:rPr>
              <w:t>1,074,204.66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tc>
      </w:tr>
      <w:tr>
        <w:trPr>
          <w:trHeight w:val="392" w:hRule="exact"/>
        </w:trPr>
        <w:tc>
          <w:tcPr>
            <w:tcW w:w="2045"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570" w:type="dxa"/>
            <w:vMerge/>
            <w:tcBorders>
              <w:left w:val="single" w:sz="8" w:space="0" w:color="D2D2D2"/>
              <w:right w:val="single" w:sz="6" w:space="0" w:color="000000"/>
            </w:tcBorders>
          </w:tcPr>
          <w:p>
            <w:pPr/>
          </w:p>
        </w:tc>
        <w:tc>
          <w:tcPr>
            <w:tcW w:w="2177" w:type="dxa"/>
            <w:vMerge/>
            <w:tcBorders>
              <w:left w:val="single" w:sz="6" w:space="0" w:color="000000"/>
              <w:right w:val="single" w:sz="6" w:space="0" w:color="000000"/>
            </w:tcBorders>
          </w:tcPr>
          <w:p>
            <w:pPr/>
          </w:p>
        </w:tc>
        <w:tc>
          <w:tcPr>
            <w:tcW w:w="2904" w:type="dxa"/>
            <w:vMerge/>
            <w:tcBorders>
              <w:left w:val="single" w:sz="6" w:space="0" w:color="000000"/>
              <w:right w:val="single" w:sz="12" w:space="0" w:color="000000"/>
            </w:tcBorders>
          </w:tcPr>
          <w:p>
            <w:pPr/>
          </w:p>
        </w:tc>
      </w:tr>
      <w:tr>
        <w:trPr>
          <w:trHeight w:val="319" w:hRule="exact"/>
        </w:trPr>
        <w:tc>
          <w:tcPr>
            <w:tcW w:w="2045" w:type="dxa"/>
            <w:tcBorders>
              <w:top w:val="nil" w:sz="6" w:space="0" w:color="auto"/>
              <w:left w:val="single" w:sz="12" w:space="0" w:color="000000"/>
              <w:bottom w:val="single" w:sz="6" w:space="0" w:color="000000"/>
              <w:right w:val="single" w:sz="6" w:space="0" w:color="000000"/>
            </w:tcBorders>
            <w:shd w:val="clear" w:color="auto" w:fill="D2D2D2"/>
          </w:tcPr>
          <w:p>
            <w:pPr/>
          </w:p>
        </w:tc>
        <w:tc>
          <w:tcPr>
            <w:tcW w:w="2570" w:type="dxa"/>
            <w:vMerge/>
            <w:tcBorders>
              <w:left w:val="single" w:sz="8" w:space="0" w:color="D2D2D2"/>
              <w:bottom w:val="single" w:sz="6" w:space="0" w:color="000000"/>
              <w:right w:val="single" w:sz="6" w:space="0" w:color="000000"/>
            </w:tcBorders>
          </w:tcPr>
          <w:p>
            <w:pPr/>
          </w:p>
        </w:tc>
        <w:tc>
          <w:tcPr>
            <w:tcW w:w="2177" w:type="dxa"/>
            <w:vMerge/>
            <w:tcBorders>
              <w:left w:val="single" w:sz="6" w:space="0" w:color="000000"/>
              <w:bottom w:val="single" w:sz="6" w:space="0" w:color="000000"/>
              <w:right w:val="single" w:sz="6" w:space="0" w:color="000000"/>
            </w:tcBorders>
          </w:tcPr>
          <w:p>
            <w:pPr/>
          </w:p>
        </w:tc>
        <w:tc>
          <w:tcPr>
            <w:tcW w:w="2904" w:type="dxa"/>
            <w:vMerge/>
            <w:tcBorders>
              <w:left w:val="single" w:sz="6" w:space="0" w:color="000000"/>
              <w:bottom w:val="single" w:sz="6" w:space="0" w:color="000000"/>
              <w:right w:val="single" w:sz="12" w:space="0" w:color="000000"/>
            </w:tcBorders>
          </w:tcPr>
          <w:p>
            <w:pPr/>
          </w:p>
        </w:tc>
      </w:tr>
      <w:tr>
        <w:trPr>
          <w:trHeight w:val="415" w:hRule="exact"/>
        </w:trPr>
        <w:tc>
          <w:tcPr>
            <w:tcW w:w="2045"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2570" w:type="dxa"/>
            <w:tcBorders>
              <w:top w:val="single" w:sz="6" w:space="0" w:color="000000"/>
              <w:left w:val="single" w:sz="14" w:space="0" w:color="D2D2D2"/>
              <w:bottom w:val="single" w:sz="12" w:space="0" w:color="000000"/>
              <w:right w:val="single" w:sz="6" w:space="0" w:color="000000"/>
            </w:tcBorders>
          </w:tcPr>
          <w:p>
            <w:pPr>
              <w:pStyle w:val="TableParagraph"/>
              <w:spacing w:line="240" w:lineRule="auto" w:before="92"/>
              <w:ind w:left="1578" w:right="0"/>
              <w:jc w:val="left"/>
              <w:rPr>
                <w:rFonts w:ascii="Times New Roman" w:hAnsi="Times New Roman" w:cs="Times New Roman" w:eastAsia="Times New Roman" w:hint="default"/>
                <w:sz w:val="18"/>
                <w:szCs w:val="18"/>
              </w:rPr>
            </w:pPr>
            <w:r>
              <w:rPr>
                <w:rFonts w:ascii="Times New Roman"/>
                <w:sz w:val="18"/>
              </w:rPr>
              <w:t>1,728,521.26</w:t>
            </w:r>
          </w:p>
        </w:tc>
        <w:tc>
          <w:tcPr>
            <w:tcW w:w="21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0.12%</w:t>
            </w:r>
          </w:p>
        </w:tc>
        <w:tc>
          <w:tcPr>
            <w:tcW w:w="290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71"/>
              <w:ind w:left="20" w:right="0"/>
              <w:jc w:val="left"/>
              <w:rPr>
                <w:rFonts w:ascii="宋体" w:hAnsi="宋体" w:cs="宋体" w:eastAsia="宋体" w:hint="default"/>
                <w:sz w:val="18"/>
                <w:szCs w:val="18"/>
              </w:rPr>
            </w:pPr>
            <w:r>
              <w:rPr>
                <w:rFonts w:ascii="宋体" w:hAnsi="宋体" w:cs="宋体" w:eastAsia="宋体" w:hint="default"/>
                <w:sz w:val="18"/>
                <w:szCs w:val="18"/>
              </w:rPr>
              <w:t>租房违约金 </w:t>
            </w:r>
            <w:r>
              <w:rPr>
                <w:rFonts w:ascii="Times New Roman" w:hAnsi="Times New Roman" w:cs="Times New Roman" w:eastAsia="Times New Roman" w:hint="default"/>
                <w:sz w:val="18"/>
                <w:szCs w:val="18"/>
              </w:rPr>
              <w:t>843,081.88 </w:t>
            </w:r>
            <w:r>
              <w:rPr>
                <w:rFonts w:ascii="宋体" w:hAnsi="宋体" w:cs="宋体" w:eastAsia="宋体" w:hint="default"/>
                <w:sz w:val="18"/>
                <w:szCs w:val="18"/>
              </w:rPr>
              <w:t>元；</w:t>
            </w:r>
            <w:r>
              <w:rPr>
                <w:rFonts w:ascii="宋体" w:hAnsi="宋体" w:cs="宋体" w:eastAsia="宋体" w:hint="default"/>
                <w:spacing w:val="-51"/>
                <w:sz w:val="18"/>
                <w:szCs w:val="18"/>
              </w:rPr>
              <w:t> </w:t>
            </w:r>
            <w:r>
              <w:rPr>
                <w:rFonts w:ascii="宋体" w:hAnsi="宋体" w:cs="宋体" w:eastAsia="宋体" w:hint="default"/>
                <w:sz w:val="18"/>
                <w:szCs w:val="18"/>
              </w:rPr>
              <w:t>其他</w:t>
            </w:r>
          </w:p>
        </w:tc>
      </w:tr>
    </w:tbl>
    <w:p>
      <w:pPr>
        <w:spacing w:after="0" w:line="240" w:lineRule="auto"/>
        <w:jc w:val="left"/>
        <w:rPr>
          <w:rFonts w:ascii="宋体" w:hAnsi="宋体" w:cs="宋体" w:eastAsia="宋体" w:hint="default"/>
          <w:sz w:val="18"/>
          <w:szCs w:val="18"/>
        </w:rPr>
        <w:sectPr>
          <w:pgSz w:w="11910" w:h="16840"/>
          <w:pgMar w:header="74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090" w:type="dxa"/>
        <w:tblLayout w:type="fixed"/>
        <w:tblCellMar>
          <w:top w:w="0" w:type="dxa"/>
          <w:left w:w="0" w:type="dxa"/>
          <w:bottom w:w="0" w:type="dxa"/>
          <w:right w:w="0" w:type="dxa"/>
        </w:tblCellMar>
        <w:tblLook w:val="01E0"/>
      </w:tblPr>
      <w:tblGrid>
        <w:gridCol w:w="2045"/>
        <w:gridCol w:w="2570"/>
        <w:gridCol w:w="2177"/>
        <w:gridCol w:w="2904"/>
      </w:tblGrid>
      <w:tr>
        <w:trPr>
          <w:trHeight w:val="374" w:hRule="exact"/>
        </w:trPr>
        <w:tc>
          <w:tcPr>
            <w:tcW w:w="2045" w:type="dxa"/>
            <w:tcBorders>
              <w:top w:val="single" w:sz="12" w:space="0" w:color="000000"/>
              <w:left w:val="single" w:sz="12" w:space="0" w:color="000000"/>
              <w:bottom w:val="single" w:sz="6" w:space="0" w:color="000000"/>
              <w:right w:val="single" w:sz="6" w:space="0" w:color="000000"/>
            </w:tcBorders>
            <w:shd w:val="clear" w:color="auto" w:fill="D2D2D2"/>
          </w:tcPr>
          <w:p>
            <w:pPr/>
          </w:p>
        </w:tc>
        <w:tc>
          <w:tcPr>
            <w:tcW w:w="2570" w:type="dxa"/>
            <w:tcBorders>
              <w:top w:val="single" w:sz="12" w:space="0" w:color="000000"/>
              <w:left w:val="single" w:sz="6" w:space="0" w:color="000000"/>
              <w:bottom w:val="single" w:sz="6" w:space="0" w:color="000000"/>
              <w:right w:val="single" w:sz="6" w:space="0" w:color="000000"/>
            </w:tcBorders>
          </w:tcPr>
          <w:p>
            <w:pPr/>
          </w:p>
        </w:tc>
        <w:tc>
          <w:tcPr>
            <w:tcW w:w="2177" w:type="dxa"/>
            <w:tcBorders>
              <w:top w:val="single" w:sz="12" w:space="0" w:color="000000"/>
              <w:left w:val="single" w:sz="6" w:space="0" w:color="000000"/>
              <w:bottom w:val="single" w:sz="6" w:space="0" w:color="000000"/>
              <w:right w:val="single" w:sz="6" w:space="0" w:color="000000"/>
            </w:tcBorders>
          </w:tcPr>
          <w:p>
            <w:pPr/>
          </w:p>
        </w:tc>
        <w:tc>
          <w:tcPr>
            <w:tcW w:w="290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1"/>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885,439.38 </w:t>
            </w:r>
            <w:r>
              <w:rPr>
                <w:rFonts w:ascii="宋体" w:hAnsi="宋体" w:cs="宋体" w:eastAsia="宋体" w:hint="default"/>
                <w:sz w:val="18"/>
                <w:szCs w:val="18"/>
              </w:rPr>
              <w:t>元。</w:t>
            </w:r>
          </w:p>
        </w:tc>
      </w:tr>
      <w:tr>
        <w:trPr>
          <w:trHeight w:val="407" w:hRule="exact"/>
        </w:trPr>
        <w:tc>
          <w:tcPr>
            <w:tcW w:w="20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35,581,798.35</w:t>
            </w:r>
          </w:p>
        </w:tc>
        <w:tc>
          <w:tcPr>
            <w:tcW w:w="2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2.43%</w:t>
            </w:r>
          </w:p>
        </w:tc>
        <w:tc>
          <w:tcPr>
            <w:tcW w:w="29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政府补助</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35,581,798.35 </w:t>
            </w:r>
            <w:r>
              <w:rPr>
                <w:rFonts w:ascii="宋体" w:hAnsi="宋体" w:cs="宋体" w:eastAsia="宋体" w:hint="default"/>
                <w:sz w:val="18"/>
                <w:szCs w:val="18"/>
              </w:rPr>
              <w:t>元。</w:t>
            </w:r>
          </w:p>
        </w:tc>
      </w:tr>
      <w:tr>
        <w:trPr>
          <w:trHeight w:val="416" w:hRule="exact"/>
        </w:trPr>
        <w:tc>
          <w:tcPr>
            <w:tcW w:w="204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资产处置收益</w:t>
            </w:r>
          </w:p>
        </w:tc>
        <w:tc>
          <w:tcPr>
            <w:tcW w:w="25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1,250,264.28</w:t>
            </w:r>
          </w:p>
        </w:tc>
        <w:tc>
          <w:tcPr>
            <w:tcW w:w="21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0.09%</w:t>
            </w:r>
          </w:p>
        </w:tc>
        <w:tc>
          <w:tcPr>
            <w:tcW w:w="290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处置固定资产收益</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1,250,264.28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tc>
      </w:tr>
    </w:tbl>
    <w:p>
      <w:pPr>
        <w:spacing w:line="240" w:lineRule="auto" w:before="2"/>
        <w:rPr>
          <w:rFonts w:ascii="宋体" w:hAnsi="宋体" w:cs="宋体" w:eastAsia="宋体" w:hint="default"/>
          <w:sz w:val="18"/>
          <w:szCs w:val="18"/>
        </w:rPr>
      </w:pPr>
    </w:p>
    <w:p>
      <w:pPr>
        <w:pStyle w:val="Heading4"/>
        <w:spacing w:line="240" w:lineRule="auto" w:before="26"/>
        <w:ind w:left="1134" w:right="998"/>
        <w:jc w:val="left"/>
        <w:rPr>
          <w:b w:val="0"/>
          <w:bCs w:val="0"/>
        </w:rPr>
      </w:pPr>
      <w:bookmarkStart w:name="四、资产及负债状况" w:id="40"/>
      <w:bookmarkEnd w:id="40"/>
      <w:r>
        <w:rPr>
          <w:b w:val="0"/>
          <w:bCs w:val="0"/>
        </w:rPr>
      </w:r>
      <w:r>
        <w:rPr/>
        <w:t>四、资产及负债状况</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资产构成重大变动情况" w:id="41"/>
      <w:bookmarkEnd w:id="41"/>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51" w:type="dxa"/>
        <w:tblLayout w:type="fixed"/>
        <w:tblCellMar>
          <w:top w:w="0" w:type="dxa"/>
          <w:left w:w="0" w:type="dxa"/>
          <w:bottom w:w="0" w:type="dxa"/>
          <w:right w:w="0" w:type="dxa"/>
        </w:tblCellMar>
        <w:tblLook w:val="01E0"/>
      </w:tblPr>
      <w:tblGrid>
        <w:gridCol w:w="1101"/>
        <w:gridCol w:w="1432"/>
        <w:gridCol w:w="1063"/>
        <w:gridCol w:w="1334"/>
        <w:gridCol w:w="992"/>
        <w:gridCol w:w="991"/>
        <w:gridCol w:w="2658"/>
      </w:tblGrid>
      <w:tr>
        <w:trPr>
          <w:trHeight w:val="399" w:hRule="exact"/>
        </w:trPr>
        <w:tc>
          <w:tcPr>
            <w:tcW w:w="1101" w:type="dxa"/>
            <w:tcBorders>
              <w:top w:val="single" w:sz="12" w:space="0" w:color="000000"/>
              <w:left w:val="single" w:sz="12" w:space="0" w:color="000000"/>
              <w:bottom w:val="nil" w:sz="6" w:space="0" w:color="auto"/>
              <w:right w:val="single" w:sz="6" w:space="0" w:color="000000"/>
            </w:tcBorders>
            <w:shd w:val="clear" w:color="auto" w:fill="D2D2D2"/>
          </w:tcPr>
          <w:p>
            <w:pPr/>
          </w:p>
        </w:tc>
        <w:tc>
          <w:tcPr>
            <w:tcW w:w="2495" w:type="dxa"/>
            <w:gridSpan w:val="2"/>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326" w:type="dxa"/>
            <w:gridSpan w:val="2"/>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991" w:type="dxa"/>
            <w:tcBorders>
              <w:top w:val="single" w:sz="12" w:space="0" w:color="000000"/>
              <w:left w:val="single" w:sz="6" w:space="0" w:color="000000"/>
              <w:bottom w:val="nil" w:sz="6" w:space="0" w:color="auto"/>
              <w:right w:val="single" w:sz="6" w:space="0" w:color="000000"/>
            </w:tcBorders>
            <w:shd w:val="clear" w:color="auto" w:fill="D2D2D2"/>
          </w:tcPr>
          <w:p>
            <w:pPr/>
          </w:p>
        </w:tc>
        <w:tc>
          <w:tcPr>
            <w:tcW w:w="2658" w:type="dxa"/>
            <w:tcBorders>
              <w:top w:val="single" w:sz="12" w:space="0" w:color="000000"/>
              <w:left w:val="single" w:sz="6" w:space="0" w:color="000000"/>
              <w:bottom w:val="nil" w:sz="6" w:space="0" w:color="auto"/>
              <w:right w:val="single" w:sz="12" w:space="0" w:color="000000"/>
            </w:tcBorders>
            <w:shd w:val="clear" w:color="auto" w:fill="D2D2D2"/>
          </w:tcPr>
          <w:p>
            <w:pPr/>
          </w:p>
        </w:tc>
      </w:tr>
      <w:tr>
        <w:trPr>
          <w:trHeight w:val="179" w:hRule="exact"/>
        </w:trPr>
        <w:tc>
          <w:tcPr>
            <w:tcW w:w="1101" w:type="dxa"/>
            <w:vMerge w:val="restart"/>
            <w:tcBorders>
              <w:top w:val="nil" w:sz="6" w:space="0" w:color="auto"/>
              <w:left w:val="single" w:sz="12" w:space="0" w:color="000000"/>
              <w:right w:val="single" w:sz="6" w:space="0" w:color="000000"/>
            </w:tcBorders>
            <w:shd w:val="clear" w:color="auto" w:fill="D2D2D2"/>
          </w:tcPr>
          <w:p>
            <w:pPr/>
          </w:p>
        </w:tc>
        <w:tc>
          <w:tcPr>
            <w:tcW w:w="1432" w:type="dxa"/>
            <w:tcBorders>
              <w:top w:val="single" w:sz="6" w:space="0" w:color="000000"/>
              <w:left w:val="single" w:sz="6" w:space="0" w:color="000000"/>
              <w:bottom w:val="nil" w:sz="6" w:space="0" w:color="auto"/>
              <w:right w:val="single" w:sz="6" w:space="0" w:color="000000"/>
            </w:tcBorders>
            <w:shd w:val="clear" w:color="auto" w:fill="D2D2D2"/>
          </w:tcPr>
          <w:p>
            <w:pPr/>
          </w:p>
        </w:tc>
        <w:tc>
          <w:tcPr>
            <w:tcW w:w="1063" w:type="dxa"/>
            <w:vMerge w:val="restart"/>
            <w:tcBorders>
              <w:top w:val="single" w:sz="6" w:space="0" w:color="000000"/>
              <w:left w:val="single" w:sz="6" w:space="0" w:color="000000"/>
              <w:right w:val="single" w:sz="6" w:space="0" w:color="000000"/>
            </w:tcBorders>
            <w:shd w:val="clear" w:color="auto" w:fill="D2D2D2"/>
          </w:tcPr>
          <w:p>
            <w:pPr>
              <w:pStyle w:val="TableParagraph"/>
              <w:spacing w:line="319" w:lineRule="auto" w:before="67"/>
              <w:ind w:left="434" w:right="72"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1334" w:type="dxa"/>
            <w:tcBorders>
              <w:top w:val="single" w:sz="6" w:space="0" w:color="000000"/>
              <w:left w:val="single" w:sz="6" w:space="0" w:color="000000"/>
              <w:bottom w:val="nil" w:sz="6" w:space="0" w:color="auto"/>
              <w:right w:val="single" w:sz="6" w:space="0" w:color="000000"/>
            </w:tcBorders>
            <w:shd w:val="clear" w:color="auto" w:fill="D2D2D2"/>
          </w:tcPr>
          <w:p>
            <w:pPr/>
          </w:p>
        </w:tc>
        <w:tc>
          <w:tcPr>
            <w:tcW w:w="992" w:type="dxa"/>
            <w:vMerge w:val="restart"/>
            <w:tcBorders>
              <w:top w:val="single" w:sz="6" w:space="0" w:color="000000"/>
              <w:left w:val="single" w:sz="6" w:space="0" w:color="000000"/>
              <w:right w:val="single" w:sz="6" w:space="0" w:color="000000"/>
            </w:tcBorders>
            <w:shd w:val="clear" w:color="auto" w:fill="D2D2D2"/>
          </w:tcPr>
          <w:p>
            <w:pPr>
              <w:pStyle w:val="TableParagraph"/>
              <w:spacing w:line="319" w:lineRule="auto" w:before="67"/>
              <w:ind w:left="398" w:right="37"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991" w:type="dxa"/>
            <w:vMerge w:val="restart"/>
            <w:tcBorders>
              <w:top w:val="nil" w:sz="6" w:space="0" w:color="auto"/>
              <w:left w:val="single" w:sz="6" w:space="0" w:color="000000"/>
              <w:right w:val="single" w:sz="6" w:space="0" w:color="000000"/>
            </w:tcBorders>
            <w:shd w:val="clear" w:color="auto" w:fill="D2D2D2"/>
          </w:tcPr>
          <w:p>
            <w:pPr>
              <w:pStyle w:val="TableParagraph"/>
              <w:spacing w:line="240" w:lineRule="auto" w:before="27"/>
              <w:ind w:left="128"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2658" w:type="dxa"/>
            <w:vMerge w:val="restart"/>
            <w:tcBorders>
              <w:top w:val="nil" w:sz="6" w:space="0" w:color="auto"/>
              <w:left w:val="single" w:sz="6" w:space="0" w:color="000000"/>
              <w:right w:val="single" w:sz="12" w:space="0" w:color="000000"/>
            </w:tcBorders>
            <w:shd w:val="clear" w:color="auto" w:fill="D2D2D2"/>
          </w:tcPr>
          <w:p>
            <w:pPr>
              <w:pStyle w:val="TableParagraph"/>
              <w:spacing w:line="240" w:lineRule="auto" w:before="27"/>
              <w:ind w:left="782"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88" w:hRule="exact"/>
        </w:trPr>
        <w:tc>
          <w:tcPr>
            <w:tcW w:w="1101" w:type="dxa"/>
            <w:vMerge/>
            <w:tcBorders>
              <w:left w:val="single" w:sz="12" w:space="0" w:color="000000"/>
              <w:bottom w:val="nil" w:sz="6" w:space="0" w:color="auto"/>
              <w:right w:val="single" w:sz="6" w:space="0" w:color="000000"/>
            </w:tcBorders>
            <w:shd w:val="clear" w:color="auto" w:fill="D2D2D2"/>
          </w:tcPr>
          <w:p>
            <w:pPr/>
          </w:p>
        </w:tc>
        <w:tc>
          <w:tcPr>
            <w:tcW w:w="1432" w:type="dxa"/>
            <w:vMerge w:val="restart"/>
            <w:tcBorders>
              <w:top w:val="nil" w:sz="6" w:space="0" w:color="auto"/>
              <w:left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063" w:type="dxa"/>
            <w:vMerge/>
            <w:tcBorders>
              <w:left w:val="single" w:sz="6" w:space="0" w:color="000000"/>
              <w:right w:val="single" w:sz="6" w:space="0" w:color="000000"/>
            </w:tcBorders>
            <w:shd w:val="clear" w:color="auto" w:fill="D2D2D2"/>
          </w:tcPr>
          <w:p>
            <w:pPr/>
          </w:p>
        </w:tc>
        <w:tc>
          <w:tcPr>
            <w:tcW w:w="1334" w:type="dxa"/>
            <w:vMerge w:val="restart"/>
            <w:tcBorders>
              <w:top w:val="nil" w:sz="6" w:space="0" w:color="auto"/>
              <w:left w:val="single" w:sz="6" w:space="0" w:color="000000"/>
              <w:right w:val="single" w:sz="6"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92" w:type="dxa"/>
            <w:vMerge/>
            <w:tcBorders>
              <w:left w:val="single" w:sz="6" w:space="0" w:color="000000"/>
              <w:right w:val="single" w:sz="6" w:space="0" w:color="000000"/>
            </w:tcBorders>
            <w:shd w:val="clear" w:color="auto" w:fill="D2D2D2"/>
          </w:tcPr>
          <w:p>
            <w:pPr/>
          </w:p>
        </w:tc>
        <w:tc>
          <w:tcPr>
            <w:tcW w:w="991" w:type="dxa"/>
            <w:vMerge/>
            <w:tcBorders>
              <w:left w:val="single" w:sz="6" w:space="0" w:color="000000"/>
              <w:bottom w:val="nil" w:sz="6" w:space="0" w:color="auto"/>
              <w:right w:val="single" w:sz="6" w:space="0" w:color="000000"/>
            </w:tcBorders>
            <w:shd w:val="clear" w:color="auto" w:fill="D2D2D2"/>
          </w:tcPr>
          <w:p>
            <w:pPr/>
          </w:p>
        </w:tc>
        <w:tc>
          <w:tcPr>
            <w:tcW w:w="2658" w:type="dxa"/>
            <w:vMerge/>
            <w:tcBorders>
              <w:left w:val="single" w:sz="6" w:space="0" w:color="000000"/>
              <w:bottom w:val="nil" w:sz="6" w:space="0" w:color="auto"/>
              <w:right w:val="single" w:sz="12" w:space="0" w:color="000000"/>
            </w:tcBorders>
            <w:shd w:val="clear" w:color="auto" w:fill="D2D2D2"/>
          </w:tcPr>
          <w:p>
            <w:pPr/>
          </w:p>
        </w:tc>
      </w:tr>
      <w:tr>
        <w:trPr>
          <w:trHeight w:val="204" w:hRule="exact"/>
        </w:trPr>
        <w:tc>
          <w:tcPr>
            <w:tcW w:w="1101" w:type="dxa"/>
            <w:vMerge w:val="restart"/>
            <w:tcBorders>
              <w:top w:val="nil" w:sz="6" w:space="0" w:color="auto"/>
              <w:left w:val="single" w:sz="12" w:space="0" w:color="000000"/>
              <w:right w:val="single" w:sz="6" w:space="0" w:color="000000"/>
            </w:tcBorders>
            <w:shd w:val="clear" w:color="auto" w:fill="D2D2D2"/>
          </w:tcPr>
          <w:p>
            <w:pPr/>
          </w:p>
        </w:tc>
        <w:tc>
          <w:tcPr>
            <w:tcW w:w="1432" w:type="dxa"/>
            <w:vMerge/>
            <w:tcBorders>
              <w:left w:val="single" w:sz="6" w:space="0" w:color="000000"/>
              <w:bottom w:val="nil" w:sz="6" w:space="0" w:color="auto"/>
              <w:right w:val="single" w:sz="6" w:space="0" w:color="000000"/>
            </w:tcBorders>
            <w:shd w:val="clear" w:color="auto" w:fill="D2D2D2"/>
          </w:tcPr>
          <w:p>
            <w:pPr/>
          </w:p>
        </w:tc>
        <w:tc>
          <w:tcPr>
            <w:tcW w:w="1063" w:type="dxa"/>
            <w:vMerge/>
            <w:tcBorders>
              <w:left w:val="single" w:sz="6" w:space="0" w:color="000000"/>
              <w:right w:val="single" w:sz="6" w:space="0" w:color="000000"/>
            </w:tcBorders>
            <w:shd w:val="clear" w:color="auto" w:fill="D2D2D2"/>
          </w:tcPr>
          <w:p>
            <w:pPr/>
          </w:p>
        </w:tc>
        <w:tc>
          <w:tcPr>
            <w:tcW w:w="1334" w:type="dxa"/>
            <w:vMerge/>
            <w:tcBorders>
              <w:left w:val="single" w:sz="6" w:space="0" w:color="000000"/>
              <w:bottom w:val="nil" w:sz="6" w:space="0" w:color="auto"/>
              <w:right w:val="single" w:sz="6" w:space="0" w:color="000000"/>
            </w:tcBorders>
            <w:shd w:val="clear" w:color="auto" w:fill="D2D2D2"/>
          </w:tcPr>
          <w:p>
            <w:pPr/>
          </w:p>
        </w:tc>
        <w:tc>
          <w:tcPr>
            <w:tcW w:w="992" w:type="dxa"/>
            <w:vMerge/>
            <w:tcBorders>
              <w:left w:val="single" w:sz="6" w:space="0" w:color="000000"/>
              <w:right w:val="single" w:sz="6" w:space="0" w:color="000000"/>
            </w:tcBorders>
            <w:shd w:val="clear" w:color="auto" w:fill="D2D2D2"/>
          </w:tcPr>
          <w:p>
            <w:pPr/>
          </w:p>
        </w:tc>
        <w:tc>
          <w:tcPr>
            <w:tcW w:w="991" w:type="dxa"/>
            <w:vMerge w:val="restart"/>
            <w:tcBorders>
              <w:top w:val="nil" w:sz="6" w:space="0" w:color="auto"/>
              <w:left w:val="single" w:sz="6" w:space="0" w:color="000000"/>
              <w:right w:val="single" w:sz="6" w:space="0" w:color="000000"/>
            </w:tcBorders>
            <w:shd w:val="clear" w:color="auto" w:fill="D2D2D2"/>
          </w:tcPr>
          <w:p>
            <w:pPr/>
          </w:p>
        </w:tc>
        <w:tc>
          <w:tcPr>
            <w:tcW w:w="2658" w:type="dxa"/>
            <w:vMerge w:val="restart"/>
            <w:tcBorders>
              <w:top w:val="nil" w:sz="6" w:space="0" w:color="auto"/>
              <w:left w:val="single" w:sz="6" w:space="0" w:color="000000"/>
              <w:right w:val="single" w:sz="12" w:space="0" w:color="000000"/>
            </w:tcBorders>
            <w:shd w:val="clear" w:color="auto" w:fill="D2D2D2"/>
          </w:tcPr>
          <w:p>
            <w:pPr/>
          </w:p>
        </w:tc>
      </w:tr>
      <w:tr>
        <w:trPr>
          <w:trHeight w:val="163" w:hRule="exact"/>
        </w:trPr>
        <w:tc>
          <w:tcPr>
            <w:tcW w:w="1101" w:type="dxa"/>
            <w:vMerge/>
            <w:tcBorders>
              <w:left w:val="single" w:sz="12" w:space="0" w:color="000000"/>
              <w:bottom w:val="single" w:sz="6" w:space="0" w:color="000000"/>
              <w:right w:val="single" w:sz="6" w:space="0" w:color="000000"/>
            </w:tcBorders>
            <w:shd w:val="clear" w:color="auto" w:fill="D2D2D2"/>
          </w:tcPr>
          <w:p>
            <w:pPr/>
          </w:p>
        </w:tc>
        <w:tc>
          <w:tcPr>
            <w:tcW w:w="1432" w:type="dxa"/>
            <w:tcBorders>
              <w:top w:val="nil" w:sz="6" w:space="0" w:color="auto"/>
              <w:left w:val="single" w:sz="6" w:space="0" w:color="000000"/>
              <w:bottom w:val="single" w:sz="6" w:space="0" w:color="000000"/>
              <w:right w:val="single" w:sz="6" w:space="0" w:color="000000"/>
            </w:tcBorders>
            <w:shd w:val="clear" w:color="auto" w:fill="D2D2D2"/>
          </w:tcPr>
          <w:p>
            <w:pPr/>
          </w:p>
        </w:tc>
        <w:tc>
          <w:tcPr>
            <w:tcW w:w="1063" w:type="dxa"/>
            <w:vMerge/>
            <w:tcBorders>
              <w:left w:val="single" w:sz="6" w:space="0" w:color="000000"/>
              <w:bottom w:val="single" w:sz="6" w:space="0" w:color="000000"/>
              <w:right w:val="single" w:sz="6" w:space="0" w:color="000000"/>
            </w:tcBorders>
            <w:shd w:val="clear" w:color="auto" w:fill="D2D2D2"/>
          </w:tcPr>
          <w:p>
            <w:pPr/>
          </w:p>
        </w:tc>
        <w:tc>
          <w:tcPr>
            <w:tcW w:w="1334" w:type="dxa"/>
            <w:tcBorders>
              <w:top w:val="nil" w:sz="6" w:space="0" w:color="auto"/>
              <w:left w:val="single" w:sz="6" w:space="0" w:color="000000"/>
              <w:bottom w:val="single" w:sz="6" w:space="0" w:color="000000"/>
              <w:right w:val="single" w:sz="6" w:space="0" w:color="000000"/>
            </w:tcBorders>
            <w:shd w:val="clear" w:color="auto" w:fill="D2D2D2"/>
          </w:tcPr>
          <w:p>
            <w:pPr/>
          </w:p>
        </w:tc>
        <w:tc>
          <w:tcPr>
            <w:tcW w:w="992" w:type="dxa"/>
            <w:vMerge/>
            <w:tcBorders>
              <w:left w:val="single" w:sz="6" w:space="0" w:color="000000"/>
              <w:bottom w:val="single" w:sz="6" w:space="0" w:color="000000"/>
              <w:right w:val="single" w:sz="6" w:space="0" w:color="000000"/>
            </w:tcBorders>
            <w:shd w:val="clear" w:color="auto" w:fill="D2D2D2"/>
          </w:tcPr>
          <w:p>
            <w:pPr/>
          </w:p>
        </w:tc>
        <w:tc>
          <w:tcPr>
            <w:tcW w:w="991" w:type="dxa"/>
            <w:vMerge/>
            <w:tcBorders>
              <w:left w:val="single" w:sz="6" w:space="0" w:color="000000"/>
              <w:bottom w:val="single" w:sz="6" w:space="0" w:color="000000"/>
              <w:right w:val="single" w:sz="6" w:space="0" w:color="000000"/>
            </w:tcBorders>
            <w:shd w:val="clear" w:color="auto" w:fill="D2D2D2"/>
          </w:tcPr>
          <w:p>
            <w:pPr/>
          </w:p>
        </w:tc>
        <w:tc>
          <w:tcPr>
            <w:tcW w:w="2658" w:type="dxa"/>
            <w:vMerge/>
            <w:tcBorders>
              <w:left w:val="single" w:sz="6" w:space="0" w:color="000000"/>
              <w:bottom w:val="single" w:sz="6" w:space="0" w:color="000000"/>
              <w:right w:val="single" w:sz="12" w:space="0" w:color="000000"/>
            </w:tcBorders>
            <w:shd w:val="clear" w:color="auto" w:fill="D2D2D2"/>
          </w:tcPr>
          <w:p>
            <w:pPr/>
          </w:p>
        </w:tc>
      </w:tr>
      <w:tr>
        <w:trPr>
          <w:trHeight w:val="319" w:hRule="exact"/>
        </w:trPr>
        <w:tc>
          <w:tcPr>
            <w:tcW w:w="1101" w:type="dxa"/>
            <w:tcBorders>
              <w:top w:val="single" w:sz="6" w:space="0" w:color="000000"/>
              <w:left w:val="single" w:sz="12" w:space="0" w:color="000000"/>
              <w:bottom w:val="nil" w:sz="6" w:space="0" w:color="auto"/>
              <w:right w:val="single" w:sz="6" w:space="0" w:color="000000"/>
            </w:tcBorders>
            <w:shd w:val="clear" w:color="auto" w:fill="D2D2D2"/>
          </w:tcPr>
          <w:p>
            <w:pPr/>
          </w:p>
        </w:tc>
        <w:tc>
          <w:tcPr>
            <w:tcW w:w="1432" w:type="dxa"/>
            <w:vMerge w:val="restart"/>
            <w:tcBorders>
              <w:top w:val="single" w:sz="6" w:space="0" w:color="000000"/>
              <w:left w:val="single" w:sz="8" w:space="0" w:color="D2D2D2"/>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33" w:right="0"/>
              <w:jc w:val="left"/>
              <w:rPr>
                <w:rFonts w:ascii="Times New Roman" w:hAnsi="Times New Roman" w:cs="Times New Roman" w:eastAsia="Times New Roman" w:hint="default"/>
                <w:sz w:val="18"/>
                <w:szCs w:val="18"/>
              </w:rPr>
            </w:pPr>
            <w:r>
              <w:rPr>
                <w:rFonts w:ascii="Times New Roman"/>
                <w:sz w:val="18"/>
              </w:rPr>
              <w:t>2,033,688,090.38</w:t>
            </w:r>
          </w:p>
        </w:tc>
        <w:tc>
          <w:tcPr>
            <w:tcW w:w="1063"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73" w:right="0"/>
              <w:jc w:val="left"/>
              <w:rPr>
                <w:rFonts w:ascii="Times New Roman" w:hAnsi="Times New Roman" w:cs="Times New Roman" w:eastAsia="Times New Roman" w:hint="default"/>
                <w:sz w:val="18"/>
                <w:szCs w:val="18"/>
              </w:rPr>
            </w:pPr>
            <w:r>
              <w:rPr>
                <w:rFonts w:ascii="Times New Roman"/>
                <w:sz w:val="18"/>
              </w:rPr>
              <w:t>16.86%</w:t>
            </w:r>
          </w:p>
        </w:tc>
        <w:tc>
          <w:tcPr>
            <w:tcW w:w="1334"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1,076,385,538.40</w:t>
            </w:r>
          </w:p>
        </w:tc>
        <w:tc>
          <w:tcPr>
            <w:tcW w:w="99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01" w:right="0"/>
              <w:jc w:val="left"/>
              <w:rPr>
                <w:rFonts w:ascii="Times New Roman" w:hAnsi="Times New Roman" w:cs="Times New Roman" w:eastAsia="Times New Roman" w:hint="default"/>
                <w:sz w:val="18"/>
                <w:szCs w:val="18"/>
              </w:rPr>
            </w:pPr>
            <w:r>
              <w:rPr>
                <w:rFonts w:ascii="Times New Roman"/>
                <w:sz w:val="18"/>
              </w:rPr>
              <w:t>17.07%</w:t>
            </w:r>
          </w:p>
        </w:tc>
        <w:tc>
          <w:tcPr>
            <w:tcW w:w="991"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31" w:right="0"/>
              <w:jc w:val="left"/>
              <w:rPr>
                <w:rFonts w:ascii="Times New Roman" w:hAnsi="Times New Roman" w:cs="Times New Roman" w:eastAsia="Times New Roman" w:hint="default"/>
                <w:sz w:val="18"/>
                <w:szCs w:val="18"/>
              </w:rPr>
            </w:pPr>
            <w:r>
              <w:rPr>
                <w:rFonts w:ascii="Times New Roman"/>
                <w:sz w:val="18"/>
              </w:rPr>
              <w:t>-0.21%</w:t>
            </w:r>
          </w:p>
        </w:tc>
        <w:tc>
          <w:tcPr>
            <w:tcW w:w="2658" w:type="dxa"/>
            <w:vMerge w:val="restart"/>
            <w:tcBorders>
              <w:top w:val="single" w:sz="6" w:space="0" w:color="000000"/>
              <w:left w:val="single" w:sz="6" w:space="0" w:color="000000"/>
              <w:right w:val="single" w:sz="12" w:space="0" w:color="000000"/>
            </w:tcBorders>
          </w:tcPr>
          <w:p>
            <w:pPr>
              <w:pStyle w:val="TableParagraph"/>
              <w:spacing w:line="309" w:lineRule="auto" w:before="51"/>
              <w:ind w:left="21" w:right="10"/>
              <w:jc w:val="left"/>
              <w:rPr>
                <w:rFonts w:ascii="宋体" w:hAnsi="宋体" w:cs="宋体" w:eastAsia="宋体" w:hint="default"/>
                <w:sz w:val="18"/>
                <w:szCs w:val="18"/>
              </w:rPr>
            </w:pPr>
            <w:r>
              <w:rPr>
                <w:rFonts w:ascii="宋体" w:hAnsi="宋体" w:cs="宋体" w:eastAsia="宋体" w:hint="default"/>
                <w:spacing w:val="-8"/>
                <w:sz w:val="18"/>
                <w:szCs w:val="18"/>
              </w:rPr>
              <w:t>货币资金比重下降，主要是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qudian</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上市改为按照公允价值核算，总 资产较上年大幅增加所致</w:t>
            </w:r>
          </w:p>
        </w:tc>
      </w:tr>
      <w:tr>
        <w:trPr>
          <w:trHeight w:val="392" w:hRule="exact"/>
        </w:trPr>
        <w:tc>
          <w:tcPr>
            <w:tcW w:w="1101"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432" w:type="dxa"/>
            <w:vMerge/>
            <w:tcBorders>
              <w:left w:val="single" w:sz="8" w:space="0" w:color="D2D2D2"/>
              <w:right w:val="single" w:sz="6" w:space="0" w:color="000000"/>
            </w:tcBorders>
          </w:tcPr>
          <w:p>
            <w:pPr/>
          </w:p>
        </w:tc>
        <w:tc>
          <w:tcPr>
            <w:tcW w:w="1063" w:type="dxa"/>
            <w:vMerge/>
            <w:tcBorders>
              <w:left w:val="single" w:sz="6" w:space="0" w:color="000000"/>
              <w:right w:val="single" w:sz="6" w:space="0" w:color="000000"/>
            </w:tcBorders>
          </w:tcPr>
          <w:p>
            <w:pPr/>
          </w:p>
        </w:tc>
        <w:tc>
          <w:tcPr>
            <w:tcW w:w="1334" w:type="dxa"/>
            <w:vMerge/>
            <w:tcBorders>
              <w:left w:val="single" w:sz="6" w:space="0" w:color="000000"/>
              <w:right w:val="single" w:sz="6" w:space="0" w:color="000000"/>
            </w:tcBorders>
          </w:tcPr>
          <w:p>
            <w:pPr/>
          </w:p>
        </w:tc>
        <w:tc>
          <w:tcPr>
            <w:tcW w:w="992" w:type="dxa"/>
            <w:vMerge/>
            <w:tcBorders>
              <w:left w:val="single" w:sz="6" w:space="0" w:color="000000"/>
              <w:right w:val="single" w:sz="6" w:space="0" w:color="000000"/>
            </w:tcBorders>
          </w:tcPr>
          <w:p>
            <w:pPr/>
          </w:p>
        </w:tc>
        <w:tc>
          <w:tcPr>
            <w:tcW w:w="991" w:type="dxa"/>
            <w:vMerge/>
            <w:tcBorders>
              <w:left w:val="single" w:sz="6" w:space="0" w:color="000000"/>
              <w:right w:val="single" w:sz="6" w:space="0" w:color="000000"/>
            </w:tcBorders>
          </w:tcPr>
          <w:p>
            <w:pPr/>
          </w:p>
        </w:tc>
        <w:tc>
          <w:tcPr>
            <w:tcW w:w="2658" w:type="dxa"/>
            <w:vMerge/>
            <w:tcBorders>
              <w:left w:val="single" w:sz="6" w:space="0" w:color="000000"/>
              <w:right w:val="single" w:sz="12" w:space="0" w:color="000000"/>
            </w:tcBorders>
          </w:tcPr>
          <w:p>
            <w:pPr/>
          </w:p>
        </w:tc>
      </w:tr>
      <w:tr>
        <w:trPr>
          <w:trHeight w:val="319" w:hRule="exact"/>
        </w:trPr>
        <w:tc>
          <w:tcPr>
            <w:tcW w:w="1101" w:type="dxa"/>
            <w:tcBorders>
              <w:top w:val="nil" w:sz="6" w:space="0" w:color="auto"/>
              <w:left w:val="single" w:sz="12" w:space="0" w:color="000000"/>
              <w:bottom w:val="single" w:sz="6" w:space="0" w:color="000000"/>
              <w:right w:val="single" w:sz="6" w:space="0" w:color="000000"/>
            </w:tcBorders>
            <w:shd w:val="clear" w:color="auto" w:fill="D2D2D2"/>
          </w:tcPr>
          <w:p>
            <w:pPr/>
          </w:p>
        </w:tc>
        <w:tc>
          <w:tcPr>
            <w:tcW w:w="1432" w:type="dxa"/>
            <w:vMerge/>
            <w:tcBorders>
              <w:left w:val="single" w:sz="8" w:space="0" w:color="D2D2D2"/>
              <w:bottom w:val="single" w:sz="6" w:space="0" w:color="000000"/>
              <w:right w:val="single" w:sz="6" w:space="0" w:color="000000"/>
            </w:tcBorders>
          </w:tcPr>
          <w:p>
            <w:pPr/>
          </w:p>
        </w:tc>
        <w:tc>
          <w:tcPr>
            <w:tcW w:w="1063" w:type="dxa"/>
            <w:vMerge/>
            <w:tcBorders>
              <w:left w:val="single" w:sz="6" w:space="0" w:color="000000"/>
              <w:bottom w:val="single" w:sz="6" w:space="0" w:color="000000"/>
              <w:right w:val="single" w:sz="6" w:space="0" w:color="000000"/>
            </w:tcBorders>
          </w:tcPr>
          <w:p>
            <w:pPr/>
          </w:p>
        </w:tc>
        <w:tc>
          <w:tcPr>
            <w:tcW w:w="1334" w:type="dxa"/>
            <w:vMerge/>
            <w:tcBorders>
              <w:left w:val="single" w:sz="6" w:space="0" w:color="000000"/>
              <w:bottom w:val="single" w:sz="6" w:space="0" w:color="000000"/>
              <w:right w:val="single" w:sz="6" w:space="0" w:color="000000"/>
            </w:tcBorders>
          </w:tcPr>
          <w:p>
            <w:pPr/>
          </w:p>
        </w:tc>
        <w:tc>
          <w:tcPr>
            <w:tcW w:w="992" w:type="dxa"/>
            <w:vMerge/>
            <w:tcBorders>
              <w:left w:val="single" w:sz="6" w:space="0" w:color="000000"/>
              <w:bottom w:val="single" w:sz="6" w:space="0" w:color="000000"/>
              <w:right w:val="single" w:sz="6" w:space="0" w:color="000000"/>
            </w:tcBorders>
          </w:tcPr>
          <w:p>
            <w:pPr/>
          </w:p>
        </w:tc>
        <w:tc>
          <w:tcPr>
            <w:tcW w:w="991" w:type="dxa"/>
            <w:vMerge/>
            <w:tcBorders>
              <w:left w:val="single" w:sz="6" w:space="0" w:color="000000"/>
              <w:bottom w:val="single" w:sz="6" w:space="0" w:color="000000"/>
              <w:right w:val="single" w:sz="6" w:space="0" w:color="000000"/>
            </w:tcBorders>
          </w:tcPr>
          <w:p>
            <w:pPr/>
          </w:p>
        </w:tc>
        <w:tc>
          <w:tcPr>
            <w:tcW w:w="2658" w:type="dxa"/>
            <w:vMerge/>
            <w:tcBorders>
              <w:left w:val="single" w:sz="6" w:space="0" w:color="000000"/>
              <w:bottom w:val="single" w:sz="6" w:space="0" w:color="000000"/>
              <w:right w:val="single" w:sz="12" w:space="0" w:color="000000"/>
            </w:tcBorders>
          </w:tcPr>
          <w:p>
            <w:pPr/>
          </w:p>
        </w:tc>
      </w:tr>
      <w:tr>
        <w:trPr>
          <w:trHeight w:val="164" w:hRule="exact"/>
        </w:trPr>
        <w:tc>
          <w:tcPr>
            <w:tcW w:w="1101" w:type="dxa"/>
            <w:tcBorders>
              <w:top w:val="single" w:sz="6" w:space="0" w:color="000000"/>
              <w:left w:val="single" w:sz="12" w:space="0" w:color="000000"/>
              <w:bottom w:val="nil" w:sz="6" w:space="0" w:color="auto"/>
              <w:right w:val="single" w:sz="6" w:space="0" w:color="000000"/>
            </w:tcBorders>
            <w:shd w:val="clear" w:color="auto" w:fill="D2D2D2"/>
          </w:tcPr>
          <w:p>
            <w:pPr/>
          </w:p>
        </w:tc>
        <w:tc>
          <w:tcPr>
            <w:tcW w:w="1432" w:type="dxa"/>
            <w:vMerge w:val="restart"/>
            <w:tcBorders>
              <w:top w:val="single" w:sz="6" w:space="0" w:color="000000"/>
              <w:left w:val="single" w:sz="8" w:space="0" w:color="D2D2D2"/>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69" w:right="0"/>
              <w:jc w:val="left"/>
              <w:rPr>
                <w:rFonts w:ascii="Times New Roman" w:hAnsi="Times New Roman" w:cs="Times New Roman" w:eastAsia="Times New Roman" w:hint="default"/>
                <w:sz w:val="18"/>
                <w:szCs w:val="18"/>
              </w:rPr>
            </w:pPr>
            <w:r>
              <w:rPr>
                <w:rFonts w:ascii="Times New Roman"/>
                <w:sz w:val="18"/>
              </w:rPr>
              <w:t>409,752,912.42</w:t>
            </w:r>
          </w:p>
        </w:tc>
        <w:tc>
          <w:tcPr>
            <w:tcW w:w="1063"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63" w:right="0"/>
              <w:jc w:val="left"/>
              <w:rPr>
                <w:rFonts w:ascii="Times New Roman" w:hAnsi="Times New Roman" w:cs="Times New Roman" w:eastAsia="Times New Roman" w:hint="default"/>
                <w:sz w:val="18"/>
                <w:szCs w:val="18"/>
              </w:rPr>
            </w:pPr>
            <w:r>
              <w:rPr>
                <w:rFonts w:ascii="Times New Roman"/>
                <w:sz w:val="18"/>
              </w:rPr>
              <w:t>3.40%</w:t>
            </w:r>
          </w:p>
        </w:tc>
        <w:tc>
          <w:tcPr>
            <w:tcW w:w="1334"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74" w:right="0"/>
              <w:jc w:val="left"/>
              <w:rPr>
                <w:rFonts w:ascii="Times New Roman" w:hAnsi="Times New Roman" w:cs="Times New Roman" w:eastAsia="Times New Roman" w:hint="default"/>
                <w:sz w:val="18"/>
                <w:szCs w:val="18"/>
              </w:rPr>
            </w:pPr>
            <w:r>
              <w:rPr>
                <w:rFonts w:ascii="Times New Roman"/>
                <w:sz w:val="18"/>
              </w:rPr>
              <w:t>579,971,332.03</w:t>
            </w:r>
          </w:p>
        </w:tc>
        <w:tc>
          <w:tcPr>
            <w:tcW w:w="992"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91" w:right="0"/>
              <w:jc w:val="left"/>
              <w:rPr>
                <w:rFonts w:ascii="Times New Roman" w:hAnsi="Times New Roman" w:cs="Times New Roman" w:eastAsia="Times New Roman" w:hint="default"/>
                <w:sz w:val="18"/>
                <w:szCs w:val="18"/>
              </w:rPr>
            </w:pPr>
            <w:r>
              <w:rPr>
                <w:rFonts w:ascii="Times New Roman"/>
                <w:sz w:val="18"/>
              </w:rPr>
              <w:t>9.20%</w:t>
            </w:r>
          </w:p>
        </w:tc>
        <w:tc>
          <w:tcPr>
            <w:tcW w:w="991"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31" w:right="0"/>
              <w:jc w:val="left"/>
              <w:rPr>
                <w:rFonts w:ascii="Times New Roman" w:hAnsi="Times New Roman" w:cs="Times New Roman" w:eastAsia="Times New Roman" w:hint="default"/>
                <w:sz w:val="18"/>
                <w:szCs w:val="18"/>
              </w:rPr>
            </w:pPr>
            <w:r>
              <w:rPr>
                <w:rFonts w:ascii="Times New Roman"/>
                <w:sz w:val="18"/>
              </w:rPr>
              <w:t>-5.80%</w:t>
            </w:r>
          </w:p>
        </w:tc>
        <w:tc>
          <w:tcPr>
            <w:tcW w:w="2658" w:type="dxa"/>
            <w:vMerge w:val="restart"/>
            <w:tcBorders>
              <w:top w:val="single" w:sz="6" w:space="0" w:color="000000"/>
              <w:left w:val="single" w:sz="6" w:space="0" w:color="000000"/>
              <w:right w:val="single" w:sz="12" w:space="0" w:color="000000"/>
            </w:tcBorders>
          </w:tcPr>
          <w:p>
            <w:pPr>
              <w:pStyle w:val="TableParagraph"/>
              <w:spacing w:line="316" w:lineRule="auto" w:before="52"/>
              <w:ind w:left="21" w:right="93"/>
              <w:jc w:val="left"/>
              <w:rPr>
                <w:rFonts w:ascii="宋体" w:hAnsi="宋体" w:cs="宋体" w:eastAsia="宋体" w:hint="default"/>
                <w:sz w:val="18"/>
                <w:szCs w:val="18"/>
              </w:rPr>
            </w:pPr>
            <w:r>
              <w:rPr>
                <w:rFonts w:ascii="宋体" w:hAnsi="宋体" w:cs="宋体" w:eastAsia="宋体" w:hint="default"/>
                <w:sz w:val="18"/>
                <w:szCs w:val="18"/>
              </w:rPr>
              <w:t>应收账款比重下降，主要是收回 股权转让款</w:t>
            </w:r>
          </w:p>
        </w:tc>
      </w:tr>
      <w:tr>
        <w:trPr>
          <w:trHeight w:val="391" w:hRule="exact"/>
        </w:trPr>
        <w:tc>
          <w:tcPr>
            <w:tcW w:w="1101"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432" w:type="dxa"/>
            <w:vMerge/>
            <w:tcBorders>
              <w:left w:val="single" w:sz="8" w:space="0" w:color="D2D2D2"/>
              <w:right w:val="single" w:sz="6" w:space="0" w:color="000000"/>
            </w:tcBorders>
          </w:tcPr>
          <w:p>
            <w:pPr/>
          </w:p>
        </w:tc>
        <w:tc>
          <w:tcPr>
            <w:tcW w:w="1063" w:type="dxa"/>
            <w:vMerge/>
            <w:tcBorders>
              <w:left w:val="single" w:sz="6" w:space="0" w:color="000000"/>
              <w:right w:val="single" w:sz="6" w:space="0" w:color="000000"/>
            </w:tcBorders>
          </w:tcPr>
          <w:p>
            <w:pPr/>
          </w:p>
        </w:tc>
        <w:tc>
          <w:tcPr>
            <w:tcW w:w="1334" w:type="dxa"/>
            <w:vMerge/>
            <w:tcBorders>
              <w:left w:val="single" w:sz="6" w:space="0" w:color="000000"/>
              <w:right w:val="single" w:sz="6" w:space="0" w:color="000000"/>
            </w:tcBorders>
          </w:tcPr>
          <w:p>
            <w:pPr/>
          </w:p>
        </w:tc>
        <w:tc>
          <w:tcPr>
            <w:tcW w:w="992" w:type="dxa"/>
            <w:vMerge/>
            <w:tcBorders>
              <w:left w:val="single" w:sz="6" w:space="0" w:color="000000"/>
              <w:right w:val="single" w:sz="6" w:space="0" w:color="000000"/>
            </w:tcBorders>
          </w:tcPr>
          <w:p>
            <w:pPr/>
          </w:p>
        </w:tc>
        <w:tc>
          <w:tcPr>
            <w:tcW w:w="991" w:type="dxa"/>
            <w:vMerge/>
            <w:tcBorders>
              <w:left w:val="single" w:sz="6" w:space="0" w:color="000000"/>
              <w:right w:val="single" w:sz="6" w:space="0" w:color="000000"/>
            </w:tcBorders>
          </w:tcPr>
          <w:p>
            <w:pPr/>
          </w:p>
        </w:tc>
        <w:tc>
          <w:tcPr>
            <w:tcW w:w="2658" w:type="dxa"/>
            <w:vMerge/>
            <w:tcBorders>
              <w:left w:val="single" w:sz="6" w:space="0" w:color="000000"/>
              <w:right w:val="single" w:sz="12" w:space="0" w:color="000000"/>
            </w:tcBorders>
          </w:tcPr>
          <w:p>
            <w:pPr/>
          </w:p>
        </w:tc>
      </w:tr>
      <w:tr>
        <w:trPr>
          <w:trHeight w:val="163" w:hRule="exact"/>
        </w:trPr>
        <w:tc>
          <w:tcPr>
            <w:tcW w:w="1101" w:type="dxa"/>
            <w:tcBorders>
              <w:top w:val="nil" w:sz="6" w:space="0" w:color="auto"/>
              <w:left w:val="single" w:sz="12" w:space="0" w:color="000000"/>
              <w:bottom w:val="single" w:sz="6" w:space="0" w:color="000000"/>
              <w:right w:val="single" w:sz="6" w:space="0" w:color="000000"/>
            </w:tcBorders>
            <w:shd w:val="clear" w:color="auto" w:fill="D2D2D2"/>
          </w:tcPr>
          <w:p>
            <w:pPr/>
          </w:p>
        </w:tc>
        <w:tc>
          <w:tcPr>
            <w:tcW w:w="1432" w:type="dxa"/>
            <w:vMerge/>
            <w:tcBorders>
              <w:left w:val="single" w:sz="8" w:space="0" w:color="D2D2D2"/>
              <w:bottom w:val="single" w:sz="6" w:space="0" w:color="000000"/>
              <w:right w:val="single" w:sz="6" w:space="0" w:color="000000"/>
            </w:tcBorders>
          </w:tcPr>
          <w:p>
            <w:pPr/>
          </w:p>
        </w:tc>
        <w:tc>
          <w:tcPr>
            <w:tcW w:w="1063" w:type="dxa"/>
            <w:vMerge/>
            <w:tcBorders>
              <w:left w:val="single" w:sz="6" w:space="0" w:color="000000"/>
              <w:bottom w:val="single" w:sz="6" w:space="0" w:color="000000"/>
              <w:right w:val="single" w:sz="6" w:space="0" w:color="000000"/>
            </w:tcBorders>
          </w:tcPr>
          <w:p>
            <w:pPr/>
          </w:p>
        </w:tc>
        <w:tc>
          <w:tcPr>
            <w:tcW w:w="1334" w:type="dxa"/>
            <w:vMerge/>
            <w:tcBorders>
              <w:left w:val="single" w:sz="6" w:space="0" w:color="000000"/>
              <w:bottom w:val="single" w:sz="6" w:space="0" w:color="000000"/>
              <w:right w:val="single" w:sz="6" w:space="0" w:color="000000"/>
            </w:tcBorders>
          </w:tcPr>
          <w:p>
            <w:pPr/>
          </w:p>
        </w:tc>
        <w:tc>
          <w:tcPr>
            <w:tcW w:w="992" w:type="dxa"/>
            <w:vMerge/>
            <w:tcBorders>
              <w:left w:val="single" w:sz="6" w:space="0" w:color="000000"/>
              <w:bottom w:val="single" w:sz="6" w:space="0" w:color="000000"/>
              <w:right w:val="single" w:sz="6" w:space="0" w:color="000000"/>
            </w:tcBorders>
          </w:tcPr>
          <w:p>
            <w:pPr/>
          </w:p>
        </w:tc>
        <w:tc>
          <w:tcPr>
            <w:tcW w:w="991" w:type="dxa"/>
            <w:vMerge/>
            <w:tcBorders>
              <w:left w:val="single" w:sz="6" w:space="0" w:color="000000"/>
              <w:bottom w:val="single" w:sz="6" w:space="0" w:color="000000"/>
              <w:right w:val="single" w:sz="6" w:space="0" w:color="000000"/>
            </w:tcBorders>
          </w:tcPr>
          <w:p>
            <w:pPr/>
          </w:p>
        </w:tc>
        <w:tc>
          <w:tcPr>
            <w:tcW w:w="2658" w:type="dxa"/>
            <w:vMerge/>
            <w:tcBorders>
              <w:left w:val="single" w:sz="6" w:space="0" w:color="000000"/>
              <w:bottom w:val="single" w:sz="6" w:space="0" w:color="000000"/>
              <w:right w:val="single" w:sz="12" w:space="0" w:color="000000"/>
            </w:tcBorders>
          </w:tcPr>
          <w:p>
            <w:pPr/>
          </w:p>
        </w:tc>
      </w:tr>
      <w:tr>
        <w:trPr>
          <w:trHeight w:val="164" w:hRule="exact"/>
        </w:trPr>
        <w:tc>
          <w:tcPr>
            <w:tcW w:w="1101" w:type="dxa"/>
            <w:tcBorders>
              <w:top w:val="single" w:sz="6" w:space="0" w:color="000000"/>
              <w:left w:val="single" w:sz="12" w:space="0" w:color="000000"/>
              <w:bottom w:val="nil" w:sz="6" w:space="0" w:color="auto"/>
              <w:right w:val="single" w:sz="6" w:space="0" w:color="000000"/>
            </w:tcBorders>
            <w:shd w:val="clear" w:color="auto" w:fill="D2D2D2"/>
          </w:tcPr>
          <w:p>
            <w:pPr/>
          </w:p>
        </w:tc>
        <w:tc>
          <w:tcPr>
            <w:tcW w:w="1432" w:type="dxa"/>
            <w:vMerge w:val="restart"/>
            <w:tcBorders>
              <w:top w:val="single" w:sz="6" w:space="0" w:color="000000"/>
              <w:left w:val="single" w:sz="8" w:space="0" w:color="D2D2D2"/>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33" w:right="0"/>
              <w:jc w:val="left"/>
              <w:rPr>
                <w:rFonts w:ascii="Times New Roman" w:hAnsi="Times New Roman" w:cs="Times New Roman" w:eastAsia="Times New Roman" w:hint="default"/>
                <w:sz w:val="18"/>
                <w:szCs w:val="18"/>
              </w:rPr>
            </w:pPr>
            <w:r>
              <w:rPr>
                <w:rFonts w:ascii="Times New Roman"/>
                <w:sz w:val="18"/>
              </w:rPr>
              <w:t>1,331,593,498.72</w:t>
            </w:r>
          </w:p>
        </w:tc>
        <w:tc>
          <w:tcPr>
            <w:tcW w:w="1063"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80" w:right="0"/>
              <w:jc w:val="left"/>
              <w:rPr>
                <w:rFonts w:ascii="Times New Roman" w:hAnsi="Times New Roman" w:cs="Times New Roman" w:eastAsia="Times New Roman" w:hint="default"/>
                <w:sz w:val="18"/>
                <w:szCs w:val="18"/>
              </w:rPr>
            </w:pPr>
            <w:r>
              <w:rPr>
                <w:rFonts w:ascii="Times New Roman"/>
                <w:sz w:val="18"/>
              </w:rPr>
              <w:t>11.04%</w:t>
            </w:r>
          </w:p>
        </w:tc>
        <w:tc>
          <w:tcPr>
            <w:tcW w:w="1334"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1,327,317,058.53</w:t>
            </w:r>
          </w:p>
        </w:tc>
        <w:tc>
          <w:tcPr>
            <w:tcW w:w="99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01" w:right="0"/>
              <w:jc w:val="left"/>
              <w:rPr>
                <w:rFonts w:ascii="Times New Roman" w:hAnsi="Times New Roman" w:cs="Times New Roman" w:eastAsia="Times New Roman" w:hint="default"/>
                <w:sz w:val="18"/>
                <w:szCs w:val="18"/>
              </w:rPr>
            </w:pPr>
            <w:r>
              <w:rPr>
                <w:rFonts w:ascii="Times New Roman"/>
                <w:sz w:val="18"/>
              </w:rPr>
              <w:t>21.05%</w:t>
            </w:r>
          </w:p>
        </w:tc>
        <w:tc>
          <w:tcPr>
            <w:tcW w:w="991"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41" w:right="0"/>
              <w:jc w:val="left"/>
              <w:rPr>
                <w:rFonts w:ascii="Times New Roman" w:hAnsi="Times New Roman" w:cs="Times New Roman" w:eastAsia="Times New Roman" w:hint="default"/>
                <w:sz w:val="18"/>
                <w:szCs w:val="18"/>
              </w:rPr>
            </w:pPr>
            <w:r>
              <w:rPr>
                <w:rFonts w:ascii="Times New Roman"/>
                <w:sz w:val="18"/>
              </w:rPr>
              <w:t>-10.01%</w:t>
            </w:r>
          </w:p>
        </w:tc>
        <w:tc>
          <w:tcPr>
            <w:tcW w:w="2658" w:type="dxa"/>
            <w:vMerge w:val="restart"/>
            <w:tcBorders>
              <w:top w:val="single" w:sz="6" w:space="0" w:color="000000"/>
              <w:left w:val="single" w:sz="6" w:space="0" w:color="000000"/>
              <w:right w:val="single" w:sz="12" w:space="0" w:color="000000"/>
            </w:tcBorders>
          </w:tcPr>
          <w:p>
            <w:pPr>
              <w:pStyle w:val="TableParagraph"/>
              <w:spacing w:line="309" w:lineRule="auto" w:before="52"/>
              <w:ind w:left="21" w:right="10"/>
              <w:jc w:val="left"/>
              <w:rPr>
                <w:rFonts w:ascii="宋体" w:hAnsi="宋体" w:cs="宋体" w:eastAsia="宋体" w:hint="default"/>
                <w:sz w:val="18"/>
                <w:szCs w:val="18"/>
              </w:rPr>
            </w:pPr>
            <w:r>
              <w:rPr>
                <w:rFonts w:ascii="宋体" w:hAnsi="宋体" w:cs="宋体" w:eastAsia="宋体" w:hint="default"/>
                <w:spacing w:val="-8"/>
                <w:sz w:val="18"/>
                <w:szCs w:val="18"/>
              </w:rPr>
              <w:t>长期股权投资下降，主要是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qudian</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上市改为按照公允价值核算，总 资产较上年大幅增加所致</w:t>
            </w:r>
          </w:p>
        </w:tc>
      </w:tr>
      <w:tr>
        <w:trPr>
          <w:trHeight w:val="703" w:hRule="exact"/>
        </w:trPr>
        <w:tc>
          <w:tcPr>
            <w:tcW w:w="1101"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316" w:lineRule="auto" w:before="51"/>
              <w:ind w:left="14" w:right="162"/>
              <w:jc w:val="left"/>
              <w:rPr>
                <w:rFonts w:ascii="宋体" w:hAnsi="宋体" w:cs="宋体" w:eastAsia="宋体" w:hint="default"/>
                <w:sz w:val="18"/>
                <w:szCs w:val="18"/>
              </w:rPr>
            </w:pPr>
            <w:r>
              <w:rPr>
                <w:rFonts w:ascii="宋体" w:hAnsi="宋体" w:cs="宋体" w:eastAsia="宋体" w:hint="default"/>
                <w:sz w:val="18"/>
                <w:szCs w:val="18"/>
              </w:rPr>
              <w:t>长期股权投 资</w:t>
            </w:r>
          </w:p>
        </w:tc>
        <w:tc>
          <w:tcPr>
            <w:tcW w:w="1432" w:type="dxa"/>
            <w:vMerge/>
            <w:tcBorders>
              <w:left w:val="single" w:sz="8" w:space="0" w:color="D2D2D2"/>
              <w:right w:val="single" w:sz="6" w:space="0" w:color="000000"/>
            </w:tcBorders>
          </w:tcPr>
          <w:p>
            <w:pPr/>
          </w:p>
        </w:tc>
        <w:tc>
          <w:tcPr>
            <w:tcW w:w="1063" w:type="dxa"/>
            <w:vMerge/>
            <w:tcBorders>
              <w:left w:val="single" w:sz="6" w:space="0" w:color="000000"/>
              <w:right w:val="single" w:sz="6" w:space="0" w:color="000000"/>
            </w:tcBorders>
          </w:tcPr>
          <w:p>
            <w:pPr/>
          </w:p>
        </w:tc>
        <w:tc>
          <w:tcPr>
            <w:tcW w:w="1334" w:type="dxa"/>
            <w:vMerge/>
            <w:tcBorders>
              <w:left w:val="single" w:sz="6" w:space="0" w:color="000000"/>
              <w:right w:val="single" w:sz="6" w:space="0" w:color="000000"/>
            </w:tcBorders>
          </w:tcPr>
          <w:p>
            <w:pPr/>
          </w:p>
        </w:tc>
        <w:tc>
          <w:tcPr>
            <w:tcW w:w="992" w:type="dxa"/>
            <w:vMerge/>
            <w:tcBorders>
              <w:left w:val="single" w:sz="6" w:space="0" w:color="000000"/>
              <w:right w:val="single" w:sz="6" w:space="0" w:color="000000"/>
            </w:tcBorders>
          </w:tcPr>
          <w:p>
            <w:pPr/>
          </w:p>
        </w:tc>
        <w:tc>
          <w:tcPr>
            <w:tcW w:w="991" w:type="dxa"/>
            <w:vMerge/>
            <w:tcBorders>
              <w:left w:val="single" w:sz="6" w:space="0" w:color="000000"/>
              <w:right w:val="single" w:sz="6" w:space="0" w:color="000000"/>
            </w:tcBorders>
          </w:tcPr>
          <w:p>
            <w:pPr/>
          </w:p>
        </w:tc>
        <w:tc>
          <w:tcPr>
            <w:tcW w:w="2658" w:type="dxa"/>
            <w:vMerge/>
            <w:tcBorders>
              <w:left w:val="single" w:sz="6" w:space="0" w:color="000000"/>
              <w:right w:val="single" w:sz="12" w:space="0" w:color="000000"/>
            </w:tcBorders>
          </w:tcPr>
          <w:p>
            <w:pPr/>
          </w:p>
        </w:tc>
      </w:tr>
      <w:tr>
        <w:trPr>
          <w:trHeight w:val="164" w:hRule="exact"/>
        </w:trPr>
        <w:tc>
          <w:tcPr>
            <w:tcW w:w="1101" w:type="dxa"/>
            <w:tcBorders>
              <w:top w:val="nil" w:sz="6" w:space="0" w:color="auto"/>
              <w:left w:val="single" w:sz="12" w:space="0" w:color="000000"/>
              <w:bottom w:val="single" w:sz="6" w:space="0" w:color="000000"/>
              <w:right w:val="single" w:sz="6" w:space="0" w:color="000000"/>
            </w:tcBorders>
            <w:shd w:val="clear" w:color="auto" w:fill="D2D2D2"/>
          </w:tcPr>
          <w:p>
            <w:pPr/>
          </w:p>
        </w:tc>
        <w:tc>
          <w:tcPr>
            <w:tcW w:w="1432" w:type="dxa"/>
            <w:vMerge/>
            <w:tcBorders>
              <w:left w:val="single" w:sz="8" w:space="0" w:color="D2D2D2"/>
              <w:bottom w:val="single" w:sz="6" w:space="0" w:color="000000"/>
              <w:right w:val="single" w:sz="6" w:space="0" w:color="000000"/>
            </w:tcBorders>
          </w:tcPr>
          <w:p>
            <w:pPr/>
          </w:p>
        </w:tc>
        <w:tc>
          <w:tcPr>
            <w:tcW w:w="1063" w:type="dxa"/>
            <w:vMerge/>
            <w:tcBorders>
              <w:left w:val="single" w:sz="6" w:space="0" w:color="000000"/>
              <w:bottom w:val="single" w:sz="6" w:space="0" w:color="000000"/>
              <w:right w:val="single" w:sz="6" w:space="0" w:color="000000"/>
            </w:tcBorders>
          </w:tcPr>
          <w:p>
            <w:pPr/>
          </w:p>
        </w:tc>
        <w:tc>
          <w:tcPr>
            <w:tcW w:w="1334" w:type="dxa"/>
            <w:vMerge/>
            <w:tcBorders>
              <w:left w:val="single" w:sz="6" w:space="0" w:color="000000"/>
              <w:bottom w:val="single" w:sz="6" w:space="0" w:color="000000"/>
              <w:right w:val="single" w:sz="6" w:space="0" w:color="000000"/>
            </w:tcBorders>
          </w:tcPr>
          <w:p>
            <w:pPr/>
          </w:p>
        </w:tc>
        <w:tc>
          <w:tcPr>
            <w:tcW w:w="992" w:type="dxa"/>
            <w:vMerge/>
            <w:tcBorders>
              <w:left w:val="single" w:sz="6" w:space="0" w:color="000000"/>
              <w:bottom w:val="single" w:sz="6" w:space="0" w:color="000000"/>
              <w:right w:val="single" w:sz="6" w:space="0" w:color="000000"/>
            </w:tcBorders>
          </w:tcPr>
          <w:p>
            <w:pPr/>
          </w:p>
        </w:tc>
        <w:tc>
          <w:tcPr>
            <w:tcW w:w="991" w:type="dxa"/>
            <w:vMerge/>
            <w:tcBorders>
              <w:left w:val="single" w:sz="6" w:space="0" w:color="000000"/>
              <w:bottom w:val="single" w:sz="6" w:space="0" w:color="000000"/>
              <w:right w:val="single" w:sz="6" w:space="0" w:color="000000"/>
            </w:tcBorders>
          </w:tcPr>
          <w:p>
            <w:pPr/>
          </w:p>
        </w:tc>
        <w:tc>
          <w:tcPr>
            <w:tcW w:w="2658" w:type="dxa"/>
            <w:vMerge/>
            <w:tcBorders>
              <w:left w:val="single" w:sz="6" w:space="0" w:color="000000"/>
              <w:bottom w:val="single" w:sz="6" w:space="0" w:color="000000"/>
              <w:right w:val="single" w:sz="12" w:space="0" w:color="000000"/>
            </w:tcBorders>
          </w:tcPr>
          <w:p>
            <w:pPr/>
          </w:p>
        </w:tc>
      </w:tr>
      <w:tr>
        <w:trPr>
          <w:trHeight w:val="408" w:hRule="exact"/>
        </w:trPr>
        <w:tc>
          <w:tcPr>
            <w:tcW w:w="110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432"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22,951,588.41</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0.19%</w:t>
            </w:r>
          </w:p>
        </w:tc>
        <w:tc>
          <w:tcPr>
            <w:tcW w:w="13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25,949,831.32</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0.41%</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-0.22%</w:t>
            </w:r>
          </w:p>
        </w:tc>
        <w:tc>
          <w:tcPr>
            <w:tcW w:w="2658" w:type="dxa"/>
            <w:tcBorders>
              <w:top w:val="single" w:sz="6" w:space="0" w:color="000000"/>
              <w:left w:val="single" w:sz="6" w:space="0" w:color="000000"/>
              <w:bottom w:val="single" w:sz="6" w:space="0" w:color="000000"/>
              <w:right w:val="single" w:sz="12" w:space="0" w:color="000000"/>
            </w:tcBorders>
          </w:tcPr>
          <w:p>
            <w:pPr/>
          </w:p>
        </w:tc>
      </w:tr>
      <w:tr>
        <w:trPr>
          <w:trHeight w:val="319" w:hRule="exact"/>
        </w:trPr>
        <w:tc>
          <w:tcPr>
            <w:tcW w:w="1101" w:type="dxa"/>
            <w:tcBorders>
              <w:top w:val="single" w:sz="6" w:space="0" w:color="000000"/>
              <w:left w:val="single" w:sz="12" w:space="0" w:color="000000"/>
              <w:bottom w:val="nil" w:sz="6" w:space="0" w:color="auto"/>
              <w:right w:val="single" w:sz="6" w:space="0" w:color="000000"/>
            </w:tcBorders>
            <w:shd w:val="clear" w:color="auto" w:fill="D2D2D2"/>
          </w:tcPr>
          <w:p>
            <w:pPr/>
          </w:p>
        </w:tc>
        <w:tc>
          <w:tcPr>
            <w:tcW w:w="1432" w:type="dxa"/>
            <w:vMerge w:val="restart"/>
            <w:tcBorders>
              <w:top w:val="single" w:sz="6" w:space="0" w:color="000000"/>
              <w:left w:val="single" w:sz="8" w:space="0" w:color="D2D2D2"/>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33" w:right="0"/>
              <w:jc w:val="left"/>
              <w:rPr>
                <w:rFonts w:ascii="Times New Roman" w:hAnsi="Times New Roman" w:cs="Times New Roman" w:eastAsia="Times New Roman" w:hint="default"/>
                <w:sz w:val="18"/>
                <w:szCs w:val="18"/>
              </w:rPr>
            </w:pPr>
            <w:r>
              <w:rPr>
                <w:rFonts w:ascii="Times New Roman"/>
                <w:sz w:val="18"/>
              </w:rPr>
              <w:t>1,144,367,076.67</w:t>
            </w:r>
          </w:p>
        </w:tc>
        <w:tc>
          <w:tcPr>
            <w:tcW w:w="1063"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63" w:right="0"/>
              <w:jc w:val="left"/>
              <w:rPr>
                <w:rFonts w:ascii="Times New Roman" w:hAnsi="Times New Roman" w:cs="Times New Roman" w:eastAsia="Times New Roman" w:hint="default"/>
                <w:sz w:val="18"/>
                <w:szCs w:val="18"/>
              </w:rPr>
            </w:pPr>
            <w:r>
              <w:rPr>
                <w:rFonts w:ascii="Times New Roman"/>
                <w:sz w:val="18"/>
              </w:rPr>
              <w:t>9.49%</w:t>
            </w:r>
          </w:p>
        </w:tc>
        <w:tc>
          <w:tcPr>
            <w:tcW w:w="1334"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4" w:right="0"/>
              <w:jc w:val="left"/>
              <w:rPr>
                <w:rFonts w:ascii="Times New Roman" w:hAnsi="Times New Roman" w:cs="Times New Roman" w:eastAsia="Times New Roman" w:hint="default"/>
                <w:sz w:val="18"/>
                <w:szCs w:val="18"/>
              </w:rPr>
            </w:pPr>
            <w:r>
              <w:rPr>
                <w:rFonts w:ascii="Times New Roman"/>
                <w:sz w:val="18"/>
              </w:rPr>
              <w:t>982,902,879.96</w:t>
            </w:r>
          </w:p>
        </w:tc>
        <w:tc>
          <w:tcPr>
            <w:tcW w:w="99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01" w:right="0"/>
              <w:jc w:val="left"/>
              <w:rPr>
                <w:rFonts w:ascii="Times New Roman" w:hAnsi="Times New Roman" w:cs="Times New Roman" w:eastAsia="Times New Roman" w:hint="default"/>
                <w:sz w:val="18"/>
                <w:szCs w:val="18"/>
              </w:rPr>
            </w:pPr>
            <w:r>
              <w:rPr>
                <w:rFonts w:ascii="Times New Roman"/>
                <w:sz w:val="18"/>
              </w:rPr>
              <w:t>15.59%</w:t>
            </w:r>
          </w:p>
        </w:tc>
        <w:tc>
          <w:tcPr>
            <w:tcW w:w="991"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31" w:right="0"/>
              <w:jc w:val="left"/>
              <w:rPr>
                <w:rFonts w:ascii="Times New Roman" w:hAnsi="Times New Roman" w:cs="Times New Roman" w:eastAsia="Times New Roman" w:hint="default"/>
                <w:sz w:val="18"/>
                <w:szCs w:val="18"/>
              </w:rPr>
            </w:pPr>
            <w:r>
              <w:rPr>
                <w:rFonts w:ascii="Times New Roman"/>
                <w:sz w:val="18"/>
              </w:rPr>
              <w:t>-6.10%</w:t>
            </w:r>
          </w:p>
        </w:tc>
        <w:tc>
          <w:tcPr>
            <w:tcW w:w="2658" w:type="dxa"/>
            <w:vMerge w:val="restart"/>
            <w:tcBorders>
              <w:top w:val="single" w:sz="6" w:space="0" w:color="000000"/>
              <w:left w:val="single" w:sz="6" w:space="0" w:color="000000"/>
              <w:right w:val="single" w:sz="12" w:space="0" w:color="000000"/>
            </w:tcBorders>
          </w:tcPr>
          <w:p>
            <w:pPr>
              <w:pStyle w:val="TableParagraph"/>
              <w:spacing w:line="309" w:lineRule="auto" w:before="51"/>
              <w:ind w:left="21" w:right="10"/>
              <w:jc w:val="left"/>
              <w:rPr>
                <w:rFonts w:ascii="宋体" w:hAnsi="宋体" w:cs="宋体" w:eastAsia="宋体" w:hint="default"/>
                <w:sz w:val="18"/>
                <w:szCs w:val="18"/>
              </w:rPr>
            </w:pPr>
            <w:r>
              <w:rPr>
                <w:rFonts w:ascii="宋体" w:hAnsi="宋体" w:cs="宋体" w:eastAsia="宋体" w:hint="default"/>
                <w:spacing w:val="-8"/>
                <w:sz w:val="18"/>
                <w:szCs w:val="18"/>
              </w:rPr>
              <w:t>短期借款比重下降，主要是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qudian</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上市改为按照公允价值核算，总 资产较上年大幅增加所致</w:t>
            </w:r>
          </w:p>
        </w:tc>
      </w:tr>
      <w:tr>
        <w:trPr>
          <w:trHeight w:val="392" w:hRule="exact"/>
        </w:trPr>
        <w:tc>
          <w:tcPr>
            <w:tcW w:w="1101"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432" w:type="dxa"/>
            <w:vMerge/>
            <w:tcBorders>
              <w:left w:val="single" w:sz="8" w:space="0" w:color="D2D2D2"/>
              <w:right w:val="single" w:sz="6" w:space="0" w:color="000000"/>
            </w:tcBorders>
          </w:tcPr>
          <w:p>
            <w:pPr/>
          </w:p>
        </w:tc>
        <w:tc>
          <w:tcPr>
            <w:tcW w:w="1063" w:type="dxa"/>
            <w:vMerge/>
            <w:tcBorders>
              <w:left w:val="single" w:sz="6" w:space="0" w:color="000000"/>
              <w:right w:val="single" w:sz="6" w:space="0" w:color="000000"/>
            </w:tcBorders>
          </w:tcPr>
          <w:p>
            <w:pPr/>
          </w:p>
        </w:tc>
        <w:tc>
          <w:tcPr>
            <w:tcW w:w="1334" w:type="dxa"/>
            <w:vMerge/>
            <w:tcBorders>
              <w:left w:val="single" w:sz="6" w:space="0" w:color="000000"/>
              <w:right w:val="single" w:sz="6" w:space="0" w:color="000000"/>
            </w:tcBorders>
          </w:tcPr>
          <w:p>
            <w:pPr/>
          </w:p>
        </w:tc>
        <w:tc>
          <w:tcPr>
            <w:tcW w:w="992" w:type="dxa"/>
            <w:vMerge/>
            <w:tcBorders>
              <w:left w:val="single" w:sz="6" w:space="0" w:color="000000"/>
              <w:right w:val="single" w:sz="6" w:space="0" w:color="000000"/>
            </w:tcBorders>
          </w:tcPr>
          <w:p>
            <w:pPr/>
          </w:p>
        </w:tc>
        <w:tc>
          <w:tcPr>
            <w:tcW w:w="991" w:type="dxa"/>
            <w:vMerge/>
            <w:tcBorders>
              <w:left w:val="single" w:sz="6" w:space="0" w:color="000000"/>
              <w:right w:val="single" w:sz="6" w:space="0" w:color="000000"/>
            </w:tcBorders>
          </w:tcPr>
          <w:p>
            <w:pPr/>
          </w:p>
        </w:tc>
        <w:tc>
          <w:tcPr>
            <w:tcW w:w="2658" w:type="dxa"/>
            <w:vMerge/>
            <w:tcBorders>
              <w:left w:val="single" w:sz="6" w:space="0" w:color="000000"/>
              <w:right w:val="single" w:sz="12" w:space="0" w:color="000000"/>
            </w:tcBorders>
          </w:tcPr>
          <w:p>
            <w:pPr/>
          </w:p>
        </w:tc>
      </w:tr>
      <w:tr>
        <w:trPr>
          <w:trHeight w:val="319" w:hRule="exact"/>
        </w:trPr>
        <w:tc>
          <w:tcPr>
            <w:tcW w:w="1101" w:type="dxa"/>
            <w:tcBorders>
              <w:top w:val="nil" w:sz="6" w:space="0" w:color="auto"/>
              <w:left w:val="single" w:sz="12" w:space="0" w:color="000000"/>
              <w:bottom w:val="single" w:sz="6" w:space="0" w:color="000000"/>
              <w:right w:val="single" w:sz="6" w:space="0" w:color="000000"/>
            </w:tcBorders>
            <w:shd w:val="clear" w:color="auto" w:fill="D2D2D2"/>
          </w:tcPr>
          <w:p>
            <w:pPr/>
          </w:p>
        </w:tc>
        <w:tc>
          <w:tcPr>
            <w:tcW w:w="1432" w:type="dxa"/>
            <w:vMerge/>
            <w:tcBorders>
              <w:left w:val="single" w:sz="8" w:space="0" w:color="D2D2D2"/>
              <w:bottom w:val="single" w:sz="6" w:space="0" w:color="000000"/>
              <w:right w:val="single" w:sz="6" w:space="0" w:color="000000"/>
            </w:tcBorders>
          </w:tcPr>
          <w:p>
            <w:pPr/>
          </w:p>
        </w:tc>
        <w:tc>
          <w:tcPr>
            <w:tcW w:w="1063" w:type="dxa"/>
            <w:vMerge/>
            <w:tcBorders>
              <w:left w:val="single" w:sz="6" w:space="0" w:color="000000"/>
              <w:bottom w:val="single" w:sz="6" w:space="0" w:color="000000"/>
              <w:right w:val="single" w:sz="6" w:space="0" w:color="000000"/>
            </w:tcBorders>
          </w:tcPr>
          <w:p>
            <w:pPr/>
          </w:p>
        </w:tc>
        <w:tc>
          <w:tcPr>
            <w:tcW w:w="1334" w:type="dxa"/>
            <w:vMerge/>
            <w:tcBorders>
              <w:left w:val="single" w:sz="6" w:space="0" w:color="000000"/>
              <w:bottom w:val="single" w:sz="6" w:space="0" w:color="000000"/>
              <w:right w:val="single" w:sz="6" w:space="0" w:color="000000"/>
            </w:tcBorders>
          </w:tcPr>
          <w:p>
            <w:pPr/>
          </w:p>
        </w:tc>
        <w:tc>
          <w:tcPr>
            <w:tcW w:w="992" w:type="dxa"/>
            <w:vMerge/>
            <w:tcBorders>
              <w:left w:val="single" w:sz="6" w:space="0" w:color="000000"/>
              <w:bottom w:val="single" w:sz="6" w:space="0" w:color="000000"/>
              <w:right w:val="single" w:sz="6" w:space="0" w:color="000000"/>
            </w:tcBorders>
          </w:tcPr>
          <w:p>
            <w:pPr/>
          </w:p>
        </w:tc>
        <w:tc>
          <w:tcPr>
            <w:tcW w:w="991" w:type="dxa"/>
            <w:vMerge/>
            <w:tcBorders>
              <w:left w:val="single" w:sz="6" w:space="0" w:color="000000"/>
              <w:bottom w:val="single" w:sz="6" w:space="0" w:color="000000"/>
              <w:right w:val="single" w:sz="6" w:space="0" w:color="000000"/>
            </w:tcBorders>
          </w:tcPr>
          <w:p>
            <w:pPr/>
          </w:p>
        </w:tc>
        <w:tc>
          <w:tcPr>
            <w:tcW w:w="2658" w:type="dxa"/>
            <w:vMerge/>
            <w:tcBorders>
              <w:left w:val="single" w:sz="6" w:space="0" w:color="000000"/>
              <w:bottom w:val="single" w:sz="6" w:space="0" w:color="000000"/>
              <w:right w:val="single" w:sz="12" w:space="0" w:color="000000"/>
            </w:tcBorders>
          </w:tcPr>
          <w:p>
            <w:pPr/>
          </w:p>
        </w:tc>
      </w:tr>
      <w:tr>
        <w:trPr>
          <w:trHeight w:val="719" w:hRule="exact"/>
        </w:trPr>
        <w:tc>
          <w:tcPr>
            <w:tcW w:w="1101" w:type="dxa"/>
            <w:tcBorders>
              <w:top w:val="single" w:sz="6" w:space="0" w:color="000000"/>
              <w:left w:val="single" w:sz="12" w:space="0" w:color="000000"/>
              <w:bottom w:val="single" w:sz="6" w:space="0" w:color="000000"/>
              <w:right w:val="single" w:sz="6" w:space="0" w:color="000000"/>
            </w:tcBorders>
          </w:tcPr>
          <w:p>
            <w:pPr>
              <w:pStyle w:val="TableParagraph"/>
              <w:spacing w:line="319" w:lineRule="auto" w:before="51"/>
              <w:ind w:left="14" w:right="162"/>
              <w:jc w:val="left"/>
              <w:rPr>
                <w:rFonts w:ascii="宋体" w:hAnsi="宋体" w:cs="宋体" w:eastAsia="宋体" w:hint="default"/>
                <w:sz w:val="18"/>
                <w:szCs w:val="18"/>
              </w:rPr>
            </w:pPr>
            <w:r>
              <w:rPr>
                <w:rFonts w:ascii="宋体" w:hAnsi="宋体" w:cs="宋体" w:eastAsia="宋体" w:hint="default"/>
                <w:sz w:val="18"/>
                <w:szCs w:val="18"/>
              </w:rPr>
              <w:t>其他流动资 产</w:t>
            </w:r>
          </w:p>
        </w:tc>
        <w:tc>
          <w:tcPr>
            <w:tcW w:w="14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260,268,268.23</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2.16%</w:t>
            </w:r>
          </w:p>
        </w:tc>
        <w:tc>
          <w:tcPr>
            <w:tcW w:w="13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45,426,685.61</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0.72%</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1.44%</w:t>
            </w:r>
          </w:p>
        </w:tc>
        <w:tc>
          <w:tcPr>
            <w:tcW w:w="2658" w:type="dxa"/>
            <w:tcBorders>
              <w:top w:val="single" w:sz="6" w:space="0" w:color="000000"/>
              <w:left w:val="single" w:sz="6" w:space="0" w:color="000000"/>
              <w:bottom w:val="single" w:sz="6" w:space="0" w:color="000000"/>
              <w:right w:val="single" w:sz="12" w:space="0" w:color="000000"/>
            </w:tcBorders>
          </w:tcPr>
          <w:p>
            <w:pPr>
              <w:pStyle w:val="TableParagraph"/>
              <w:spacing w:line="319" w:lineRule="auto" w:before="51"/>
              <w:ind w:left="21" w:right="93"/>
              <w:jc w:val="left"/>
              <w:rPr>
                <w:rFonts w:ascii="宋体" w:hAnsi="宋体" w:cs="宋体" w:eastAsia="宋体" w:hint="default"/>
                <w:sz w:val="18"/>
                <w:szCs w:val="18"/>
              </w:rPr>
            </w:pPr>
            <w:r>
              <w:rPr>
                <w:rFonts w:ascii="宋体" w:hAnsi="宋体" w:cs="宋体" w:eastAsia="宋体" w:hint="default"/>
                <w:sz w:val="18"/>
                <w:szCs w:val="18"/>
              </w:rPr>
              <w:t>其他流动资产比重上升，主要是 过桥贷款及预缴税金增加所致</w:t>
            </w:r>
          </w:p>
        </w:tc>
      </w:tr>
      <w:tr>
        <w:trPr>
          <w:trHeight w:val="1031" w:hRule="exact"/>
        </w:trPr>
        <w:tc>
          <w:tcPr>
            <w:tcW w:w="11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4" w:right="162"/>
              <w:jc w:val="left"/>
              <w:rPr>
                <w:rFonts w:ascii="宋体" w:hAnsi="宋体" w:cs="宋体" w:eastAsia="宋体" w:hint="default"/>
                <w:sz w:val="18"/>
                <w:szCs w:val="18"/>
              </w:rPr>
            </w:pPr>
            <w:r>
              <w:rPr>
                <w:rFonts w:ascii="宋体" w:hAnsi="宋体" w:cs="宋体" w:eastAsia="宋体" w:hint="default"/>
                <w:sz w:val="18"/>
                <w:szCs w:val="18"/>
              </w:rPr>
              <w:t>可供出售金 融资产</w:t>
            </w:r>
          </w:p>
        </w:tc>
        <w:tc>
          <w:tcPr>
            <w:tcW w:w="14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5,707,402,632.80</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47.32%</w:t>
            </w:r>
          </w:p>
        </w:tc>
        <w:tc>
          <w:tcPr>
            <w:tcW w:w="13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1,855,783,846.56</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29.43%</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17.89%</w:t>
            </w:r>
          </w:p>
        </w:tc>
        <w:tc>
          <w:tcPr>
            <w:tcW w:w="2658" w:type="dxa"/>
            <w:tcBorders>
              <w:top w:val="single" w:sz="6" w:space="0" w:color="000000"/>
              <w:left w:val="single" w:sz="6" w:space="0" w:color="000000"/>
              <w:bottom w:val="single" w:sz="6" w:space="0" w:color="000000"/>
              <w:right w:val="single" w:sz="12" w:space="0" w:color="000000"/>
            </w:tcBorders>
          </w:tcPr>
          <w:p>
            <w:pPr>
              <w:pStyle w:val="TableParagraph"/>
              <w:spacing w:line="309" w:lineRule="auto" w:before="51"/>
              <w:ind w:left="21" w:right="53"/>
              <w:jc w:val="both"/>
              <w:rPr>
                <w:rFonts w:ascii="宋体" w:hAnsi="宋体" w:cs="宋体" w:eastAsia="宋体" w:hint="default"/>
                <w:sz w:val="18"/>
                <w:szCs w:val="18"/>
              </w:rPr>
            </w:pPr>
            <w:r>
              <w:rPr>
                <w:rFonts w:ascii="宋体" w:hAnsi="宋体" w:cs="宋体" w:eastAsia="宋体" w:hint="default"/>
                <w:sz w:val="18"/>
                <w:szCs w:val="18"/>
              </w:rPr>
              <w:t>可供出售金融资产比重上升，主 要是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qudian</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上市改为按照公允价 值核算所致</w:t>
            </w:r>
          </w:p>
        </w:tc>
      </w:tr>
      <w:tr>
        <w:trPr>
          <w:trHeight w:val="719" w:hRule="exact"/>
        </w:trPr>
        <w:tc>
          <w:tcPr>
            <w:tcW w:w="11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4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1,534,878,489.90</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12.73%</w:t>
            </w:r>
          </w:p>
        </w:tc>
        <w:tc>
          <w:tcPr>
            <w:tcW w:w="13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578,535,838.14</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9.17%</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3.56%</w:t>
            </w:r>
          </w:p>
        </w:tc>
        <w:tc>
          <w:tcPr>
            <w:tcW w:w="2658"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2"/>
              <w:ind w:left="21" w:right="93"/>
              <w:jc w:val="left"/>
              <w:rPr>
                <w:rFonts w:ascii="宋体" w:hAnsi="宋体" w:cs="宋体" w:eastAsia="宋体" w:hint="default"/>
                <w:sz w:val="18"/>
                <w:szCs w:val="18"/>
              </w:rPr>
            </w:pPr>
            <w:r>
              <w:rPr>
                <w:rFonts w:ascii="宋体" w:hAnsi="宋体" w:cs="宋体" w:eastAsia="宋体" w:hint="default"/>
                <w:sz w:val="18"/>
                <w:szCs w:val="18"/>
              </w:rPr>
              <w:t>商誉比重上升，主要是闲徕互娱 纳入合并范围所致</w:t>
            </w:r>
          </w:p>
        </w:tc>
      </w:tr>
      <w:tr>
        <w:trPr>
          <w:trHeight w:val="1031" w:hRule="exact"/>
        </w:trPr>
        <w:tc>
          <w:tcPr>
            <w:tcW w:w="11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4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147,118,848.63</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1.22%</w:t>
            </w:r>
          </w:p>
        </w:tc>
        <w:tc>
          <w:tcPr>
            <w:tcW w:w="13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645,043,746.34</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10.23%</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-9.01%</w:t>
            </w:r>
          </w:p>
        </w:tc>
        <w:tc>
          <w:tcPr>
            <w:tcW w:w="2658"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2"/>
              <w:ind w:left="21" w:right="93"/>
              <w:jc w:val="both"/>
              <w:rPr>
                <w:rFonts w:ascii="宋体" w:hAnsi="宋体" w:cs="宋体" w:eastAsia="宋体" w:hint="default"/>
                <w:sz w:val="18"/>
                <w:szCs w:val="18"/>
              </w:rPr>
            </w:pPr>
            <w:r>
              <w:rPr>
                <w:rFonts w:ascii="宋体" w:hAnsi="宋体" w:cs="宋体" w:eastAsia="宋体" w:hint="default"/>
                <w:sz w:val="18"/>
                <w:szCs w:val="18"/>
              </w:rPr>
              <w:t>其他应付款比重下降，主要是股 权激励未达标注销减少回购义务 以及偿还公司间借款所致</w:t>
            </w:r>
          </w:p>
        </w:tc>
      </w:tr>
      <w:tr>
        <w:trPr>
          <w:trHeight w:val="1032" w:hRule="exact"/>
        </w:trPr>
        <w:tc>
          <w:tcPr>
            <w:tcW w:w="11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4"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4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962,777,761.81</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7.98%</w:t>
            </w:r>
          </w:p>
        </w:tc>
        <w:tc>
          <w:tcPr>
            <w:tcW w:w="13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719,641,668.05</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11.41%</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-3.43%</w:t>
            </w:r>
          </w:p>
        </w:tc>
        <w:tc>
          <w:tcPr>
            <w:tcW w:w="2658" w:type="dxa"/>
            <w:tcBorders>
              <w:top w:val="single" w:sz="6" w:space="0" w:color="000000"/>
              <w:left w:val="single" w:sz="6" w:space="0" w:color="000000"/>
              <w:bottom w:val="single" w:sz="6" w:space="0" w:color="000000"/>
              <w:right w:val="single" w:sz="12" w:space="0" w:color="000000"/>
            </w:tcBorders>
          </w:tcPr>
          <w:p>
            <w:pPr>
              <w:pStyle w:val="TableParagraph"/>
              <w:spacing w:line="309" w:lineRule="auto" w:before="52"/>
              <w:ind w:left="21" w:right="53"/>
              <w:jc w:val="both"/>
              <w:rPr>
                <w:rFonts w:ascii="宋体" w:hAnsi="宋体" w:cs="宋体" w:eastAsia="宋体" w:hint="default"/>
                <w:sz w:val="18"/>
                <w:szCs w:val="18"/>
              </w:rPr>
            </w:pPr>
            <w:r>
              <w:rPr>
                <w:rFonts w:ascii="宋体" w:hAnsi="宋体" w:cs="宋体" w:eastAsia="宋体" w:hint="default"/>
                <w:sz w:val="18"/>
                <w:szCs w:val="18"/>
              </w:rPr>
              <w:t>应付债券比重下降，主要是发行 公司债以及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qudian</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上市改为按照 公允价值核算所致</w:t>
            </w:r>
          </w:p>
        </w:tc>
      </w:tr>
      <w:tr>
        <w:trPr>
          <w:trHeight w:val="727" w:hRule="exact"/>
        </w:trPr>
        <w:tc>
          <w:tcPr>
            <w:tcW w:w="110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43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167,071,215.51</w:t>
            </w:r>
          </w:p>
        </w:tc>
        <w:tc>
          <w:tcPr>
            <w:tcW w:w="106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1.39%</w:t>
            </w:r>
          </w:p>
        </w:tc>
        <w:tc>
          <w:tcPr>
            <w:tcW w:w="1334" w:type="dxa"/>
            <w:tcBorders>
              <w:top w:val="single" w:sz="6" w:space="0" w:color="000000"/>
              <w:left w:val="single" w:sz="6" w:space="0" w:color="000000"/>
              <w:bottom w:val="single" w:sz="12" w:space="0" w:color="000000"/>
              <w:right w:val="single" w:sz="6" w:space="0" w:color="000000"/>
            </w:tcBorders>
          </w:tcPr>
          <w:p>
            <w:pPr/>
          </w:p>
        </w:tc>
        <w:tc>
          <w:tcPr>
            <w:tcW w:w="9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0.00%</w:t>
            </w:r>
          </w:p>
        </w:tc>
        <w:tc>
          <w:tcPr>
            <w:tcW w:w="99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1.39%</w:t>
            </w:r>
          </w:p>
        </w:tc>
        <w:tc>
          <w:tcPr>
            <w:tcW w:w="2658" w:type="dxa"/>
            <w:tcBorders>
              <w:top w:val="single" w:sz="6" w:space="0" w:color="000000"/>
              <w:left w:val="single" w:sz="6" w:space="0" w:color="000000"/>
              <w:bottom w:val="single" w:sz="12" w:space="0" w:color="000000"/>
              <w:right w:val="single" w:sz="12" w:space="0" w:color="000000"/>
            </w:tcBorders>
          </w:tcPr>
          <w:p>
            <w:pPr>
              <w:pStyle w:val="TableParagraph"/>
              <w:spacing w:line="316" w:lineRule="auto" w:before="51"/>
              <w:ind w:left="21" w:right="93"/>
              <w:jc w:val="left"/>
              <w:rPr>
                <w:rFonts w:ascii="宋体" w:hAnsi="宋体" w:cs="宋体" w:eastAsia="宋体" w:hint="default"/>
                <w:sz w:val="18"/>
                <w:szCs w:val="18"/>
              </w:rPr>
            </w:pPr>
            <w:r>
              <w:rPr>
                <w:rFonts w:ascii="宋体" w:hAnsi="宋体" w:cs="宋体" w:eastAsia="宋体" w:hint="default"/>
                <w:sz w:val="18"/>
                <w:szCs w:val="18"/>
              </w:rPr>
              <w:t>长期应付款比重上升，主要是新 增融资租赁业务所致</w:t>
            </w:r>
          </w:p>
        </w:tc>
      </w:tr>
    </w:tbl>
    <w:p>
      <w:pPr>
        <w:spacing w:after="0" w:line="316" w:lineRule="auto"/>
        <w:jc w:val="left"/>
        <w:rPr>
          <w:rFonts w:ascii="宋体" w:hAnsi="宋体" w:cs="宋体" w:eastAsia="宋体" w:hint="default"/>
          <w:sz w:val="18"/>
          <w:szCs w:val="18"/>
        </w:rPr>
        <w:sectPr>
          <w:pgSz w:w="11910" w:h="16840"/>
          <w:pgMar w:header="74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51" w:type="dxa"/>
        <w:tblLayout w:type="fixed"/>
        <w:tblCellMar>
          <w:top w:w="0" w:type="dxa"/>
          <w:left w:w="0" w:type="dxa"/>
          <w:bottom w:w="0" w:type="dxa"/>
          <w:right w:w="0" w:type="dxa"/>
        </w:tblCellMar>
        <w:tblLook w:val="01E0"/>
      </w:tblPr>
      <w:tblGrid>
        <w:gridCol w:w="1101"/>
        <w:gridCol w:w="1432"/>
        <w:gridCol w:w="1063"/>
        <w:gridCol w:w="1334"/>
        <w:gridCol w:w="992"/>
        <w:gridCol w:w="991"/>
        <w:gridCol w:w="2658"/>
      </w:tblGrid>
      <w:tr>
        <w:trPr>
          <w:trHeight w:val="1039" w:hRule="exact"/>
        </w:trPr>
        <w:tc>
          <w:tcPr>
            <w:tcW w:w="110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4"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43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1,409,096,461.24</w:t>
            </w:r>
          </w:p>
        </w:tc>
        <w:tc>
          <w:tcPr>
            <w:tcW w:w="106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11.68%</w:t>
            </w:r>
          </w:p>
        </w:tc>
        <w:tc>
          <w:tcPr>
            <w:tcW w:w="133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952,037,214.10</w:t>
            </w:r>
          </w:p>
        </w:tc>
        <w:tc>
          <w:tcPr>
            <w:tcW w:w="9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15.10%</w:t>
            </w:r>
          </w:p>
        </w:tc>
        <w:tc>
          <w:tcPr>
            <w:tcW w:w="99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-3.42%</w:t>
            </w:r>
          </w:p>
        </w:tc>
        <w:tc>
          <w:tcPr>
            <w:tcW w:w="2658" w:type="dxa"/>
            <w:tcBorders>
              <w:top w:val="single" w:sz="12" w:space="0" w:color="000000"/>
              <w:left w:val="single" w:sz="6" w:space="0" w:color="000000"/>
              <w:bottom w:val="single" w:sz="6" w:space="0" w:color="000000"/>
              <w:right w:val="single" w:sz="12" w:space="0" w:color="000000"/>
            </w:tcBorders>
          </w:tcPr>
          <w:p>
            <w:pPr>
              <w:pStyle w:val="TableParagraph"/>
              <w:spacing w:line="309" w:lineRule="auto" w:before="51"/>
              <w:ind w:left="21" w:right="53"/>
              <w:jc w:val="both"/>
              <w:rPr>
                <w:rFonts w:ascii="宋体" w:hAnsi="宋体" w:cs="宋体" w:eastAsia="宋体" w:hint="default"/>
                <w:sz w:val="18"/>
                <w:szCs w:val="18"/>
              </w:rPr>
            </w:pPr>
            <w:r>
              <w:rPr>
                <w:rFonts w:ascii="宋体" w:hAnsi="宋体" w:cs="宋体" w:eastAsia="宋体" w:hint="default"/>
                <w:sz w:val="18"/>
                <w:szCs w:val="18"/>
              </w:rPr>
              <w:t>资本公积比重下降，主要是非公 开发行股票以及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qudian</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上市改为 按照公允价值核算所致</w:t>
            </w:r>
          </w:p>
        </w:tc>
      </w:tr>
      <w:tr>
        <w:trPr>
          <w:trHeight w:val="1039" w:hRule="exact"/>
        </w:trPr>
        <w:tc>
          <w:tcPr>
            <w:tcW w:w="110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4" w:right="162"/>
              <w:jc w:val="left"/>
              <w:rPr>
                <w:rFonts w:ascii="宋体" w:hAnsi="宋体" w:cs="宋体" w:eastAsia="宋体" w:hint="default"/>
                <w:sz w:val="18"/>
                <w:szCs w:val="18"/>
              </w:rPr>
            </w:pPr>
            <w:r>
              <w:rPr>
                <w:rFonts w:ascii="宋体" w:hAnsi="宋体" w:cs="宋体" w:eastAsia="宋体" w:hint="default"/>
                <w:sz w:val="18"/>
                <w:szCs w:val="18"/>
              </w:rPr>
              <w:t>其他综合收 益</w:t>
            </w:r>
          </w:p>
        </w:tc>
        <w:tc>
          <w:tcPr>
            <w:tcW w:w="143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4,005,195,181.77</w:t>
            </w:r>
          </w:p>
        </w:tc>
        <w:tc>
          <w:tcPr>
            <w:tcW w:w="106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33.21%</w:t>
            </w:r>
          </w:p>
        </w:tc>
        <w:tc>
          <w:tcPr>
            <w:tcW w:w="13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-62,493,681.41</w:t>
            </w:r>
          </w:p>
        </w:tc>
        <w:tc>
          <w:tcPr>
            <w:tcW w:w="9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-0.99%</w:t>
            </w:r>
          </w:p>
        </w:tc>
        <w:tc>
          <w:tcPr>
            <w:tcW w:w="99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34.20%</w:t>
            </w:r>
          </w:p>
        </w:tc>
        <w:tc>
          <w:tcPr>
            <w:tcW w:w="2658" w:type="dxa"/>
            <w:tcBorders>
              <w:top w:val="single" w:sz="6" w:space="0" w:color="000000"/>
              <w:left w:val="single" w:sz="6" w:space="0" w:color="000000"/>
              <w:bottom w:val="single" w:sz="12" w:space="0" w:color="000000"/>
              <w:right w:val="single" w:sz="12" w:space="0" w:color="000000"/>
            </w:tcBorders>
          </w:tcPr>
          <w:p>
            <w:pPr>
              <w:pStyle w:val="TableParagraph"/>
              <w:spacing w:line="309" w:lineRule="auto" w:before="51"/>
              <w:ind w:left="21" w:right="93"/>
              <w:jc w:val="both"/>
              <w:rPr>
                <w:rFonts w:ascii="宋体" w:hAnsi="宋体" w:cs="宋体" w:eastAsia="宋体" w:hint="default"/>
                <w:sz w:val="18"/>
                <w:szCs w:val="18"/>
              </w:rPr>
            </w:pPr>
            <w:r>
              <w:rPr>
                <w:rFonts w:ascii="宋体" w:hAnsi="宋体" w:cs="宋体" w:eastAsia="宋体" w:hint="default"/>
                <w:sz w:val="18"/>
                <w:szCs w:val="18"/>
              </w:rPr>
              <w:t>其他综合收益比重上升，主要是 </w:t>
            </w:r>
            <w:r>
              <w:rPr>
                <w:rFonts w:ascii="Times New Roman" w:hAnsi="Times New Roman" w:cs="Times New Roman" w:eastAsia="Times New Roman" w:hint="default"/>
                <w:sz w:val="18"/>
                <w:szCs w:val="18"/>
              </w:rPr>
              <w:t>qudian</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上市改为按照公允价值核 算所致</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2、以公允价值计量的资产和负债" w:id="42"/>
      <w:bookmarkEnd w:id="42"/>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3"/>
        <w:rPr>
          <w:rFonts w:ascii="宋体" w:hAnsi="宋体" w:cs="宋体" w:eastAsia="宋体" w:hint="default"/>
          <w:b/>
          <w:bCs/>
          <w:sz w:val="23"/>
          <w:szCs w:val="23"/>
        </w:rPr>
      </w:pPr>
    </w:p>
    <w:p>
      <w:pPr>
        <w:spacing w:before="44"/>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60" w:type="dxa"/>
        <w:tblLayout w:type="fixed"/>
        <w:tblCellMar>
          <w:top w:w="0" w:type="dxa"/>
          <w:left w:w="0" w:type="dxa"/>
          <w:bottom w:w="0" w:type="dxa"/>
          <w:right w:w="0" w:type="dxa"/>
        </w:tblCellMar>
        <w:tblLook w:val="01E0"/>
      </w:tblPr>
      <w:tblGrid>
        <w:gridCol w:w="1229"/>
        <w:gridCol w:w="1145"/>
        <w:gridCol w:w="987"/>
        <w:gridCol w:w="1419"/>
        <w:gridCol w:w="845"/>
        <w:gridCol w:w="1281"/>
        <w:gridCol w:w="1277"/>
        <w:gridCol w:w="1378"/>
      </w:tblGrid>
      <w:tr>
        <w:trPr>
          <w:trHeight w:val="171" w:hRule="exact"/>
        </w:trPr>
        <w:tc>
          <w:tcPr>
            <w:tcW w:w="1229" w:type="dxa"/>
            <w:tcBorders>
              <w:top w:val="single" w:sz="12" w:space="0" w:color="000000"/>
              <w:left w:val="single" w:sz="12" w:space="0" w:color="000000"/>
              <w:bottom w:val="nil" w:sz="6" w:space="0" w:color="auto"/>
              <w:right w:val="single" w:sz="6" w:space="0" w:color="000000"/>
            </w:tcBorders>
            <w:shd w:val="clear" w:color="auto" w:fill="D2D2D2"/>
          </w:tcPr>
          <w:p>
            <w:pPr/>
          </w:p>
        </w:tc>
        <w:tc>
          <w:tcPr>
            <w:tcW w:w="1145" w:type="dxa"/>
            <w:tcBorders>
              <w:top w:val="single" w:sz="12" w:space="0" w:color="000000"/>
              <w:left w:val="single" w:sz="6" w:space="0" w:color="000000"/>
              <w:bottom w:val="nil" w:sz="6" w:space="0" w:color="auto"/>
              <w:right w:val="single" w:sz="6" w:space="0" w:color="000000"/>
            </w:tcBorders>
            <w:shd w:val="clear" w:color="auto" w:fill="D2D2D2"/>
          </w:tcPr>
          <w:p>
            <w:pPr/>
          </w:p>
        </w:tc>
        <w:tc>
          <w:tcPr>
            <w:tcW w:w="987" w:type="dxa"/>
            <w:vMerge w:val="restart"/>
            <w:tcBorders>
              <w:top w:val="single" w:sz="12" w:space="0" w:color="000000"/>
              <w:left w:val="single" w:sz="6" w:space="0" w:color="000000"/>
              <w:right w:val="single" w:sz="6" w:space="0" w:color="000000"/>
            </w:tcBorders>
            <w:shd w:val="clear" w:color="auto" w:fill="D2D2D2"/>
          </w:tcPr>
          <w:p>
            <w:pPr>
              <w:pStyle w:val="TableParagraph"/>
              <w:spacing w:line="316" w:lineRule="auto" w:before="51"/>
              <w:ind w:left="34" w:right="36"/>
              <w:jc w:val="left"/>
              <w:rPr>
                <w:rFonts w:ascii="宋体" w:hAnsi="宋体" w:cs="宋体" w:eastAsia="宋体" w:hint="default"/>
                <w:sz w:val="18"/>
                <w:szCs w:val="18"/>
              </w:rPr>
            </w:pPr>
            <w:r>
              <w:rPr>
                <w:rFonts w:ascii="宋体" w:hAnsi="宋体" w:cs="宋体" w:eastAsia="宋体" w:hint="default"/>
                <w:sz w:val="18"/>
                <w:szCs w:val="18"/>
              </w:rPr>
              <w:t>本期公允价 值变动损益</w:t>
            </w:r>
          </w:p>
        </w:tc>
        <w:tc>
          <w:tcPr>
            <w:tcW w:w="1419" w:type="dxa"/>
            <w:vMerge w:val="restart"/>
            <w:tcBorders>
              <w:top w:val="single" w:sz="12" w:space="0" w:color="000000"/>
              <w:left w:val="single" w:sz="6" w:space="0" w:color="000000"/>
              <w:right w:val="single" w:sz="6" w:space="0" w:color="000000"/>
            </w:tcBorders>
            <w:shd w:val="clear" w:color="auto" w:fill="D2D2D2"/>
          </w:tcPr>
          <w:p>
            <w:pPr>
              <w:pStyle w:val="TableParagraph"/>
              <w:spacing w:line="316" w:lineRule="auto" w:before="51"/>
              <w:ind w:left="160" w:right="71" w:hanging="90"/>
              <w:jc w:val="left"/>
              <w:rPr>
                <w:rFonts w:ascii="宋体" w:hAnsi="宋体" w:cs="宋体" w:eastAsia="宋体" w:hint="default"/>
                <w:sz w:val="18"/>
                <w:szCs w:val="18"/>
              </w:rPr>
            </w:pPr>
            <w:r>
              <w:rPr>
                <w:rFonts w:ascii="宋体" w:hAnsi="宋体" w:cs="宋体" w:eastAsia="宋体" w:hint="default"/>
                <w:sz w:val="18"/>
                <w:szCs w:val="18"/>
              </w:rPr>
              <w:t>计入权益的累计 公允价值变动</w:t>
            </w:r>
          </w:p>
        </w:tc>
        <w:tc>
          <w:tcPr>
            <w:tcW w:w="845" w:type="dxa"/>
            <w:vMerge w:val="restart"/>
            <w:tcBorders>
              <w:top w:val="single" w:sz="12" w:space="0" w:color="000000"/>
              <w:left w:val="single" w:sz="6" w:space="0" w:color="000000"/>
              <w:right w:val="single" w:sz="6" w:space="0" w:color="000000"/>
            </w:tcBorders>
            <w:shd w:val="clear" w:color="auto" w:fill="D2D2D2"/>
          </w:tcPr>
          <w:p>
            <w:pPr>
              <w:pStyle w:val="TableParagraph"/>
              <w:spacing w:line="316" w:lineRule="auto" w:before="51"/>
              <w:ind w:left="147" w:right="50" w:hanging="90"/>
              <w:jc w:val="left"/>
              <w:rPr>
                <w:rFonts w:ascii="宋体" w:hAnsi="宋体" w:cs="宋体" w:eastAsia="宋体" w:hint="default"/>
                <w:sz w:val="18"/>
                <w:szCs w:val="18"/>
              </w:rPr>
            </w:pPr>
            <w:r>
              <w:rPr>
                <w:rFonts w:ascii="宋体" w:hAnsi="宋体" w:cs="宋体" w:eastAsia="宋体" w:hint="default"/>
                <w:sz w:val="18"/>
                <w:szCs w:val="18"/>
              </w:rPr>
              <w:t>本期计提 的减值</w:t>
            </w:r>
          </w:p>
        </w:tc>
        <w:tc>
          <w:tcPr>
            <w:tcW w:w="1281" w:type="dxa"/>
            <w:tcBorders>
              <w:top w:val="single" w:sz="12" w:space="0" w:color="000000"/>
              <w:left w:val="single" w:sz="6" w:space="0" w:color="000000"/>
              <w:bottom w:val="nil" w:sz="6" w:space="0" w:color="auto"/>
              <w:right w:val="single" w:sz="6" w:space="0" w:color="000000"/>
            </w:tcBorders>
            <w:shd w:val="clear" w:color="auto" w:fill="D2D2D2"/>
          </w:tcPr>
          <w:p>
            <w:pPr/>
          </w:p>
        </w:tc>
        <w:tc>
          <w:tcPr>
            <w:tcW w:w="1277" w:type="dxa"/>
            <w:tcBorders>
              <w:top w:val="single" w:sz="12" w:space="0" w:color="000000"/>
              <w:left w:val="single" w:sz="6" w:space="0" w:color="000000"/>
              <w:bottom w:val="nil" w:sz="6" w:space="0" w:color="auto"/>
              <w:right w:val="single" w:sz="6" w:space="0" w:color="000000"/>
            </w:tcBorders>
            <w:shd w:val="clear" w:color="auto" w:fill="D2D2D2"/>
          </w:tcPr>
          <w:p>
            <w:pPr/>
          </w:p>
        </w:tc>
        <w:tc>
          <w:tcPr>
            <w:tcW w:w="1378" w:type="dxa"/>
            <w:tcBorders>
              <w:top w:val="single" w:sz="12" w:space="0" w:color="000000"/>
              <w:left w:val="single" w:sz="6" w:space="0" w:color="000000"/>
              <w:bottom w:val="nil" w:sz="6" w:space="0" w:color="auto"/>
              <w:right w:val="single" w:sz="12" w:space="0" w:color="000000"/>
            </w:tcBorders>
            <w:shd w:val="clear" w:color="auto" w:fill="D2D2D2"/>
          </w:tcPr>
          <w:p>
            <w:pPr/>
          </w:p>
        </w:tc>
      </w:tr>
      <w:tr>
        <w:trPr>
          <w:trHeight w:val="391" w:hRule="exact"/>
        </w:trPr>
        <w:tc>
          <w:tcPr>
            <w:tcW w:w="1229"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right="8"/>
              <w:jc w:val="center"/>
              <w:rPr>
                <w:rFonts w:ascii="宋体" w:hAnsi="宋体" w:cs="宋体" w:eastAsia="宋体" w:hint="default"/>
                <w:sz w:val="18"/>
                <w:szCs w:val="18"/>
              </w:rPr>
            </w:pPr>
            <w:r>
              <w:rPr>
                <w:rFonts w:ascii="宋体" w:hAnsi="宋体" w:cs="宋体" w:eastAsia="宋体" w:hint="default"/>
                <w:sz w:val="18"/>
                <w:szCs w:val="18"/>
              </w:rPr>
              <w:t>项目</w:t>
            </w:r>
          </w:p>
        </w:tc>
        <w:tc>
          <w:tcPr>
            <w:tcW w:w="1145" w:type="dxa"/>
            <w:tcBorders>
              <w:top w:val="nil" w:sz="6" w:space="0" w:color="auto"/>
              <w:left w:val="single" w:sz="6" w:space="0" w:color="000000"/>
              <w:bottom w:val="nil" w:sz="6" w:space="0" w:color="auto"/>
              <w:right w:val="single" w:sz="6" w:space="0" w:color="000000"/>
            </w:tcBorders>
            <w:shd w:val="clear" w:color="auto" w:fill="D2D2D2"/>
          </w:tcPr>
          <w:p>
            <w:pPr>
              <w:pStyle w:val="TableParagraph"/>
              <w:spacing w:line="240" w:lineRule="auto" w:before="51"/>
              <w:ind w:left="295"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987" w:type="dxa"/>
            <w:vMerge/>
            <w:tcBorders>
              <w:left w:val="single" w:sz="6" w:space="0" w:color="000000"/>
              <w:right w:val="single" w:sz="6" w:space="0" w:color="000000"/>
            </w:tcBorders>
            <w:shd w:val="clear" w:color="auto" w:fill="D2D2D2"/>
          </w:tcPr>
          <w:p>
            <w:pPr/>
          </w:p>
        </w:tc>
        <w:tc>
          <w:tcPr>
            <w:tcW w:w="1419" w:type="dxa"/>
            <w:vMerge/>
            <w:tcBorders>
              <w:left w:val="single" w:sz="6" w:space="0" w:color="000000"/>
              <w:right w:val="single" w:sz="6" w:space="0" w:color="000000"/>
            </w:tcBorders>
            <w:shd w:val="clear" w:color="auto" w:fill="D2D2D2"/>
          </w:tcPr>
          <w:p>
            <w:pPr/>
          </w:p>
        </w:tc>
        <w:tc>
          <w:tcPr>
            <w:tcW w:w="845" w:type="dxa"/>
            <w:vMerge/>
            <w:tcBorders>
              <w:left w:val="single" w:sz="6" w:space="0" w:color="000000"/>
              <w:right w:val="single" w:sz="6" w:space="0" w:color="000000"/>
            </w:tcBorders>
            <w:shd w:val="clear" w:color="auto" w:fill="D2D2D2"/>
          </w:tcPr>
          <w:p>
            <w:pPr/>
          </w:p>
        </w:tc>
        <w:tc>
          <w:tcPr>
            <w:tcW w:w="1281" w:type="dxa"/>
            <w:tcBorders>
              <w:top w:val="nil" w:sz="6" w:space="0" w:color="auto"/>
              <w:left w:val="single" w:sz="6" w:space="0" w:color="000000"/>
              <w:bottom w:val="nil" w:sz="6" w:space="0" w:color="auto"/>
              <w:right w:val="single" w:sz="6" w:space="0" w:color="000000"/>
            </w:tcBorders>
            <w:shd w:val="clear" w:color="auto" w:fill="D2D2D2"/>
          </w:tcPr>
          <w:p>
            <w:pPr>
              <w:pStyle w:val="TableParagraph"/>
              <w:spacing w:line="240" w:lineRule="auto" w:before="51"/>
              <w:ind w:left="95" w:right="0"/>
              <w:jc w:val="left"/>
              <w:rPr>
                <w:rFonts w:ascii="宋体" w:hAnsi="宋体" w:cs="宋体" w:eastAsia="宋体" w:hint="default"/>
                <w:sz w:val="18"/>
                <w:szCs w:val="18"/>
              </w:rPr>
            </w:pPr>
            <w:r>
              <w:rPr>
                <w:rFonts w:ascii="宋体" w:hAnsi="宋体" w:cs="宋体" w:eastAsia="宋体" w:hint="default"/>
                <w:sz w:val="18"/>
                <w:szCs w:val="18"/>
              </w:rPr>
              <w:t>本期购买金额</w:t>
            </w:r>
          </w:p>
        </w:tc>
        <w:tc>
          <w:tcPr>
            <w:tcW w:w="1277" w:type="dxa"/>
            <w:tcBorders>
              <w:top w:val="nil" w:sz="6" w:space="0" w:color="auto"/>
              <w:left w:val="single" w:sz="6" w:space="0" w:color="000000"/>
              <w:bottom w:val="nil" w:sz="6" w:space="0" w:color="auto"/>
              <w:right w:val="single" w:sz="6" w:space="0" w:color="000000"/>
            </w:tcBorders>
            <w:shd w:val="clear" w:color="auto" w:fill="D2D2D2"/>
          </w:tcPr>
          <w:p>
            <w:pPr>
              <w:pStyle w:val="TableParagraph"/>
              <w:spacing w:line="240" w:lineRule="auto" w:before="51"/>
              <w:ind w:left="91" w:right="0"/>
              <w:jc w:val="left"/>
              <w:rPr>
                <w:rFonts w:ascii="宋体" w:hAnsi="宋体" w:cs="宋体" w:eastAsia="宋体" w:hint="default"/>
                <w:sz w:val="18"/>
                <w:szCs w:val="18"/>
              </w:rPr>
            </w:pPr>
            <w:r>
              <w:rPr>
                <w:rFonts w:ascii="宋体" w:hAnsi="宋体" w:cs="宋体" w:eastAsia="宋体" w:hint="default"/>
                <w:sz w:val="18"/>
                <w:szCs w:val="18"/>
              </w:rPr>
              <w:t>本期出售金额</w:t>
            </w:r>
          </w:p>
        </w:tc>
        <w:tc>
          <w:tcPr>
            <w:tcW w:w="1378" w:type="dxa"/>
            <w:tcBorders>
              <w:top w:val="nil" w:sz="6" w:space="0" w:color="auto"/>
              <w:left w:val="single" w:sz="6" w:space="0" w:color="000000"/>
              <w:bottom w:val="nil" w:sz="6" w:space="0" w:color="auto"/>
              <w:right w:val="single" w:sz="12" w:space="0" w:color="000000"/>
            </w:tcBorders>
            <w:shd w:val="clear" w:color="auto" w:fill="D2D2D2"/>
          </w:tcPr>
          <w:p>
            <w:pPr>
              <w:pStyle w:val="TableParagraph"/>
              <w:spacing w:line="240" w:lineRule="auto" w:before="51"/>
              <w:ind w:left="411"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164" w:hRule="exact"/>
        </w:trPr>
        <w:tc>
          <w:tcPr>
            <w:tcW w:w="1229" w:type="dxa"/>
            <w:tcBorders>
              <w:top w:val="nil" w:sz="6" w:space="0" w:color="auto"/>
              <w:left w:val="single" w:sz="12" w:space="0" w:color="000000"/>
              <w:bottom w:val="single" w:sz="6" w:space="0" w:color="000000"/>
              <w:right w:val="single" w:sz="6" w:space="0" w:color="000000"/>
            </w:tcBorders>
            <w:shd w:val="clear" w:color="auto" w:fill="D2D2D2"/>
          </w:tcPr>
          <w:p>
            <w:pPr/>
          </w:p>
        </w:tc>
        <w:tc>
          <w:tcPr>
            <w:tcW w:w="1145" w:type="dxa"/>
            <w:tcBorders>
              <w:top w:val="nil" w:sz="6" w:space="0" w:color="auto"/>
              <w:left w:val="single" w:sz="6" w:space="0" w:color="000000"/>
              <w:bottom w:val="single" w:sz="6" w:space="0" w:color="000000"/>
              <w:right w:val="single" w:sz="6" w:space="0" w:color="000000"/>
            </w:tcBorders>
            <w:shd w:val="clear" w:color="auto" w:fill="D2D2D2"/>
          </w:tcPr>
          <w:p>
            <w:pPr/>
          </w:p>
        </w:tc>
        <w:tc>
          <w:tcPr>
            <w:tcW w:w="987" w:type="dxa"/>
            <w:vMerge/>
            <w:tcBorders>
              <w:left w:val="single" w:sz="6" w:space="0" w:color="000000"/>
              <w:bottom w:val="single" w:sz="6" w:space="0" w:color="000000"/>
              <w:right w:val="single" w:sz="6" w:space="0" w:color="000000"/>
            </w:tcBorders>
            <w:shd w:val="clear" w:color="auto" w:fill="D2D2D2"/>
          </w:tcPr>
          <w:p>
            <w:pPr/>
          </w:p>
        </w:tc>
        <w:tc>
          <w:tcPr>
            <w:tcW w:w="1419" w:type="dxa"/>
            <w:vMerge/>
            <w:tcBorders>
              <w:left w:val="single" w:sz="6" w:space="0" w:color="000000"/>
              <w:bottom w:val="single" w:sz="6" w:space="0" w:color="000000"/>
              <w:right w:val="single" w:sz="6" w:space="0" w:color="000000"/>
            </w:tcBorders>
            <w:shd w:val="clear" w:color="auto" w:fill="D2D2D2"/>
          </w:tcPr>
          <w:p>
            <w:pPr/>
          </w:p>
        </w:tc>
        <w:tc>
          <w:tcPr>
            <w:tcW w:w="845" w:type="dxa"/>
            <w:vMerge/>
            <w:tcBorders>
              <w:left w:val="single" w:sz="6" w:space="0" w:color="000000"/>
              <w:bottom w:val="single" w:sz="6" w:space="0" w:color="000000"/>
              <w:right w:val="single" w:sz="6" w:space="0" w:color="000000"/>
            </w:tcBorders>
            <w:shd w:val="clear" w:color="auto" w:fill="D2D2D2"/>
          </w:tcPr>
          <w:p>
            <w:pPr/>
          </w:p>
        </w:tc>
        <w:tc>
          <w:tcPr>
            <w:tcW w:w="1281" w:type="dxa"/>
            <w:tcBorders>
              <w:top w:val="nil" w:sz="6" w:space="0" w:color="auto"/>
              <w:left w:val="single" w:sz="6" w:space="0" w:color="000000"/>
              <w:bottom w:val="single" w:sz="6" w:space="0" w:color="000000"/>
              <w:right w:val="single" w:sz="6" w:space="0" w:color="000000"/>
            </w:tcBorders>
            <w:shd w:val="clear" w:color="auto" w:fill="D2D2D2"/>
          </w:tcPr>
          <w:p>
            <w:pPr/>
          </w:p>
        </w:tc>
        <w:tc>
          <w:tcPr>
            <w:tcW w:w="1277" w:type="dxa"/>
            <w:tcBorders>
              <w:top w:val="nil" w:sz="6" w:space="0" w:color="auto"/>
              <w:left w:val="single" w:sz="6" w:space="0" w:color="000000"/>
              <w:bottom w:val="single" w:sz="6" w:space="0" w:color="000000"/>
              <w:right w:val="single" w:sz="6" w:space="0" w:color="000000"/>
            </w:tcBorders>
            <w:shd w:val="clear" w:color="auto" w:fill="D2D2D2"/>
          </w:tcPr>
          <w:p>
            <w:pPr/>
          </w:p>
        </w:tc>
        <w:tc>
          <w:tcPr>
            <w:tcW w:w="1378" w:type="dxa"/>
            <w:tcBorders>
              <w:top w:val="nil" w:sz="6" w:space="0" w:color="auto"/>
              <w:left w:val="single" w:sz="6" w:space="0" w:color="000000"/>
              <w:bottom w:val="single" w:sz="6" w:space="0" w:color="000000"/>
              <w:right w:val="single" w:sz="12" w:space="0" w:color="000000"/>
            </w:tcBorders>
            <w:shd w:val="clear" w:color="auto" w:fill="D2D2D2"/>
          </w:tcPr>
          <w:p>
            <w:pPr/>
          </w:p>
        </w:tc>
      </w:tr>
      <w:tr>
        <w:trPr>
          <w:trHeight w:val="406" w:hRule="exact"/>
        </w:trPr>
        <w:tc>
          <w:tcPr>
            <w:tcW w:w="9560" w:type="dxa"/>
            <w:gridSpan w:val="8"/>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金融资产</w:t>
            </w:r>
          </w:p>
        </w:tc>
      </w:tr>
      <w:tr>
        <w:trPr>
          <w:trHeight w:val="720" w:hRule="exact"/>
        </w:trPr>
        <w:tc>
          <w:tcPr>
            <w:tcW w:w="122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00" w:lineRule="auto" w:before="52"/>
              <w:ind w:left="6" w:right="16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 融资产</w:t>
            </w:r>
          </w:p>
        </w:tc>
        <w:tc>
          <w:tcPr>
            <w:tcW w:w="1145"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36,227,655.00</w:t>
            </w:r>
          </w:p>
        </w:tc>
        <w:tc>
          <w:tcPr>
            <w:tcW w:w="987" w:type="dxa"/>
            <w:tcBorders>
              <w:top w:val="single" w:sz="6" w:space="0" w:color="000000"/>
              <w:left w:val="single" w:sz="6" w:space="0" w:color="000000"/>
              <w:bottom w:val="single" w:sz="6" w:space="0" w:color="000000"/>
              <w:right w:val="single" w:sz="6" w:space="0" w:color="000000"/>
            </w:tcBorders>
          </w:tcPr>
          <w:p>
            <w:pP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4,083,427,583.29</w:t>
            </w:r>
          </w:p>
        </w:tc>
        <w:tc>
          <w:tcPr>
            <w:tcW w:w="845" w:type="dxa"/>
            <w:tcBorders>
              <w:top w:val="single" w:sz="6" w:space="0" w:color="000000"/>
              <w:left w:val="single" w:sz="6" w:space="0" w:color="000000"/>
              <w:bottom w:val="single" w:sz="6" w:space="0" w:color="000000"/>
              <w:right w:val="single" w:sz="6" w:space="0" w:color="000000"/>
            </w:tcBorders>
          </w:tcPr>
          <w:p>
            <w:pPr/>
          </w:p>
        </w:tc>
        <w:tc>
          <w:tcPr>
            <w:tcW w:w="1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21" w:right="0"/>
              <w:jc w:val="left"/>
              <w:rPr>
                <w:rFonts w:ascii="Times New Roman" w:hAnsi="Times New Roman" w:cs="Times New Roman" w:eastAsia="Times New Roman" w:hint="default"/>
                <w:sz w:val="18"/>
                <w:szCs w:val="18"/>
              </w:rPr>
            </w:pPr>
            <w:r>
              <w:rPr>
                <w:rFonts w:ascii="Times New Roman"/>
                <w:sz w:val="18"/>
              </w:rPr>
              <w:t>486,307,188.54</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509,343,590.41</w:t>
            </w:r>
          </w:p>
        </w:tc>
        <w:tc>
          <w:tcPr>
            <w:tcW w:w="13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4,096,618,836.42</w:t>
            </w:r>
          </w:p>
        </w:tc>
      </w:tr>
      <w:tr>
        <w:trPr>
          <w:trHeight w:val="407" w:hRule="exact"/>
        </w:trPr>
        <w:tc>
          <w:tcPr>
            <w:tcW w:w="122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金融资产小计</w:t>
            </w:r>
          </w:p>
        </w:tc>
        <w:tc>
          <w:tcPr>
            <w:tcW w:w="1145"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36,227,655.00</w:t>
            </w:r>
          </w:p>
        </w:tc>
        <w:tc>
          <w:tcPr>
            <w:tcW w:w="987" w:type="dxa"/>
            <w:tcBorders>
              <w:top w:val="single" w:sz="6" w:space="0" w:color="000000"/>
              <w:left w:val="single" w:sz="6" w:space="0" w:color="000000"/>
              <w:bottom w:val="single" w:sz="6" w:space="0" w:color="000000"/>
              <w:right w:val="single" w:sz="6" w:space="0" w:color="000000"/>
            </w:tcBorders>
          </w:tcPr>
          <w:p>
            <w:pP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4,083,427,583.29</w:t>
            </w:r>
          </w:p>
        </w:tc>
        <w:tc>
          <w:tcPr>
            <w:tcW w:w="845" w:type="dxa"/>
            <w:tcBorders>
              <w:top w:val="single" w:sz="6" w:space="0" w:color="000000"/>
              <w:left w:val="single" w:sz="6" w:space="0" w:color="000000"/>
              <w:bottom w:val="single" w:sz="6" w:space="0" w:color="000000"/>
              <w:right w:val="single" w:sz="6" w:space="0" w:color="000000"/>
            </w:tcBorders>
          </w:tcPr>
          <w:p>
            <w:pPr/>
          </w:p>
        </w:tc>
        <w:tc>
          <w:tcPr>
            <w:tcW w:w="1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121" w:right="0"/>
              <w:jc w:val="left"/>
              <w:rPr>
                <w:rFonts w:ascii="Times New Roman" w:hAnsi="Times New Roman" w:cs="Times New Roman" w:eastAsia="Times New Roman" w:hint="default"/>
                <w:sz w:val="18"/>
                <w:szCs w:val="18"/>
              </w:rPr>
            </w:pPr>
            <w:r>
              <w:rPr>
                <w:rFonts w:ascii="Times New Roman"/>
                <w:sz w:val="18"/>
              </w:rPr>
              <w:t>486,307,188.54</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117" w:right="0"/>
              <w:jc w:val="left"/>
              <w:rPr>
                <w:rFonts w:ascii="Times New Roman" w:hAnsi="Times New Roman" w:cs="Times New Roman" w:eastAsia="Times New Roman" w:hint="default"/>
                <w:sz w:val="18"/>
                <w:szCs w:val="18"/>
              </w:rPr>
            </w:pPr>
            <w:r>
              <w:rPr>
                <w:rFonts w:ascii="Times New Roman"/>
                <w:sz w:val="18"/>
              </w:rPr>
              <w:t>509,343,590.41</w:t>
            </w:r>
          </w:p>
        </w:tc>
        <w:tc>
          <w:tcPr>
            <w:tcW w:w="13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pacing w:val="-1"/>
                <w:sz w:val="18"/>
              </w:rPr>
              <w:t>4,096,618,836.42</w:t>
            </w:r>
          </w:p>
        </w:tc>
      </w:tr>
      <w:tr>
        <w:trPr>
          <w:trHeight w:val="407" w:hRule="exact"/>
        </w:trPr>
        <w:tc>
          <w:tcPr>
            <w:tcW w:w="122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上述合计</w:t>
            </w:r>
          </w:p>
        </w:tc>
        <w:tc>
          <w:tcPr>
            <w:tcW w:w="1145"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36,227,655.00</w:t>
            </w:r>
          </w:p>
        </w:tc>
        <w:tc>
          <w:tcPr>
            <w:tcW w:w="987" w:type="dxa"/>
            <w:tcBorders>
              <w:top w:val="single" w:sz="6" w:space="0" w:color="000000"/>
              <w:left w:val="single" w:sz="6" w:space="0" w:color="000000"/>
              <w:bottom w:val="single" w:sz="6" w:space="0" w:color="000000"/>
              <w:right w:val="single" w:sz="6" w:space="0" w:color="000000"/>
            </w:tcBorders>
          </w:tcPr>
          <w:p>
            <w:pPr/>
          </w:p>
        </w:tc>
        <w:tc>
          <w:tcPr>
            <w:tcW w:w="1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4,083,427,583.29</w:t>
            </w:r>
          </w:p>
        </w:tc>
        <w:tc>
          <w:tcPr>
            <w:tcW w:w="845" w:type="dxa"/>
            <w:tcBorders>
              <w:top w:val="single" w:sz="6" w:space="0" w:color="000000"/>
              <w:left w:val="single" w:sz="6" w:space="0" w:color="000000"/>
              <w:bottom w:val="single" w:sz="6" w:space="0" w:color="000000"/>
              <w:right w:val="single" w:sz="6" w:space="0" w:color="000000"/>
            </w:tcBorders>
          </w:tcPr>
          <w:p>
            <w:pPr/>
          </w:p>
        </w:tc>
        <w:tc>
          <w:tcPr>
            <w:tcW w:w="1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121" w:right="0"/>
              <w:jc w:val="left"/>
              <w:rPr>
                <w:rFonts w:ascii="Times New Roman" w:hAnsi="Times New Roman" w:cs="Times New Roman" w:eastAsia="Times New Roman" w:hint="default"/>
                <w:sz w:val="18"/>
                <w:szCs w:val="18"/>
              </w:rPr>
            </w:pPr>
            <w:r>
              <w:rPr>
                <w:rFonts w:ascii="Times New Roman"/>
                <w:sz w:val="18"/>
              </w:rPr>
              <w:t>486,307,188.54</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117" w:right="0"/>
              <w:jc w:val="left"/>
              <w:rPr>
                <w:rFonts w:ascii="Times New Roman" w:hAnsi="Times New Roman" w:cs="Times New Roman" w:eastAsia="Times New Roman" w:hint="default"/>
                <w:sz w:val="18"/>
                <w:szCs w:val="18"/>
              </w:rPr>
            </w:pPr>
            <w:r>
              <w:rPr>
                <w:rFonts w:ascii="Times New Roman"/>
                <w:sz w:val="18"/>
              </w:rPr>
              <w:t>509,343,590.41</w:t>
            </w:r>
          </w:p>
        </w:tc>
        <w:tc>
          <w:tcPr>
            <w:tcW w:w="13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pacing w:val="-1"/>
                <w:sz w:val="18"/>
              </w:rPr>
              <w:t>4,096,618,836.42</w:t>
            </w:r>
          </w:p>
        </w:tc>
      </w:tr>
      <w:tr>
        <w:trPr>
          <w:trHeight w:val="415" w:hRule="exact"/>
        </w:trPr>
        <w:tc>
          <w:tcPr>
            <w:tcW w:w="1229"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145" w:type="dxa"/>
            <w:tcBorders>
              <w:top w:val="single" w:sz="6" w:space="0" w:color="000000"/>
              <w:left w:val="single" w:sz="14" w:space="0" w:color="D2D2D2"/>
              <w:bottom w:val="single" w:sz="12" w:space="0" w:color="000000"/>
              <w:right w:val="single" w:sz="6"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0.00</w:t>
            </w:r>
          </w:p>
        </w:tc>
        <w:tc>
          <w:tcPr>
            <w:tcW w:w="987" w:type="dxa"/>
            <w:tcBorders>
              <w:top w:val="single" w:sz="6" w:space="0" w:color="000000"/>
              <w:left w:val="single" w:sz="6" w:space="0" w:color="000000"/>
              <w:bottom w:val="single" w:sz="12" w:space="0" w:color="000000"/>
              <w:right w:val="single" w:sz="6" w:space="0" w:color="000000"/>
            </w:tcBorders>
          </w:tcPr>
          <w:p>
            <w:pPr/>
          </w:p>
        </w:tc>
        <w:tc>
          <w:tcPr>
            <w:tcW w:w="1419" w:type="dxa"/>
            <w:tcBorders>
              <w:top w:val="single" w:sz="6" w:space="0" w:color="000000"/>
              <w:left w:val="single" w:sz="6" w:space="0" w:color="000000"/>
              <w:bottom w:val="single" w:sz="12" w:space="0" w:color="000000"/>
              <w:right w:val="single" w:sz="6" w:space="0" w:color="000000"/>
            </w:tcBorders>
          </w:tcPr>
          <w:p>
            <w:pPr/>
          </w:p>
        </w:tc>
        <w:tc>
          <w:tcPr>
            <w:tcW w:w="845" w:type="dxa"/>
            <w:tcBorders>
              <w:top w:val="single" w:sz="6" w:space="0" w:color="000000"/>
              <w:left w:val="single" w:sz="6" w:space="0" w:color="000000"/>
              <w:bottom w:val="single" w:sz="12" w:space="0" w:color="000000"/>
              <w:right w:val="single" w:sz="6" w:space="0" w:color="000000"/>
            </w:tcBorders>
          </w:tcPr>
          <w:p>
            <w:pPr/>
          </w:p>
        </w:tc>
        <w:tc>
          <w:tcPr>
            <w:tcW w:w="1281" w:type="dxa"/>
            <w:tcBorders>
              <w:top w:val="single" w:sz="6" w:space="0" w:color="000000"/>
              <w:left w:val="single" w:sz="6" w:space="0" w:color="000000"/>
              <w:bottom w:val="single" w:sz="12" w:space="0" w:color="000000"/>
              <w:right w:val="single" w:sz="6" w:space="0" w:color="000000"/>
            </w:tcBorders>
          </w:tcPr>
          <w:p>
            <w:pPr/>
          </w:p>
        </w:tc>
        <w:tc>
          <w:tcPr>
            <w:tcW w:w="1277" w:type="dxa"/>
            <w:tcBorders>
              <w:top w:val="single" w:sz="6" w:space="0" w:color="000000"/>
              <w:left w:val="single" w:sz="6" w:space="0" w:color="000000"/>
              <w:bottom w:val="single" w:sz="12" w:space="0" w:color="000000"/>
              <w:right w:val="single" w:sz="6" w:space="0" w:color="000000"/>
            </w:tcBorders>
          </w:tcPr>
          <w:p>
            <w:pPr/>
          </w:p>
        </w:tc>
        <w:tc>
          <w:tcPr>
            <w:tcW w:w="137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报告期内公司主要资产计量属性是否发生重大变化</w:t>
      </w:r>
    </w:p>
    <w:p>
      <w:pPr>
        <w:spacing w:line="348" w:lineRule="auto" w:before="117"/>
        <w:ind w:left="1133" w:right="373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报告期内公司主要资产计量属性发生重大变化的原因说明及对其经营成果和财务状况影响 报告期内，公司持股的</w:t>
      </w:r>
      <w:r>
        <w:rPr>
          <w:rFonts w:ascii="宋体" w:hAnsi="宋体" w:cs="宋体" w:eastAsia="宋体" w:hint="default"/>
          <w:sz w:val="18"/>
          <w:szCs w:val="18"/>
        </w:rPr>
        <w:t>Q</w:t>
      </w:r>
      <w:r>
        <w:rPr>
          <w:rFonts w:ascii="Times New Roman" w:hAnsi="Times New Roman" w:cs="Times New Roman" w:eastAsia="Times New Roman" w:hint="default"/>
          <w:sz w:val="18"/>
          <w:szCs w:val="18"/>
        </w:rPr>
        <w:t>udian</w:t>
      </w:r>
      <w:r>
        <w:rPr>
          <w:rFonts w:ascii="宋体" w:hAnsi="宋体" w:cs="宋体" w:eastAsia="宋体" w:hint="default"/>
          <w:sz w:val="18"/>
          <w:szCs w:val="18"/>
        </w:rPr>
        <w:t>上市，改为按照公允价值核算，导致公司资产增加</w:t>
      </w:r>
    </w:p>
    <w:p>
      <w:pPr>
        <w:spacing w:line="240" w:lineRule="auto" w:before="0"/>
        <w:rPr>
          <w:rFonts w:ascii="宋体" w:hAnsi="宋体" w:cs="宋体" w:eastAsia="宋体" w:hint="default"/>
          <w:sz w:val="19"/>
          <w:szCs w:val="19"/>
        </w:rPr>
      </w:pPr>
    </w:p>
    <w:p>
      <w:pPr>
        <w:pStyle w:val="Heading6"/>
        <w:spacing w:line="240" w:lineRule="auto"/>
        <w:ind w:right="998"/>
        <w:jc w:val="left"/>
        <w:rPr>
          <w:b w:val="0"/>
          <w:bCs w:val="0"/>
        </w:rPr>
      </w:pPr>
      <w:bookmarkStart w:name="3、截至报告期末的资产权利受限情况" w:id="43"/>
      <w:bookmarkEnd w:id="43"/>
      <w:r>
        <w:rPr>
          <w:b w:val="0"/>
          <w:bCs w:val="0"/>
        </w:rPr>
      </w: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子公司</w:t>
      </w:r>
      <w:r>
        <w:rPr>
          <w:rFonts w:ascii="Times New Roman" w:hAnsi="Times New Roman" w:cs="Times New Roman" w:eastAsia="Times New Roman" w:hint="default"/>
          <w:sz w:val="18"/>
          <w:szCs w:val="18"/>
        </w:rPr>
        <w:t>Grindr</w:t>
      </w:r>
      <w:r>
        <w:rPr>
          <w:rFonts w:ascii="宋体" w:hAnsi="宋体" w:cs="宋体" w:eastAsia="宋体" w:hint="default"/>
          <w:sz w:val="18"/>
          <w:szCs w:val="18"/>
        </w:rPr>
        <w:t>存在受限货币资金</w:t>
      </w:r>
      <w:r>
        <w:rPr>
          <w:rFonts w:ascii="Times New Roman" w:hAnsi="Times New Roman" w:cs="Times New Roman" w:eastAsia="Times New Roman" w:hint="default"/>
          <w:sz w:val="18"/>
          <w:szCs w:val="18"/>
        </w:rPr>
        <w:t>9,096,390.5</w:t>
      </w:r>
      <w:r>
        <w:rPr>
          <w:rFonts w:ascii="宋体" w:hAnsi="宋体" w:cs="宋体" w:eastAsia="宋体" w:hint="default"/>
          <w:sz w:val="18"/>
          <w:szCs w:val="18"/>
        </w:rPr>
        <w:t>元，为租房保证金。</w:t>
      </w:r>
    </w:p>
    <w:p>
      <w:pPr>
        <w:spacing w:line="240" w:lineRule="auto" w:before="1"/>
        <w:rPr>
          <w:rFonts w:ascii="宋体" w:hAnsi="宋体" w:cs="宋体" w:eastAsia="宋体" w:hint="default"/>
          <w:sz w:val="24"/>
          <w:szCs w:val="24"/>
        </w:rPr>
      </w:pPr>
    </w:p>
    <w:p>
      <w:pPr>
        <w:pStyle w:val="Heading4"/>
        <w:spacing w:line="240" w:lineRule="auto"/>
        <w:ind w:right="998"/>
        <w:jc w:val="left"/>
        <w:rPr>
          <w:b w:val="0"/>
          <w:bCs w:val="0"/>
        </w:rPr>
      </w:pPr>
      <w:bookmarkStart w:name="五、投资状况分析" w:id="44"/>
      <w:bookmarkEnd w:id="44"/>
      <w:r>
        <w:rPr>
          <w:b w:val="0"/>
          <w:bCs w:val="0"/>
        </w:rPr>
      </w:r>
      <w:r>
        <w:rPr/>
        <w:t>五、投资状况分析</w:t>
      </w:r>
      <w:r>
        <w:rPr>
          <w:b w:val="0"/>
          <w:bCs w:val="0"/>
        </w:rPr>
      </w:r>
    </w:p>
    <w:p>
      <w:pPr>
        <w:spacing w:line="240" w:lineRule="auto" w:before="9"/>
        <w:rPr>
          <w:rFonts w:ascii="宋体" w:hAnsi="宋体" w:cs="宋体" w:eastAsia="宋体" w:hint="default"/>
          <w:b/>
          <w:bCs/>
          <w:sz w:val="24"/>
          <w:szCs w:val="24"/>
        </w:rPr>
      </w:pPr>
    </w:p>
    <w:p>
      <w:pPr>
        <w:pStyle w:val="Heading6"/>
        <w:spacing w:line="240" w:lineRule="auto"/>
        <w:ind w:left="1133" w:right="998"/>
        <w:jc w:val="left"/>
        <w:rPr>
          <w:b w:val="0"/>
          <w:bCs w:val="0"/>
        </w:rPr>
      </w:pPr>
      <w:bookmarkStart w:name="1、总体情况" w:id="45"/>
      <w:bookmarkEnd w:id="45"/>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8"/>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151" w:type="dxa"/>
        <w:tblLayout w:type="fixed"/>
        <w:tblCellMar>
          <w:top w:w="0" w:type="dxa"/>
          <w:left w:w="0" w:type="dxa"/>
          <w:bottom w:w="0" w:type="dxa"/>
          <w:right w:w="0" w:type="dxa"/>
        </w:tblCellMar>
        <w:tblLook w:val="01E0"/>
      </w:tblPr>
      <w:tblGrid>
        <w:gridCol w:w="3191"/>
        <w:gridCol w:w="3190"/>
        <w:gridCol w:w="3191"/>
      </w:tblGrid>
      <w:tr>
        <w:trPr>
          <w:trHeight w:val="415" w:hRule="exact"/>
        </w:trPr>
        <w:tc>
          <w:tcPr>
            <w:tcW w:w="3191"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770"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687"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1"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15" w:hRule="exact"/>
        </w:trPr>
        <w:tc>
          <w:tcPr>
            <w:tcW w:w="319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1"/>
              <w:ind w:left="1888" w:right="0"/>
              <w:jc w:val="left"/>
              <w:rPr>
                <w:rFonts w:ascii="Times New Roman" w:hAnsi="Times New Roman" w:cs="Times New Roman" w:eastAsia="Times New Roman" w:hint="default"/>
                <w:sz w:val="18"/>
                <w:szCs w:val="18"/>
              </w:rPr>
            </w:pPr>
            <w:r>
              <w:rPr>
                <w:rFonts w:ascii="Times New Roman"/>
                <w:sz w:val="18"/>
              </w:rPr>
              <w:t>7,038,996,131.52</w:t>
            </w:r>
          </w:p>
        </w:tc>
        <w:tc>
          <w:tcPr>
            <w:tcW w:w="319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left="1895" w:right="0"/>
              <w:jc w:val="left"/>
              <w:rPr>
                <w:rFonts w:ascii="Times New Roman" w:hAnsi="Times New Roman" w:cs="Times New Roman" w:eastAsia="Times New Roman" w:hint="default"/>
                <w:sz w:val="18"/>
                <w:szCs w:val="18"/>
              </w:rPr>
            </w:pPr>
            <w:r>
              <w:rPr>
                <w:rFonts w:ascii="Times New Roman"/>
                <w:sz w:val="18"/>
              </w:rPr>
              <w:t>3,183,100,905.09</w:t>
            </w:r>
          </w:p>
        </w:tc>
        <w:tc>
          <w:tcPr>
            <w:tcW w:w="319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121.14%</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0" w:right="0"/>
        </w:sectPr>
      </w:pPr>
    </w:p>
    <w:p>
      <w:pPr>
        <w:spacing w:line="240" w:lineRule="auto" w:before="12"/>
        <w:rPr>
          <w:rFonts w:ascii="宋体" w:hAnsi="宋体" w:cs="宋体" w:eastAsia="宋体" w:hint="default"/>
          <w:sz w:val="2"/>
          <w:szCs w:val="2"/>
        </w:rPr>
      </w:pPr>
    </w:p>
    <w:p>
      <w:pPr>
        <w:spacing w:line="20" w:lineRule="exact"/>
        <w:ind w:left="12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p>
      <w:pPr>
        <w:pStyle w:val="Heading6"/>
        <w:spacing w:line="240" w:lineRule="auto"/>
        <w:ind w:left="160" w:right="0"/>
        <w:jc w:val="left"/>
        <w:rPr>
          <w:b w:val="0"/>
          <w:bCs w:val="0"/>
        </w:rPr>
      </w:pPr>
      <w:bookmarkStart w:name="2、报告期内获取的重大的股权投资情况" w:id="46"/>
      <w:bookmarkEnd w:id="46"/>
      <w:r>
        <w:rPr>
          <w:b w:val="0"/>
          <w:bCs w:val="0"/>
        </w:rPr>
      </w: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3"/>
        <w:rPr>
          <w:rFonts w:ascii="宋体" w:hAnsi="宋体" w:cs="宋体" w:eastAsia="宋体" w:hint="default"/>
          <w:b/>
          <w:bCs/>
          <w:sz w:val="23"/>
          <w:szCs w:val="23"/>
        </w:rPr>
      </w:pPr>
    </w:p>
    <w:p>
      <w:pPr>
        <w:spacing w:before="44"/>
        <w:ind w:left="15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436"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6" w:type="dxa"/>
        <w:tblLayout w:type="fixed"/>
        <w:tblCellMar>
          <w:top w:w="0" w:type="dxa"/>
          <w:left w:w="0" w:type="dxa"/>
          <w:bottom w:w="0" w:type="dxa"/>
          <w:right w:w="0" w:type="dxa"/>
        </w:tblCellMar>
        <w:tblLook w:val="01E0"/>
      </w:tblPr>
      <w:tblGrid>
        <w:gridCol w:w="980"/>
        <w:gridCol w:w="892"/>
        <w:gridCol w:w="570"/>
        <w:gridCol w:w="1418"/>
        <w:gridCol w:w="612"/>
        <w:gridCol w:w="949"/>
        <w:gridCol w:w="1979"/>
        <w:gridCol w:w="850"/>
        <w:gridCol w:w="1135"/>
        <w:gridCol w:w="709"/>
        <w:gridCol w:w="1278"/>
        <w:gridCol w:w="708"/>
        <w:gridCol w:w="923"/>
        <w:gridCol w:w="1011"/>
      </w:tblGrid>
      <w:tr>
        <w:trPr>
          <w:trHeight w:val="718" w:hRule="exact"/>
        </w:trPr>
        <w:tc>
          <w:tcPr>
            <w:tcW w:w="980"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316" w:lineRule="auto" w:before="51"/>
              <w:ind w:left="294" w:right="31" w:hanging="270"/>
              <w:jc w:val="left"/>
              <w:rPr>
                <w:rFonts w:ascii="宋体" w:hAnsi="宋体" w:cs="宋体" w:eastAsia="宋体" w:hint="default"/>
                <w:sz w:val="18"/>
                <w:szCs w:val="18"/>
              </w:rPr>
            </w:pPr>
            <w:r>
              <w:rPr>
                <w:rFonts w:ascii="宋体" w:hAnsi="宋体" w:cs="宋体" w:eastAsia="宋体" w:hint="default"/>
                <w:sz w:val="18"/>
                <w:szCs w:val="18"/>
              </w:rPr>
              <w:t>被投资公司 名称</w:t>
            </w:r>
          </w:p>
        </w:tc>
        <w:tc>
          <w:tcPr>
            <w:tcW w:w="89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主要业务</w:t>
            </w:r>
          </w:p>
        </w:tc>
        <w:tc>
          <w:tcPr>
            <w:tcW w:w="57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97" w:right="96"/>
              <w:jc w:val="left"/>
              <w:rPr>
                <w:rFonts w:ascii="宋体" w:hAnsi="宋体" w:cs="宋体" w:eastAsia="宋体" w:hint="default"/>
                <w:sz w:val="18"/>
                <w:szCs w:val="18"/>
              </w:rPr>
            </w:pPr>
            <w:r>
              <w:rPr>
                <w:rFonts w:ascii="宋体" w:hAnsi="宋体" w:cs="宋体" w:eastAsia="宋体" w:hint="default"/>
                <w:sz w:val="18"/>
                <w:szCs w:val="18"/>
              </w:rPr>
              <w:t>投资 方式</w:t>
            </w:r>
          </w:p>
        </w:tc>
        <w:tc>
          <w:tcPr>
            <w:tcW w:w="141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投资金额</w:t>
            </w:r>
          </w:p>
        </w:tc>
        <w:tc>
          <w:tcPr>
            <w:tcW w:w="61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208" w:right="26"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94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sz w:val="18"/>
                <w:szCs w:val="18"/>
              </w:rPr>
              <w:t>资金来源</w:t>
            </w:r>
          </w:p>
        </w:tc>
        <w:tc>
          <w:tcPr>
            <w:tcW w:w="197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合作方</w:t>
            </w:r>
          </w:p>
        </w:tc>
        <w:tc>
          <w:tcPr>
            <w:tcW w:w="85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7" w:right="0"/>
              <w:jc w:val="left"/>
              <w:rPr>
                <w:rFonts w:ascii="宋体" w:hAnsi="宋体" w:cs="宋体" w:eastAsia="宋体" w:hint="default"/>
                <w:sz w:val="18"/>
                <w:szCs w:val="18"/>
              </w:rPr>
            </w:pPr>
            <w:r>
              <w:rPr>
                <w:rFonts w:ascii="宋体" w:hAnsi="宋体" w:cs="宋体" w:eastAsia="宋体" w:hint="default"/>
                <w:sz w:val="18"/>
                <w:szCs w:val="18"/>
              </w:rPr>
              <w:t>投资期限</w:t>
            </w:r>
          </w:p>
        </w:tc>
        <w:tc>
          <w:tcPr>
            <w:tcW w:w="113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产品类型</w:t>
            </w:r>
          </w:p>
        </w:tc>
        <w:tc>
          <w:tcPr>
            <w:tcW w:w="70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256" w:right="77" w:hanging="180"/>
              <w:jc w:val="left"/>
              <w:rPr>
                <w:rFonts w:ascii="宋体" w:hAnsi="宋体" w:cs="宋体" w:eastAsia="宋体" w:hint="default"/>
                <w:sz w:val="18"/>
                <w:szCs w:val="18"/>
              </w:rPr>
            </w:pPr>
            <w:r>
              <w:rPr>
                <w:rFonts w:ascii="宋体" w:hAnsi="宋体" w:cs="宋体" w:eastAsia="宋体" w:hint="default"/>
                <w:sz w:val="18"/>
                <w:szCs w:val="18"/>
              </w:rPr>
              <w:t>预计收 益</w:t>
            </w:r>
          </w:p>
        </w:tc>
        <w:tc>
          <w:tcPr>
            <w:tcW w:w="127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本期投资盈亏</w:t>
            </w:r>
          </w:p>
        </w:tc>
        <w:tc>
          <w:tcPr>
            <w:tcW w:w="70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256" w:right="74" w:hanging="180"/>
              <w:jc w:val="left"/>
              <w:rPr>
                <w:rFonts w:ascii="宋体" w:hAnsi="宋体" w:cs="宋体" w:eastAsia="宋体" w:hint="default"/>
                <w:sz w:val="18"/>
                <w:szCs w:val="18"/>
              </w:rPr>
            </w:pPr>
            <w:r>
              <w:rPr>
                <w:rFonts w:ascii="宋体" w:hAnsi="宋体" w:cs="宋体" w:eastAsia="宋体" w:hint="default"/>
                <w:sz w:val="18"/>
                <w:szCs w:val="18"/>
              </w:rPr>
              <w:t>是否涉 诉</w:t>
            </w:r>
          </w:p>
        </w:tc>
        <w:tc>
          <w:tcPr>
            <w:tcW w:w="923"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94" w:right="0"/>
              <w:jc w:val="left"/>
              <w:rPr>
                <w:rFonts w:ascii="宋体" w:hAnsi="宋体" w:cs="宋体" w:eastAsia="宋体" w:hint="default"/>
                <w:sz w:val="18"/>
                <w:szCs w:val="18"/>
              </w:rPr>
            </w:pPr>
            <w:r>
              <w:rPr>
                <w:rFonts w:ascii="宋体" w:hAnsi="宋体" w:cs="宋体" w:eastAsia="宋体" w:hint="default"/>
                <w:sz w:val="18"/>
                <w:szCs w:val="18"/>
              </w:rPr>
              <w:t>披露日期</w:t>
            </w:r>
          </w:p>
          <w:p>
            <w:pPr>
              <w:pStyle w:val="TableParagraph"/>
              <w:spacing w:line="240" w:lineRule="auto" w:before="76"/>
              <w:ind w:left="94" w:right="0"/>
              <w:jc w:val="left"/>
              <w:rPr>
                <w:rFonts w:ascii="宋体" w:hAnsi="宋体" w:cs="宋体" w:eastAsia="宋体" w:hint="default"/>
                <w:sz w:val="18"/>
                <w:szCs w:val="18"/>
              </w:rPr>
            </w:pPr>
            <w:r>
              <w:rPr>
                <w:rFonts w:ascii="宋体" w:hAnsi="宋体" w:cs="宋体" w:eastAsia="宋体" w:hint="default"/>
                <w:sz w:val="18"/>
                <w:szCs w:val="18"/>
              </w:rPr>
              <w:t>（如有）</w:t>
            </w:r>
          </w:p>
        </w:tc>
        <w:tc>
          <w:tcPr>
            <w:tcW w:w="1011"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137" w:right="0"/>
              <w:jc w:val="left"/>
              <w:rPr>
                <w:rFonts w:ascii="宋体" w:hAnsi="宋体" w:cs="宋体" w:eastAsia="宋体" w:hint="default"/>
                <w:sz w:val="18"/>
                <w:szCs w:val="18"/>
              </w:rPr>
            </w:pPr>
            <w:r>
              <w:rPr>
                <w:rFonts w:ascii="宋体" w:hAnsi="宋体" w:cs="宋体" w:eastAsia="宋体" w:hint="default"/>
                <w:sz w:val="18"/>
                <w:szCs w:val="18"/>
              </w:rPr>
              <w:t>披露索引</w:t>
            </w:r>
          </w:p>
          <w:p>
            <w:pPr>
              <w:pStyle w:val="TableParagraph"/>
              <w:spacing w:line="240" w:lineRule="auto" w:before="76"/>
              <w:ind w:left="137" w:right="0"/>
              <w:jc w:val="left"/>
              <w:rPr>
                <w:rFonts w:ascii="宋体" w:hAnsi="宋体" w:cs="宋体" w:eastAsia="宋体" w:hint="default"/>
                <w:sz w:val="18"/>
                <w:szCs w:val="18"/>
              </w:rPr>
            </w:pPr>
            <w:r>
              <w:rPr>
                <w:rFonts w:ascii="宋体" w:hAnsi="宋体" w:cs="宋体" w:eastAsia="宋体" w:hint="default"/>
                <w:sz w:val="18"/>
                <w:szCs w:val="18"/>
              </w:rPr>
              <w:t>（如有）</w:t>
            </w:r>
          </w:p>
        </w:tc>
      </w:tr>
      <w:tr>
        <w:trPr>
          <w:trHeight w:val="2600" w:hRule="exact"/>
        </w:trPr>
        <w:tc>
          <w:tcPr>
            <w:tcW w:w="98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3"/>
              <w:ind w:left="13" w:right="42"/>
              <w:jc w:val="both"/>
              <w:rPr>
                <w:rFonts w:ascii="宋体" w:hAnsi="宋体" w:cs="宋体" w:eastAsia="宋体" w:hint="default"/>
                <w:sz w:val="18"/>
                <w:szCs w:val="18"/>
              </w:rPr>
            </w:pPr>
            <w:r>
              <w:rPr>
                <w:rFonts w:ascii="宋体" w:hAnsi="宋体" w:cs="宋体" w:eastAsia="宋体" w:hint="default"/>
                <w:sz w:val="18"/>
                <w:szCs w:val="18"/>
              </w:rPr>
              <w:t>北京闲徕互 娱网络科技 有限公司</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3"/>
              <w:ind w:left="20" w:right="135"/>
              <w:jc w:val="both"/>
              <w:rPr>
                <w:rFonts w:ascii="宋体" w:hAnsi="宋体" w:cs="宋体" w:eastAsia="宋体" w:hint="default"/>
                <w:sz w:val="18"/>
                <w:szCs w:val="18"/>
              </w:rPr>
            </w:pPr>
            <w:r>
              <w:rPr>
                <w:rFonts w:ascii="宋体" w:hAnsi="宋体" w:cs="宋体" w:eastAsia="宋体" w:hint="default"/>
                <w:sz w:val="18"/>
                <w:szCs w:val="18"/>
              </w:rPr>
              <w:t>地方特色 休闲竞技 研发</w:t>
            </w:r>
          </w:p>
        </w:tc>
        <w:tc>
          <w:tcPr>
            <w:tcW w:w="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z w:val="18"/>
                <w:szCs w:val="18"/>
              </w:rPr>
              <w:t>收购</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2" w:right="0"/>
              <w:jc w:val="center"/>
              <w:rPr>
                <w:rFonts w:ascii="Times New Roman" w:hAnsi="Times New Roman" w:cs="Times New Roman" w:eastAsia="Times New Roman" w:hint="default"/>
                <w:sz w:val="18"/>
                <w:szCs w:val="18"/>
              </w:rPr>
            </w:pPr>
            <w:r>
              <w:rPr>
                <w:rFonts w:ascii="Times New Roman"/>
                <w:sz w:val="18"/>
              </w:rPr>
              <w:t>1,020,000,000.00</w:t>
            </w:r>
          </w:p>
        </w:tc>
        <w:tc>
          <w:tcPr>
            <w:tcW w:w="6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51.00%</w:t>
            </w: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979" w:type="dxa"/>
            <w:tcBorders>
              <w:top w:val="single" w:sz="6" w:space="0" w:color="000000"/>
              <w:left w:val="single" w:sz="6" w:space="0" w:color="000000"/>
              <w:bottom w:val="single" w:sz="6" w:space="0" w:color="000000"/>
              <w:right w:val="single" w:sz="9" w:space="0" w:color="FFFFFF"/>
            </w:tcBorders>
          </w:tcPr>
          <w:p>
            <w:pPr>
              <w:pStyle w:val="TableParagraph"/>
              <w:spacing w:line="316" w:lineRule="auto" w:before="59"/>
              <w:ind w:left="21" w:right="-41"/>
              <w:jc w:val="both"/>
              <w:rPr>
                <w:rFonts w:ascii="宋体" w:hAnsi="宋体" w:cs="宋体" w:eastAsia="宋体" w:hint="default"/>
                <w:sz w:val="18"/>
                <w:szCs w:val="18"/>
              </w:rPr>
            </w:pPr>
            <w:r>
              <w:rPr>
                <w:rFonts w:ascii="宋体" w:hAnsi="宋体" w:cs="宋体" w:eastAsia="宋体" w:hint="default"/>
                <w:spacing w:val="-6"/>
                <w:sz w:val="18"/>
                <w:szCs w:val="18"/>
              </w:rPr>
              <w:t>嬴瑄投资、好亮投资、光</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信投资、置瀚投资、深圳</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富海、珠海富海、天域投</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资、蜜莱坞、在线途游、 上礼元投资、源臻投资、 </w:t>
            </w:r>
            <w:r>
              <w:rPr>
                <w:rFonts w:ascii="宋体" w:hAnsi="宋体" w:cs="宋体" w:eastAsia="宋体" w:hint="default"/>
                <w:spacing w:val="-6"/>
                <w:sz w:val="18"/>
                <w:szCs w:val="18"/>
              </w:rPr>
              <w:t>摩比神奇、周亚辉、刘晓</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宇、张秀兵、席时伟、赵</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钺、董路华、何志涛</w:t>
            </w:r>
          </w:p>
        </w:tc>
        <w:tc>
          <w:tcPr>
            <w:tcW w:w="850" w:type="dxa"/>
            <w:tcBorders>
              <w:top w:val="single" w:sz="6" w:space="0" w:color="000000"/>
              <w:left w:val="single" w:sz="9" w:space="0" w:color="FFFFFF"/>
              <w:bottom w:val="single" w:sz="6" w:space="0" w:color="000000"/>
              <w:right w:val="single" w:sz="6" w:space="0" w:color="000000"/>
            </w:tcBorders>
          </w:tcPr>
          <w:p>
            <w:pPr>
              <w:pStyle w:val="TableParagraph"/>
              <w:spacing w:line="1092" w:lineRule="exact"/>
              <w:ind w:left="-4" w:right="-51"/>
              <w:jc w:val="left"/>
              <w:rPr>
                <w:rFonts w:ascii="宋体" w:hAnsi="宋体" w:cs="宋体" w:eastAsia="宋体" w:hint="default"/>
                <w:sz w:val="20"/>
                <w:szCs w:val="20"/>
              </w:rPr>
            </w:pPr>
            <w:r>
              <w:rPr>
                <w:rFonts w:ascii="宋体" w:hAnsi="宋体" w:cs="宋体" w:eastAsia="宋体" w:hint="default"/>
                <w:position w:val="-21"/>
                <w:sz w:val="20"/>
                <w:szCs w:val="20"/>
              </w:rPr>
              <w:pict>
                <v:group style="width:41.8pt;height:54.6pt;mso-position-horizontal-relative:char;mso-position-vertical-relative:line" coordorigin="0,0" coordsize="836,1092">
                  <v:group style="position:absolute;left:0;top:0;width:836;height:1092" coordorigin="0,0" coordsize="836,1092">
                    <v:shape style="position:absolute;left:0;top:0;width:836;height:1092" coordorigin="0,0" coordsize="836,1092" path="m0,1092l835,1092,835,0,0,0,0,1092xe" filled="true" fillcolor="#ffffff" stroked="false">
                      <v:path arrowok="t"/>
                      <v:fill type="solid"/>
                    </v:shape>
                  </v:group>
                </v:group>
              </w:pict>
            </w:r>
            <w:r>
              <w:rPr>
                <w:rFonts w:ascii="宋体" w:hAnsi="宋体" w:cs="宋体" w:eastAsia="宋体" w:hint="default"/>
                <w:position w:val="-21"/>
                <w:sz w:val="20"/>
                <w:szCs w:val="20"/>
              </w:rPr>
            </w:r>
          </w:p>
          <w:p>
            <w:pPr>
              <w:pStyle w:val="TableParagraph"/>
              <w:spacing w:line="240" w:lineRule="auto" w:before="59"/>
              <w:ind w:left="18"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316" w:lineRule="auto"/>
              <w:ind w:left="20" w:right="198"/>
              <w:jc w:val="left"/>
              <w:rPr>
                <w:rFonts w:ascii="宋体" w:hAnsi="宋体" w:cs="宋体" w:eastAsia="宋体" w:hint="default"/>
                <w:sz w:val="18"/>
                <w:szCs w:val="18"/>
              </w:rPr>
            </w:pPr>
            <w:r>
              <w:rPr>
                <w:rFonts w:ascii="宋体" w:hAnsi="宋体" w:cs="宋体" w:eastAsia="宋体" w:hint="default"/>
                <w:sz w:val="18"/>
                <w:szCs w:val="18"/>
              </w:rPr>
              <w:t>地方特色休 闲竞技研发</w:t>
            </w:r>
          </w:p>
        </w:tc>
        <w:tc>
          <w:tcPr>
            <w:tcW w:w="709" w:type="dxa"/>
            <w:tcBorders>
              <w:top w:val="single" w:sz="6" w:space="0" w:color="000000"/>
              <w:left w:val="single" w:sz="6" w:space="0" w:color="000000"/>
              <w:bottom w:val="single" w:sz="6" w:space="0" w:color="000000"/>
              <w:right w:val="single" w:sz="6" w:space="0" w:color="000000"/>
            </w:tcBorders>
          </w:tcPr>
          <w:p>
            <w:pPr/>
          </w:p>
        </w:tc>
        <w:tc>
          <w:tcPr>
            <w:tcW w:w="1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6" w:right="0"/>
              <w:jc w:val="center"/>
              <w:rPr>
                <w:rFonts w:ascii="Times New Roman" w:hAnsi="Times New Roman" w:cs="Times New Roman" w:eastAsia="Times New Roman" w:hint="default"/>
                <w:sz w:val="18"/>
                <w:szCs w:val="18"/>
              </w:rPr>
            </w:pPr>
            <w:r>
              <w:rPr>
                <w:rFonts w:ascii="Times New Roman"/>
                <w:sz w:val="18"/>
              </w:rPr>
              <w:t>414,277,348.56</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1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2017-004</w:t>
            </w:r>
          </w:p>
        </w:tc>
      </w:tr>
      <w:tr>
        <w:trPr>
          <w:trHeight w:val="415" w:hRule="exact"/>
        </w:trPr>
        <w:tc>
          <w:tcPr>
            <w:tcW w:w="980"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92"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570"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91"/>
              <w:ind w:right="216"/>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single" w:sz="6" w:space="0" w:color="000000"/>
              <w:left w:val="single" w:sz="6" w:space="0" w:color="000000"/>
              <w:bottom w:val="single" w:sz="12" w:space="0" w:color="000000"/>
              <w:right w:val="single" w:sz="14" w:space="0" w:color="D2D2D2"/>
            </w:tcBorders>
          </w:tcPr>
          <w:p>
            <w:pPr>
              <w:pStyle w:val="TableParagraph"/>
              <w:spacing w:line="240" w:lineRule="auto" w:before="91"/>
              <w:ind w:left="112" w:right="0"/>
              <w:jc w:val="center"/>
              <w:rPr>
                <w:rFonts w:ascii="Times New Roman" w:hAnsi="Times New Roman" w:cs="Times New Roman" w:eastAsia="Times New Roman" w:hint="default"/>
                <w:sz w:val="18"/>
                <w:szCs w:val="18"/>
              </w:rPr>
            </w:pPr>
            <w:r>
              <w:rPr>
                <w:rFonts w:ascii="Times New Roman"/>
                <w:sz w:val="18"/>
              </w:rPr>
              <w:t>1,020,000,000.00</w:t>
            </w:r>
          </w:p>
        </w:tc>
        <w:tc>
          <w:tcPr>
            <w:tcW w:w="612"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49"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79"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50"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135"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0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left="358" w:right="0"/>
              <w:jc w:val="left"/>
              <w:rPr>
                <w:rFonts w:ascii="Times New Roman" w:hAnsi="Times New Roman" w:cs="Times New Roman" w:eastAsia="Times New Roman" w:hint="default"/>
                <w:sz w:val="18"/>
                <w:szCs w:val="18"/>
              </w:rPr>
            </w:pPr>
            <w:r>
              <w:rPr>
                <w:rFonts w:ascii="Times New Roman"/>
                <w:sz w:val="18"/>
              </w:rPr>
              <w:t>0.00</w:t>
            </w:r>
          </w:p>
        </w:tc>
        <w:tc>
          <w:tcPr>
            <w:tcW w:w="1278" w:type="dxa"/>
            <w:tcBorders>
              <w:top w:val="single" w:sz="6" w:space="0" w:color="000000"/>
              <w:left w:val="single" w:sz="6" w:space="0" w:color="000000"/>
              <w:bottom w:val="single" w:sz="12" w:space="0" w:color="000000"/>
              <w:right w:val="single" w:sz="9" w:space="0" w:color="D2D2D2"/>
            </w:tcBorders>
          </w:tcPr>
          <w:p>
            <w:pPr>
              <w:pStyle w:val="TableParagraph"/>
              <w:spacing w:line="240" w:lineRule="auto" w:before="91"/>
              <w:ind w:left="100" w:right="0"/>
              <w:jc w:val="center"/>
              <w:rPr>
                <w:rFonts w:ascii="Times New Roman" w:hAnsi="Times New Roman" w:cs="Times New Roman" w:eastAsia="Times New Roman" w:hint="default"/>
                <w:sz w:val="18"/>
                <w:szCs w:val="18"/>
              </w:rPr>
            </w:pPr>
            <w:r>
              <w:rPr>
                <w:rFonts w:ascii="Times New Roman"/>
                <w:sz w:val="18"/>
              </w:rPr>
              <w:t>414,277,348.56</w:t>
            </w:r>
          </w:p>
        </w:tc>
        <w:tc>
          <w:tcPr>
            <w:tcW w:w="708"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23"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011" w:type="dxa"/>
            <w:tcBorders>
              <w:top w:val="single" w:sz="6" w:space="0" w:color="000000"/>
              <w:left w:val="single" w:sz="6" w:space="0" w:color="000000"/>
              <w:bottom w:val="single" w:sz="12" w:space="0" w:color="000000"/>
              <w:right w:val="single" w:sz="12" w:space="0" w:color="000000"/>
            </w:tcBorders>
            <w:shd w:val="clear" w:color="auto" w:fill="D2D2D2"/>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6"/>
        <w:spacing w:line="240" w:lineRule="auto" w:before="35"/>
        <w:ind w:left="160" w:right="0"/>
        <w:jc w:val="left"/>
        <w:rPr>
          <w:b w:val="0"/>
          <w:bCs w:val="0"/>
        </w:rPr>
      </w:pPr>
      <w:r>
        <w:rPr/>
        <w:pict>
          <v:group style="position:absolute;margin-left:440.980011pt;margin-top:-89.026337pt;width:41.8pt;height:54.65pt;mso-position-horizontal-relative:page;mso-position-vertical-relative:paragraph;z-index:-1136728" coordorigin="8820,-1781" coordsize="836,1093">
            <v:shape style="position:absolute;left:8820;top:-1781;width:836;height:1093" coordorigin="8820,-1781" coordsize="836,1093" path="m8820,-688l9655,-688,9655,-1781,8820,-1781,8820,-688xe" filled="true" fillcolor="#ffffff" stroked="false">
              <v:path arrowok="t"/>
              <v:fill type="solid"/>
            </v:shape>
            <w10:wrap type="none"/>
          </v:group>
        </w:pict>
      </w:r>
      <w:bookmarkStart w:name="3、报告期内正在进行的重大的非股权投资情况" w:id="47"/>
      <w:bookmarkEnd w:id="47"/>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8"/>
        <w:rPr>
          <w:rFonts w:ascii="宋体" w:hAnsi="宋体" w:cs="宋体" w:eastAsia="宋体" w:hint="default"/>
          <w:b/>
          <w:bCs/>
          <w:sz w:val="26"/>
          <w:szCs w:val="26"/>
        </w:rPr>
      </w:pPr>
    </w:p>
    <w:p>
      <w:pPr>
        <w:spacing w:before="0"/>
        <w:ind w:left="15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6"/>
        <w:spacing w:line="240" w:lineRule="auto"/>
        <w:ind w:left="160" w:right="0"/>
        <w:jc w:val="left"/>
        <w:rPr>
          <w:b w:val="0"/>
          <w:bCs w:val="0"/>
        </w:rPr>
      </w:pPr>
      <w:bookmarkStart w:name="4、以公允价值计量的金融资产" w:id="48"/>
      <w:bookmarkEnd w:id="48"/>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4"/>
        <w:rPr>
          <w:rFonts w:ascii="宋体" w:hAnsi="宋体" w:cs="宋体" w:eastAsia="宋体" w:hint="default"/>
          <w:b/>
          <w:bCs/>
          <w:sz w:val="23"/>
          <w:szCs w:val="23"/>
        </w:rPr>
      </w:pPr>
    </w:p>
    <w:p>
      <w:pPr>
        <w:spacing w:before="44"/>
        <w:ind w:left="16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436"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6" w:type="dxa"/>
        <w:tblLayout w:type="fixed"/>
        <w:tblCellMar>
          <w:top w:w="0" w:type="dxa"/>
          <w:left w:w="0" w:type="dxa"/>
          <w:bottom w:w="0" w:type="dxa"/>
          <w:right w:w="0" w:type="dxa"/>
        </w:tblCellMar>
        <w:tblLook w:val="01E0"/>
      </w:tblPr>
      <w:tblGrid>
        <w:gridCol w:w="2033"/>
        <w:gridCol w:w="1312"/>
        <w:gridCol w:w="1596"/>
        <w:gridCol w:w="1727"/>
        <w:gridCol w:w="1749"/>
        <w:gridCol w:w="1402"/>
        <w:gridCol w:w="1400"/>
        <w:gridCol w:w="1402"/>
        <w:gridCol w:w="1395"/>
      </w:tblGrid>
      <w:tr>
        <w:trPr>
          <w:trHeight w:val="725" w:hRule="exact"/>
        </w:trPr>
        <w:tc>
          <w:tcPr>
            <w:tcW w:w="2033"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40" w:right="0"/>
              <w:jc w:val="left"/>
              <w:rPr>
                <w:rFonts w:ascii="宋体" w:hAnsi="宋体" w:cs="宋体" w:eastAsia="宋体" w:hint="default"/>
                <w:sz w:val="18"/>
                <w:szCs w:val="18"/>
              </w:rPr>
            </w:pPr>
            <w:r>
              <w:rPr>
                <w:rFonts w:ascii="宋体" w:hAnsi="宋体" w:cs="宋体" w:eastAsia="宋体" w:hint="default"/>
                <w:sz w:val="18"/>
                <w:szCs w:val="18"/>
              </w:rPr>
              <w:t>资产类别</w:t>
            </w:r>
          </w:p>
        </w:tc>
        <w:tc>
          <w:tcPr>
            <w:tcW w:w="131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初始投资成本</w:t>
            </w:r>
          </w:p>
        </w:tc>
        <w:tc>
          <w:tcPr>
            <w:tcW w:w="159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610" w:right="68" w:hanging="540"/>
              <w:jc w:val="left"/>
              <w:rPr>
                <w:rFonts w:ascii="宋体" w:hAnsi="宋体" w:cs="宋体" w:eastAsia="宋体" w:hint="default"/>
                <w:sz w:val="18"/>
                <w:szCs w:val="18"/>
              </w:rPr>
            </w:pPr>
            <w:r>
              <w:rPr>
                <w:rFonts w:ascii="宋体" w:hAnsi="宋体" w:cs="宋体" w:eastAsia="宋体" w:hint="default"/>
                <w:sz w:val="18"/>
                <w:szCs w:val="18"/>
              </w:rPr>
              <w:t>本期公允价值变动 损益</w:t>
            </w:r>
          </w:p>
        </w:tc>
        <w:tc>
          <w:tcPr>
            <w:tcW w:w="172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495" w:right="44" w:hanging="450"/>
              <w:jc w:val="left"/>
              <w:rPr>
                <w:rFonts w:ascii="宋体" w:hAnsi="宋体" w:cs="宋体" w:eastAsia="宋体" w:hint="default"/>
                <w:sz w:val="18"/>
                <w:szCs w:val="18"/>
              </w:rPr>
            </w:pPr>
            <w:r>
              <w:rPr>
                <w:rFonts w:ascii="宋体" w:hAnsi="宋体" w:cs="宋体" w:eastAsia="宋体" w:hint="default"/>
                <w:sz w:val="18"/>
                <w:szCs w:val="18"/>
              </w:rPr>
              <w:t>计入权益的累计公允 价值变动</w:t>
            </w:r>
          </w:p>
        </w:tc>
        <w:tc>
          <w:tcPr>
            <w:tcW w:w="174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6" w:right="0"/>
              <w:jc w:val="left"/>
              <w:rPr>
                <w:rFonts w:ascii="宋体" w:hAnsi="宋体" w:cs="宋体" w:eastAsia="宋体" w:hint="default"/>
                <w:sz w:val="18"/>
                <w:szCs w:val="18"/>
              </w:rPr>
            </w:pPr>
            <w:r>
              <w:rPr>
                <w:rFonts w:ascii="宋体" w:hAnsi="宋体" w:cs="宋体" w:eastAsia="宋体" w:hint="default"/>
                <w:sz w:val="18"/>
                <w:szCs w:val="18"/>
              </w:rPr>
              <w:t>报告期内购入金额</w:t>
            </w:r>
          </w:p>
        </w:tc>
        <w:tc>
          <w:tcPr>
            <w:tcW w:w="140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603" w:right="61" w:hanging="540"/>
              <w:jc w:val="left"/>
              <w:rPr>
                <w:rFonts w:ascii="宋体" w:hAnsi="宋体" w:cs="宋体" w:eastAsia="宋体" w:hint="default"/>
                <w:sz w:val="18"/>
                <w:szCs w:val="18"/>
              </w:rPr>
            </w:pPr>
            <w:r>
              <w:rPr>
                <w:rFonts w:ascii="宋体" w:hAnsi="宋体" w:cs="宋体" w:eastAsia="宋体" w:hint="default"/>
                <w:sz w:val="18"/>
                <w:szCs w:val="18"/>
              </w:rPr>
              <w:t>报告期内售出金 额</w:t>
            </w:r>
          </w:p>
        </w:tc>
        <w:tc>
          <w:tcPr>
            <w:tcW w:w="140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52" w:right="0"/>
              <w:jc w:val="left"/>
              <w:rPr>
                <w:rFonts w:ascii="宋体" w:hAnsi="宋体" w:cs="宋体" w:eastAsia="宋体" w:hint="default"/>
                <w:sz w:val="18"/>
                <w:szCs w:val="18"/>
              </w:rPr>
            </w:pPr>
            <w:r>
              <w:rPr>
                <w:rFonts w:ascii="宋体" w:hAnsi="宋体" w:cs="宋体" w:eastAsia="宋体" w:hint="default"/>
                <w:sz w:val="18"/>
                <w:szCs w:val="18"/>
              </w:rPr>
              <w:t>累计投资收益</w:t>
            </w:r>
          </w:p>
        </w:tc>
        <w:tc>
          <w:tcPr>
            <w:tcW w:w="140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3"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1395"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0" w:right="0"/>
              <w:jc w:val="left"/>
              <w:rPr>
                <w:rFonts w:ascii="宋体" w:hAnsi="宋体" w:cs="宋体" w:eastAsia="宋体" w:hint="default"/>
                <w:sz w:val="18"/>
                <w:szCs w:val="18"/>
              </w:rPr>
            </w:pPr>
            <w:r>
              <w:rPr>
                <w:rFonts w:ascii="宋体" w:hAnsi="宋体" w:cs="宋体" w:eastAsia="宋体" w:hint="default"/>
                <w:sz w:val="18"/>
                <w:szCs w:val="18"/>
              </w:rPr>
              <w:t>资金来源</w:t>
            </w:r>
          </w:p>
        </w:tc>
      </w:tr>
      <w:tr>
        <w:trPr>
          <w:trHeight w:val="407" w:hRule="exact"/>
        </w:trPr>
        <w:tc>
          <w:tcPr>
            <w:tcW w:w="20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股票</w:t>
            </w:r>
          </w:p>
        </w:tc>
        <w:tc>
          <w:tcPr>
            <w:tcW w:w="13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48,301,822.56</w:t>
            </w:r>
          </w:p>
        </w:tc>
        <w:tc>
          <w:tcPr>
            <w:tcW w:w="1596" w:type="dxa"/>
            <w:tcBorders>
              <w:top w:val="single" w:sz="6" w:space="0" w:color="000000"/>
              <w:left w:val="single" w:sz="6" w:space="0" w:color="000000"/>
              <w:bottom w:val="single" w:sz="6" w:space="0" w:color="000000"/>
              <w:right w:val="single" w:sz="6" w:space="0" w:color="000000"/>
            </w:tcBorders>
          </w:tcPr>
          <w:p>
            <w:pPr/>
          </w:p>
        </w:tc>
        <w:tc>
          <w:tcPr>
            <w:tcW w:w="1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-6,112,736.38</w:t>
            </w:r>
          </w:p>
        </w:tc>
        <w:tc>
          <w:tcPr>
            <w:tcW w:w="1749"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42,189,086.18</w:t>
            </w: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-3,975,178.78</w:t>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0.00</w:t>
            </w:r>
          </w:p>
        </w:tc>
        <w:tc>
          <w:tcPr>
            <w:tcW w:w="13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自有资金</w:t>
            </w:r>
          </w:p>
        </w:tc>
      </w:tr>
      <w:tr>
        <w:trPr>
          <w:trHeight w:val="416" w:hRule="exact"/>
        </w:trPr>
        <w:tc>
          <w:tcPr>
            <w:tcW w:w="203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股票</w:t>
            </w:r>
          </w:p>
        </w:tc>
        <w:tc>
          <w:tcPr>
            <w:tcW w:w="131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486,307,188.54</w:t>
            </w:r>
          </w:p>
        </w:tc>
        <w:tc>
          <w:tcPr>
            <w:tcW w:w="1596" w:type="dxa"/>
            <w:tcBorders>
              <w:top w:val="single" w:sz="6" w:space="0" w:color="000000"/>
              <w:left w:val="single" w:sz="6" w:space="0" w:color="000000"/>
              <w:bottom w:val="single" w:sz="12" w:space="0" w:color="000000"/>
              <w:right w:val="single" w:sz="6" w:space="0" w:color="000000"/>
            </w:tcBorders>
          </w:tcPr>
          <w:p>
            <w:pPr/>
          </w:p>
        </w:tc>
        <w:tc>
          <w:tcPr>
            <w:tcW w:w="172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4,089,540,319.67</w:t>
            </w:r>
          </w:p>
        </w:tc>
        <w:tc>
          <w:tcPr>
            <w:tcW w:w="1749" w:type="dxa"/>
            <w:tcBorders>
              <w:top w:val="single" w:sz="6" w:space="0" w:color="000000"/>
              <w:left w:val="single" w:sz="6" w:space="0" w:color="000000"/>
              <w:bottom w:val="single" w:sz="12" w:space="0" w:color="000000"/>
              <w:right w:val="single" w:sz="6" w:space="0" w:color="000000"/>
            </w:tcBorders>
          </w:tcPr>
          <w:p>
            <w:pPr/>
          </w:p>
        </w:tc>
        <w:tc>
          <w:tcPr>
            <w:tcW w:w="14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467,154,504.23</w:t>
            </w:r>
          </w:p>
        </w:tc>
        <w:tc>
          <w:tcPr>
            <w:tcW w:w="140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333,869,203.32</w:t>
            </w:r>
          </w:p>
        </w:tc>
        <w:tc>
          <w:tcPr>
            <w:tcW w:w="14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4,556,104,587.97</w:t>
            </w:r>
          </w:p>
        </w:tc>
        <w:tc>
          <w:tcPr>
            <w:tcW w:w="139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自有资金</w:t>
            </w:r>
          </w:p>
        </w:tc>
      </w:tr>
    </w:tbl>
    <w:p>
      <w:pPr>
        <w:spacing w:after="0" w:line="240" w:lineRule="auto"/>
        <w:jc w:val="left"/>
        <w:rPr>
          <w:rFonts w:ascii="宋体" w:hAnsi="宋体" w:cs="宋体" w:eastAsia="宋体" w:hint="default"/>
          <w:sz w:val="18"/>
          <w:szCs w:val="18"/>
        </w:rPr>
        <w:sectPr>
          <w:headerReference w:type="default" r:id="rId16"/>
          <w:footerReference w:type="default" r:id="rId17"/>
          <w:pgSz w:w="16840" w:h="11910" w:orient="landscape"/>
          <w:pgMar w:header="867" w:footer="979" w:top="1060" w:bottom="1160" w:left="1280" w:right="0"/>
          <w:pgNumType w:start="35"/>
        </w:sectPr>
      </w:pPr>
    </w:p>
    <w:p>
      <w:pPr>
        <w:spacing w:line="240" w:lineRule="auto" w:before="12"/>
        <w:rPr>
          <w:rFonts w:ascii="宋体" w:hAnsi="宋体" w:cs="宋体" w:eastAsia="宋体" w:hint="default"/>
          <w:sz w:val="2"/>
          <w:szCs w:val="2"/>
        </w:rPr>
      </w:pPr>
    </w:p>
    <w:p>
      <w:pPr>
        <w:spacing w:line="20" w:lineRule="exact"/>
        <w:ind w:left="12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tbl>
      <w:tblPr>
        <w:tblW w:w="0" w:type="auto"/>
        <w:jc w:val="left"/>
        <w:tblInd w:w="116" w:type="dxa"/>
        <w:tblLayout w:type="fixed"/>
        <w:tblCellMar>
          <w:top w:w="0" w:type="dxa"/>
          <w:left w:w="0" w:type="dxa"/>
          <w:bottom w:w="0" w:type="dxa"/>
          <w:right w:w="0" w:type="dxa"/>
        </w:tblCellMar>
        <w:tblLook w:val="01E0"/>
      </w:tblPr>
      <w:tblGrid>
        <w:gridCol w:w="2022"/>
        <w:gridCol w:w="1322"/>
        <w:gridCol w:w="1596"/>
        <w:gridCol w:w="1727"/>
        <w:gridCol w:w="1749"/>
        <w:gridCol w:w="1402"/>
        <w:gridCol w:w="1400"/>
        <w:gridCol w:w="1402"/>
        <w:gridCol w:w="1395"/>
      </w:tblGrid>
      <w:tr>
        <w:trPr>
          <w:trHeight w:val="422" w:hRule="exact"/>
        </w:trPr>
        <w:tc>
          <w:tcPr>
            <w:tcW w:w="2022" w:type="dxa"/>
            <w:tcBorders>
              <w:top w:val="single" w:sz="12"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22" w:type="dxa"/>
            <w:tcBorders>
              <w:top w:val="single" w:sz="12" w:space="0" w:color="000000"/>
              <w:left w:val="single" w:sz="14" w:space="0" w:color="D2D2D2"/>
              <w:bottom w:val="single" w:sz="12" w:space="0" w:color="000000"/>
              <w:right w:val="single" w:sz="6" w:space="0" w:color="000000"/>
            </w:tcBorders>
          </w:tcPr>
          <w:p>
            <w:pPr>
              <w:pStyle w:val="TableParagraph"/>
              <w:spacing w:line="240" w:lineRule="auto" w:before="91"/>
              <w:ind w:left="158" w:right="0"/>
              <w:jc w:val="left"/>
              <w:rPr>
                <w:rFonts w:ascii="Times New Roman" w:hAnsi="Times New Roman" w:cs="Times New Roman" w:eastAsia="Times New Roman" w:hint="default"/>
                <w:sz w:val="18"/>
                <w:szCs w:val="18"/>
              </w:rPr>
            </w:pPr>
            <w:r>
              <w:rPr>
                <w:rFonts w:ascii="Times New Roman"/>
                <w:sz w:val="18"/>
              </w:rPr>
              <w:t>534,609,011.10</w:t>
            </w:r>
          </w:p>
        </w:tc>
        <w:tc>
          <w:tcPr>
            <w:tcW w:w="159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172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91"/>
              <w:ind w:left="431" w:right="0"/>
              <w:jc w:val="left"/>
              <w:rPr>
                <w:rFonts w:ascii="Times New Roman" w:hAnsi="Times New Roman" w:cs="Times New Roman" w:eastAsia="Times New Roman" w:hint="default"/>
                <w:sz w:val="18"/>
                <w:szCs w:val="18"/>
              </w:rPr>
            </w:pPr>
            <w:r>
              <w:rPr>
                <w:rFonts w:ascii="Times New Roman"/>
                <w:sz w:val="18"/>
              </w:rPr>
              <w:t>4,083,427,583.29</w:t>
            </w:r>
          </w:p>
        </w:tc>
        <w:tc>
          <w:tcPr>
            <w:tcW w:w="174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c>
          <w:tcPr>
            <w:tcW w:w="140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91"/>
              <w:ind w:left="242" w:right="0"/>
              <w:jc w:val="left"/>
              <w:rPr>
                <w:rFonts w:ascii="Times New Roman" w:hAnsi="Times New Roman" w:cs="Times New Roman" w:eastAsia="Times New Roman" w:hint="default"/>
                <w:sz w:val="18"/>
                <w:szCs w:val="18"/>
              </w:rPr>
            </w:pPr>
            <w:r>
              <w:rPr>
                <w:rFonts w:ascii="Times New Roman"/>
                <w:sz w:val="18"/>
              </w:rPr>
              <w:t>509,343,590.41</w:t>
            </w:r>
          </w:p>
        </w:tc>
        <w:tc>
          <w:tcPr>
            <w:tcW w:w="140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91"/>
              <w:ind w:left="241" w:right="0"/>
              <w:jc w:val="left"/>
              <w:rPr>
                <w:rFonts w:ascii="Times New Roman" w:hAnsi="Times New Roman" w:cs="Times New Roman" w:eastAsia="Times New Roman" w:hint="default"/>
                <w:sz w:val="18"/>
                <w:szCs w:val="18"/>
              </w:rPr>
            </w:pPr>
            <w:r>
              <w:rPr>
                <w:rFonts w:ascii="Times New Roman"/>
                <w:sz w:val="18"/>
              </w:rPr>
              <w:t>329,894,024.54</w:t>
            </w:r>
          </w:p>
        </w:tc>
        <w:tc>
          <w:tcPr>
            <w:tcW w:w="140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91"/>
              <w:ind w:left="106" w:right="0"/>
              <w:jc w:val="left"/>
              <w:rPr>
                <w:rFonts w:ascii="Times New Roman" w:hAnsi="Times New Roman" w:cs="Times New Roman" w:eastAsia="Times New Roman" w:hint="default"/>
                <w:sz w:val="18"/>
                <w:szCs w:val="18"/>
              </w:rPr>
            </w:pPr>
            <w:r>
              <w:rPr>
                <w:rFonts w:ascii="Times New Roman"/>
                <w:sz w:val="18"/>
              </w:rPr>
              <w:t>4,556,104,587.97</w:t>
            </w:r>
          </w:p>
        </w:tc>
        <w:tc>
          <w:tcPr>
            <w:tcW w:w="1395" w:type="dxa"/>
            <w:tcBorders>
              <w:top w:val="single" w:sz="12" w:space="0" w:color="000000"/>
              <w:left w:val="single" w:sz="6" w:space="0" w:color="000000"/>
              <w:bottom w:val="single" w:sz="12" w:space="0" w:color="000000"/>
              <w:right w:val="single" w:sz="12" w:space="0" w:color="000000"/>
            </w:tcBorders>
            <w:shd w:val="clear" w:color="auto" w:fill="D2D2D2"/>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12"/>
        <w:rPr>
          <w:rFonts w:ascii="宋体" w:hAnsi="宋体" w:cs="宋体" w:eastAsia="宋体" w:hint="default"/>
          <w:sz w:val="19"/>
          <w:szCs w:val="19"/>
        </w:rPr>
      </w:pPr>
    </w:p>
    <w:p>
      <w:pPr>
        <w:pStyle w:val="Heading6"/>
        <w:spacing w:line="240" w:lineRule="auto" w:before="35"/>
        <w:ind w:left="160" w:right="0"/>
        <w:jc w:val="left"/>
        <w:rPr>
          <w:b w:val="0"/>
          <w:bCs w:val="0"/>
        </w:rPr>
      </w:pPr>
      <w:bookmarkStart w:name="5、募集资金使用情况" w:id="49"/>
      <w:bookmarkEnd w:id="49"/>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8"/>
        <w:rPr>
          <w:rFonts w:ascii="宋体" w:hAnsi="宋体" w:cs="宋体" w:eastAsia="宋体" w:hint="default"/>
          <w:b/>
          <w:bCs/>
          <w:sz w:val="26"/>
          <w:szCs w:val="26"/>
        </w:rPr>
      </w:pPr>
    </w:p>
    <w:p>
      <w:pPr>
        <w:spacing w:before="0"/>
        <w:ind w:left="16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6"/>
        <w:spacing w:line="240" w:lineRule="auto"/>
        <w:ind w:left="160" w:right="0"/>
        <w:jc w:val="left"/>
        <w:rPr>
          <w:b w:val="0"/>
          <w:bCs w:val="0"/>
        </w:rPr>
      </w:pPr>
      <w:bookmarkStart w:name="（1）募集资金总体使用情况" w:id="50"/>
      <w:bookmarkEnd w:id="50"/>
      <w:r>
        <w:rPr>
          <w:b w:val="0"/>
          <w:bCs w:val="0"/>
        </w:rPr>
      </w: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4"/>
        <w:rPr>
          <w:rFonts w:ascii="宋体" w:hAnsi="宋体" w:cs="宋体" w:eastAsia="宋体" w:hint="default"/>
          <w:b/>
          <w:bCs/>
          <w:sz w:val="23"/>
          <w:szCs w:val="23"/>
        </w:rPr>
      </w:pPr>
    </w:p>
    <w:p>
      <w:pPr>
        <w:spacing w:before="44"/>
        <w:ind w:left="16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436"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spacing w:before="44"/>
        <w:ind w:left="0" w:right="1356" w:firstLine="0"/>
        <w:jc w:val="right"/>
        <w:rPr>
          <w:rFonts w:ascii="宋体" w:hAnsi="宋体" w:cs="宋体" w:eastAsia="宋体" w:hint="default"/>
          <w:sz w:val="18"/>
          <w:szCs w:val="18"/>
        </w:rPr>
      </w:pPr>
      <w:r>
        <w:rPr/>
        <w:pict>
          <v:shape style="position:absolute;margin-left:69.839996pt;margin-top:-208.068283pt;width:703pt;height:275.7pt;mso-position-horizontal-relative:page;mso-position-vertical-relative:paragraph;z-index:12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22"/>
                    <w:gridCol w:w="1136"/>
                    <w:gridCol w:w="1415"/>
                    <w:gridCol w:w="1276"/>
                    <w:gridCol w:w="1278"/>
                    <w:gridCol w:w="1132"/>
                    <w:gridCol w:w="1276"/>
                    <w:gridCol w:w="1278"/>
                    <w:gridCol w:w="991"/>
                    <w:gridCol w:w="2128"/>
                    <w:gridCol w:w="1084"/>
                  </w:tblGrid>
                  <w:tr>
                    <w:trPr>
                      <w:trHeight w:val="1039" w:hRule="exact"/>
                    </w:trPr>
                    <w:tc>
                      <w:tcPr>
                        <w:tcW w:w="1022"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35"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113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募集方式</w:t>
                        </w:r>
                      </w:p>
                    </w:tc>
                    <w:tc>
                      <w:tcPr>
                        <w:tcW w:w="141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0" w:right="0"/>
                          <w:jc w:val="left"/>
                          <w:rPr>
                            <w:rFonts w:ascii="宋体" w:hAnsi="宋体" w:cs="宋体" w:eastAsia="宋体" w:hint="default"/>
                            <w:sz w:val="18"/>
                            <w:szCs w:val="18"/>
                          </w:rPr>
                        </w:pPr>
                        <w:r>
                          <w:rPr>
                            <w:rFonts w:ascii="宋体" w:hAnsi="宋体" w:cs="宋体" w:eastAsia="宋体" w:hint="default"/>
                            <w:sz w:val="18"/>
                            <w:szCs w:val="18"/>
                          </w:rPr>
                          <w:t>募集资金总额</w:t>
                        </w:r>
                      </w:p>
                    </w:tc>
                    <w:tc>
                      <w:tcPr>
                        <w:tcW w:w="127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1" w:right="89" w:hanging="90"/>
                          <w:jc w:val="left"/>
                          <w:rPr>
                            <w:rFonts w:ascii="宋体" w:hAnsi="宋体" w:cs="宋体" w:eastAsia="宋体" w:hint="default"/>
                            <w:sz w:val="18"/>
                            <w:szCs w:val="18"/>
                          </w:rPr>
                        </w:pPr>
                        <w:r>
                          <w:rPr>
                            <w:rFonts w:ascii="宋体" w:hAnsi="宋体" w:cs="宋体" w:eastAsia="宋体" w:hint="default"/>
                            <w:sz w:val="18"/>
                            <w:szCs w:val="18"/>
                          </w:rPr>
                          <w:t>本期已使用募 集资金总额</w:t>
                        </w:r>
                      </w:p>
                    </w:tc>
                    <w:tc>
                      <w:tcPr>
                        <w:tcW w:w="127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1" w:right="90" w:hanging="90"/>
                          <w:jc w:val="left"/>
                          <w:rPr>
                            <w:rFonts w:ascii="宋体" w:hAnsi="宋体" w:cs="宋体" w:eastAsia="宋体" w:hint="default"/>
                            <w:sz w:val="18"/>
                            <w:szCs w:val="18"/>
                          </w:rPr>
                        </w:pPr>
                        <w:r>
                          <w:rPr>
                            <w:rFonts w:ascii="宋体" w:hAnsi="宋体" w:cs="宋体" w:eastAsia="宋体" w:hint="default"/>
                            <w:sz w:val="18"/>
                            <w:szCs w:val="18"/>
                          </w:rPr>
                          <w:t>已累计使用募 集资金总额</w:t>
                        </w:r>
                      </w:p>
                    </w:tc>
                    <w:tc>
                      <w:tcPr>
                        <w:tcW w:w="113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9" w:lineRule="auto" w:before="51"/>
                          <w:ind w:left="107" w:right="107"/>
                          <w:jc w:val="both"/>
                          <w:rPr>
                            <w:rFonts w:ascii="宋体" w:hAnsi="宋体" w:cs="宋体" w:eastAsia="宋体" w:hint="default"/>
                            <w:sz w:val="18"/>
                            <w:szCs w:val="18"/>
                          </w:rPr>
                        </w:pPr>
                        <w:r>
                          <w:rPr>
                            <w:rFonts w:ascii="宋体" w:hAnsi="宋体" w:cs="宋体" w:eastAsia="宋体" w:hint="default"/>
                            <w:sz w:val="18"/>
                            <w:szCs w:val="18"/>
                          </w:rPr>
                          <w:t>报告期内变 更用途的募 集资金总额</w:t>
                        </w:r>
                      </w:p>
                    </w:tc>
                    <w:tc>
                      <w:tcPr>
                        <w:tcW w:w="127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9" w:lineRule="auto" w:before="51"/>
                          <w:ind w:left="91" w:right="89"/>
                          <w:jc w:val="center"/>
                          <w:rPr>
                            <w:rFonts w:ascii="宋体" w:hAnsi="宋体" w:cs="宋体" w:eastAsia="宋体" w:hint="default"/>
                            <w:sz w:val="18"/>
                            <w:szCs w:val="18"/>
                          </w:rPr>
                        </w:pPr>
                        <w:r>
                          <w:rPr>
                            <w:rFonts w:ascii="宋体" w:hAnsi="宋体" w:cs="宋体" w:eastAsia="宋体" w:hint="default"/>
                            <w:sz w:val="18"/>
                            <w:szCs w:val="18"/>
                          </w:rPr>
                          <w:t>累计变更用途 的募集资金总 额</w:t>
                        </w:r>
                      </w:p>
                    </w:tc>
                    <w:tc>
                      <w:tcPr>
                        <w:tcW w:w="127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9" w:lineRule="auto" w:before="51"/>
                          <w:ind w:left="91" w:right="90"/>
                          <w:jc w:val="center"/>
                          <w:rPr>
                            <w:rFonts w:ascii="宋体" w:hAnsi="宋体" w:cs="宋体" w:eastAsia="宋体" w:hint="default"/>
                            <w:sz w:val="18"/>
                            <w:szCs w:val="18"/>
                          </w:rPr>
                        </w:pPr>
                        <w:r>
                          <w:rPr>
                            <w:rFonts w:ascii="宋体" w:hAnsi="宋体" w:cs="宋体" w:eastAsia="宋体" w:hint="default"/>
                            <w:sz w:val="18"/>
                            <w:szCs w:val="18"/>
                          </w:rPr>
                          <w:t>累计变更用途 的募集资金总 额比例</w:t>
                        </w:r>
                      </w:p>
                    </w:tc>
                    <w:tc>
                      <w:tcPr>
                        <w:tcW w:w="991"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8" w:right="36"/>
                          <w:jc w:val="left"/>
                          <w:rPr>
                            <w:rFonts w:ascii="宋体" w:hAnsi="宋体" w:cs="宋体" w:eastAsia="宋体" w:hint="default"/>
                            <w:sz w:val="18"/>
                            <w:szCs w:val="18"/>
                          </w:rPr>
                        </w:pPr>
                        <w:r>
                          <w:rPr>
                            <w:rFonts w:ascii="宋体" w:hAnsi="宋体" w:cs="宋体" w:eastAsia="宋体" w:hint="default"/>
                            <w:sz w:val="18"/>
                            <w:szCs w:val="18"/>
                          </w:rPr>
                          <w:t>尚未使用募 集资金总额</w:t>
                        </w:r>
                      </w:p>
                    </w:tc>
                    <w:tc>
                      <w:tcPr>
                        <w:tcW w:w="212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877" w:right="64" w:hanging="810"/>
                          <w:jc w:val="left"/>
                          <w:rPr>
                            <w:rFonts w:ascii="宋体" w:hAnsi="宋体" w:cs="宋体" w:eastAsia="宋体" w:hint="default"/>
                            <w:sz w:val="18"/>
                            <w:szCs w:val="18"/>
                          </w:rPr>
                        </w:pPr>
                        <w:r>
                          <w:rPr>
                            <w:rFonts w:ascii="宋体" w:hAnsi="宋体" w:cs="宋体" w:eastAsia="宋体" w:hint="default"/>
                            <w:sz w:val="18"/>
                            <w:szCs w:val="18"/>
                          </w:rPr>
                          <w:t>尚未使用募集资金用途及 去向</w:t>
                        </w:r>
                      </w:p>
                    </w:tc>
                    <w:tc>
                      <w:tcPr>
                        <w:tcW w:w="1084"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319" w:lineRule="auto" w:before="51"/>
                          <w:ind w:left="83" w:right="77"/>
                          <w:jc w:val="center"/>
                          <w:rPr>
                            <w:rFonts w:ascii="宋体" w:hAnsi="宋体" w:cs="宋体" w:eastAsia="宋体" w:hint="default"/>
                            <w:sz w:val="18"/>
                            <w:szCs w:val="18"/>
                          </w:rPr>
                        </w:pPr>
                        <w:r>
                          <w:rPr>
                            <w:rFonts w:ascii="宋体" w:hAnsi="宋体" w:cs="宋体" w:eastAsia="宋体" w:hint="default"/>
                            <w:sz w:val="18"/>
                            <w:szCs w:val="18"/>
                          </w:rPr>
                          <w:t>闲置两年以 上募集资金 金额</w:t>
                        </w:r>
                      </w:p>
                    </w:tc>
                  </w:tr>
                  <w:tr>
                    <w:trPr>
                      <w:trHeight w:val="1655" w:hRule="exact"/>
                    </w:trPr>
                    <w:tc>
                      <w:tcPr>
                        <w:tcW w:w="10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3" w:right="0"/>
                          <w:jc w:val="left"/>
                          <w:rPr>
                            <w:rFonts w:ascii="Times New Roman" w:hAnsi="Times New Roman" w:cs="Times New Roman" w:eastAsia="Times New Roman" w:hint="default"/>
                            <w:sz w:val="18"/>
                            <w:szCs w:val="18"/>
                          </w:rPr>
                        </w:pPr>
                        <w:r>
                          <w:rPr>
                            <w:rFonts w:ascii="Times New Roman"/>
                            <w:sz w:val="18"/>
                          </w:rPr>
                          <w:t>2015</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0" w:right="18"/>
                          <w:jc w:val="both"/>
                          <w:rPr>
                            <w:rFonts w:ascii="宋体" w:hAnsi="宋体" w:cs="宋体" w:eastAsia="宋体" w:hint="default"/>
                            <w:sz w:val="18"/>
                            <w:szCs w:val="18"/>
                          </w:rPr>
                        </w:pPr>
                        <w:r>
                          <w:rPr>
                            <w:rFonts w:ascii="宋体" w:hAnsi="宋体" w:cs="宋体" w:eastAsia="宋体" w:hint="default"/>
                            <w:sz w:val="18"/>
                            <w:szCs w:val="18"/>
                          </w:rPr>
                          <w:t>网下向询价对 象询价配售与 网上资金申购 发行相结合</w:t>
                        </w:r>
                      </w:p>
                    </w:tc>
                    <w:tc>
                      <w:tcPr>
                        <w:tcW w:w="14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133,037.96</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4,879.01</w:t>
                        </w:r>
                      </w:p>
                    </w:tc>
                    <w:tc>
                      <w:tcPr>
                        <w:tcW w:w="1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129,059.56</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31,314.44</w:t>
                        </w:r>
                      </w:p>
                    </w:tc>
                    <w:tc>
                      <w:tcPr>
                        <w:tcW w:w="1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23.54%</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209.53</w:t>
                        </w:r>
                      </w:p>
                    </w:tc>
                    <w:tc>
                      <w:tcPr>
                        <w:tcW w:w="2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pStyle w:val="TableParagraph"/>
                          <w:spacing w:line="312" w:lineRule="auto" w:before="61"/>
                          <w:ind w:left="21" w:right="18"/>
                          <w:jc w:val="left"/>
                          <w:rPr>
                            <w:rFonts w:ascii="宋体" w:hAnsi="宋体" w:cs="宋体" w:eastAsia="宋体" w:hint="default"/>
                            <w:sz w:val="18"/>
                            <w:szCs w:val="18"/>
                          </w:rPr>
                        </w:pPr>
                        <w:r>
                          <w:rPr>
                            <w:rFonts w:ascii="宋体" w:hAnsi="宋体" w:cs="宋体" w:eastAsia="宋体" w:hint="default"/>
                            <w:sz w:val="18"/>
                            <w:szCs w:val="18"/>
                          </w:rPr>
                          <w:t>募集资金余额为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209.53 </w:t>
                        </w:r>
                        <w:r>
                          <w:rPr>
                            <w:rFonts w:ascii="宋体" w:hAnsi="宋体" w:cs="宋体" w:eastAsia="宋体" w:hint="default"/>
                            <w:sz w:val="18"/>
                            <w:szCs w:val="18"/>
                          </w:rPr>
                          <w:t>万 </w:t>
                        </w:r>
                        <w:r>
                          <w:rPr>
                            <w:rFonts w:ascii="宋体" w:hAnsi="宋体" w:cs="宋体" w:eastAsia="宋体" w:hint="default"/>
                            <w:spacing w:val="-8"/>
                            <w:sz w:val="18"/>
                            <w:szCs w:val="18"/>
                          </w:rPr>
                          <w:t>元，全部为银行存款，其中</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以七天通知存款方式存放 的金额为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 </w:t>
                        </w:r>
                        <w:r>
                          <w:rPr>
                            <w:rFonts w:ascii="宋体" w:hAnsi="宋体" w:cs="宋体" w:eastAsia="宋体" w:hint="default"/>
                            <w:sz w:val="18"/>
                            <w:szCs w:val="18"/>
                          </w:rPr>
                          <w:t>万元。</w:t>
                        </w:r>
                      </w:p>
                    </w:tc>
                    <w:tc>
                      <w:tcPr>
                        <w:tcW w:w="10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0</w:t>
                        </w:r>
                      </w:p>
                    </w:tc>
                  </w:tr>
                  <w:tr>
                    <w:trPr>
                      <w:trHeight w:val="407" w:hRule="exact"/>
                    </w:trPr>
                    <w:tc>
                      <w:tcPr>
                        <w:tcW w:w="1022"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1415" w:type="dxa"/>
                        <w:tcBorders>
                          <w:top w:val="single" w:sz="6" w:space="0" w:color="000000"/>
                          <w:left w:val="single" w:sz="8" w:space="0" w:color="D2D2D2"/>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133,037.96</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4,879.01</w:t>
                        </w:r>
                      </w:p>
                    </w:tc>
                    <w:tc>
                      <w:tcPr>
                        <w:tcW w:w="1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129,059.56</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31,314.44</w:t>
                        </w:r>
                      </w:p>
                    </w:tc>
                    <w:tc>
                      <w:tcPr>
                        <w:tcW w:w="1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23.54%</w:t>
                        </w:r>
                      </w:p>
                    </w:tc>
                    <w:tc>
                      <w:tcPr>
                        <w:tcW w:w="991" w:type="dxa"/>
                        <w:tcBorders>
                          <w:top w:val="single" w:sz="6" w:space="0" w:color="000000"/>
                          <w:left w:val="single" w:sz="6" w:space="0" w:color="000000"/>
                          <w:bottom w:val="single" w:sz="6" w:space="0" w:color="000000"/>
                          <w:right w:val="single" w:sz="14" w:space="0" w:color="D2D2D2"/>
                        </w:tcBorders>
                      </w:tcPr>
                      <w:p>
                        <w:pPr>
                          <w:pStyle w:val="TableParagraph"/>
                          <w:spacing w:line="240" w:lineRule="auto" w:before="92"/>
                          <w:ind w:right="6"/>
                          <w:jc w:val="right"/>
                          <w:rPr>
                            <w:rFonts w:ascii="Times New Roman" w:hAnsi="Times New Roman" w:cs="Times New Roman" w:eastAsia="Times New Roman" w:hint="default"/>
                            <w:sz w:val="18"/>
                            <w:szCs w:val="18"/>
                          </w:rPr>
                        </w:pPr>
                        <w:r>
                          <w:rPr>
                            <w:rFonts w:ascii="Times New Roman"/>
                            <w:sz w:val="18"/>
                          </w:rPr>
                          <w:t>209.53</w:t>
                        </w:r>
                      </w:p>
                    </w:tc>
                    <w:tc>
                      <w:tcPr>
                        <w:tcW w:w="2128"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1084"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2"/>
                          <w:ind w:right="11"/>
                          <w:jc w:val="right"/>
                          <w:rPr>
                            <w:rFonts w:ascii="Times New Roman" w:hAnsi="Times New Roman" w:cs="Times New Roman" w:eastAsia="Times New Roman" w:hint="default"/>
                            <w:sz w:val="18"/>
                            <w:szCs w:val="18"/>
                          </w:rPr>
                        </w:pPr>
                        <w:r>
                          <w:rPr>
                            <w:rFonts w:ascii="Times New Roman"/>
                            <w:sz w:val="18"/>
                          </w:rPr>
                          <w:t>0</w:t>
                        </w:r>
                      </w:p>
                    </w:tc>
                  </w:tr>
                  <w:tr>
                    <w:trPr>
                      <w:trHeight w:val="407" w:hRule="exact"/>
                    </w:trPr>
                    <w:tc>
                      <w:tcPr>
                        <w:tcW w:w="14015" w:type="dxa"/>
                        <w:gridSpan w:val="11"/>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1975" w:hRule="exact"/>
                    </w:trPr>
                    <w:tc>
                      <w:tcPr>
                        <w:tcW w:w="14015" w:type="dxa"/>
                        <w:gridSpan w:val="11"/>
                        <w:tcBorders>
                          <w:top w:val="single" w:sz="6" w:space="0" w:color="000000"/>
                          <w:left w:val="single" w:sz="12" w:space="0" w:color="000000"/>
                          <w:bottom w:val="single" w:sz="12" w:space="0" w:color="000000"/>
                          <w:right w:val="single" w:sz="12" w:space="0" w:color="000000"/>
                        </w:tcBorders>
                      </w:tcPr>
                      <w:p>
                        <w:pPr>
                          <w:pStyle w:val="TableParagraph"/>
                          <w:spacing w:line="240" w:lineRule="auto" w:before="51"/>
                          <w:ind w:left="1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经中国证券监督管理委员会证监许可（</w:t>
                        </w:r>
                        <w:r>
                          <w:rPr>
                            <w:rFonts w:ascii="Times New Roman" w:hAnsi="Times New Roman" w:cs="Times New Roman" w:eastAsia="Times New Roman" w:hint="default"/>
                            <w:sz w:val="18"/>
                            <w:szCs w:val="18"/>
                          </w:rPr>
                          <w:t>2015</w:t>
                        </w:r>
                        <w:r>
                          <w:rPr>
                            <w:rFonts w:ascii="宋体" w:hAnsi="宋体" w:cs="宋体" w:eastAsia="宋体" w:hint="default"/>
                            <w:sz w:val="18"/>
                            <w:szCs w:val="18"/>
                          </w:rPr>
                          <w:t>）</w:t>
                        </w:r>
                        <w:r>
                          <w:rPr>
                            <w:rFonts w:ascii="Times New Roman" w:hAnsi="Times New Roman" w:cs="Times New Roman" w:eastAsia="Times New Roman" w:hint="default"/>
                            <w:sz w:val="18"/>
                            <w:szCs w:val="18"/>
                          </w:rPr>
                          <w:t>16 </w:t>
                        </w:r>
                        <w:r>
                          <w:rPr>
                            <w:rFonts w:ascii="宋体" w:hAnsi="宋体" w:cs="宋体" w:eastAsia="宋体" w:hint="default"/>
                            <w:sz w:val="18"/>
                            <w:szCs w:val="18"/>
                          </w:rPr>
                          <w:t>号文《关于核准北京昆仑万维科技股份有限公司首次公开发行股票的批复》核准，公司向社会公开发行人民币普通股股票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7,000</w:t>
                        </w:r>
                      </w:p>
                      <w:p>
                        <w:pPr>
                          <w:pStyle w:val="TableParagraph"/>
                          <w:spacing w:line="240" w:lineRule="auto" w:before="61"/>
                          <w:ind w:left="13" w:right="0"/>
                          <w:jc w:val="left"/>
                          <w:rPr>
                            <w:rFonts w:ascii="宋体" w:hAnsi="宋体" w:cs="宋体" w:eastAsia="宋体" w:hint="default"/>
                            <w:sz w:val="18"/>
                            <w:szCs w:val="18"/>
                          </w:rPr>
                        </w:pPr>
                        <w:r>
                          <w:rPr>
                            <w:rFonts w:ascii="宋体" w:hAnsi="宋体" w:cs="宋体" w:eastAsia="宋体" w:hint="default"/>
                            <w:sz w:val="18"/>
                            <w:szCs w:val="18"/>
                          </w:rPr>
                          <w:t>万股，发行方式为采用网下向询价对象询价配售与网上资金申购发行相结合的方式，每股发行价格为人民币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日止，公司募集资金总额为人民币</w:t>
                        </w:r>
                      </w:p>
                      <w:p>
                        <w:pPr>
                          <w:pStyle w:val="TableParagraph"/>
                          <w:spacing w:line="240" w:lineRule="auto" w:before="63"/>
                          <w:ind w:left="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1,421,000,000.00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元，扣除承销费用人民币</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80,500,000.00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元后，已缴入募集的股款为人民币</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1,340,500,000.00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元。同时扣除公司为本次股票发行所支付的预付保荐费、发行手续费</w:t>
                        </w:r>
                      </w:p>
                      <w:p>
                        <w:pPr>
                          <w:pStyle w:val="TableParagraph"/>
                          <w:spacing w:line="240" w:lineRule="auto" w:before="63"/>
                          <w:ind w:left="1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审计评估费</w:t>
                        </w:r>
                        <w:r>
                          <w:rPr>
                            <w:rFonts w:ascii="宋体" w:hAnsi="宋体" w:cs="宋体" w:eastAsia="宋体" w:hint="default"/>
                            <w:spacing w:val="-85"/>
                            <w:sz w:val="18"/>
                            <w:szCs w:val="18"/>
                          </w:rPr>
                          <w:t>、</w:t>
                        </w:r>
                        <w:r>
                          <w:rPr>
                            <w:rFonts w:ascii="宋体" w:hAnsi="宋体" w:cs="宋体" w:eastAsia="宋体" w:hint="default"/>
                            <w:sz w:val="18"/>
                            <w:szCs w:val="18"/>
                          </w:rPr>
                          <w:t>律师费等费用合计人民币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10,120,400.00 </w:t>
                        </w:r>
                        <w:r>
                          <w:rPr>
                            <w:rFonts w:ascii="宋体" w:hAnsi="宋体" w:cs="宋体" w:eastAsia="宋体" w:hint="default"/>
                            <w:sz w:val="18"/>
                            <w:szCs w:val="18"/>
                          </w:rPr>
                          <w:t>元</w:t>
                        </w:r>
                        <w:r>
                          <w:rPr>
                            <w:rFonts w:ascii="宋体" w:hAnsi="宋体" w:cs="宋体" w:eastAsia="宋体" w:hint="default"/>
                            <w:spacing w:val="-85"/>
                            <w:sz w:val="18"/>
                            <w:szCs w:val="18"/>
                          </w:rPr>
                          <w:t>，</w:t>
                        </w:r>
                        <w:r>
                          <w:rPr>
                            <w:rFonts w:ascii="宋体" w:hAnsi="宋体" w:cs="宋体" w:eastAsia="宋体" w:hint="default"/>
                            <w:spacing w:val="-2"/>
                            <w:sz w:val="18"/>
                            <w:szCs w:val="18"/>
                          </w:rPr>
                          <w:t>实</w:t>
                        </w:r>
                        <w:r>
                          <w:rPr>
                            <w:rFonts w:ascii="宋体" w:hAnsi="宋体" w:cs="宋体" w:eastAsia="宋体" w:hint="default"/>
                            <w:sz w:val="18"/>
                            <w:szCs w:val="18"/>
                          </w:rPr>
                          <w:t>际募集股款为人民币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1,330,3</w:t>
                        </w:r>
                        <w:r>
                          <w:rPr>
                            <w:rFonts w:ascii="Times New Roman" w:hAnsi="Times New Roman" w:cs="Times New Roman" w:eastAsia="Times New Roman" w:hint="default"/>
                            <w:spacing w:val="-2"/>
                            <w:sz w:val="18"/>
                            <w:szCs w:val="18"/>
                          </w:rPr>
                          <w:t>7</w:t>
                        </w:r>
                        <w:r>
                          <w:rPr>
                            <w:rFonts w:ascii="Times New Roman" w:hAnsi="Times New Roman" w:cs="Times New Roman" w:eastAsia="Times New Roman" w:hint="default"/>
                            <w:sz w:val="18"/>
                            <w:szCs w:val="18"/>
                          </w:rPr>
                          <w:t>9,600.00 </w:t>
                        </w:r>
                        <w:r>
                          <w:rPr>
                            <w:rFonts w:ascii="宋体" w:hAnsi="宋体" w:cs="宋体" w:eastAsia="宋体" w:hint="default"/>
                            <w:sz w:val="18"/>
                            <w:szCs w:val="18"/>
                          </w:rPr>
                          <w:t>元</w:t>
                        </w:r>
                        <w:r>
                          <w:rPr>
                            <w:rFonts w:ascii="宋体" w:hAnsi="宋体" w:cs="宋体" w:eastAsia="宋体" w:hint="default"/>
                            <w:spacing w:val="-85"/>
                            <w:sz w:val="18"/>
                            <w:szCs w:val="18"/>
                          </w:rPr>
                          <w:t>。</w:t>
                        </w:r>
                        <w:r>
                          <w:rPr>
                            <w:rFonts w:ascii="宋体" w:hAnsi="宋体" w:cs="宋体" w:eastAsia="宋体" w:hint="default"/>
                            <w:spacing w:val="-2"/>
                            <w:sz w:val="18"/>
                            <w:szCs w:val="18"/>
                          </w:rPr>
                          <w:t>上</w:t>
                        </w:r>
                        <w:r>
                          <w:rPr>
                            <w:rFonts w:ascii="宋体" w:hAnsi="宋体" w:cs="宋体" w:eastAsia="宋体" w:hint="default"/>
                            <w:sz w:val="18"/>
                            <w:szCs w:val="18"/>
                          </w:rPr>
                          <w:t>述资金到位情况业经立信会计师事务所进行审计</w:t>
                        </w:r>
                        <w:r>
                          <w:rPr>
                            <w:rFonts w:ascii="宋体" w:hAnsi="宋体" w:cs="宋体" w:eastAsia="宋体" w:hint="default"/>
                            <w:spacing w:val="-85"/>
                            <w:sz w:val="18"/>
                            <w:szCs w:val="18"/>
                          </w:rPr>
                          <w:t>，</w:t>
                        </w:r>
                        <w:r>
                          <w:rPr>
                            <w:rFonts w:ascii="宋体" w:hAnsi="宋体" w:cs="宋体" w:eastAsia="宋体" w:hint="default"/>
                            <w:sz w:val="18"/>
                            <w:szCs w:val="18"/>
                          </w:rPr>
                          <w:t>并出具了信会师报字</w:t>
                        </w:r>
                        <w:r>
                          <w:rPr>
                            <w:rFonts w:ascii="Times New Roman" w:hAnsi="Times New Roman" w:cs="Times New Roman" w:eastAsia="Times New Roman" w:hint="default"/>
                            <w:sz w:val="18"/>
                            <w:szCs w:val="18"/>
                          </w:rPr>
                          <w:t>(2015)</w:t>
                        </w:r>
                      </w:p>
                      <w:p>
                        <w:pPr>
                          <w:pStyle w:val="TableParagraph"/>
                          <w:spacing w:line="240" w:lineRule="auto" w:before="63"/>
                          <w:ind w:left="13" w:right="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210007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号的验资报告。公司以前年度已使用资金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124,180.55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年度使用资金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4,879.01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日，募集资金已累计使用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129,059.56 </w:t>
                        </w:r>
                        <w:r>
                          <w:rPr>
                            <w:rFonts w:ascii="宋体" w:hAnsi="宋体" w:cs="宋体" w:eastAsia="宋体" w:hint="default"/>
                            <w:sz w:val="18"/>
                            <w:szCs w:val="18"/>
                          </w:rPr>
                          <w:t>万元，利息收</w:t>
                        </w:r>
                      </w:p>
                      <w:p>
                        <w:pPr>
                          <w:pStyle w:val="TableParagraph"/>
                          <w:spacing w:line="240" w:lineRule="auto" w:before="64"/>
                          <w:ind w:left="13" w:right="0"/>
                          <w:jc w:val="left"/>
                          <w:rPr>
                            <w:rFonts w:ascii="宋体" w:hAnsi="宋体" w:cs="宋体" w:eastAsia="宋体" w:hint="default"/>
                            <w:sz w:val="18"/>
                            <w:szCs w:val="18"/>
                          </w:rPr>
                        </w:pPr>
                        <w:r>
                          <w:rPr>
                            <w:rFonts w:ascii="宋体" w:hAnsi="宋体" w:cs="宋体" w:eastAsia="宋体" w:hint="default"/>
                            <w:sz w:val="18"/>
                            <w:szCs w:val="18"/>
                          </w:rPr>
                          <w:t>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1,787.43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万元，项目结束后结余资金补充流动资金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5,556.30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万元，募集资金余额为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209.53 </w:t>
                        </w:r>
                        <w:r>
                          <w:rPr>
                            <w:rFonts w:ascii="宋体" w:hAnsi="宋体" w:cs="宋体" w:eastAsia="宋体" w:hint="default"/>
                            <w:sz w:val="18"/>
                            <w:szCs w:val="18"/>
                          </w:rPr>
                          <w:t>万元。</w:t>
                        </w: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6840" w:h="11910" w:orient="landscape"/>
          <w:pgMar w:header="867" w:footer="979" w:top="1060" w:bottom="1160" w:left="1280" w:right="0"/>
        </w:sectPr>
      </w:pPr>
    </w:p>
    <w:p>
      <w:pPr>
        <w:spacing w:line="240" w:lineRule="auto" w:before="12"/>
        <w:rPr>
          <w:rFonts w:ascii="宋体" w:hAnsi="宋体" w:cs="宋体" w:eastAsia="宋体" w:hint="default"/>
          <w:sz w:val="2"/>
          <w:szCs w:val="2"/>
        </w:rPr>
      </w:pPr>
    </w:p>
    <w:p>
      <w:pPr>
        <w:spacing w:line="20" w:lineRule="exact"/>
        <w:ind w:left="12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p>
      <w:pPr>
        <w:pStyle w:val="Heading6"/>
        <w:spacing w:line="240" w:lineRule="auto"/>
        <w:ind w:left="160" w:right="0"/>
        <w:jc w:val="left"/>
        <w:rPr>
          <w:b w:val="0"/>
          <w:bCs w:val="0"/>
        </w:rPr>
      </w:pPr>
      <w:bookmarkStart w:name="（2）募集资金承诺项目情况" w:id="51"/>
      <w:bookmarkEnd w:id="51"/>
      <w:r>
        <w:rPr>
          <w:b w:val="0"/>
          <w:bCs w:val="0"/>
        </w:rPr>
      </w: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3"/>
        <w:rPr>
          <w:rFonts w:ascii="宋体" w:hAnsi="宋体" w:cs="宋体" w:eastAsia="宋体" w:hint="default"/>
          <w:b/>
          <w:bCs/>
          <w:sz w:val="23"/>
          <w:szCs w:val="23"/>
        </w:rPr>
      </w:pPr>
    </w:p>
    <w:p>
      <w:pPr>
        <w:spacing w:before="44"/>
        <w:ind w:left="16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436"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8"/>
          <w:szCs w:val="8"/>
        </w:rPr>
      </w:pPr>
    </w:p>
    <w:tbl>
      <w:tblPr>
        <w:tblW w:w="0" w:type="auto"/>
        <w:jc w:val="left"/>
        <w:tblInd w:w="116" w:type="dxa"/>
        <w:tblLayout w:type="fixed"/>
        <w:tblCellMar>
          <w:top w:w="0" w:type="dxa"/>
          <w:left w:w="0" w:type="dxa"/>
          <w:bottom w:w="0" w:type="dxa"/>
          <w:right w:w="0" w:type="dxa"/>
        </w:tblCellMar>
        <w:tblLook w:val="01E0"/>
      </w:tblPr>
      <w:tblGrid>
        <w:gridCol w:w="2439"/>
        <w:gridCol w:w="1272"/>
        <w:gridCol w:w="1156"/>
        <w:gridCol w:w="865"/>
        <w:gridCol w:w="961"/>
        <w:gridCol w:w="1276"/>
        <w:gridCol w:w="1132"/>
        <w:gridCol w:w="1476"/>
        <w:gridCol w:w="1152"/>
        <w:gridCol w:w="1141"/>
        <w:gridCol w:w="1145"/>
      </w:tblGrid>
      <w:tr>
        <w:trPr>
          <w:trHeight w:val="1038" w:hRule="exact"/>
        </w:trPr>
        <w:tc>
          <w:tcPr>
            <w:tcW w:w="2439"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4" w:right="0"/>
              <w:jc w:val="left"/>
              <w:rPr>
                <w:rFonts w:ascii="宋体" w:hAnsi="宋体" w:cs="宋体" w:eastAsia="宋体" w:hint="default"/>
                <w:sz w:val="18"/>
                <w:szCs w:val="18"/>
              </w:rPr>
            </w:pPr>
            <w:r>
              <w:rPr>
                <w:rFonts w:ascii="宋体" w:hAnsi="宋体" w:cs="宋体" w:eastAsia="宋体" w:hint="default"/>
                <w:sz w:val="18"/>
                <w:szCs w:val="18"/>
              </w:rPr>
              <w:t>承诺投资项目和超募资金投向</w:t>
            </w:r>
          </w:p>
        </w:tc>
        <w:tc>
          <w:tcPr>
            <w:tcW w:w="127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1" w:right="24" w:firstLine="60"/>
              <w:jc w:val="left"/>
              <w:rPr>
                <w:rFonts w:ascii="Times New Roman" w:hAnsi="Times New Roman" w:cs="Times New Roman" w:eastAsia="Times New Roman" w:hint="default"/>
                <w:sz w:val="18"/>
                <w:szCs w:val="18"/>
              </w:rPr>
            </w:pPr>
            <w:r>
              <w:rPr>
                <w:rFonts w:ascii="宋体" w:hAnsi="宋体" w:cs="宋体" w:eastAsia="宋体" w:hint="default"/>
                <w:sz w:val="18"/>
                <w:szCs w:val="18"/>
              </w:rPr>
              <w:t>是否已变更项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含部分变更</w:t>
            </w:r>
            <w:r>
              <w:rPr>
                <w:rFonts w:ascii="Times New Roman" w:hAnsi="Times New Roman" w:cs="Times New Roman" w:eastAsia="Times New Roman" w:hint="default"/>
                <w:sz w:val="18"/>
                <w:szCs w:val="18"/>
              </w:rPr>
              <w:t>)</w:t>
            </w:r>
          </w:p>
        </w:tc>
        <w:tc>
          <w:tcPr>
            <w:tcW w:w="115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1" w:right="29" w:hanging="180"/>
              <w:jc w:val="left"/>
              <w:rPr>
                <w:rFonts w:ascii="宋体" w:hAnsi="宋体" w:cs="宋体" w:eastAsia="宋体" w:hint="default"/>
                <w:sz w:val="18"/>
                <w:szCs w:val="18"/>
              </w:rPr>
            </w:pPr>
            <w:r>
              <w:rPr>
                <w:rFonts w:ascii="宋体" w:hAnsi="宋体" w:cs="宋体" w:eastAsia="宋体" w:hint="default"/>
                <w:sz w:val="18"/>
                <w:szCs w:val="18"/>
              </w:rPr>
              <w:t>募集资金承诺 投资总额</w:t>
            </w:r>
          </w:p>
        </w:tc>
        <w:tc>
          <w:tcPr>
            <w:tcW w:w="86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50" w:right="48" w:firstLine="14"/>
              <w:jc w:val="left"/>
              <w:rPr>
                <w:rFonts w:ascii="Times New Roman" w:hAnsi="Times New Roman" w:cs="Times New Roman" w:eastAsia="Times New Roman" w:hint="default"/>
                <w:sz w:val="18"/>
                <w:szCs w:val="18"/>
              </w:rPr>
            </w:pPr>
            <w:r>
              <w:rPr>
                <w:rFonts w:ascii="宋体" w:hAnsi="宋体" w:cs="宋体" w:eastAsia="宋体" w:hint="default"/>
                <w:sz w:val="18"/>
                <w:szCs w:val="18"/>
              </w:rPr>
              <w:t>调整后投 资总额</w:t>
            </w:r>
            <w:r>
              <w:rPr>
                <w:rFonts w:ascii="Times New Roman" w:hAnsi="Times New Roman" w:cs="Times New Roman" w:eastAsia="Times New Roman" w:hint="default"/>
                <w:sz w:val="18"/>
                <w:szCs w:val="18"/>
              </w:rPr>
              <w:t>(1)</w:t>
            </w:r>
          </w:p>
        </w:tc>
        <w:tc>
          <w:tcPr>
            <w:tcW w:w="961"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03" w:right="20" w:hanging="180"/>
              <w:jc w:val="left"/>
              <w:rPr>
                <w:rFonts w:ascii="宋体" w:hAnsi="宋体" w:cs="宋体" w:eastAsia="宋体" w:hint="default"/>
                <w:sz w:val="18"/>
                <w:szCs w:val="18"/>
              </w:rPr>
            </w:pPr>
            <w:r>
              <w:rPr>
                <w:rFonts w:ascii="宋体" w:hAnsi="宋体" w:cs="宋体" w:eastAsia="宋体" w:hint="default"/>
                <w:sz w:val="18"/>
                <w:szCs w:val="18"/>
              </w:rPr>
              <w:t>本报告期投 入金额</w:t>
            </w:r>
          </w:p>
        </w:tc>
        <w:tc>
          <w:tcPr>
            <w:tcW w:w="127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65" w:right="88" w:hanging="75"/>
              <w:jc w:val="left"/>
              <w:rPr>
                <w:rFonts w:ascii="Times New Roman" w:hAnsi="Times New Roman" w:cs="Times New Roman" w:eastAsia="Times New Roman" w:hint="default"/>
                <w:sz w:val="18"/>
                <w:szCs w:val="18"/>
              </w:rPr>
            </w:pPr>
            <w:r>
              <w:rPr>
                <w:rFonts w:ascii="宋体" w:hAnsi="宋体" w:cs="宋体" w:eastAsia="宋体" w:hint="default"/>
                <w:sz w:val="18"/>
                <w:szCs w:val="18"/>
              </w:rPr>
              <w:t>截至期末累计 投入金额</w:t>
            </w:r>
            <w:r>
              <w:rPr>
                <w:rFonts w:ascii="Times New Roman" w:hAnsi="Times New Roman" w:cs="Times New Roman" w:eastAsia="Times New Roman" w:hint="default"/>
                <w:sz w:val="18"/>
                <w:szCs w:val="18"/>
              </w:rPr>
              <w:t>(2)</w:t>
            </w:r>
          </w:p>
        </w:tc>
        <w:tc>
          <w:tcPr>
            <w:tcW w:w="113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28" w:lineRule="auto" w:before="51"/>
              <w:ind w:left="93" w:right="91" w:hanging="2"/>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截至期末投 资进度</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Times New Roman" w:hAnsi="Times New Roman" w:cs="Times New Roman" w:eastAsia="Times New Roman" w:hint="default"/>
                <w:sz w:val="18"/>
                <w:szCs w:val="18"/>
              </w:rPr>
              <w:t>(2)/(1)</w:t>
            </w:r>
          </w:p>
        </w:tc>
        <w:tc>
          <w:tcPr>
            <w:tcW w:w="147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92" w:right="97" w:hanging="90"/>
              <w:jc w:val="left"/>
              <w:rPr>
                <w:rFonts w:ascii="宋体" w:hAnsi="宋体" w:cs="宋体" w:eastAsia="宋体" w:hint="default"/>
                <w:sz w:val="18"/>
                <w:szCs w:val="18"/>
              </w:rPr>
            </w:pPr>
            <w:r>
              <w:rPr>
                <w:rFonts w:ascii="宋体" w:hAnsi="宋体" w:cs="宋体" w:eastAsia="宋体" w:hint="default"/>
                <w:sz w:val="18"/>
                <w:szCs w:val="18"/>
              </w:rPr>
              <w:t>项目达到预定可 使用状态日期</w:t>
            </w:r>
          </w:p>
        </w:tc>
        <w:tc>
          <w:tcPr>
            <w:tcW w:w="115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98" w:right="26" w:hanging="270"/>
              <w:jc w:val="left"/>
              <w:rPr>
                <w:rFonts w:ascii="宋体" w:hAnsi="宋体" w:cs="宋体" w:eastAsia="宋体" w:hint="default"/>
                <w:sz w:val="18"/>
                <w:szCs w:val="18"/>
              </w:rPr>
            </w:pPr>
            <w:r>
              <w:rPr>
                <w:rFonts w:ascii="宋体" w:hAnsi="宋体" w:cs="宋体" w:eastAsia="宋体" w:hint="default"/>
                <w:sz w:val="18"/>
                <w:szCs w:val="18"/>
              </w:rPr>
              <w:t>本报告期实现 的效益</w:t>
            </w:r>
          </w:p>
        </w:tc>
        <w:tc>
          <w:tcPr>
            <w:tcW w:w="1141"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80" w:right="23" w:hanging="360"/>
              <w:jc w:val="left"/>
              <w:rPr>
                <w:rFonts w:ascii="宋体" w:hAnsi="宋体" w:cs="宋体" w:eastAsia="宋体" w:hint="default"/>
                <w:sz w:val="18"/>
                <w:szCs w:val="18"/>
              </w:rPr>
            </w:pPr>
            <w:r>
              <w:rPr>
                <w:rFonts w:ascii="宋体" w:hAnsi="宋体" w:cs="宋体" w:eastAsia="宋体" w:hint="default"/>
                <w:sz w:val="18"/>
                <w:szCs w:val="18"/>
              </w:rPr>
              <w:t>是否达到预计 效益</w:t>
            </w:r>
          </w:p>
        </w:tc>
        <w:tc>
          <w:tcPr>
            <w:tcW w:w="1145"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316" w:lineRule="auto" w:before="51"/>
              <w:ind w:left="25" w:right="17"/>
              <w:jc w:val="center"/>
              <w:rPr>
                <w:rFonts w:ascii="宋体" w:hAnsi="宋体" w:cs="宋体" w:eastAsia="宋体" w:hint="default"/>
                <w:sz w:val="18"/>
                <w:szCs w:val="18"/>
              </w:rPr>
            </w:pPr>
            <w:r>
              <w:rPr>
                <w:rFonts w:ascii="宋体" w:hAnsi="宋体" w:cs="宋体" w:eastAsia="宋体" w:hint="default"/>
                <w:sz w:val="18"/>
                <w:szCs w:val="18"/>
              </w:rPr>
              <w:t>项目可行性是 否发生重大变 化</w:t>
            </w:r>
          </w:p>
        </w:tc>
      </w:tr>
      <w:tr>
        <w:trPr>
          <w:trHeight w:val="407" w:hRule="exact"/>
        </w:trPr>
        <w:tc>
          <w:tcPr>
            <w:tcW w:w="14015" w:type="dxa"/>
            <w:gridSpan w:val="11"/>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407" w:hRule="exact"/>
        </w:trPr>
        <w:tc>
          <w:tcPr>
            <w:tcW w:w="24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移动网络新游戏研发项目</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40,816</w:t>
            </w:r>
          </w:p>
        </w:tc>
        <w:tc>
          <w:tcPr>
            <w:tcW w:w="8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40,816</w:t>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4,879.01</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41,665.77</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102.08%</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49,508.85</w:t>
            </w:r>
          </w:p>
        </w:tc>
        <w:tc>
          <w:tcPr>
            <w:tcW w:w="11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14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7" w:hRule="exact"/>
        </w:trPr>
        <w:tc>
          <w:tcPr>
            <w:tcW w:w="24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网页游戏新产品研发项目</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19,445</w:t>
            </w:r>
          </w:p>
        </w:tc>
        <w:tc>
          <w:tcPr>
            <w:tcW w:w="8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19,445</w:t>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19,445</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100.00%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0.17</w:t>
            </w:r>
          </w:p>
        </w:tc>
        <w:tc>
          <w:tcPr>
            <w:tcW w:w="11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14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7" w:hRule="exact"/>
        </w:trPr>
        <w:tc>
          <w:tcPr>
            <w:tcW w:w="24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客户端网络代理项目</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17,903</w:t>
            </w:r>
          </w:p>
        </w:tc>
        <w:tc>
          <w:tcPr>
            <w:tcW w:w="8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17,903</w:t>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14,676.4</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81.98%</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0.13</w:t>
            </w:r>
          </w:p>
        </w:tc>
        <w:tc>
          <w:tcPr>
            <w:tcW w:w="11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14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7" w:hRule="exact"/>
        </w:trPr>
        <w:tc>
          <w:tcPr>
            <w:tcW w:w="24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移动网络游戏代理项目</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50,903</w:t>
            </w:r>
          </w:p>
        </w:tc>
        <w:tc>
          <w:tcPr>
            <w:tcW w:w="8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19,588.56</w:t>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19,588.56</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100.00%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2,457.31</w:t>
            </w:r>
          </w:p>
        </w:tc>
        <w:tc>
          <w:tcPr>
            <w:tcW w:w="11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14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7" w:hRule="exact"/>
        </w:trPr>
        <w:tc>
          <w:tcPr>
            <w:tcW w:w="24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网页游戏代理项目</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3,970.96</w:t>
            </w:r>
          </w:p>
        </w:tc>
        <w:tc>
          <w:tcPr>
            <w:tcW w:w="8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3,970.96</w:t>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3,970.96</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100.00%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w:t>
            </w:r>
          </w:p>
        </w:tc>
        <w:tc>
          <w:tcPr>
            <w:tcW w:w="11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14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9" w:hRule="exact"/>
        </w:trPr>
        <w:tc>
          <w:tcPr>
            <w:tcW w:w="24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互联网金融领域资产收购项目</w:t>
            </w:r>
          </w:p>
        </w:tc>
        <w:tc>
          <w:tcPr>
            <w:tcW w:w="12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w:t>
            </w:r>
          </w:p>
        </w:tc>
        <w:tc>
          <w:tcPr>
            <w:tcW w:w="8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31,314.44</w:t>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29,712.87</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94.89%</w:t>
            </w:r>
          </w:p>
        </w:tc>
        <w:tc>
          <w:tcPr>
            <w:tcW w:w="1476" w:type="dxa"/>
            <w:tcBorders>
              <w:top w:val="single" w:sz="6" w:space="0" w:color="000000"/>
              <w:left w:val="single" w:sz="6" w:space="0" w:color="000000"/>
              <w:bottom w:val="single" w:sz="6" w:space="0" w:color="000000"/>
              <w:right w:val="single" w:sz="6" w:space="0" w:color="000000"/>
            </w:tcBorders>
          </w:tcPr>
          <w:p>
            <w:pP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w:t>
            </w:r>
          </w:p>
        </w:tc>
        <w:tc>
          <w:tcPr>
            <w:tcW w:w="11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14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7" w:hRule="exact"/>
        </w:trPr>
        <w:tc>
          <w:tcPr>
            <w:tcW w:w="243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0"/>
              <w:ind w:left="13"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127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0"/>
              <w:ind w:right="564"/>
              <w:jc w:val="right"/>
              <w:rPr>
                <w:rFonts w:ascii="Times New Roman" w:hAnsi="Times New Roman" w:cs="Times New Roman" w:eastAsia="Times New Roman" w:hint="default"/>
                <w:sz w:val="18"/>
                <w:szCs w:val="18"/>
              </w:rPr>
            </w:pPr>
            <w:r>
              <w:rPr>
                <w:rFonts w:ascii="Times New Roman"/>
                <w:sz w:val="18"/>
              </w:rPr>
              <w:t>--</w:t>
            </w:r>
          </w:p>
        </w:tc>
        <w:tc>
          <w:tcPr>
            <w:tcW w:w="1156"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90"/>
              <w:ind w:right="18"/>
              <w:jc w:val="right"/>
              <w:rPr>
                <w:rFonts w:ascii="Times New Roman" w:hAnsi="Times New Roman" w:cs="Times New Roman" w:eastAsia="Times New Roman" w:hint="default"/>
                <w:sz w:val="18"/>
                <w:szCs w:val="18"/>
              </w:rPr>
            </w:pPr>
            <w:r>
              <w:rPr>
                <w:rFonts w:ascii="Times New Roman"/>
                <w:sz w:val="18"/>
              </w:rPr>
              <w:t>133,037.96</w:t>
            </w:r>
          </w:p>
        </w:tc>
        <w:tc>
          <w:tcPr>
            <w:tcW w:w="8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17"/>
              <w:jc w:val="right"/>
              <w:rPr>
                <w:rFonts w:ascii="Times New Roman" w:hAnsi="Times New Roman" w:cs="Times New Roman" w:eastAsia="Times New Roman" w:hint="default"/>
                <w:sz w:val="18"/>
                <w:szCs w:val="18"/>
              </w:rPr>
            </w:pPr>
            <w:r>
              <w:rPr>
                <w:rFonts w:ascii="Times New Roman"/>
                <w:sz w:val="18"/>
              </w:rPr>
              <w:t>133,037.96</w:t>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17"/>
              <w:jc w:val="right"/>
              <w:rPr>
                <w:rFonts w:ascii="Times New Roman" w:hAnsi="Times New Roman" w:cs="Times New Roman" w:eastAsia="Times New Roman" w:hint="default"/>
                <w:sz w:val="18"/>
                <w:szCs w:val="18"/>
              </w:rPr>
            </w:pPr>
            <w:r>
              <w:rPr>
                <w:rFonts w:ascii="Times New Roman"/>
                <w:sz w:val="18"/>
              </w:rPr>
              <w:t>4,879.01</w:t>
            </w:r>
          </w:p>
        </w:tc>
        <w:tc>
          <w:tcPr>
            <w:tcW w:w="1276" w:type="dxa"/>
            <w:tcBorders>
              <w:top w:val="single" w:sz="6" w:space="0" w:color="000000"/>
              <w:left w:val="single" w:sz="6" w:space="0" w:color="000000"/>
              <w:bottom w:val="single" w:sz="6" w:space="0" w:color="000000"/>
              <w:right w:val="single" w:sz="14" w:space="0" w:color="D2D2D2"/>
            </w:tcBorders>
          </w:tcPr>
          <w:p>
            <w:pPr>
              <w:pStyle w:val="TableParagraph"/>
              <w:spacing w:line="240" w:lineRule="auto" w:before="90"/>
              <w:ind w:right="7"/>
              <w:jc w:val="right"/>
              <w:rPr>
                <w:rFonts w:ascii="Times New Roman" w:hAnsi="Times New Roman" w:cs="Times New Roman" w:eastAsia="Times New Roman" w:hint="default"/>
                <w:sz w:val="18"/>
                <w:szCs w:val="18"/>
              </w:rPr>
            </w:pPr>
            <w:r>
              <w:rPr>
                <w:rFonts w:ascii="Times New Roman"/>
                <w:sz w:val="18"/>
              </w:rPr>
              <w:t>129,059.56</w:t>
            </w:r>
          </w:p>
        </w:tc>
        <w:tc>
          <w:tcPr>
            <w:tcW w:w="113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0"/>
              <w:ind w:left="497" w:right="0"/>
              <w:jc w:val="left"/>
              <w:rPr>
                <w:rFonts w:ascii="Times New Roman" w:hAnsi="Times New Roman" w:cs="Times New Roman" w:eastAsia="Times New Roman" w:hint="default"/>
                <w:sz w:val="18"/>
                <w:szCs w:val="18"/>
              </w:rPr>
            </w:pPr>
            <w:r>
              <w:rPr>
                <w:rFonts w:ascii="Times New Roman"/>
                <w:sz w:val="18"/>
              </w:rPr>
              <w:t>--</w:t>
            </w:r>
          </w:p>
        </w:tc>
        <w:tc>
          <w:tcPr>
            <w:tcW w:w="147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0"/>
              <w:ind w:left="2" w:right="0"/>
              <w:jc w:val="center"/>
              <w:rPr>
                <w:rFonts w:ascii="Times New Roman" w:hAnsi="Times New Roman" w:cs="Times New Roman" w:eastAsia="Times New Roman" w:hint="default"/>
                <w:sz w:val="18"/>
                <w:szCs w:val="18"/>
              </w:rPr>
            </w:pPr>
            <w:r>
              <w:rPr>
                <w:rFonts w:ascii="Times New Roman"/>
                <w:sz w:val="18"/>
              </w:rPr>
              <w:t>--</w:t>
            </w:r>
          </w:p>
        </w:tc>
        <w:tc>
          <w:tcPr>
            <w:tcW w:w="1152" w:type="dxa"/>
            <w:tcBorders>
              <w:top w:val="single" w:sz="6" w:space="0" w:color="000000"/>
              <w:left w:val="single" w:sz="9" w:space="0" w:color="D2D2D2"/>
              <w:bottom w:val="single" w:sz="6" w:space="0" w:color="000000"/>
              <w:right w:val="single" w:sz="14" w:space="0" w:color="D2D2D2"/>
            </w:tcBorders>
          </w:tcPr>
          <w:p>
            <w:pPr>
              <w:pStyle w:val="TableParagraph"/>
              <w:spacing w:line="240" w:lineRule="auto" w:before="90"/>
              <w:ind w:right="10"/>
              <w:jc w:val="right"/>
              <w:rPr>
                <w:rFonts w:ascii="Times New Roman" w:hAnsi="Times New Roman" w:cs="Times New Roman" w:eastAsia="Times New Roman" w:hint="default"/>
                <w:sz w:val="18"/>
                <w:szCs w:val="18"/>
              </w:rPr>
            </w:pPr>
            <w:r>
              <w:rPr>
                <w:rFonts w:ascii="Times New Roman"/>
                <w:sz w:val="18"/>
              </w:rPr>
              <w:t>51,966.46</w:t>
            </w:r>
          </w:p>
        </w:tc>
        <w:tc>
          <w:tcPr>
            <w:tcW w:w="114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0"/>
              <w:ind w:right="503"/>
              <w:jc w:val="right"/>
              <w:rPr>
                <w:rFonts w:ascii="Times New Roman" w:hAnsi="Times New Roman" w:cs="Times New Roman" w:eastAsia="Times New Roman" w:hint="default"/>
                <w:sz w:val="18"/>
                <w:szCs w:val="18"/>
              </w:rPr>
            </w:pPr>
            <w:r>
              <w:rPr>
                <w:rFonts w:ascii="Times New Roman"/>
                <w:sz w:val="18"/>
              </w:rPr>
              <w:t>--</w:t>
            </w:r>
          </w:p>
        </w:tc>
        <w:tc>
          <w:tcPr>
            <w:tcW w:w="1145"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90"/>
              <w:ind w:right="497"/>
              <w:jc w:val="right"/>
              <w:rPr>
                <w:rFonts w:ascii="Times New Roman" w:hAnsi="Times New Roman" w:cs="Times New Roman" w:eastAsia="Times New Roman" w:hint="default"/>
                <w:sz w:val="18"/>
                <w:szCs w:val="18"/>
              </w:rPr>
            </w:pPr>
            <w:r>
              <w:rPr>
                <w:rFonts w:ascii="Times New Roman"/>
                <w:sz w:val="18"/>
              </w:rPr>
              <w:t>--</w:t>
            </w:r>
          </w:p>
        </w:tc>
      </w:tr>
      <w:tr>
        <w:trPr>
          <w:trHeight w:val="406" w:hRule="exact"/>
        </w:trPr>
        <w:tc>
          <w:tcPr>
            <w:tcW w:w="14015" w:type="dxa"/>
            <w:gridSpan w:val="11"/>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0"/>
              <w:ind w:left="13"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407" w:hRule="exact"/>
        </w:trPr>
        <w:tc>
          <w:tcPr>
            <w:tcW w:w="24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272" w:type="dxa"/>
            <w:tcBorders>
              <w:top w:val="single" w:sz="6" w:space="0" w:color="000000"/>
              <w:left w:val="single" w:sz="6" w:space="0" w:color="000000"/>
              <w:bottom w:val="single" w:sz="6" w:space="0" w:color="000000"/>
              <w:right w:val="single" w:sz="6" w:space="0" w:color="000000"/>
            </w:tcBorders>
          </w:tcPr>
          <w:p>
            <w:pPr/>
          </w:p>
        </w:tc>
        <w:tc>
          <w:tcPr>
            <w:tcW w:w="1156" w:type="dxa"/>
            <w:tcBorders>
              <w:top w:val="single" w:sz="6" w:space="0" w:color="000000"/>
              <w:left w:val="single" w:sz="6" w:space="0" w:color="000000"/>
              <w:bottom w:val="single" w:sz="6" w:space="0" w:color="000000"/>
              <w:right w:val="single" w:sz="6" w:space="0" w:color="000000"/>
            </w:tcBorders>
          </w:tcPr>
          <w:p>
            <w:pPr/>
          </w:p>
        </w:tc>
        <w:tc>
          <w:tcPr>
            <w:tcW w:w="865" w:type="dxa"/>
            <w:tcBorders>
              <w:top w:val="single" w:sz="6" w:space="0" w:color="000000"/>
              <w:left w:val="single" w:sz="6" w:space="0" w:color="000000"/>
              <w:bottom w:val="single" w:sz="6" w:space="0" w:color="000000"/>
              <w:right w:val="single" w:sz="6" w:space="0" w:color="000000"/>
            </w:tcBorders>
          </w:tcPr>
          <w:p>
            <w:pPr/>
          </w:p>
        </w:tc>
        <w:tc>
          <w:tcPr>
            <w:tcW w:w="96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132"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1152" w:type="dxa"/>
            <w:tcBorders>
              <w:top w:val="single" w:sz="6" w:space="0" w:color="000000"/>
              <w:left w:val="single" w:sz="6" w:space="0" w:color="000000"/>
              <w:bottom w:val="single" w:sz="6" w:space="0" w:color="000000"/>
              <w:right w:val="single" w:sz="6" w:space="0" w:color="000000"/>
            </w:tcBorders>
          </w:tcPr>
          <w:p>
            <w:pPr/>
          </w:p>
        </w:tc>
        <w:tc>
          <w:tcPr>
            <w:tcW w:w="1141" w:type="dxa"/>
            <w:tcBorders>
              <w:top w:val="single" w:sz="6" w:space="0" w:color="000000"/>
              <w:left w:val="single" w:sz="6" w:space="0" w:color="000000"/>
              <w:bottom w:val="single" w:sz="6" w:space="0" w:color="000000"/>
              <w:right w:val="single" w:sz="6" w:space="0" w:color="000000"/>
            </w:tcBorders>
          </w:tcPr>
          <w:p>
            <w:pPr/>
          </w:p>
        </w:tc>
        <w:tc>
          <w:tcPr>
            <w:tcW w:w="1145" w:type="dxa"/>
            <w:tcBorders>
              <w:top w:val="single" w:sz="6" w:space="0" w:color="000000"/>
              <w:left w:val="single" w:sz="6" w:space="0" w:color="000000"/>
              <w:bottom w:val="single" w:sz="6" w:space="0" w:color="000000"/>
              <w:right w:val="single" w:sz="12" w:space="0" w:color="000000"/>
            </w:tcBorders>
          </w:tcPr>
          <w:p>
            <w:pPr/>
          </w:p>
        </w:tc>
      </w:tr>
      <w:tr>
        <w:trPr>
          <w:trHeight w:val="407" w:hRule="exact"/>
        </w:trPr>
        <w:tc>
          <w:tcPr>
            <w:tcW w:w="243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补充流动资金（如有）</w:t>
            </w:r>
          </w:p>
        </w:tc>
        <w:tc>
          <w:tcPr>
            <w:tcW w:w="127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2"/>
              <w:ind w:right="564"/>
              <w:jc w:val="right"/>
              <w:rPr>
                <w:rFonts w:ascii="Times New Roman" w:hAnsi="Times New Roman" w:cs="Times New Roman" w:eastAsia="Times New Roman" w:hint="default"/>
                <w:sz w:val="18"/>
                <w:szCs w:val="18"/>
              </w:rPr>
            </w:pPr>
            <w:r>
              <w:rPr>
                <w:rFonts w:ascii="Times New Roman"/>
                <w:sz w:val="18"/>
              </w:rPr>
              <w:t>--</w:t>
            </w:r>
          </w:p>
        </w:tc>
        <w:tc>
          <w:tcPr>
            <w:tcW w:w="1156" w:type="dxa"/>
            <w:tcBorders>
              <w:top w:val="single" w:sz="6" w:space="0" w:color="000000"/>
              <w:left w:val="single" w:sz="9" w:space="0" w:color="D2D2D2"/>
              <w:bottom w:val="single" w:sz="6" w:space="0" w:color="000000"/>
              <w:right w:val="single" w:sz="6" w:space="0" w:color="000000"/>
            </w:tcBorders>
          </w:tcPr>
          <w:p>
            <w:pPr/>
          </w:p>
        </w:tc>
        <w:tc>
          <w:tcPr>
            <w:tcW w:w="865" w:type="dxa"/>
            <w:tcBorders>
              <w:top w:val="single" w:sz="6" w:space="0" w:color="000000"/>
              <w:left w:val="single" w:sz="6" w:space="0" w:color="000000"/>
              <w:bottom w:val="single" w:sz="6" w:space="0" w:color="000000"/>
              <w:right w:val="single" w:sz="6" w:space="0" w:color="000000"/>
            </w:tcBorders>
          </w:tcPr>
          <w:p>
            <w:pPr/>
          </w:p>
        </w:tc>
        <w:tc>
          <w:tcPr>
            <w:tcW w:w="96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5,556.3</w:t>
            </w:r>
          </w:p>
        </w:tc>
        <w:tc>
          <w:tcPr>
            <w:tcW w:w="1132" w:type="dxa"/>
            <w:tcBorders>
              <w:top w:val="single" w:sz="6" w:space="0" w:color="000000"/>
              <w:left w:val="single" w:sz="6" w:space="0" w:color="000000"/>
              <w:bottom w:val="single" w:sz="6" w:space="0" w:color="000000"/>
              <w:right w:val="single" w:sz="14" w:space="0" w:color="D2D2D2"/>
            </w:tcBorders>
          </w:tcPr>
          <w:p>
            <w:pPr/>
          </w:p>
        </w:tc>
        <w:tc>
          <w:tcPr>
            <w:tcW w:w="147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sz w:val="18"/>
              </w:rPr>
              <w:t>--</w:t>
            </w:r>
          </w:p>
        </w:tc>
        <w:tc>
          <w:tcPr>
            <w:tcW w:w="115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114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2"/>
              <w:ind w:right="503"/>
              <w:jc w:val="right"/>
              <w:rPr>
                <w:rFonts w:ascii="Times New Roman" w:hAnsi="Times New Roman" w:cs="Times New Roman" w:eastAsia="Times New Roman" w:hint="default"/>
                <w:sz w:val="18"/>
                <w:szCs w:val="18"/>
              </w:rPr>
            </w:pPr>
            <w:r>
              <w:rPr>
                <w:rFonts w:ascii="Times New Roman"/>
                <w:sz w:val="18"/>
              </w:rPr>
              <w:t>--</w:t>
            </w:r>
          </w:p>
        </w:tc>
        <w:tc>
          <w:tcPr>
            <w:tcW w:w="1145"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92"/>
              <w:ind w:right="497"/>
              <w:jc w:val="right"/>
              <w:rPr>
                <w:rFonts w:ascii="Times New Roman" w:hAnsi="Times New Roman" w:cs="Times New Roman" w:eastAsia="Times New Roman" w:hint="default"/>
                <w:sz w:val="18"/>
                <w:szCs w:val="18"/>
              </w:rPr>
            </w:pPr>
            <w:r>
              <w:rPr>
                <w:rFonts w:ascii="Times New Roman"/>
                <w:sz w:val="18"/>
              </w:rPr>
              <w:t>--</w:t>
            </w:r>
          </w:p>
        </w:tc>
      </w:tr>
      <w:tr>
        <w:trPr>
          <w:trHeight w:val="407" w:hRule="exact"/>
        </w:trPr>
        <w:tc>
          <w:tcPr>
            <w:tcW w:w="243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超募资金投向小计</w:t>
            </w:r>
          </w:p>
        </w:tc>
        <w:tc>
          <w:tcPr>
            <w:tcW w:w="127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2"/>
              <w:ind w:right="564"/>
              <w:jc w:val="right"/>
              <w:rPr>
                <w:rFonts w:ascii="Times New Roman" w:hAnsi="Times New Roman" w:cs="Times New Roman" w:eastAsia="Times New Roman" w:hint="default"/>
                <w:sz w:val="18"/>
                <w:szCs w:val="18"/>
              </w:rPr>
            </w:pPr>
            <w:r>
              <w:rPr>
                <w:rFonts w:ascii="Times New Roman"/>
                <w:sz w:val="18"/>
              </w:rPr>
              <w:t>--</w:t>
            </w:r>
          </w:p>
        </w:tc>
        <w:tc>
          <w:tcPr>
            <w:tcW w:w="1156" w:type="dxa"/>
            <w:tcBorders>
              <w:top w:val="single" w:sz="6" w:space="0" w:color="000000"/>
              <w:left w:val="single" w:sz="9" w:space="0" w:color="D2D2D2"/>
              <w:bottom w:val="single" w:sz="6" w:space="0" w:color="000000"/>
              <w:right w:val="single" w:sz="6" w:space="0" w:color="000000"/>
            </w:tcBorders>
          </w:tcPr>
          <w:p>
            <w:pPr/>
          </w:p>
        </w:tc>
        <w:tc>
          <w:tcPr>
            <w:tcW w:w="865" w:type="dxa"/>
            <w:tcBorders>
              <w:top w:val="single" w:sz="6" w:space="0" w:color="000000"/>
              <w:left w:val="single" w:sz="6" w:space="0" w:color="000000"/>
              <w:bottom w:val="single" w:sz="6" w:space="0" w:color="000000"/>
              <w:right w:val="single" w:sz="6" w:space="0" w:color="000000"/>
            </w:tcBorders>
          </w:tcPr>
          <w:p>
            <w:pPr/>
          </w:p>
        </w:tc>
        <w:tc>
          <w:tcPr>
            <w:tcW w:w="96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14" w:space="0" w:color="D2D2D2"/>
            </w:tcBorders>
          </w:tcPr>
          <w:p>
            <w:pPr>
              <w:pStyle w:val="TableParagraph"/>
              <w:spacing w:line="240" w:lineRule="auto" w:before="92"/>
              <w:ind w:right="7"/>
              <w:jc w:val="right"/>
              <w:rPr>
                <w:rFonts w:ascii="Times New Roman" w:hAnsi="Times New Roman" w:cs="Times New Roman" w:eastAsia="Times New Roman" w:hint="default"/>
                <w:sz w:val="18"/>
                <w:szCs w:val="18"/>
              </w:rPr>
            </w:pPr>
            <w:r>
              <w:rPr>
                <w:rFonts w:ascii="Times New Roman"/>
                <w:sz w:val="18"/>
              </w:rPr>
              <w:t>5,556.3</w:t>
            </w:r>
          </w:p>
        </w:tc>
        <w:tc>
          <w:tcPr>
            <w:tcW w:w="113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2"/>
              <w:ind w:left="497" w:right="0"/>
              <w:jc w:val="left"/>
              <w:rPr>
                <w:rFonts w:ascii="Times New Roman" w:hAnsi="Times New Roman" w:cs="Times New Roman" w:eastAsia="Times New Roman" w:hint="default"/>
                <w:sz w:val="18"/>
                <w:szCs w:val="18"/>
              </w:rPr>
            </w:pPr>
            <w:r>
              <w:rPr>
                <w:rFonts w:ascii="Times New Roman"/>
                <w:sz w:val="18"/>
              </w:rPr>
              <w:t>--</w:t>
            </w:r>
          </w:p>
        </w:tc>
        <w:tc>
          <w:tcPr>
            <w:tcW w:w="147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sz w:val="18"/>
              </w:rPr>
              <w:t>--</w:t>
            </w:r>
          </w:p>
        </w:tc>
        <w:tc>
          <w:tcPr>
            <w:tcW w:w="1152" w:type="dxa"/>
            <w:tcBorders>
              <w:top w:val="single" w:sz="6" w:space="0" w:color="000000"/>
              <w:left w:val="single" w:sz="9" w:space="0" w:color="D2D2D2"/>
              <w:bottom w:val="single" w:sz="6" w:space="0" w:color="000000"/>
              <w:right w:val="single" w:sz="14" w:space="0" w:color="D2D2D2"/>
            </w:tcBorders>
          </w:tcPr>
          <w:p>
            <w:pPr/>
          </w:p>
        </w:tc>
        <w:tc>
          <w:tcPr>
            <w:tcW w:w="114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2"/>
              <w:ind w:right="503"/>
              <w:jc w:val="right"/>
              <w:rPr>
                <w:rFonts w:ascii="Times New Roman" w:hAnsi="Times New Roman" w:cs="Times New Roman" w:eastAsia="Times New Roman" w:hint="default"/>
                <w:sz w:val="18"/>
                <w:szCs w:val="18"/>
              </w:rPr>
            </w:pPr>
            <w:r>
              <w:rPr>
                <w:rFonts w:ascii="Times New Roman"/>
                <w:sz w:val="18"/>
              </w:rPr>
              <w:t>--</w:t>
            </w:r>
          </w:p>
        </w:tc>
        <w:tc>
          <w:tcPr>
            <w:tcW w:w="1145"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92"/>
              <w:ind w:right="497"/>
              <w:jc w:val="right"/>
              <w:rPr>
                <w:rFonts w:ascii="Times New Roman" w:hAnsi="Times New Roman" w:cs="Times New Roman" w:eastAsia="Times New Roman" w:hint="default"/>
                <w:sz w:val="18"/>
                <w:szCs w:val="18"/>
              </w:rPr>
            </w:pPr>
            <w:r>
              <w:rPr>
                <w:rFonts w:ascii="Times New Roman"/>
                <w:sz w:val="18"/>
              </w:rPr>
              <w:t>--</w:t>
            </w:r>
          </w:p>
        </w:tc>
      </w:tr>
      <w:tr>
        <w:trPr>
          <w:trHeight w:val="407" w:hRule="exact"/>
        </w:trPr>
        <w:tc>
          <w:tcPr>
            <w:tcW w:w="243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1"/>
              <w:ind w:right="564"/>
              <w:jc w:val="right"/>
              <w:rPr>
                <w:rFonts w:ascii="Times New Roman" w:hAnsi="Times New Roman" w:cs="Times New Roman" w:eastAsia="Times New Roman" w:hint="default"/>
                <w:sz w:val="18"/>
                <w:szCs w:val="18"/>
              </w:rPr>
            </w:pPr>
            <w:r>
              <w:rPr>
                <w:rFonts w:ascii="Times New Roman"/>
                <w:sz w:val="18"/>
              </w:rPr>
              <w:t>--</w:t>
            </w:r>
          </w:p>
        </w:tc>
        <w:tc>
          <w:tcPr>
            <w:tcW w:w="1156"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133,037.96</w:t>
            </w:r>
          </w:p>
        </w:tc>
        <w:tc>
          <w:tcPr>
            <w:tcW w:w="8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133,037.96</w:t>
            </w:r>
          </w:p>
        </w:tc>
        <w:tc>
          <w:tcPr>
            <w:tcW w:w="9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4,879.01</w:t>
            </w:r>
          </w:p>
        </w:tc>
        <w:tc>
          <w:tcPr>
            <w:tcW w:w="1276" w:type="dxa"/>
            <w:tcBorders>
              <w:top w:val="single" w:sz="6" w:space="0" w:color="000000"/>
              <w:left w:val="single" w:sz="6" w:space="0" w:color="000000"/>
              <w:bottom w:val="single" w:sz="6" w:space="0" w:color="000000"/>
              <w:right w:val="single" w:sz="14"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z w:val="18"/>
              </w:rPr>
              <w:t>134,615.86</w:t>
            </w:r>
          </w:p>
        </w:tc>
        <w:tc>
          <w:tcPr>
            <w:tcW w:w="113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1"/>
              <w:ind w:left="497" w:right="0"/>
              <w:jc w:val="left"/>
              <w:rPr>
                <w:rFonts w:ascii="Times New Roman" w:hAnsi="Times New Roman" w:cs="Times New Roman" w:eastAsia="Times New Roman" w:hint="default"/>
                <w:sz w:val="18"/>
                <w:szCs w:val="18"/>
              </w:rPr>
            </w:pPr>
            <w:r>
              <w:rPr>
                <w:rFonts w:ascii="Times New Roman"/>
                <w:sz w:val="18"/>
              </w:rPr>
              <w:t>--</w:t>
            </w:r>
          </w:p>
        </w:tc>
        <w:tc>
          <w:tcPr>
            <w:tcW w:w="147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152" w:type="dxa"/>
            <w:tcBorders>
              <w:top w:val="single" w:sz="6" w:space="0" w:color="000000"/>
              <w:left w:val="single" w:sz="9" w:space="0" w:color="D2D2D2"/>
              <w:bottom w:val="single" w:sz="6" w:space="0" w:color="000000"/>
              <w:right w:val="single" w:sz="14" w:space="0" w:color="D2D2D2"/>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z w:val="18"/>
              </w:rPr>
              <w:t>51,966.46</w:t>
            </w:r>
          </w:p>
        </w:tc>
        <w:tc>
          <w:tcPr>
            <w:tcW w:w="114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1"/>
              <w:ind w:right="503"/>
              <w:jc w:val="right"/>
              <w:rPr>
                <w:rFonts w:ascii="Times New Roman" w:hAnsi="Times New Roman" w:cs="Times New Roman" w:eastAsia="Times New Roman" w:hint="default"/>
                <w:sz w:val="18"/>
                <w:szCs w:val="18"/>
              </w:rPr>
            </w:pPr>
            <w:r>
              <w:rPr>
                <w:rFonts w:ascii="Times New Roman"/>
                <w:sz w:val="18"/>
              </w:rPr>
              <w:t>--</w:t>
            </w:r>
          </w:p>
        </w:tc>
        <w:tc>
          <w:tcPr>
            <w:tcW w:w="1145"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91"/>
              <w:ind w:right="497"/>
              <w:jc w:val="right"/>
              <w:rPr>
                <w:rFonts w:ascii="Times New Roman" w:hAnsi="Times New Roman" w:cs="Times New Roman" w:eastAsia="Times New Roman" w:hint="default"/>
                <w:sz w:val="18"/>
                <w:szCs w:val="18"/>
              </w:rPr>
            </w:pPr>
            <w:r>
              <w:rPr>
                <w:rFonts w:ascii="Times New Roman"/>
                <w:sz w:val="18"/>
              </w:rPr>
              <w:t>--</w:t>
            </w:r>
          </w:p>
        </w:tc>
      </w:tr>
      <w:tr>
        <w:trPr>
          <w:trHeight w:val="719" w:hRule="exact"/>
        </w:trPr>
        <w:tc>
          <w:tcPr>
            <w:tcW w:w="243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6" w:lineRule="auto" w:before="51"/>
              <w:ind w:left="13" w:right="63"/>
              <w:jc w:val="left"/>
              <w:rPr>
                <w:rFonts w:ascii="宋体" w:hAnsi="宋体" w:cs="宋体" w:eastAsia="宋体" w:hint="default"/>
                <w:sz w:val="18"/>
                <w:szCs w:val="18"/>
              </w:rPr>
            </w:pPr>
            <w:r>
              <w:rPr>
                <w:rFonts w:ascii="宋体" w:hAnsi="宋体" w:cs="宋体" w:eastAsia="宋体" w:hint="default"/>
                <w:sz w:val="18"/>
                <w:szCs w:val="18"/>
              </w:rPr>
              <w:t>未达到计划进度或预计收益的 情况和原因（分具体项目）</w:t>
            </w:r>
          </w:p>
        </w:tc>
        <w:tc>
          <w:tcPr>
            <w:tcW w:w="11575" w:type="dxa"/>
            <w:gridSpan w:val="10"/>
            <w:tcBorders>
              <w:top w:val="single" w:sz="6" w:space="0" w:color="000000"/>
              <w:left w:val="single" w:sz="14" w:space="0" w:color="D2D2D2"/>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163" w:hRule="exact"/>
        </w:trPr>
        <w:tc>
          <w:tcPr>
            <w:tcW w:w="2439" w:type="dxa"/>
            <w:tcBorders>
              <w:top w:val="single" w:sz="6" w:space="0" w:color="000000"/>
              <w:left w:val="single" w:sz="12" w:space="0" w:color="000000"/>
              <w:bottom w:val="nil" w:sz="6" w:space="0" w:color="auto"/>
              <w:right w:val="single" w:sz="6" w:space="0" w:color="000000"/>
            </w:tcBorders>
            <w:shd w:val="clear" w:color="auto" w:fill="D2D2D2"/>
          </w:tcPr>
          <w:p>
            <w:pPr/>
          </w:p>
        </w:tc>
        <w:tc>
          <w:tcPr>
            <w:tcW w:w="11575" w:type="dxa"/>
            <w:gridSpan w:val="10"/>
            <w:vMerge w:val="restart"/>
            <w:tcBorders>
              <w:top w:val="single" w:sz="6" w:space="0" w:color="000000"/>
              <w:left w:val="single" w:sz="8" w:space="0" w:color="D2D2D2"/>
              <w:right w:val="single" w:sz="12" w:space="0" w:color="000000"/>
            </w:tcBorders>
          </w:tcPr>
          <w:p>
            <w:pPr>
              <w:pStyle w:val="TableParagraph"/>
              <w:spacing w:line="300" w:lineRule="auto" w:before="51"/>
              <w:ind w:left="18" w:right="10"/>
              <w:jc w:val="left"/>
              <w:rPr>
                <w:rFonts w:ascii="宋体" w:hAnsi="宋体" w:cs="宋体" w:eastAsia="宋体" w:hint="default"/>
                <w:sz w:val="18"/>
                <w:szCs w:val="18"/>
              </w:rPr>
            </w:pPr>
            <w:r>
              <w:rPr>
                <w:rFonts w:ascii="宋体" w:hAnsi="宋体" w:cs="宋体" w:eastAsia="宋体" w:hint="default"/>
                <w:sz w:val="18"/>
                <w:szCs w:val="18"/>
              </w:rPr>
              <w:t>根据公司</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日，公司第二届第十一次董事会决议，决定将变更公司首次公开发行部分募集资金投向，即终止实施</w:t>
            </w:r>
            <w:r>
              <w:rPr>
                <w:rFonts w:ascii="Times New Roman" w:hAnsi="Times New Roman" w:cs="Times New Roman" w:eastAsia="Times New Roman" w:hint="default"/>
                <w:sz w:val="18"/>
                <w:szCs w:val="18"/>
              </w:rPr>
              <w:t>“</w:t>
            </w:r>
            <w:r>
              <w:rPr>
                <w:rFonts w:ascii="宋体" w:hAnsi="宋体" w:cs="宋体" w:eastAsia="宋体" w:hint="default"/>
                <w:sz w:val="18"/>
                <w:szCs w:val="18"/>
              </w:rPr>
              <w:t>移动网络游戏代理项 目</w:t>
            </w:r>
            <w:r>
              <w:rPr>
                <w:rFonts w:ascii="Times New Roman" w:hAnsi="Times New Roman" w:cs="Times New Roman" w:eastAsia="Times New Roman" w:hint="default"/>
                <w:sz w:val="18"/>
                <w:szCs w:val="18"/>
              </w:rPr>
              <w:t>”</w:t>
            </w:r>
            <w:r>
              <w:rPr>
                <w:rFonts w:ascii="宋体" w:hAnsi="宋体" w:cs="宋体" w:eastAsia="宋体" w:hint="default"/>
                <w:sz w:val="18"/>
                <w:szCs w:val="18"/>
              </w:rPr>
              <w:t>，该项目剩余募集资金原投资移动网络游戏代理项目变更为投资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Lendinvest</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z w:val="18"/>
                <w:szCs w:val="18"/>
              </w:rPr>
              <w:t>Limited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和</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Yinker</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Inc</w:t>
            </w:r>
            <w:r>
              <w:rPr>
                <w:rFonts w:ascii="宋体" w:hAnsi="宋体" w:cs="宋体" w:eastAsia="宋体" w:hint="default"/>
                <w:sz w:val="18"/>
                <w:szCs w:val="18"/>
              </w:rPr>
              <w:t>，</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年第二次临时股 </w:t>
            </w:r>
            <w:r>
              <w:rPr>
                <w:rFonts w:ascii="宋体" w:hAnsi="宋体" w:cs="宋体" w:eastAsia="宋体" w:hint="default"/>
                <w:spacing w:val="-4"/>
                <w:sz w:val="18"/>
                <w:szCs w:val="18"/>
              </w:rPr>
              <w:t>东大会决议公告通过了《关于变更部分募集资金投向的议案》。</w:t>
            </w:r>
          </w:p>
        </w:tc>
      </w:tr>
      <w:tr>
        <w:trPr>
          <w:trHeight w:val="704" w:hRule="exact"/>
        </w:trPr>
        <w:tc>
          <w:tcPr>
            <w:tcW w:w="2439"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319" w:lineRule="auto" w:before="51"/>
              <w:ind w:left="13" w:right="63"/>
              <w:jc w:val="left"/>
              <w:rPr>
                <w:rFonts w:ascii="宋体" w:hAnsi="宋体" w:cs="宋体" w:eastAsia="宋体" w:hint="default"/>
                <w:sz w:val="18"/>
                <w:szCs w:val="18"/>
              </w:rPr>
            </w:pPr>
            <w:r>
              <w:rPr>
                <w:rFonts w:ascii="宋体" w:hAnsi="宋体" w:cs="宋体" w:eastAsia="宋体" w:hint="default"/>
                <w:sz w:val="18"/>
                <w:szCs w:val="18"/>
              </w:rPr>
              <w:t>项目可行性发生重大变化的情 况说明</w:t>
            </w:r>
          </w:p>
        </w:tc>
        <w:tc>
          <w:tcPr>
            <w:tcW w:w="11575" w:type="dxa"/>
            <w:gridSpan w:val="10"/>
            <w:vMerge/>
            <w:tcBorders>
              <w:left w:val="single" w:sz="8" w:space="0" w:color="D2D2D2"/>
              <w:right w:val="single" w:sz="12" w:space="0" w:color="000000"/>
            </w:tcBorders>
          </w:tcPr>
          <w:p>
            <w:pPr/>
          </w:p>
        </w:tc>
      </w:tr>
      <w:tr>
        <w:trPr>
          <w:trHeight w:val="171" w:hRule="exact"/>
        </w:trPr>
        <w:tc>
          <w:tcPr>
            <w:tcW w:w="2439" w:type="dxa"/>
            <w:tcBorders>
              <w:top w:val="nil" w:sz="6" w:space="0" w:color="auto"/>
              <w:left w:val="single" w:sz="12" w:space="0" w:color="000000"/>
              <w:bottom w:val="single" w:sz="12" w:space="0" w:color="000000"/>
              <w:right w:val="single" w:sz="6" w:space="0" w:color="000000"/>
            </w:tcBorders>
            <w:shd w:val="clear" w:color="auto" w:fill="D2D2D2"/>
          </w:tcPr>
          <w:p>
            <w:pPr/>
          </w:p>
        </w:tc>
        <w:tc>
          <w:tcPr>
            <w:tcW w:w="11575" w:type="dxa"/>
            <w:gridSpan w:val="10"/>
            <w:vMerge/>
            <w:tcBorders>
              <w:left w:val="single" w:sz="8" w:space="0" w:color="D2D2D2"/>
              <w:bottom w:val="single" w:sz="12" w:space="0" w:color="000000"/>
              <w:right w:val="single" w:sz="12" w:space="0" w:color="000000"/>
            </w:tcBorders>
          </w:tcPr>
          <w:p>
            <w:pPr/>
          </w:p>
        </w:tc>
      </w:tr>
    </w:tbl>
    <w:p>
      <w:pPr>
        <w:spacing w:after="0"/>
        <w:sectPr>
          <w:pgSz w:w="16840" w:h="11910" w:orient="landscape"/>
          <w:pgMar w:header="867" w:footer="979" w:top="1060" w:bottom="1160" w:left="1280" w:right="0"/>
        </w:sectPr>
      </w:pPr>
    </w:p>
    <w:p>
      <w:pPr>
        <w:spacing w:line="240" w:lineRule="auto" w:before="4"/>
        <w:rPr>
          <w:rFonts w:ascii="Times New Roman" w:hAnsi="Times New Roman" w:cs="Times New Roman" w:eastAsia="Times New Roman" w:hint="default"/>
          <w:sz w:val="3"/>
          <w:szCs w:val="3"/>
        </w:rPr>
      </w:pPr>
    </w:p>
    <w:p>
      <w:pPr>
        <w:spacing w:line="20" w:lineRule="exact"/>
        <w:ind w:left="12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Times New Roman" w:hAnsi="Times New Roman" w:cs="Times New Roman" w:eastAsia="Times New Roman" w:hint="default"/>
          <w:sz w:val="2"/>
          <w:szCs w:val="2"/>
        </w:rPr>
      </w:r>
    </w:p>
    <w:tbl>
      <w:tblPr>
        <w:tblW w:w="0" w:type="auto"/>
        <w:jc w:val="left"/>
        <w:tblInd w:w="116" w:type="dxa"/>
        <w:tblLayout w:type="fixed"/>
        <w:tblCellMar>
          <w:top w:w="0" w:type="dxa"/>
          <w:left w:w="0" w:type="dxa"/>
          <w:bottom w:w="0" w:type="dxa"/>
          <w:right w:w="0" w:type="dxa"/>
        </w:tblCellMar>
        <w:tblLook w:val="01E0"/>
      </w:tblPr>
      <w:tblGrid>
        <w:gridCol w:w="2439"/>
        <w:gridCol w:w="11575"/>
      </w:tblGrid>
      <w:tr>
        <w:trPr>
          <w:trHeight w:val="415" w:hRule="exact"/>
        </w:trPr>
        <w:tc>
          <w:tcPr>
            <w:tcW w:w="2439" w:type="dxa"/>
            <w:vMerge w:val="restart"/>
            <w:tcBorders>
              <w:top w:val="single" w:sz="12" w:space="0" w:color="000000"/>
              <w:left w:val="single" w:sz="12" w:space="0" w:color="000000"/>
              <w:right w:val="single" w:sz="6" w:space="0" w:color="000000"/>
            </w:tcBorders>
            <w:shd w:val="clear" w:color="auto" w:fill="D2D2D2"/>
          </w:tcPr>
          <w:p>
            <w:pPr>
              <w:pStyle w:val="TableParagraph"/>
              <w:spacing w:line="319" w:lineRule="auto" w:before="99"/>
              <w:ind w:left="13" w:right="63"/>
              <w:jc w:val="left"/>
              <w:rPr>
                <w:rFonts w:ascii="宋体" w:hAnsi="宋体" w:cs="宋体" w:eastAsia="宋体" w:hint="default"/>
                <w:sz w:val="18"/>
                <w:szCs w:val="18"/>
              </w:rPr>
            </w:pPr>
            <w:r>
              <w:rPr>
                <w:rFonts w:ascii="宋体" w:hAnsi="宋体" w:cs="宋体" w:eastAsia="宋体" w:hint="default"/>
                <w:sz w:val="18"/>
                <w:szCs w:val="18"/>
              </w:rPr>
              <w:t>超募资金的金额、用途及使用 进展情况</w:t>
            </w:r>
          </w:p>
        </w:tc>
        <w:tc>
          <w:tcPr>
            <w:tcW w:w="1157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7" w:hRule="exact"/>
        </w:trPr>
        <w:tc>
          <w:tcPr>
            <w:tcW w:w="2439" w:type="dxa"/>
            <w:vMerge/>
            <w:tcBorders>
              <w:left w:val="single" w:sz="12" w:space="0" w:color="000000"/>
              <w:bottom w:val="single" w:sz="6" w:space="0" w:color="000000"/>
              <w:right w:val="single" w:sz="6" w:space="0" w:color="000000"/>
            </w:tcBorders>
            <w:shd w:val="clear" w:color="auto" w:fill="D2D2D2"/>
          </w:tcPr>
          <w:p>
            <w:pPr/>
          </w:p>
        </w:tc>
        <w:tc>
          <w:tcPr>
            <w:tcW w:w="11575" w:type="dxa"/>
            <w:tcBorders>
              <w:top w:val="single" w:sz="6" w:space="0" w:color="000000"/>
              <w:left w:val="single" w:sz="6" w:space="0" w:color="000000"/>
              <w:bottom w:val="single" w:sz="6" w:space="0" w:color="000000"/>
              <w:right w:val="single" w:sz="12" w:space="0" w:color="000000"/>
            </w:tcBorders>
          </w:tcPr>
          <w:p>
            <w:pPr/>
          </w:p>
        </w:tc>
      </w:tr>
      <w:tr>
        <w:trPr>
          <w:trHeight w:val="407" w:hRule="exact"/>
        </w:trPr>
        <w:tc>
          <w:tcPr>
            <w:tcW w:w="2439" w:type="dxa"/>
            <w:vMerge w:val="restart"/>
            <w:tcBorders>
              <w:top w:val="single" w:sz="6" w:space="0" w:color="000000"/>
              <w:left w:val="single" w:sz="12" w:space="0" w:color="000000"/>
              <w:right w:val="single" w:sz="6" w:space="0" w:color="000000"/>
            </w:tcBorders>
            <w:shd w:val="clear" w:color="auto" w:fill="D2D2D2"/>
          </w:tcPr>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319" w:lineRule="auto"/>
              <w:ind w:left="13" w:right="63"/>
              <w:jc w:val="left"/>
              <w:rPr>
                <w:rFonts w:ascii="宋体" w:hAnsi="宋体" w:cs="宋体" w:eastAsia="宋体" w:hint="default"/>
                <w:sz w:val="18"/>
                <w:szCs w:val="18"/>
              </w:rPr>
            </w:pPr>
            <w:r>
              <w:rPr>
                <w:rFonts w:ascii="宋体" w:hAnsi="宋体" w:cs="宋体" w:eastAsia="宋体" w:hint="default"/>
                <w:sz w:val="18"/>
                <w:szCs w:val="18"/>
              </w:rPr>
              <w:t>募集资金投资项目实施地点变 更情况</w:t>
            </w:r>
          </w:p>
        </w:tc>
        <w:tc>
          <w:tcPr>
            <w:tcW w:w="115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7" w:hRule="exact"/>
        </w:trPr>
        <w:tc>
          <w:tcPr>
            <w:tcW w:w="2439" w:type="dxa"/>
            <w:vMerge/>
            <w:tcBorders>
              <w:left w:val="single" w:sz="12" w:space="0" w:color="000000"/>
              <w:right w:val="single" w:sz="6" w:space="0" w:color="000000"/>
            </w:tcBorders>
            <w:shd w:val="clear" w:color="auto" w:fill="D2D2D2"/>
          </w:tcPr>
          <w:p>
            <w:pPr/>
          </w:p>
        </w:tc>
        <w:tc>
          <w:tcPr>
            <w:tcW w:w="11575" w:type="dxa"/>
            <w:tcBorders>
              <w:top w:val="single" w:sz="6" w:space="0" w:color="000000"/>
              <w:left w:val="single" w:sz="6" w:space="0" w:color="000000"/>
              <w:bottom w:val="single" w:sz="6" w:space="0" w:color="000000"/>
              <w:right w:val="single" w:sz="12" w:space="0" w:color="000000"/>
            </w:tcBorders>
          </w:tcPr>
          <w:p>
            <w:pPr/>
          </w:p>
        </w:tc>
      </w:tr>
      <w:tr>
        <w:trPr>
          <w:trHeight w:val="407" w:hRule="exact"/>
        </w:trPr>
        <w:tc>
          <w:tcPr>
            <w:tcW w:w="2439" w:type="dxa"/>
            <w:vMerge/>
            <w:tcBorders>
              <w:left w:val="single" w:sz="12" w:space="0" w:color="000000"/>
              <w:bottom w:val="single" w:sz="6" w:space="0" w:color="000000"/>
              <w:right w:val="single" w:sz="6" w:space="0" w:color="000000"/>
            </w:tcBorders>
            <w:shd w:val="clear" w:color="auto" w:fill="D2D2D2"/>
          </w:tcPr>
          <w:p>
            <w:pPr/>
          </w:p>
        </w:tc>
        <w:tc>
          <w:tcPr>
            <w:tcW w:w="11575" w:type="dxa"/>
            <w:tcBorders>
              <w:top w:val="single" w:sz="6" w:space="0" w:color="000000"/>
              <w:left w:val="single" w:sz="6" w:space="0" w:color="000000"/>
              <w:bottom w:val="single" w:sz="6" w:space="0" w:color="000000"/>
              <w:right w:val="single" w:sz="12" w:space="0" w:color="000000"/>
            </w:tcBorders>
          </w:tcPr>
          <w:p>
            <w:pPr/>
          </w:p>
        </w:tc>
      </w:tr>
      <w:tr>
        <w:trPr>
          <w:trHeight w:val="407" w:hRule="exact"/>
        </w:trPr>
        <w:tc>
          <w:tcPr>
            <w:tcW w:w="2439" w:type="dxa"/>
            <w:vMerge w:val="restart"/>
            <w:tcBorders>
              <w:top w:val="single" w:sz="6" w:space="0" w:color="000000"/>
              <w:left w:val="single" w:sz="12" w:space="0" w:color="000000"/>
              <w:right w:val="single" w:sz="6" w:space="0" w:color="000000"/>
            </w:tcBorders>
            <w:shd w:val="clear" w:color="auto" w:fill="D2D2D2"/>
          </w:tcPr>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316" w:lineRule="auto"/>
              <w:ind w:left="13" w:right="63"/>
              <w:jc w:val="left"/>
              <w:rPr>
                <w:rFonts w:ascii="宋体" w:hAnsi="宋体" w:cs="宋体" w:eastAsia="宋体" w:hint="default"/>
                <w:sz w:val="18"/>
                <w:szCs w:val="18"/>
              </w:rPr>
            </w:pPr>
            <w:r>
              <w:rPr>
                <w:rFonts w:ascii="宋体" w:hAnsi="宋体" w:cs="宋体" w:eastAsia="宋体" w:hint="default"/>
                <w:sz w:val="18"/>
                <w:szCs w:val="18"/>
              </w:rPr>
              <w:t>募集资金投资项目实施方式调 整情况</w:t>
            </w:r>
          </w:p>
        </w:tc>
        <w:tc>
          <w:tcPr>
            <w:tcW w:w="115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8" w:hRule="exact"/>
        </w:trPr>
        <w:tc>
          <w:tcPr>
            <w:tcW w:w="2439" w:type="dxa"/>
            <w:vMerge/>
            <w:tcBorders>
              <w:left w:val="single" w:sz="12" w:space="0" w:color="000000"/>
              <w:right w:val="single" w:sz="6" w:space="0" w:color="000000"/>
            </w:tcBorders>
            <w:shd w:val="clear" w:color="auto" w:fill="D2D2D2"/>
          </w:tcPr>
          <w:p>
            <w:pPr/>
          </w:p>
        </w:tc>
        <w:tc>
          <w:tcPr>
            <w:tcW w:w="11575" w:type="dxa"/>
            <w:tcBorders>
              <w:top w:val="single" w:sz="6" w:space="0" w:color="000000"/>
              <w:left w:val="single" w:sz="6" w:space="0" w:color="000000"/>
              <w:bottom w:val="single" w:sz="6" w:space="0" w:color="000000"/>
              <w:right w:val="single" w:sz="12" w:space="0" w:color="000000"/>
            </w:tcBorders>
          </w:tcPr>
          <w:p>
            <w:pPr/>
          </w:p>
        </w:tc>
      </w:tr>
      <w:tr>
        <w:trPr>
          <w:trHeight w:val="407" w:hRule="exact"/>
        </w:trPr>
        <w:tc>
          <w:tcPr>
            <w:tcW w:w="2439" w:type="dxa"/>
            <w:vMerge/>
            <w:tcBorders>
              <w:left w:val="single" w:sz="12" w:space="0" w:color="000000"/>
              <w:bottom w:val="single" w:sz="6" w:space="0" w:color="000000"/>
              <w:right w:val="single" w:sz="6" w:space="0" w:color="000000"/>
            </w:tcBorders>
            <w:shd w:val="clear" w:color="auto" w:fill="D2D2D2"/>
          </w:tcPr>
          <w:p>
            <w:pPr/>
          </w:p>
        </w:tc>
        <w:tc>
          <w:tcPr>
            <w:tcW w:w="11575" w:type="dxa"/>
            <w:tcBorders>
              <w:top w:val="single" w:sz="6" w:space="0" w:color="000000"/>
              <w:left w:val="single" w:sz="6" w:space="0" w:color="000000"/>
              <w:bottom w:val="single" w:sz="6" w:space="0" w:color="000000"/>
              <w:right w:val="single" w:sz="12" w:space="0" w:color="000000"/>
            </w:tcBorders>
          </w:tcPr>
          <w:p>
            <w:pPr/>
          </w:p>
        </w:tc>
      </w:tr>
      <w:tr>
        <w:trPr>
          <w:trHeight w:val="407" w:hRule="exact"/>
        </w:trPr>
        <w:tc>
          <w:tcPr>
            <w:tcW w:w="2439" w:type="dxa"/>
            <w:vMerge w:val="restart"/>
            <w:tcBorders>
              <w:top w:val="single" w:sz="6" w:space="0" w:color="000000"/>
              <w:left w:val="single" w:sz="12" w:space="0" w:color="000000"/>
              <w:right w:val="single" w:sz="6" w:space="0" w:color="000000"/>
            </w:tcBorders>
            <w:shd w:val="clear" w:color="auto" w:fill="D2D2D2"/>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316" w:lineRule="auto"/>
              <w:ind w:left="13" w:right="63"/>
              <w:jc w:val="left"/>
              <w:rPr>
                <w:rFonts w:ascii="宋体" w:hAnsi="宋体" w:cs="宋体" w:eastAsia="宋体" w:hint="default"/>
                <w:sz w:val="18"/>
                <w:szCs w:val="18"/>
              </w:rPr>
            </w:pPr>
            <w:r>
              <w:rPr>
                <w:rFonts w:ascii="宋体" w:hAnsi="宋体" w:cs="宋体" w:eastAsia="宋体" w:hint="default"/>
                <w:sz w:val="18"/>
                <w:szCs w:val="18"/>
              </w:rPr>
              <w:t>募集资金投资项目先期投入及 置换情况</w:t>
            </w:r>
          </w:p>
        </w:tc>
        <w:tc>
          <w:tcPr>
            <w:tcW w:w="115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719" w:hRule="exact"/>
        </w:trPr>
        <w:tc>
          <w:tcPr>
            <w:tcW w:w="2439" w:type="dxa"/>
            <w:vMerge/>
            <w:tcBorders>
              <w:left w:val="single" w:sz="12" w:space="0" w:color="000000"/>
              <w:bottom w:val="single" w:sz="6" w:space="0" w:color="000000"/>
              <w:right w:val="single" w:sz="6" w:space="0" w:color="000000"/>
            </w:tcBorders>
            <w:shd w:val="clear" w:color="auto" w:fill="D2D2D2"/>
          </w:tcPr>
          <w:p>
            <w:pPr/>
          </w:p>
        </w:tc>
        <w:tc>
          <w:tcPr>
            <w:tcW w:w="115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公司五个募投项目在履行内部程序后，自实际实施之日起至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日，实际资金预先投入金额合计为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702,836,729.29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元，公司募集资金到</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位后对其进行了置换，置换金额为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678,804,400.78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tc>
      </w:tr>
      <w:tr>
        <w:trPr>
          <w:trHeight w:val="407" w:hRule="exact"/>
        </w:trPr>
        <w:tc>
          <w:tcPr>
            <w:tcW w:w="2439" w:type="dxa"/>
            <w:vMerge w:val="restart"/>
            <w:tcBorders>
              <w:top w:val="single" w:sz="6" w:space="0" w:color="000000"/>
              <w:left w:val="single" w:sz="12" w:space="0" w:color="000000"/>
              <w:right w:val="single" w:sz="6" w:space="0" w:color="000000"/>
            </w:tcBorders>
            <w:shd w:val="clear" w:color="auto" w:fill="D2D2D2"/>
          </w:tcPr>
          <w:p>
            <w:pPr>
              <w:pStyle w:val="TableParagraph"/>
              <w:spacing w:line="319" w:lineRule="auto" w:before="99"/>
              <w:ind w:left="13" w:right="63"/>
              <w:jc w:val="left"/>
              <w:rPr>
                <w:rFonts w:ascii="宋体" w:hAnsi="宋体" w:cs="宋体" w:eastAsia="宋体" w:hint="default"/>
                <w:sz w:val="18"/>
                <w:szCs w:val="18"/>
              </w:rPr>
            </w:pPr>
            <w:r>
              <w:rPr>
                <w:rFonts w:ascii="宋体" w:hAnsi="宋体" w:cs="宋体" w:eastAsia="宋体" w:hint="default"/>
                <w:sz w:val="18"/>
                <w:szCs w:val="18"/>
              </w:rPr>
              <w:t>用闲置募集资金暂时补充流动 资金情况</w:t>
            </w:r>
          </w:p>
        </w:tc>
        <w:tc>
          <w:tcPr>
            <w:tcW w:w="115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7" w:hRule="exact"/>
        </w:trPr>
        <w:tc>
          <w:tcPr>
            <w:tcW w:w="2439" w:type="dxa"/>
            <w:vMerge/>
            <w:tcBorders>
              <w:left w:val="single" w:sz="12" w:space="0" w:color="000000"/>
              <w:bottom w:val="single" w:sz="6" w:space="0" w:color="000000"/>
              <w:right w:val="single" w:sz="6" w:space="0" w:color="000000"/>
            </w:tcBorders>
            <w:shd w:val="clear" w:color="auto" w:fill="D2D2D2"/>
          </w:tcPr>
          <w:p>
            <w:pPr/>
          </w:p>
        </w:tc>
        <w:tc>
          <w:tcPr>
            <w:tcW w:w="11575" w:type="dxa"/>
            <w:tcBorders>
              <w:top w:val="single" w:sz="6" w:space="0" w:color="000000"/>
              <w:left w:val="single" w:sz="6" w:space="0" w:color="000000"/>
              <w:bottom w:val="single" w:sz="6" w:space="0" w:color="000000"/>
              <w:right w:val="single" w:sz="12" w:space="0" w:color="000000"/>
            </w:tcBorders>
          </w:tcPr>
          <w:p>
            <w:pPr/>
          </w:p>
        </w:tc>
      </w:tr>
      <w:tr>
        <w:trPr>
          <w:trHeight w:val="408" w:hRule="exact"/>
        </w:trPr>
        <w:tc>
          <w:tcPr>
            <w:tcW w:w="2439" w:type="dxa"/>
            <w:vMerge w:val="restart"/>
            <w:tcBorders>
              <w:top w:val="single" w:sz="6" w:space="0" w:color="000000"/>
              <w:left w:val="single" w:sz="12" w:space="0" w:color="000000"/>
              <w:right w:val="single" w:sz="6"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3"/>
              <w:ind w:left="13" w:right="63"/>
              <w:jc w:val="left"/>
              <w:rPr>
                <w:rFonts w:ascii="宋体" w:hAnsi="宋体" w:cs="宋体" w:eastAsia="宋体" w:hint="default"/>
                <w:sz w:val="18"/>
                <w:szCs w:val="18"/>
              </w:rPr>
            </w:pPr>
            <w:r>
              <w:rPr>
                <w:rFonts w:ascii="宋体" w:hAnsi="宋体" w:cs="宋体" w:eastAsia="宋体" w:hint="default"/>
                <w:sz w:val="18"/>
                <w:szCs w:val="18"/>
              </w:rPr>
              <w:t>项目实施出现募集资金结余的 金额及原因</w:t>
            </w:r>
          </w:p>
        </w:tc>
        <w:tc>
          <w:tcPr>
            <w:tcW w:w="115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655" w:hRule="exact"/>
        </w:trPr>
        <w:tc>
          <w:tcPr>
            <w:tcW w:w="2439" w:type="dxa"/>
            <w:vMerge/>
            <w:tcBorders>
              <w:left w:val="single" w:sz="12" w:space="0" w:color="000000"/>
              <w:bottom w:val="single" w:sz="6" w:space="0" w:color="000000"/>
              <w:right w:val="single" w:sz="6" w:space="0" w:color="000000"/>
            </w:tcBorders>
            <w:shd w:val="clear" w:color="auto" w:fill="D2D2D2"/>
          </w:tcPr>
          <w:p>
            <w:pPr/>
          </w:p>
        </w:tc>
        <w:tc>
          <w:tcPr>
            <w:tcW w:w="11575" w:type="dxa"/>
            <w:tcBorders>
              <w:top w:val="single" w:sz="6" w:space="0" w:color="000000"/>
              <w:left w:val="single" w:sz="6" w:space="0" w:color="000000"/>
              <w:bottom w:val="single" w:sz="6" w:space="0" w:color="000000"/>
              <w:right w:val="single" w:sz="12" w:space="0" w:color="000000"/>
            </w:tcBorders>
          </w:tcPr>
          <w:p>
            <w:pPr>
              <w:pStyle w:val="TableParagraph"/>
              <w:spacing w:line="300" w:lineRule="auto" w:before="51"/>
              <w:ind w:left="21" w:right="10"/>
              <w:jc w:val="left"/>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日，公司募集资金互联网金融领域资产收购项目</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Lendinvest</w:t>
            </w:r>
            <w:r>
              <w:rPr>
                <w:rFonts w:ascii="Times New Roman" w:hAnsi="Times New Roman" w:cs="Times New Roman" w:eastAsia="Times New Roman" w:hint="default"/>
                <w:spacing w:val="-3"/>
                <w:sz w:val="18"/>
                <w:szCs w:val="18"/>
              </w:rPr>
              <w:t> </w:t>
            </w:r>
            <w:r>
              <w:rPr>
                <w:rFonts w:ascii="Times New Roman" w:hAnsi="Times New Roman" w:cs="Times New Roman" w:eastAsia="Times New Roman" w:hint="default"/>
                <w:sz w:val="18"/>
                <w:szCs w:val="18"/>
              </w:rPr>
              <w:t>Limited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和</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Yinker</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z w:val="18"/>
                <w:szCs w:val="18"/>
              </w:rPr>
              <w:t>Inc</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已经支付完毕，收购项目完成，共使用募集资</w:t>
            </w:r>
            <w:r>
              <w:rPr>
                <w:rFonts w:ascii="宋体" w:hAnsi="宋体" w:cs="宋体" w:eastAsia="宋体" w:hint="default"/>
                <w:sz w:val="18"/>
                <w:szCs w:val="18"/>
              </w:rPr>
              <w:t> 金</w:t>
            </w:r>
            <w:r>
              <w:rPr>
                <w:rFonts w:ascii="宋体" w:hAnsi="宋体" w:cs="宋体" w:eastAsia="宋体" w:hint="default"/>
                <w:spacing w:val="15"/>
                <w:sz w:val="18"/>
                <w:szCs w:val="18"/>
              </w:rPr>
              <w:t> </w:t>
            </w:r>
            <w:r>
              <w:rPr>
                <w:rFonts w:ascii="Times New Roman" w:hAnsi="Times New Roman" w:cs="Times New Roman" w:eastAsia="Times New Roman" w:hint="default"/>
                <w:spacing w:val="-1"/>
                <w:sz w:val="18"/>
                <w:szCs w:val="18"/>
              </w:rPr>
              <w:t>297,128,748.04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元，结余募集资金</w:t>
            </w:r>
            <w:r>
              <w:rPr>
                <w:rFonts w:ascii="宋体" w:hAnsi="宋体" w:cs="宋体" w:eastAsia="宋体" w:hint="default"/>
                <w:spacing w:val="-39"/>
                <w:sz w:val="18"/>
                <w:szCs w:val="18"/>
              </w:rPr>
              <w:t> </w:t>
            </w:r>
            <w:r>
              <w:rPr>
                <w:rFonts w:ascii="Times New Roman" w:hAnsi="Times New Roman" w:cs="Times New Roman" w:eastAsia="Times New Roman" w:hint="default"/>
                <w:spacing w:val="-1"/>
                <w:sz w:val="18"/>
                <w:szCs w:val="18"/>
              </w:rPr>
              <w:t>20,937,620.35</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5"/>
                <w:sz w:val="18"/>
                <w:szCs w:val="18"/>
              </w:rPr>
              <w:t> </w:t>
            </w:r>
            <w:r>
              <w:rPr>
                <w:rFonts w:ascii="宋体" w:hAnsi="宋体" w:cs="宋体" w:eastAsia="宋体" w:hint="default"/>
                <w:spacing w:val="-1"/>
                <w:sz w:val="18"/>
                <w:szCs w:val="18"/>
              </w:rPr>
              <w:t>元（含利息收入</w:t>
            </w:r>
            <w:r>
              <w:rPr>
                <w:rFonts w:ascii="宋体" w:hAnsi="宋体" w:cs="宋体" w:eastAsia="宋体" w:hint="default"/>
                <w:spacing w:val="-39"/>
                <w:sz w:val="18"/>
                <w:szCs w:val="18"/>
              </w:rPr>
              <w:t> </w:t>
            </w:r>
            <w:r>
              <w:rPr>
                <w:rFonts w:ascii="Times New Roman" w:hAnsi="Times New Roman" w:cs="Times New Roman" w:eastAsia="Times New Roman" w:hint="default"/>
                <w:spacing w:val="-1"/>
                <w:sz w:val="18"/>
                <w:szCs w:val="18"/>
              </w:rPr>
              <w:t>4,921,959.31</w:t>
            </w:r>
            <w:r>
              <w:rPr>
                <w:rFonts w:ascii="Times New Roman" w:hAnsi="Times New Roman" w:cs="Times New Roman" w:eastAsia="Times New Roman" w:hint="default"/>
                <w:spacing w:val="7"/>
                <w:sz w:val="18"/>
                <w:szCs w:val="18"/>
              </w:rPr>
              <w:t> </w:t>
            </w:r>
            <w:r>
              <w:rPr>
                <w:rFonts w:ascii="宋体" w:hAnsi="宋体" w:cs="宋体" w:eastAsia="宋体" w:hint="default"/>
                <w:spacing w:val="-4"/>
                <w:sz w:val="18"/>
                <w:szCs w:val="18"/>
              </w:rPr>
              <w:t>元），经公司第二届第二十九次董事会会议审议通过，保荐机构发</w:t>
            </w:r>
          </w:p>
          <w:p>
            <w:pPr>
              <w:pStyle w:val="TableParagraph"/>
              <w:spacing w:line="240" w:lineRule="auto" w:before="13"/>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布同意意见后永久补充流动资金。截止</w:t>
            </w:r>
            <w:r>
              <w:rPr>
                <w:rFonts w:ascii="宋体" w:hAnsi="宋体" w:cs="宋体" w:eastAsia="宋体" w:hint="default"/>
                <w:spacing w:val="-18"/>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8"/>
                <w:sz w:val="18"/>
                <w:szCs w:val="18"/>
              </w:rPr>
              <w:t> </w:t>
            </w:r>
            <w:r>
              <w:rPr>
                <w:rFonts w:ascii="宋体" w:hAnsi="宋体" w:cs="宋体" w:eastAsia="宋体" w:hint="default"/>
                <w:sz w:val="18"/>
                <w:szCs w:val="18"/>
              </w:rPr>
              <w:t>日，公司募集资金客户端网络游戏代理项目已经实施完毕，共使用募集资金</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146,763,991.10</w:t>
            </w:r>
          </w:p>
          <w:p>
            <w:pPr>
              <w:pStyle w:val="TableParagraph"/>
              <w:spacing w:line="302" w:lineRule="auto" w:before="63"/>
              <w:ind w:left="21" w:right="10"/>
              <w:jc w:val="left"/>
              <w:rPr>
                <w:rFonts w:ascii="宋体" w:hAnsi="宋体" w:cs="宋体" w:eastAsia="宋体" w:hint="default"/>
                <w:sz w:val="18"/>
                <w:szCs w:val="18"/>
              </w:rPr>
            </w:pPr>
            <w:r>
              <w:rPr>
                <w:rFonts w:ascii="宋体" w:hAnsi="宋体" w:cs="宋体" w:eastAsia="宋体" w:hint="default"/>
                <w:sz w:val="18"/>
                <w:szCs w:val="18"/>
              </w:rPr>
              <w:t>元，结余募集资金</w:t>
            </w:r>
            <w:r>
              <w:rPr>
                <w:rFonts w:ascii="宋体" w:hAnsi="宋体" w:cs="宋体" w:eastAsia="宋体" w:hint="default"/>
                <w:spacing w:val="14"/>
                <w:sz w:val="18"/>
                <w:szCs w:val="18"/>
              </w:rPr>
              <w:t> </w:t>
            </w:r>
            <w:r>
              <w:rPr>
                <w:rFonts w:ascii="Times New Roman" w:hAnsi="Times New Roman" w:cs="Times New Roman" w:eastAsia="Times New Roman" w:hint="default"/>
                <w:spacing w:val="-1"/>
                <w:sz w:val="18"/>
                <w:szCs w:val="18"/>
              </w:rPr>
              <w:t>34,625,333.75</w:t>
            </w:r>
            <w:r>
              <w:rPr>
                <w:rFonts w:ascii="Times New Roman" w:hAnsi="Times New Roman" w:cs="Times New Roman" w:eastAsia="Times New Roman" w:hint="default"/>
                <w:spacing w:val="14"/>
                <w:sz w:val="18"/>
                <w:szCs w:val="18"/>
              </w:rPr>
              <w:t> </w:t>
            </w:r>
            <w:r>
              <w:rPr>
                <w:rFonts w:ascii="宋体" w:hAnsi="宋体" w:cs="宋体" w:eastAsia="宋体" w:hint="default"/>
                <w:spacing w:val="-1"/>
                <w:sz w:val="18"/>
                <w:szCs w:val="18"/>
              </w:rPr>
              <w:t>元（含利息收入</w:t>
            </w:r>
            <w:r>
              <w:rPr>
                <w:rFonts w:ascii="宋体" w:hAnsi="宋体" w:cs="宋体" w:eastAsia="宋体" w:hint="default"/>
                <w:spacing w:val="-40"/>
                <w:sz w:val="18"/>
                <w:szCs w:val="18"/>
              </w:rPr>
              <w:t> </w:t>
            </w:r>
            <w:r>
              <w:rPr>
                <w:rFonts w:ascii="Times New Roman" w:hAnsi="Times New Roman" w:cs="Times New Roman" w:eastAsia="Times New Roman" w:hint="default"/>
                <w:spacing w:val="-1"/>
                <w:sz w:val="18"/>
                <w:szCs w:val="18"/>
              </w:rPr>
              <w:t>2,359,324.85</w:t>
            </w:r>
            <w:r>
              <w:rPr>
                <w:rFonts w:ascii="Times New Roman" w:hAnsi="Times New Roman" w:cs="Times New Roman" w:eastAsia="Times New Roman" w:hint="default"/>
                <w:spacing w:val="7"/>
                <w:sz w:val="18"/>
                <w:szCs w:val="18"/>
              </w:rPr>
              <w:t> </w:t>
            </w:r>
            <w:r>
              <w:rPr>
                <w:rFonts w:ascii="宋体" w:hAnsi="宋体" w:cs="宋体" w:eastAsia="宋体" w:hint="default"/>
                <w:spacing w:val="-3"/>
                <w:sz w:val="18"/>
                <w:szCs w:val="18"/>
              </w:rPr>
              <w:t>元），经公司第二届第四十一次董事会会议审议通过，保荐机构发布同意意见后永久</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补充流动资金。</w:t>
            </w:r>
          </w:p>
        </w:tc>
      </w:tr>
      <w:tr>
        <w:trPr>
          <w:trHeight w:val="719" w:hRule="exact"/>
        </w:trPr>
        <w:tc>
          <w:tcPr>
            <w:tcW w:w="243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9" w:lineRule="auto" w:before="51"/>
              <w:ind w:left="13" w:right="63"/>
              <w:jc w:val="left"/>
              <w:rPr>
                <w:rFonts w:ascii="宋体" w:hAnsi="宋体" w:cs="宋体" w:eastAsia="宋体" w:hint="default"/>
                <w:sz w:val="18"/>
                <w:szCs w:val="18"/>
              </w:rPr>
            </w:pPr>
            <w:r>
              <w:rPr>
                <w:rFonts w:ascii="宋体" w:hAnsi="宋体" w:cs="宋体" w:eastAsia="宋体" w:hint="default"/>
                <w:sz w:val="18"/>
                <w:szCs w:val="18"/>
              </w:rPr>
              <w:t>尚未使用的募集资金用途及去 向</w:t>
            </w:r>
          </w:p>
        </w:tc>
        <w:tc>
          <w:tcPr>
            <w:tcW w:w="115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日，募集资金余额为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209.53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万元，全部为银行存款，其中以七天通知存款方式存放的金额为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万元，募集资金专户活期</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存款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9.53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727" w:hRule="exact"/>
        </w:trPr>
        <w:tc>
          <w:tcPr>
            <w:tcW w:w="2439"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319" w:lineRule="auto" w:before="51"/>
              <w:ind w:left="13" w:right="63"/>
              <w:jc w:val="left"/>
              <w:rPr>
                <w:rFonts w:ascii="宋体" w:hAnsi="宋体" w:cs="宋体" w:eastAsia="宋体" w:hint="default"/>
                <w:sz w:val="18"/>
                <w:szCs w:val="18"/>
              </w:rPr>
            </w:pPr>
            <w:r>
              <w:rPr>
                <w:rFonts w:ascii="宋体" w:hAnsi="宋体" w:cs="宋体" w:eastAsia="宋体" w:hint="default"/>
                <w:sz w:val="18"/>
                <w:szCs w:val="18"/>
              </w:rPr>
              <w:t>募集资金使用及披露中存在的 问题或其他情况</w:t>
            </w:r>
          </w:p>
        </w:tc>
        <w:tc>
          <w:tcPr>
            <w:tcW w:w="1157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160" w:left="1280" w:right="0"/>
        </w:sectPr>
      </w:pPr>
    </w:p>
    <w:p>
      <w:pPr>
        <w:spacing w:line="240" w:lineRule="auto" w:before="4"/>
        <w:rPr>
          <w:rFonts w:ascii="Times New Roman" w:hAnsi="Times New Roman" w:cs="Times New Roman" w:eastAsia="Times New Roman" w:hint="default"/>
          <w:sz w:val="3"/>
          <w:szCs w:val="3"/>
        </w:rPr>
      </w:pPr>
    </w:p>
    <w:p>
      <w:pPr>
        <w:spacing w:line="20" w:lineRule="exact"/>
        <w:ind w:left="12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Times New Roman" w:hAnsi="Times New Roman" w:cs="Times New Roman" w:eastAsia="Times New Roman" w:hint="default"/>
          <w:sz w:val="2"/>
          <w:szCs w:val="2"/>
        </w:rPr>
      </w:r>
    </w:p>
    <w:p>
      <w:pPr>
        <w:pStyle w:val="Heading6"/>
        <w:spacing w:line="240" w:lineRule="auto"/>
        <w:ind w:left="160" w:right="0"/>
        <w:jc w:val="left"/>
        <w:rPr>
          <w:b w:val="0"/>
          <w:bCs w:val="0"/>
        </w:rPr>
      </w:pPr>
      <w:bookmarkStart w:name="（3）募集资金变更项目情况" w:id="52"/>
      <w:bookmarkEnd w:id="52"/>
      <w:r>
        <w:rPr>
          <w:b w:val="0"/>
          <w:bCs w:val="0"/>
        </w:rPr>
      </w: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3"/>
        <w:rPr>
          <w:rFonts w:ascii="宋体" w:hAnsi="宋体" w:cs="宋体" w:eastAsia="宋体" w:hint="default"/>
          <w:b/>
          <w:bCs/>
          <w:sz w:val="23"/>
          <w:szCs w:val="23"/>
        </w:rPr>
      </w:pPr>
    </w:p>
    <w:p>
      <w:pPr>
        <w:spacing w:before="44"/>
        <w:ind w:left="16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436"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9"/>
          <w:szCs w:val="19"/>
        </w:rPr>
      </w:pPr>
    </w:p>
    <w:p>
      <w:pPr>
        <w:spacing w:before="44"/>
        <w:ind w:left="0" w:right="1345" w:firstLine="0"/>
        <w:jc w:val="right"/>
        <w:rPr>
          <w:rFonts w:ascii="宋体" w:hAnsi="宋体" w:cs="宋体" w:eastAsia="宋体" w:hint="default"/>
          <w:sz w:val="18"/>
          <w:szCs w:val="18"/>
        </w:rPr>
      </w:pPr>
      <w:r>
        <w:rPr/>
        <w:pict>
          <v:shape style="position:absolute;margin-left:69.839996pt;margin-top:-125.308266pt;width:703pt;height:233.55pt;mso-position-horizontal-relative:page;mso-position-vertical-relative:paragraph;z-index:13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03"/>
                    <w:gridCol w:w="1405"/>
                    <w:gridCol w:w="1400"/>
                    <w:gridCol w:w="1404"/>
                    <w:gridCol w:w="1402"/>
                    <w:gridCol w:w="1399"/>
                    <w:gridCol w:w="1400"/>
                    <w:gridCol w:w="1399"/>
                    <w:gridCol w:w="1402"/>
                    <w:gridCol w:w="1400"/>
                  </w:tblGrid>
                  <w:tr>
                    <w:trPr>
                      <w:trHeight w:val="1037" w:hRule="exact"/>
                    </w:trPr>
                    <w:tc>
                      <w:tcPr>
                        <w:tcW w:w="1403"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46" w:right="0"/>
                          <w:jc w:val="left"/>
                          <w:rPr>
                            <w:rFonts w:ascii="宋体" w:hAnsi="宋体" w:cs="宋体" w:eastAsia="宋体" w:hint="default"/>
                            <w:sz w:val="18"/>
                            <w:szCs w:val="18"/>
                          </w:rPr>
                        </w:pPr>
                        <w:r>
                          <w:rPr>
                            <w:rFonts w:ascii="宋体" w:hAnsi="宋体" w:cs="宋体" w:eastAsia="宋体" w:hint="default"/>
                            <w:sz w:val="18"/>
                            <w:szCs w:val="18"/>
                          </w:rPr>
                          <w:t>变更后的项目</w:t>
                        </w:r>
                      </w:p>
                    </w:tc>
                    <w:tc>
                      <w:tcPr>
                        <w:tcW w:w="140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04" w:right="65" w:hanging="540"/>
                          <w:jc w:val="left"/>
                          <w:rPr>
                            <w:rFonts w:ascii="宋体" w:hAnsi="宋体" w:cs="宋体" w:eastAsia="宋体" w:hint="default"/>
                            <w:sz w:val="18"/>
                            <w:szCs w:val="18"/>
                          </w:rPr>
                        </w:pPr>
                        <w:r>
                          <w:rPr>
                            <w:rFonts w:ascii="宋体" w:hAnsi="宋体" w:cs="宋体" w:eastAsia="宋体" w:hint="default"/>
                            <w:sz w:val="18"/>
                            <w:szCs w:val="18"/>
                          </w:rPr>
                          <w:t>对应的原承诺项 目</w:t>
                        </w:r>
                      </w:p>
                    </w:tc>
                    <w:tc>
                      <w:tcPr>
                        <w:tcW w:w="140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38" w:lineRule="auto" w:before="51"/>
                          <w:ind w:left="62" w:right="61"/>
                          <w:jc w:val="center"/>
                          <w:rPr>
                            <w:rFonts w:ascii="Times New Roman" w:hAnsi="Times New Roman" w:cs="Times New Roman" w:eastAsia="Times New Roman" w:hint="default"/>
                            <w:sz w:val="18"/>
                            <w:szCs w:val="18"/>
                          </w:rPr>
                        </w:pPr>
                        <w:r>
                          <w:rPr>
                            <w:rFonts w:ascii="宋体" w:hAnsi="宋体" w:cs="宋体" w:eastAsia="宋体" w:hint="default"/>
                            <w:sz w:val="18"/>
                            <w:szCs w:val="18"/>
                          </w:rPr>
                          <w:t>变更后项目拟投 入募集资金总额 </w:t>
                        </w:r>
                        <w:r>
                          <w:rPr>
                            <w:rFonts w:ascii="Times New Roman" w:hAnsi="Times New Roman" w:cs="Times New Roman" w:eastAsia="Times New Roman" w:hint="default"/>
                            <w:sz w:val="18"/>
                            <w:szCs w:val="18"/>
                          </w:rPr>
                          <w:t>(1)</w:t>
                        </w:r>
                      </w:p>
                    </w:tc>
                    <w:tc>
                      <w:tcPr>
                        <w:tcW w:w="1404"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24" w:right="62" w:hanging="360"/>
                          <w:jc w:val="left"/>
                          <w:rPr>
                            <w:rFonts w:ascii="宋体" w:hAnsi="宋体" w:cs="宋体" w:eastAsia="宋体" w:hint="default"/>
                            <w:sz w:val="18"/>
                            <w:szCs w:val="18"/>
                          </w:rPr>
                        </w:pPr>
                        <w:r>
                          <w:rPr>
                            <w:rFonts w:ascii="宋体" w:hAnsi="宋体" w:cs="宋体" w:eastAsia="宋体" w:hint="default"/>
                            <w:sz w:val="18"/>
                            <w:szCs w:val="18"/>
                          </w:rPr>
                          <w:t>本报告期实际投 入金额</w:t>
                        </w:r>
                      </w:p>
                    </w:tc>
                    <w:tc>
                      <w:tcPr>
                        <w:tcW w:w="140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39" w:right="63" w:hanging="76"/>
                          <w:jc w:val="left"/>
                          <w:rPr>
                            <w:rFonts w:ascii="Times New Roman" w:hAnsi="Times New Roman" w:cs="Times New Roman" w:eastAsia="Times New Roman" w:hint="default"/>
                            <w:sz w:val="18"/>
                            <w:szCs w:val="18"/>
                          </w:rPr>
                        </w:pPr>
                        <w:r>
                          <w:rPr>
                            <w:rFonts w:ascii="宋体" w:hAnsi="宋体" w:cs="宋体" w:eastAsia="宋体" w:hint="default"/>
                            <w:sz w:val="18"/>
                            <w:szCs w:val="18"/>
                          </w:rPr>
                          <w:t>截至期末实际累 计投入金额</w:t>
                        </w:r>
                        <w:r>
                          <w:rPr>
                            <w:rFonts w:ascii="Times New Roman" w:hAnsi="Times New Roman" w:cs="Times New Roman" w:eastAsia="Times New Roman" w:hint="default"/>
                            <w:sz w:val="18"/>
                            <w:szCs w:val="18"/>
                          </w:rPr>
                          <w:t>(2)</w:t>
                        </w:r>
                      </w:p>
                    </w:tc>
                    <w:tc>
                      <w:tcPr>
                        <w:tcW w:w="139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1" w:right="61" w:hanging="150"/>
                          <w:jc w:val="left"/>
                          <w:rPr>
                            <w:rFonts w:ascii="Times New Roman" w:hAnsi="Times New Roman" w:cs="Times New Roman" w:eastAsia="Times New Roman" w:hint="default"/>
                            <w:sz w:val="18"/>
                            <w:szCs w:val="18"/>
                          </w:rPr>
                        </w:pPr>
                        <w:r>
                          <w:rPr>
                            <w:rFonts w:ascii="宋体" w:hAnsi="宋体" w:cs="宋体" w:eastAsia="宋体" w:hint="default"/>
                            <w:sz w:val="18"/>
                            <w:szCs w:val="18"/>
                          </w:rPr>
                          <w:t>截至期末投资进 度</w:t>
                        </w:r>
                        <w:r>
                          <w:rPr>
                            <w:rFonts w:ascii="Times New Roman" w:hAnsi="Times New Roman" w:cs="Times New Roman" w:eastAsia="Times New Roman" w:hint="default"/>
                            <w:sz w:val="18"/>
                            <w:szCs w:val="18"/>
                          </w:rPr>
                          <w:t>(3)=(2)/(1)</w:t>
                        </w:r>
                      </w:p>
                    </w:tc>
                    <w:tc>
                      <w:tcPr>
                        <w:tcW w:w="140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52" w:right="61" w:hanging="90"/>
                          <w:jc w:val="left"/>
                          <w:rPr>
                            <w:rFonts w:ascii="宋体" w:hAnsi="宋体" w:cs="宋体" w:eastAsia="宋体" w:hint="default"/>
                            <w:sz w:val="18"/>
                            <w:szCs w:val="18"/>
                          </w:rPr>
                        </w:pPr>
                        <w:r>
                          <w:rPr>
                            <w:rFonts w:ascii="宋体" w:hAnsi="宋体" w:cs="宋体" w:eastAsia="宋体" w:hint="default"/>
                            <w:sz w:val="18"/>
                            <w:szCs w:val="18"/>
                          </w:rPr>
                          <w:t>项目达到预定可 使用状态日期</w:t>
                        </w:r>
                      </w:p>
                    </w:tc>
                    <w:tc>
                      <w:tcPr>
                        <w:tcW w:w="139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512" w:right="60" w:hanging="450"/>
                          <w:jc w:val="left"/>
                          <w:rPr>
                            <w:rFonts w:ascii="宋体" w:hAnsi="宋体" w:cs="宋体" w:eastAsia="宋体" w:hint="default"/>
                            <w:sz w:val="18"/>
                            <w:szCs w:val="18"/>
                          </w:rPr>
                        </w:pPr>
                        <w:r>
                          <w:rPr>
                            <w:rFonts w:ascii="宋体" w:hAnsi="宋体" w:cs="宋体" w:eastAsia="宋体" w:hint="default"/>
                            <w:sz w:val="18"/>
                            <w:szCs w:val="18"/>
                          </w:rPr>
                          <w:t>本报告期实现的 效益</w:t>
                        </w:r>
                      </w:p>
                    </w:tc>
                    <w:tc>
                      <w:tcPr>
                        <w:tcW w:w="140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02" w:right="63" w:hanging="540"/>
                          <w:jc w:val="left"/>
                          <w:rPr>
                            <w:rFonts w:ascii="宋体" w:hAnsi="宋体" w:cs="宋体" w:eastAsia="宋体" w:hint="default"/>
                            <w:sz w:val="18"/>
                            <w:szCs w:val="18"/>
                          </w:rPr>
                        </w:pPr>
                        <w:r>
                          <w:rPr>
                            <w:rFonts w:ascii="宋体" w:hAnsi="宋体" w:cs="宋体" w:eastAsia="宋体" w:hint="default"/>
                            <w:sz w:val="18"/>
                            <w:szCs w:val="18"/>
                          </w:rPr>
                          <w:t>是否达到预计效 益</w:t>
                        </w:r>
                      </w:p>
                    </w:tc>
                    <w:tc>
                      <w:tcPr>
                        <w:tcW w:w="1400"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316" w:lineRule="auto" w:before="51"/>
                          <w:ind w:left="62" w:right="53"/>
                          <w:jc w:val="center"/>
                          <w:rPr>
                            <w:rFonts w:ascii="宋体" w:hAnsi="宋体" w:cs="宋体" w:eastAsia="宋体" w:hint="default"/>
                            <w:sz w:val="18"/>
                            <w:szCs w:val="18"/>
                          </w:rPr>
                        </w:pPr>
                        <w:r>
                          <w:rPr>
                            <w:rFonts w:ascii="宋体" w:hAnsi="宋体" w:cs="宋体" w:eastAsia="宋体" w:hint="default"/>
                            <w:sz w:val="18"/>
                            <w:szCs w:val="18"/>
                          </w:rPr>
                          <w:t>变更后的项目可 行性是否发生重 大变化</w:t>
                        </w:r>
                      </w:p>
                    </w:tc>
                  </w:tr>
                  <w:tr>
                    <w:trPr>
                      <w:trHeight w:val="720" w:hRule="exact"/>
                    </w:trPr>
                    <w:tc>
                      <w:tcPr>
                        <w:tcW w:w="1403"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52"/>
                          <w:ind w:left="13" w:right="105"/>
                          <w:jc w:val="left"/>
                          <w:rPr>
                            <w:rFonts w:ascii="宋体" w:hAnsi="宋体" w:cs="宋体" w:eastAsia="宋体" w:hint="default"/>
                            <w:sz w:val="18"/>
                            <w:szCs w:val="18"/>
                          </w:rPr>
                        </w:pPr>
                        <w:r>
                          <w:rPr>
                            <w:rFonts w:ascii="宋体" w:hAnsi="宋体" w:cs="宋体" w:eastAsia="宋体" w:hint="default"/>
                            <w:sz w:val="18"/>
                            <w:szCs w:val="18"/>
                          </w:rPr>
                          <w:t>互联网金融领域 资产收购项目</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2"/>
                          <w:ind w:left="20" w:right="108"/>
                          <w:jc w:val="left"/>
                          <w:rPr>
                            <w:rFonts w:ascii="宋体" w:hAnsi="宋体" w:cs="宋体" w:eastAsia="宋体" w:hint="default"/>
                            <w:sz w:val="18"/>
                            <w:szCs w:val="18"/>
                          </w:rPr>
                        </w:pPr>
                        <w:r>
                          <w:rPr>
                            <w:rFonts w:ascii="宋体" w:hAnsi="宋体" w:cs="宋体" w:eastAsia="宋体" w:hint="default"/>
                            <w:sz w:val="18"/>
                            <w:szCs w:val="18"/>
                          </w:rPr>
                          <w:t>移动网络游戏代 理项目</w:t>
                        </w: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31,314.44</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29,712.87</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08" w:right="0"/>
                          <w:jc w:val="left"/>
                          <w:rPr>
                            <w:rFonts w:ascii="Times New Roman" w:hAnsi="Times New Roman" w:cs="Times New Roman" w:eastAsia="Times New Roman" w:hint="default"/>
                            <w:sz w:val="18"/>
                            <w:szCs w:val="18"/>
                          </w:rPr>
                        </w:pPr>
                        <w:r>
                          <w:rPr>
                            <w:rFonts w:ascii="Times New Roman"/>
                            <w:sz w:val="18"/>
                          </w:rPr>
                          <w:t>94.89%</w:t>
                        </w:r>
                      </w:p>
                    </w:tc>
                    <w:tc>
                      <w:tcPr>
                        <w:tcW w:w="1400" w:type="dxa"/>
                        <w:tcBorders>
                          <w:top w:val="single" w:sz="6" w:space="0" w:color="000000"/>
                          <w:left w:val="single" w:sz="6" w:space="0" w:color="000000"/>
                          <w:bottom w:val="single" w:sz="6" w:space="0" w:color="000000"/>
                          <w:right w:val="single" w:sz="6" w:space="0" w:color="000000"/>
                        </w:tcBorders>
                      </w:tcPr>
                      <w:p>
                        <w:pP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4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7" w:hRule="exact"/>
                    </w:trPr>
                    <w:tc>
                      <w:tcPr>
                        <w:tcW w:w="1403"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05"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400"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31,314.44</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29,712.87</w:t>
                        </w:r>
                      </w:p>
                    </w:tc>
                    <w:tc>
                      <w:tcPr>
                        <w:tcW w:w="1399"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40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140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400"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w:t>
                        </w:r>
                      </w:p>
                    </w:tc>
                  </w:tr>
                  <w:tr>
                    <w:trPr>
                      <w:trHeight w:val="320" w:hRule="exact"/>
                    </w:trPr>
                    <w:tc>
                      <w:tcPr>
                        <w:tcW w:w="4208" w:type="dxa"/>
                        <w:gridSpan w:val="3"/>
                        <w:tcBorders>
                          <w:top w:val="single" w:sz="6" w:space="0" w:color="000000"/>
                          <w:left w:val="single" w:sz="12" w:space="0" w:color="000000"/>
                          <w:bottom w:val="nil" w:sz="6" w:space="0" w:color="auto"/>
                          <w:right w:val="single" w:sz="6" w:space="0" w:color="000000"/>
                        </w:tcBorders>
                        <w:shd w:val="clear" w:color="auto" w:fill="D2D2D2"/>
                      </w:tcPr>
                      <w:p>
                        <w:pPr/>
                      </w:p>
                    </w:tc>
                    <w:tc>
                      <w:tcPr>
                        <w:tcW w:w="9807" w:type="dxa"/>
                        <w:gridSpan w:val="7"/>
                        <w:vMerge w:val="restart"/>
                        <w:tcBorders>
                          <w:top w:val="single" w:sz="6" w:space="0" w:color="000000"/>
                          <w:left w:val="single" w:sz="9" w:space="0" w:color="D2D2D2"/>
                          <w:right w:val="single" w:sz="12" w:space="0" w:color="000000"/>
                        </w:tcBorders>
                      </w:tcPr>
                      <w:p>
                        <w:pPr>
                          <w:pStyle w:val="TableParagraph"/>
                          <w:spacing w:line="300" w:lineRule="auto" w:before="51"/>
                          <w:ind w:left="18" w:right="47"/>
                          <w:jc w:val="both"/>
                          <w:rPr>
                            <w:rFonts w:ascii="Times New Roman" w:hAnsi="Times New Roman" w:cs="Times New Roman" w:eastAsia="Times New Roman" w:hint="default"/>
                            <w:sz w:val="18"/>
                            <w:szCs w:val="18"/>
                          </w:rPr>
                        </w:pPr>
                        <w:r>
                          <w:rPr>
                            <w:rFonts w:ascii="宋体" w:hAnsi="宋体" w:cs="宋体" w:eastAsia="宋体" w:hint="default"/>
                            <w:sz w:val="18"/>
                            <w:szCs w:val="18"/>
                          </w:rPr>
                          <w:t>根据公司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日，公司第二届第十一次董事会决议，决定将变更公司首次公开发行部分募集资金投向，即终止实 施</w:t>
                        </w:r>
                        <w:r>
                          <w:rPr>
                            <w:rFonts w:ascii="Times New Roman" w:hAnsi="Times New Roman" w:cs="Times New Roman" w:eastAsia="Times New Roman" w:hint="default"/>
                            <w:sz w:val="18"/>
                            <w:szCs w:val="18"/>
                          </w:rPr>
                          <w:t>“</w:t>
                        </w:r>
                        <w:r>
                          <w:rPr>
                            <w:rFonts w:ascii="宋体" w:hAnsi="宋体" w:cs="宋体" w:eastAsia="宋体" w:hint="default"/>
                            <w:sz w:val="18"/>
                            <w:szCs w:val="18"/>
                          </w:rPr>
                          <w:t>移动网络游戏代理项目</w:t>
                        </w:r>
                        <w:r>
                          <w:rPr>
                            <w:rFonts w:ascii="Times New Roman" w:hAnsi="Times New Roman" w:cs="Times New Roman" w:eastAsia="Times New Roman" w:hint="default"/>
                            <w:sz w:val="18"/>
                            <w:szCs w:val="18"/>
                          </w:rPr>
                          <w:t>”</w:t>
                        </w:r>
                        <w:r>
                          <w:rPr>
                            <w:rFonts w:ascii="宋体" w:hAnsi="宋体" w:cs="宋体" w:eastAsia="宋体" w:hint="default"/>
                            <w:sz w:val="18"/>
                            <w:szCs w:val="18"/>
                          </w:rPr>
                          <w:t>，该项目剩余募集资金原投资移动网络游戏代理项目变更为投资</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Lendinvest</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z w:val="18"/>
                            <w:szCs w:val="18"/>
                          </w:rPr>
                          <w:t>Limited</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和</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Yinker</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z w:val="18"/>
                            <w:szCs w:val="18"/>
                          </w:rPr>
                          <w:t>Inc</w:t>
                        </w:r>
                        <w:r>
                          <w:rPr>
                            <w:rFonts w:ascii="Times New Roman" w:hAnsi="Times New Roman" w:cs="Times New Roman" w:eastAsia="Times New Roman" w:hint="default"/>
                            <w:sz w:val="18"/>
                            <w:szCs w:val="18"/>
                          </w:rPr>
                          <w:t> 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年第二次临时股东大会决议公告通过了《关于变更部分募集资金投向的议案》。截止</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p>
                      <w:p>
                        <w:pPr>
                          <w:pStyle w:val="TableParagraph"/>
                          <w:spacing w:line="240" w:lineRule="auto" w:before="14"/>
                          <w:ind w:left="18" w:right="0"/>
                          <w:jc w:val="both"/>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日，移动网络游戏代理项目已投入募集资金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19,588.56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tc>
                  </w:tr>
                  <w:tr>
                    <w:trPr>
                      <w:trHeight w:val="704" w:hRule="exact"/>
                    </w:trPr>
                    <w:tc>
                      <w:tcPr>
                        <w:tcW w:w="4208" w:type="dxa"/>
                        <w:gridSpan w:val="3"/>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302" w:lineRule="auto" w:before="51"/>
                          <w:ind w:left="13" w:right="150"/>
                          <w:jc w:val="left"/>
                          <w:rPr>
                            <w:rFonts w:ascii="Times New Roman" w:hAnsi="Times New Roman" w:cs="Times New Roman" w:eastAsia="Times New Roman" w:hint="default"/>
                            <w:sz w:val="18"/>
                            <w:szCs w:val="18"/>
                          </w:rPr>
                        </w:pPr>
                        <w:r>
                          <w:rPr>
                            <w:rFonts w:ascii="宋体" w:hAnsi="宋体" w:cs="宋体" w:eastAsia="宋体" w:hint="default"/>
                            <w:sz w:val="18"/>
                            <w:szCs w:val="18"/>
                          </w:rPr>
                          <w:t>变更原因、决策程序及信息披露情况说明</w:t>
                        </w:r>
                        <w:r>
                          <w:rPr>
                            <w:rFonts w:ascii="Times New Roman" w:hAnsi="Times New Roman" w:cs="Times New Roman" w:eastAsia="Times New Roman" w:hint="default"/>
                            <w:sz w:val="18"/>
                            <w:szCs w:val="18"/>
                          </w:rPr>
                          <w:t>(</w:t>
                        </w:r>
                        <w:r>
                          <w:rPr>
                            <w:rFonts w:ascii="宋体" w:hAnsi="宋体" w:cs="宋体" w:eastAsia="宋体" w:hint="default"/>
                            <w:sz w:val="18"/>
                            <w:szCs w:val="18"/>
                          </w:rPr>
                          <w:t>分具体项 目</w:t>
                        </w:r>
                        <w:r>
                          <w:rPr>
                            <w:rFonts w:ascii="Times New Roman" w:hAnsi="Times New Roman" w:cs="Times New Roman" w:eastAsia="Times New Roman" w:hint="default"/>
                            <w:sz w:val="18"/>
                            <w:szCs w:val="18"/>
                          </w:rPr>
                          <w:t>)</w:t>
                        </w:r>
                      </w:p>
                    </w:tc>
                    <w:tc>
                      <w:tcPr>
                        <w:tcW w:w="9807" w:type="dxa"/>
                        <w:gridSpan w:val="7"/>
                        <w:vMerge/>
                        <w:tcBorders>
                          <w:left w:val="single" w:sz="9" w:space="0" w:color="D2D2D2"/>
                          <w:right w:val="single" w:sz="12" w:space="0" w:color="000000"/>
                        </w:tcBorders>
                      </w:tcPr>
                      <w:p>
                        <w:pPr/>
                      </w:p>
                    </w:tc>
                  </w:tr>
                  <w:tr>
                    <w:trPr>
                      <w:trHeight w:val="319" w:hRule="exact"/>
                    </w:trPr>
                    <w:tc>
                      <w:tcPr>
                        <w:tcW w:w="4208" w:type="dxa"/>
                        <w:gridSpan w:val="3"/>
                        <w:tcBorders>
                          <w:top w:val="nil" w:sz="6" w:space="0" w:color="auto"/>
                          <w:left w:val="single" w:sz="12" w:space="0" w:color="000000"/>
                          <w:bottom w:val="single" w:sz="6" w:space="0" w:color="000000"/>
                          <w:right w:val="single" w:sz="6" w:space="0" w:color="000000"/>
                        </w:tcBorders>
                        <w:shd w:val="clear" w:color="auto" w:fill="D2D2D2"/>
                      </w:tcPr>
                      <w:p>
                        <w:pPr/>
                      </w:p>
                    </w:tc>
                    <w:tc>
                      <w:tcPr>
                        <w:tcW w:w="9807" w:type="dxa"/>
                        <w:gridSpan w:val="7"/>
                        <w:vMerge/>
                        <w:tcBorders>
                          <w:left w:val="single" w:sz="9" w:space="0" w:color="D2D2D2"/>
                          <w:bottom w:val="single" w:sz="6" w:space="0" w:color="000000"/>
                          <w:right w:val="single" w:sz="12" w:space="0" w:color="000000"/>
                        </w:tcBorders>
                      </w:tcPr>
                      <w:p>
                        <w:pPr/>
                      </w:p>
                    </w:tc>
                  </w:tr>
                  <w:tr>
                    <w:trPr>
                      <w:trHeight w:val="719" w:hRule="exact"/>
                    </w:trPr>
                    <w:tc>
                      <w:tcPr>
                        <w:tcW w:w="4208" w:type="dxa"/>
                        <w:gridSpan w:val="3"/>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02" w:lineRule="auto" w:before="51"/>
                          <w:ind w:left="13" w:right="150"/>
                          <w:jc w:val="left"/>
                          <w:rPr>
                            <w:rFonts w:ascii="Times New Roman" w:hAnsi="Times New Roman" w:cs="Times New Roman" w:eastAsia="Times New Roman" w:hint="default"/>
                            <w:sz w:val="18"/>
                            <w:szCs w:val="18"/>
                          </w:rPr>
                        </w:pPr>
                        <w:r>
                          <w:rPr>
                            <w:rFonts w:ascii="宋体" w:hAnsi="宋体" w:cs="宋体" w:eastAsia="宋体" w:hint="default"/>
                            <w:sz w:val="18"/>
                            <w:szCs w:val="18"/>
                          </w:rPr>
                          <w:t>未达到计划进度或预计收益的情况和原因</w:t>
                        </w:r>
                        <w:r>
                          <w:rPr>
                            <w:rFonts w:ascii="Times New Roman" w:hAnsi="Times New Roman" w:cs="Times New Roman" w:eastAsia="Times New Roman" w:hint="default"/>
                            <w:sz w:val="18"/>
                            <w:szCs w:val="18"/>
                          </w:rPr>
                          <w:t>(</w:t>
                        </w:r>
                        <w:r>
                          <w:rPr>
                            <w:rFonts w:ascii="宋体" w:hAnsi="宋体" w:cs="宋体" w:eastAsia="宋体" w:hint="default"/>
                            <w:sz w:val="18"/>
                            <w:szCs w:val="18"/>
                          </w:rPr>
                          <w:t>分具体项 目</w:t>
                        </w:r>
                        <w:r>
                          <w:rPr>
                            <w:rFonts w:ascii="Times New Roman" w:hAnsi="Times New Roman" w:cs="Times New Roman" w:eastAsia="Times New Roman" w:hint="default"/>
                            <w:sz w:val="18"/>
                            <w:szCs w:val="18"/>
                          </w:rPr>
                          <w:t>)</w:t>
                        </w:r>
                      </w:p>
                    </w:tc>
                    <w:tc>
                      <w:tcPr>
                        <w:tcW w:w="9807" w:type="dxa"/>
                        <w:gridSpan w:val="7"/>
                        <w:tcBorders>
                          <w:top w:val="single" w:sz="6" w:space="0" w:color="000000"/>
                          <w:left w:val="single" w:sz="9" w:space="0" w:color="D2D2D2"/>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8"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15" w:hRule="exact"/>
                    </w:trPr>
                    <w:tc>
                      <w:tcPr>
                        <w:tcW w:w="4208" w:type="dxa"/>
                        <w:gridSpan w:val="3"/>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变更后的项目可行性发生重大变化的情况说明</w:t>
                        </w:r>
                      </w:p>
                    </w:tc>
                    <w:tc>
                      <w:tcPr>
                        <w:tcW w:w="9807" w:type="dxa"/>
                        <w:gridSpan w:val="7"/>
                        <w:tcBorders>
                          <w:top w:val="single" w:sz="6" w:space="0" w:color="000000"/>
                          <w:left w:val="single" w:sz="9" w:space="0" w:color="D2D2D2"/>
                          <w:bottom w:val="single" w:sz="12" w:space="0" w:color="000000"/>
                          <w:right w:val="single" w:sz="12" w:space="0" w:color="000000"/>
                        </w:tcBorders>
                      </w:tcPr>
                      <w:p>
                        <w:pPr>
                          <w:pStyle w:val="TableParagraph"/>
                          <w:spacing w:line="240" w:lineRule="auto" w:before="52"/>
                          <w:ind w:left="18"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6"/>
        <w:spacing w:line="240" w:lineRule="auto" w:before="35"/>
        <w:ind w:left="160" w:right="0"/>
        <w:jc w:val="left"/>
        <w:rPr>
          <w:b w:val="0"/>
          <w:bCs w:val="0"/>
        </w:rPr>
      </w:pPr>
      <w:bookmarkStart w:name="6、 非公开发行募集资金使用情况" w:id="53"/>
      <w:bookmarkEnd w:id="53"/>
      <w:r>
        <w:rPr>
          <w:b w:val="0"/>
          <w:bCs w:val="0"/>
        </w:rPr>
      </w:r>
      <w:r>
        <w:rPr>
          <w:rFonts w:ascii="Times New Roman" w:hAnsi="Times New Roman" w:cs="Times New Roman" w:eastAsia="Times New Roman" w:hint="default"/>
        </w:rPr>
        <w:t>6</w:t>
      </w:r>
      <w:r>
        <w:rPr/>
        <w:t>、</w:t>
      </w:r>
      <w:r>
        <w:rPr>
          <w:spacing w:val="-5"/>
        </w:rPr>
        <w:t> </w:t>
      </w:r>
      <w:r>
        <w:rPr/>
        <w:t>非公开发行募集资金使用情况</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60" w:right="0"/>
        <w:jc w:val="left"/>
        <w:rPr>
          <w:b w:val="0"/>
          <w:bCs w:val="0"/>
        </w:rPr>
      </w:pP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3"/>
        <w:rPr>
          <w:rFonts w:ascii="宋体" w:hAnsi="宋体" w:cs="宋体" w:eastAsia="宋体" w:hint="default"/>
          <w:b/>
          <w:bCs/>
          <w:sz w:val="23"/>
          <w:szCs w:val="23"/>
        </w:rPr>
      </w:pPr>
    </w:p>
    <w:p>
      <w:pPr>
        <w:spacing w:before="44"/>
        <w:ind w:left="16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before="103"/>
        <w:ind w:left="4279" w:right="5339" w:firstLine="0"/>
        <w:jc w:val="center"/>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4"/>
        <w:rPr>
          <w:rFonts w:ascii="宋体" w:hAnsi="宋体" w:cs="宋体" w:eastAsia="宋体" w:hint="default"/>
          <w:sz w:val="8"/>
          <w:szCs w:val="8"/>
        </w:rPr>
      </w:pPr>
    </w:p>
    <w:tbl>
      <w:tblPr>
        <w:tblW w:w="0" w:type="auto"/>
        <w:jc w:val="left"/>
        <w:tblInd w:w="129" w:type="dxa"/>
        <w:tblLayout w:type="fixed"/>
        <w:tblCellMar>
          <w:top w:w="0" w:type="dxa"/>
          <w:left w:w="0" w:type="dxa"/>
          <w:bottom w:w="0" w:type="dxa"/>
          <w:right w:w="0" w:type="dxa"/>
        </w:tblCellMar>
        <w:tblLook w:val="01E0"/>
      </w:tblPr>
      <w:tblGrid>
        <w:gridCol w:w="1265"/>
        <w:gridCol w:w="1274"/>
        <w:gridCol w:w="1273"/>
        <w:gridCol w:w="1272"/>
        <w:gridCol w:w="1273"/>
        <w:gridCol w:w="1271"/>
        <w:gridCol w:w="1272"/>
        <w:gridCol w:w="1273"/>
        <w:gridCol w:w="1273"/>
        <w:gridCol w:w="1274"/>
        <w:gridCol w:w="1269"/>
      </w:tblGrid>
      <w:tr>
        <w:trPr>
          <w:trHeight w:val="1061" w:hRule="exact"/>
        </w:trPr>
        <w:tc>
          <w:tcPr>
            <w:tcW w:w="1265" w:type="dxa"/>
            <w:tcBorders>
              <w:top w:val="single" w:sz="12"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6"/>
              <w:ind w:left="260"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1274"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56"/>
              <w:ind w:left="269" w:right="0"/>
              <w:jc w:val="left"/>
              <w:rPr>
                <w:rFonts w:ascii="宋体" w:hAnsi="宋体" w:cs="宋体" w:eastAsia="宋体" w:hint="default"/>
                <w:sz w:val="18"/>
                <w:szCs w:val="18"/>
              </w:rPr>
            </w:pPr>
            <w:r>
              <w:rPr>
                <w:rFonts w:ascii="宋体" w:hAnsi="宋体" w:cs="宋体" w:eastAsia="宋体" w:hint="default"/>
                <w:sz w:val="18"/>
                <w:szCs w:val="18"/>
              </w:rPr>
              <w:t>募集方式</w:t>
            </w:r>
          </w:p>
        </w:tc>
        <w:tc>
          <w:tcPr>
            <w:tcW w:w="1273"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56"/>
              <w:ind w:left="88" w:right="0"/>
              <w:jc w:val="left"/>
              <w:rPr>
                <w:rFonts w:ascii="宋体" w:hAnsi="宋体" w:cs="宋体" w:eastAsia="宋体" w:hint="default"/>
                <w:sz w:val="18"/>
                <w:szCs w:val="18"/>
              </w:rPr>
            </w:pPr>
            <w:r>
              <w:rPr>
                <w:rFonts w:ascii="宋体" w:hAnsi="宋体" w:cs="宋体" w:eastAsia="宋体" w:hint="default"/>
                <w:sz w:val="18"/>
                <w:szCs w:val="18"/>
              </w:rPr>
              <w:t>募集资金总额</w:t>
            </w:r>
          </w:p>
        </w:tc>
        <w:tc>
          <w:tcPr>
            <w:tcW w:w="1272"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319" w:lineRule="auto" w:before="56"/>
              <w:ind w:left="178" w:right="86" w:hanging="90"/>
              <w:jc w:val="left"/>
              <w:rPr>
                <w:rFonts w:ascii="宋体" w:hAnsi="宋体" w:cs="宋体" w:eastAsia="宋体" w:hint="default"/>
                <w:sz w:val="18"/>
                <w:szCs w:val="18"/>
              </w:rPr>
            </w:pPr>
            <w:r>
              <w:rPr>
                <w:rFonts w:ascii="宋体" w:hAnsi="宋体" w:cs="宋体" w:eastAsia="宋体" w:hint="default"/>
                <w:sz w:val="18"/>
                <w:szCs w:val="18"/>
              </w:rPr>
              <w:t>本期已使用募 集资金总额</w:t>
            </w:r>
          </w:p>
        </w:tc>
        <w:tc>
          <w:tcPr>
            <w:tcW w:w="1273"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319" w:lineRule="auto" w:before="56"/>
              <w:ind w:left="179" w:right="86" w:hanging="90"/>
              <w:jc w:val="left"/>
              <w:rPr>
                <w:rFonts w:ascii="宋体" w:hAnsi="宋体" w:cs="宋体" w:eastAsia="宋体" w:hint="default"/>
                <w:sz w:val="18"/>
                <w:szCs w:val="18"/>
              </w:rPr>
            </w:pPr>
            <w:r>
              <w:rPr>
                <w:rFonts w:ascii="宋体" w:hAnsi="宋体" w:cs="宋体" w:eastAsia="宋体" w:hint="default"/>
                <w:sz w:val="18"/>
                <w:szCs w:val="18"/>
              </w:rPr>
              <w:t>已累计使用募 集资金总额</w:t>
            </w:r>
          </w:p>
        </w:tc>
        <w:tc>
          <w:tcPr>
            <w:tcW w:w="1271"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319" w:lineRule="auto" w:before="56"/>
              <w:ind w:left="88" w:right="87"/>
              <w:jc w:val="center"/>
              <w:rPr>
                <w:rFonts w:ascii="宋体" w:hAnsi="宋体" w:cs="宋体" w:eastAsia="宋体" w:hint="default"/>
                <w:sz w:val="18"/>
                <w:szCs w:val="18"/>
              </w:rPr>
            </w:pPr>
            <w:r>
              <w:rPr>
                <w:rFonts w:ascii="宋体" w:hAnsi="宋体" w:cs="宋体" w:eastAsia="宋体" w:hint="default"/>
                <w:sz w:val="18"/>
                <w:szCs w:val="18"/>
              </w:rPr>
              <w:t>报告期内变更 用途的募集资 金总额</w:t>
            </w:r>
          </w:p>
        </w:tc>
        <w:tc>
          <w:tcPr>
            <w:tcW w:w="1272"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319" w:lineRule="auto" w:before="56"/>
              <w:ind w:left="88" w:right="86"/>
              <w:jc w:val="center"/>
              <w:rPr>
                <w:rFonts w:ascii="宋体" w:hAnsi="宋体" w:cs="宋体" w:eastAsia="宋体" w:hint="default"/>
                <w:sz w:val="18"/>
                <w:szCs w:val="18"/>
              </w:rPr>
            </w:pPr>
            <w:r>
              <w:rPr>
                <w:rFonts w:ascii="宋体" w:hAnsi="宋体" w:cs="宋体" w:eastAsia="宋体" w:hint="default"/>
                <w:sz w:val="18"/>
                <w:szCs w:val="18"/>
              </w:rPr>
              <w:t>累计变更用途 的募集资金总 额</w:t>
            </w:r>
          </w:p>
        </w:tc>
        <w:tc>
          <w:tcPr>
            <w:tcW w:w="1273"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319" w:lineRule="auto" w:before="56"/>
              <w:ind w:left="90" w:right="86"/>
              <w:jc w:val="center"/>
              <w:rPr>
                <w:rFonts w:ascii="宋体" w:hAnsi="宋体" w:cs="宋体" w:eastAsia="宋体" w:hint="default"/>
                <w:sz w:val="18"/>
                <w:szCs w:val="18"/>
              </w:rPr>
            </w:pPr>
            <w:r>
              <w:rPr>
                <w:rFonts w:ascii="宋体" w:hAnsi="宋体" w:cs="宋体" w:eastAsia="宋体" w:hint="default"/>
                <w:sz w:val="18"/>
                <w:szCs w:val="18"/>
              </w:rPr>
              <w:t>累计变更用途 的募集资金总 额比例</w:t>
            </w:r>
          </w:p>
        </w:tc>
        <w:tc>
          <w:tcPr>
            <w:tcW w:w="1273"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319" w:lineRule="auto" w:before="56"/>
              <w:ind w:left="270" w:right="86" w:hanging="180"/>
              <w:jc w:val="left"/>
              <w:rPr>
                <w:rFonts w:ascii="宋体" w:hAnsi="宋体" w:cs="宋体" w:eastAsia="宋体" w:hint="default"/>
                <w:sz w:val="18"/>
                <w:szCs w:val="18"/>
              </w:rPr>
            </w:pPr>
            <w:r>
              <w:rPr>
                <w:rFonts w:ascii="宋体" w:hAnsi="宋体" w:cs="宋体" w:eastAsia="宋体" w:hint="default"/>
                <w:sz w:val="18"/>
                <w:szCs w:val="18"/>
              </w:rPr>
              <w:t>尚未使用募集 资金总额</w:t>
            </w:r>
          </w:p>
        </w:tc>
        <w:tc>
          <w:tcPr>
            <w:tcW w:w="1274"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319" w:lineRule="auto" w:before="56"/>
              <w:ind w:left="88" w:right="88"/>
              <w:jc w:val="center"/>
              <w:rPr>
                <w:rFonts w:ascii="宋体" w:hAnsi="宋体" w:cs="宋体" w:eastAsia="宋体" w:hint="default"/>
                <w:sz w:val="18"/>
                <w:szCs w:val="18"/>
              </w:rPr>
            </w:pPr>
            <w:r>
              <w:rPr>
                <w:rFonts w:ascii="宋体" w:hAnsi="宋体" w:cs="宋体" w:eastAsia="宋体" w:hint="default"/>
                <w:sz w:val="18"/>
                <w:szCs w:val="18"/>
              </w:rPr>
              <w:t>尚未使用募集 资金用途及去 向</w:t>
            </w:r>
          </w:p>
        </w:tc>
        <w:tc>
          <w:tcPr>
            <w:tcW w:w="1269" w:type="dxa"/>
            <w:tcBorders>
              <w:top w:val="single" w:sz="12" w:space="0" w:color="000000"/>
              <w:left w:val="single" w:sz="6" w:space="0" w:color="000000"/>
              <w:bottom w:val="single" w:sz="12" w:space="0" w:color="000000"/>
              <w:right w:val="single" w:sz="12" w:space="0" w:color="000000"/>
            </w:tcBorders>
            <w:shd w:val="clear" w:color="auto" w:fill="D2D2D2"/>
          </w:tcPr>
          <w:p>
            <w:pPr>
              <w:pStyle w:val="TableParagraph"/>
              <w:spacing w:line="319" w:lineRule="auto" w:before="56"/>
              <w:ind w:left="86" w:right="78"/>
              <w:jc w:val="left"/>
              <w:rPr>
                <w:rFonts w:ascii="宋体" w:hAnsi="宋体" w:cs="宋体" w:eastAsia="宋体" w:hint="default"/>
                <w:sz w:val="18"/>
                <w:szCs w:val="18"/>
              </w:rPr>
            </w:pPr>
            <w:r>
              <w:rPr>
                <w:rFonts w:ascii="宋体" w:hAnsi="宋体" w:cs="宋体" w:eastAsia="宋体" w:hint="default"/>
                <w:sz w:val="18"/>
                <w:szCs w:val="18"/>
              </w:rPr>
              <w:t>闲置两年以上 募集资金金额</w:t>
            </w:r>
          </w:p>
        </w:tc>
      </w:tr>
    </w:tbl>
    <w:p>
      <w:pPr>
        <w:spacing w:after="0" w:line="319" w:lineRule="auto"/>
        <w:jc w:val="left"/>
        <w:rPr>
          <w:rFonts w:ascii="宋体" w:hAnsi="宋体" w:cs="宋体" w:eastAsia="宋体" w:hint="default"/>
          <w:sz w:val="18"/>
          <w:szCs w:val="18"/>
        </w:rPr>
        <w:sectPr>
          <w:pgSz w:w="16840" w:h="11910" w:orient="landscape"/>
          <w:pgMar w:header="867" w:footer="979" w:top="1060" w:bottom="1160" w:left="1280" w:right="0"/>
        </w:sectPr>
      </w:pPr>
    </w:p>
    <w:p>
      <w:pPr>
        <w:spacing w:line="240" w:lineRule="auto" w:before="12"/>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tbl>
      <w:tblPr>
        <w:tblW w:w="0" w:type="auto"/>
        <w:jc w:val="left"/>
        <w:tblInd w:w="108" w:type="dxa"/>
        <w:tblLayout w:type="fixed"/>
        <w:tblCellMar>
          <w:top w:w="0" w:type="dxa"/>
          <w:left w:w="0" w:type="dxa"/>
          <w:bottom w:w="0" w:type="dxa"/>
          <w:right w:w="0" w:type="dxa"/>
        </w:tblCellMar>
        <w:tblLook w:val="01E0"/>
      </w:tblPr>
      <w:tblGrid>
        <w:gridCol w:w="1265"/>
        <w:gridCol w:w="1274"/>
        <w:gridCol w:w="1273"/>
        <w:gridCol w:w="1272"/>
        <w:gridCol w:w="1273"/>
        <w:gridCol w:w="1271"/>
        <w:gridCol w:w="1272"/>
        <w:gridCol w:w="1273"/>
        <w:gridCol w:w="1273"/>
        <w:gridCol w:w="1274"/>
        <w:gridCol w:w="1269"/>
      </w:tblGrid>
      <w:tr>
        <w:trPr>
          <w:trHeight w:val="3867" w:hRule="exact"/>
        </w:trPr>
        <w:tc>
          <w:tcPr>
            <w:tcW w:w="126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0"/>
              <w:ind w:left="1" w:right="0"/>
              <w:jc w:val="left"/>
              <w:rPr>
                <w:rFonts w:ascii="Times New Roman" w:hAnsi="Times New Roman" w:cs="Times New Roman" w:eastAsia="Times New Roman" w:hint="default"/>
                <w:sz w:val="18"/>
                <w:szCs w:val="18"/>
              </w:rPr>
            </w:pPr>
            <w:r>
              <w:rPr>
                <w:rFonts w:ascii="Times New Roman"/>
                <w:sz w:val="18"/>
              </w:rPr>
              <w:t>2017</w:t>
            </w:r>
          </w:p>
        </w:tc>
        <w:tc>
          <w:tcPr>
            <w:tcW w:w="1274" w:type="dxa"/>
            <w:tcBorders>
              <w:top w:val="single" w:sz="12" w:space="0" w:color="000000"/>
              <w:left w:val="single" w:sz="6" w:space="0" w:color="000000"/>
              <w:bottom w:val="single" w:sz="6" w:space="0" w:color="000000"/>
              <w:right w:val="single" w:sz="6" w:space="0" w:color="000000"/>
            </w:tcBorders>
          </w:tcPr>
          <w:p>
            <w:pPr>
              <w:pStyle w:val="TableParagraph"/>
              <w:spacing w:line="319" w:lineRule="auto" w:before="61"/>
              <w:ind w:left="2" w:right="174"/>
              <w:jc w:val="left"/>
              <w:rPr>
                <w:rFonts w:ascii="宋体" w:hAnsi="宋体" w:cs="宋体" w:eastAsia="宋体" w:hint="default"/>
                <w:sz w:val="18"/>
                <w:szCs w:val="18"/>
              </w:rPr>
            </w:pPr>
            <w:r>
              <w:rPr>
                <w:rFonts w:ascii="宋体" w:hAnsi="宋体" w:cs="宋体" w:eastAsia="宋体" w:hint="default"/>
                <w:sz w:val="18"/>
                <w:szCs w:val="18"/>
              </w:rPr>
              <w:t>向特定对象非 公开发行</w:t>
            </w:r>
          </w:p>
        </w:tc>
        <w:tc>
          <w:tcPr>
            <w:tcW w:w="127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58,232.64</w:t>
            </w:r>
          </w:p>
        </w:tc>
        <w:tc>
          <w:tcPr>
            <w:tcW w:w="127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906.36</w:t>
            </w:r>
          </w:p>
        </w:tc>
        <w:tc>
          <w:tcPr>
            <w:tcW w:w="127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7,284.68</w:t>
            </w:r>
          </w:p>
        </w:tc>
        <w:tc>
          <w:tcPr>
            <w:tcW w:w="127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0</w:t>
            </w:r>
          </w:p>
        </w:tc>
        <w:tc>
          <w:tcPr>
            <w:tcW w:w="127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0</w:t>
            </w:r>
          </w:p>
        </w:tc>
        <w:tc>
          <w:tcPr>
            <w:tcW w:w="127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12.51%</w:t>
            </w:r>
          </w:p>
        </w:tc>
        <w:tc>
          <w:tcPr>
            <w:tcW w:w="127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1,979.47</w:t>
            </w:r>
          </w:p>
        </w:tc>
        <w:tc>
          <w:tcPr>
            <w:tcW w:w="1274" w:type="dxa"/>
            <w:tcBorders>
              <w:top w:val="single" w:sz="12" w:space="0" w:color="000000"/>
              <w:left w:val="single" w:sz="6" w:space="0" w:color="000000"/>
              <w:bottom w:val="single" w:sz="10" w:space="0" w:color="000000"/>
              <w:right w:val="single" w:sz="6" w:space="0" w:color="000000"/>
            </w:tcBorders>
          </w:tcPr>
          <w:p>
            <w:pPr>
              <w:pStyle w:val="TableParagraph"/>
              <w:spacing w:line="307" w:lineRule="auto" w:before="61"/>
              <w:ind w:left="2" w:right="3"/>
              <w:jc w:val="left"/>
              <w:rPr>
                <w:rFonts w:ascii="宋体" w:hAnsi="宋体" w:cs="宋体" w:eastAsia="宋体" w:hint="default"/>
                <w:sz w:val="18"/>
                <w:szCs w:val="18"/>
              </w:rPr>
            </w:pPr>
            <w:r>
              <w:rPr>
                <w:rFonts w:ascii="宋体" w:hAnsi="宋体" w:cs="宋体" w:eastAsia="宋体" w:hint="default"/>
                <w:sz w:val="18"/>
                <w:szCs w:val="18"/>
              </w:rPr>
              <w:t>截止</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日，募集资 金余额为 </w:t>
            </w:r>
            <w:r>
              <w:rPr>
                <w:rFonts w:ascii="Times New Roman" w:hAnsi="Times New Roman" w:cs="Times New Roman" w:eastAsia="Times New Roman" w:hint="default"/>
                <w:sz w:val="18"/>
                <w:szCs w:val="18"/>
              </w:rPr>
              <w:t>1,979.47</w:t>
            </w:r>
            <w:r>
              <w:rPr>
                <w:rFonts w:ascii="宋体" w:hAnsi="宋体" w:cs="宋体" w:eastAsia="宋体" w:hint="default"/>
                <w:sz w:val="18"/>
                <w:szCs w:val="18"/>
              </w:rPr>
              <w:t>万元，</w:t>
            </w:r>
          </w:p>
          <w:p>
            <w:pPr>
              <w:pStyle w:val="TableParagraph"/>
              <w:spacing w:line="314" w:lineRule="auto" w:before="7"/>
              <w:ind w:left="2" w:right="3"/>
              <w:jc w:val="left"/>
              <w:rPr>
                <w:rFonts w:ascii="Times New Roman" w:hAnsi="Times New Roman" w:cs="Times New Roman" w:eastAsia="Times New Roman" w:hint="default"/>
                <w:sz w:val="18"/>
                <w:szCs w:val="18"/>
              </w:rPr>
            </w:pPr>
            <w:r>
              <w:rPr>
                <w:rFonts w:ascii="宋体" w:hAnsi="宋体" w:cs="宋体" w:eastAsia="宋体" w:hint="default"/>
                <w:sz w:val="18"/>
                <w:szCs w:val="18"/>
              </w:rPr>
              <w:t>全部为银行存 款，其中以七天 通知存款方式 存放的金额为 </w:t>
            </w:r>
            <w:r>
              <w:rPr>
                <w:rFonts w:ascii="Times New Roman" w:hAnsi="Times New Roman" w:cs="Times New Roman" w:eastAsia="Times New Roman" w:hint="default"/>
                <w:sz w:val="18"/>
                <w:szCs w:val="18"/>
              </w:rPr>
              <w:t>100.00</w:t>
            </w:r>
            <w:r>
              <w:rPr>
                <w:rFonts w:ascii="宋体" w:hAnsi="宋体" w:cs="宋体" w:eastAsia="宋体" w:hint="default"/>
                <w:sz w:val="18"/>
                <w:szCs w:val="18"/>
              </w:rPr>
              <w:t>万元，募 集资金专户活 期存款</w:t>
            </w:r>
            <w:r>
              <w:rPr>
                <w:rFonts w:ascii="Times New Roman" w:hAnsi="Times New Roman" w:cs="Times New Roman" w:eastAsia="Times New Roman" w:hint="default"/>
                <w:sz w:val="18"/>
                <w:szCs w:val="18"/>
              </w:rPr>
              <w:t>1,879.47</w:t>
            </w:r>
          </w:p>
          <w:p>
            <w:pPr>
              <w:pStyle w:val="TableParagraph"/>
              <w:spacing w:line="240" w:lineRule="auto" w:before="2"/>
              <w:ind w:left="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26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0"/>
              <w:ind w:right="-4"/>
              <w:jc w:val="right"/>
              <w:rPr>
                <w:rFonts w:ascii="Times New Roman" w:hAnsi="Times New Roman" w:cs="Times New Roman" w:eastAsia="Times New Roman" w:hint="default"/>
                <w:sz w:val="18"/>
                <w:szCs w:val="18"/>
              </w:rPr>
            </w:pPr>
            <w:r>
              <w:rPr>
                <w:rFonts w:ascii="Times New Roman"/>
                <w:sz w:val="18"/>
              </w:rPr>
              <w:t>0</w:t>
            </w:r>
          </w:p>
        </w:tc>
      </w:tr>
      <w:tr>
        <w:trPr>
          <w:trHeight w:val="433" w:hRule="exact"/>
        </w:trPr>
        <w:tc>
          <w:tcPr>
            <w:tcW w:w="1265"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62"/>
              <w:ind w:left="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4"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2"/>
              <w:ind w:right="0"/>
              <w:jc w:val="center"/>
              <w:rPr>
                <w:rFonts w:ascii="Times New Roman" w:hAnsi="Times New Roman" w:cs="Times New Roman" w:eastAsia="Times New Roman" w:hint="default"/>
                <w:sz w:val="18"/>
                <w:szCs w:val="18"/>
              </w:rPr>
            </w:pPr>
            <w:r>
              <w:rPr>
                <w:rFonts w:ascii="Times New Roman"/>
                <w:sz w:val="18"/>
              </w:rPr>
              <w:t>--</w:t>
            </w:r>
          </w:p>
        </w:tc>
        <w:tc>
          <w:tcPr>
            <w:tcW w:w="1273"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58232.64</w:t>
            </w:r>
          </w:p>
        </w:tc>
        <w:tc>
          <w:tcPr>
            <w:tcW w:w="1272"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906.36</w:t>
            </w:r>
          </w:p>
        </w:tc>
        <w:tc>
          <w:tcPr>
            <w:tcW w:w="1273"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7284.68</w:t>
            </w:r>
          </w:p>
        </w:tc>
        <w:tc>
          <w:tcPr>
            <w:tcW w:w="1271"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0</w:t>
            </w:r>
          </w:p>
        </w:tc>
        <w:tc>
          <w:tcPr>
            <w:tcW w:w="1272"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0</w:t>
            </w:r>
          </w:p>
        </w:tc>
        <w:tc>
          <w:tcPr>
            <w:tcW w:w="1273"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12.54%</w:t>
            </w:r>
          </w:p>
        </w:tc>
        <w:tc>
          <w:tcPr>
            <w:tcW w:w="1273" w:type="dxa"/>
            <w:tcBorders>
              <w:top w:val="single" w:sz="6" w:space="0" w:color="000000"/>
              <w:left w:val="single" w:sz="6" w:space="0" w:color="000000"/>
              <w:bottom w:val="single" w:sz="10" w:space="0" w:color="000000"/>
              <w:right w:val="single" w:sz="7"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1,979.47</w:t>
            </w:r>
          </w:p>
        </w:tc>
        <w:tc>
          <w:tcPr>
            <w:tcW w:w="1274"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2"/>
              <w:ind w:right="1"/>
              <w:jc w:val="center"/>
              <w:rPr>
                <w:rFonts w:ascii="Times New Roman" w:hAnsi="Times New Roman" w:cs="Times New Roman" w:eastAsia="Times New Roman" w:hint="default"/>
                <w:sz w:val="18"/>
                <w:szCs w:val="18"/>
              </w:rPr>
            </w:pPr>
            <w:r>
              <w:rPr>
                <w:rFonts w:ascii="Times New Roman"/>
                <w:sz w:val="18"/>
              </w:rPr>
              <w:t>--</w:t>
            </w:r>
          </w:p>
        </w:tc>
        <w:tc>
          <w:tcPr>
            <w:tcW w:w="1269" w:type="dxa"/>
            <w:tcBorders>
              <w:top w:val="single" w:sz="6" w:space="0" w:color="000000"/>
              <w:left w:val="single" w:sz="7" w:space="0" w:color="000000"/>
              <w:bottom w:val="single" w:sz="10" w:space="0" w:color="000000"/>
              <w:right w:val="single" w:sz="12" w:space="0" w:color="000000"/>
            </w:tcBorders>
          </w:tcPr>
          <w:p>
            <w:pPr>
              <w:pStyle w:val="TableParagraph"/>
              <w:spacing w:line="240" w:lineRule="auto" w:before="102"/>
              <w:ind w:right="-4"/>
              <w:jc w:val="right"/>
              <w:rPr>
                <w:rFonts w:ascii="Times New Roman" w:hAnsi="Times New Roman" w:cs="Times New Roman" w:eastAsia="Times New Roman" w:hint="default"/>
                <w:sz w:val="18"/>
                <w:szCs w:val="18"/>
              </w:rPr>
            </w:pPr>
            <w:r>
              <w:rPr>
                <w:rFonts w:ascii="Times New Roman"/>
                <w:sz w:val="18"/>
              </w:rPr>
              <w:t>0</w:t>
            </w:r>
          </w:p>
        </w:tc>
      </w:tr>
      <w:tr>
        <w:trPr>
          <w:trHeight w:val="425" w:hRule="exact"/>
        </w:trPr>
        <w:tc>
          <w:tcPr>
            <w:tcW w:w="13990" w:type="dxa"/>
            <w:gridSpan w:val="11"/>
            <w:tcBorders>
              <w:top w:val="single" w:sz="6" w:space="0" w:color="000000"/>
              <w:left w:val="single" w:sz="12" w:space="0" w:color="000000"/>
              <w:bottom w:val="single" w:sz="12" w:space="0" w:color="000000"/>
              <w:right w:val="single" w:sz="12" w:space="0" w:color="000000"/>
            </w:tcBorders>
            <w:shd w:val="clear" w:color="auto" w:fill="D2D2D2"/>
          </w:tcPr>
          <w:p>
            <w:pPr>
              <w:pStyle w:val="TableParagraph"/>
              <w:spacing w:line="240" w:lineRule="auto" w:before="56"/>
              <w:ind w:left="2" w:right="0"/>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bl>
    <w:p>
      <w:pPr>
        <w:spacing w:line="240" w:lineRule="auto" w:before="7"/>
        <w:rPr>
          <w:rFonts w:ascii="宋体" w:hAnsi="宋体" w:cs="宋体" w:eastAsia="宋体" w:hint="default"/>
          <w:sz w:val="7"/>
          <w:szCs w:val="7"/>
        </w:rPr>
      </w:pPr>
    </w:p>
    <w:p>
      <w:pPr>
        <w:spacing w:line="451" w:lineRule="auto" w:before="44"/>
        <w:ind w:left="139" w:right="1438" w:firstLine="0"/>
        <w:jc w:val="both"/>
        <w:rPr>
          <w:rFonts w:ascii="宋体" w:hAnsi="宋体" w:cs="宋体" w:eastAsia="宋体" w:hint="default"/>
          <w:sz w:val="18"/>
          <w:szCs w:val="18"/>
        </w:rPr>
      </w:pPr>
      <w:r>
        <w:rPr>
          <w:rFonts w:ascii="宋体" w:hAnsi="宋体" w:cs="宋体" w:eastAsia="宋体" w:hint="default"/>
          <w:spacing w:val="-2"/>
          <w:sz w:val="18"/>
          <w:szCs w:val="18"/>
        </w:rPr>
        <w:t>经中国证券监督管理委员会证监许可（</w:t>
      </w:r>
      <w:r>
        <w:rPr>
          <w:rFonts w:ascii="Times New Roman" w:hAnsi="Times New Roman" w:cs="Times New Roman" w:eastAsia="Times New Roman" w:hint="default"/>
          <w:spacing w:val="-2"/>
          <w:sz w:val="18"/>
          <w:szCs w:val="18"/>
        </w:rPr>
        <w:t>2016</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3081</w:t>
      </w:r>
      <w:r>
        <w:rPr>
          <w:rFonts w:ascii="宋体" w:hAnsi="宋体" w:cs="宋体" w:eastAsia="宋体" w:hint="default"/>
          <w:spacing w:val="-2"/>
          <w:sz w:val="18"/>
          <w:szCs w:val="18"/>
        </w:rPr>
        <w:t>号文《关于核准北京昆仑万维科技股份有限公司非公开发行股票的批复》核准，采用询价方式向符合条件的特定对象非公开发行</w:t>
      </w:r>
      <w:r>
        <w:rPr>
          <w:rFonts w:ascii="宋体" w:hAnsi="宋体" w:cs="宋体" w:eastAsia="宋体" w:hint="default"/>
          <w:spacing w:val="-10"/>
          <w:sz w:val="18"/>
          <w:szCs w:val="18"/>
        </w:rPr>
        <w:t> </w:t>
      </w:r>
      <w:r>
        <w:rPr>
          <w:rFonts w:ascii="宋体" w:hAnsi="宋体" w:cs="宋体" w:eastAsia="宋体" w:hint="default"/>
          <w:spacing w:val="-10"/>
          <w:sz w:val="18"/>
          <w:szCs w:val="18"/>
        </w:rPr>
      </w:r>
      <w:r>
        <w:rPr>
          <w:rFonts w:ascii="Times New Roman" w:hAnsi="Times New Roman" w:cs="Times New Roman" w:eastAsia="Times New Roman" w:hint="default"/>
          <w:sz w:val="18"/>
          <w:szCs w:val="18"/>
        </w:rPr>
        <w:t>A</w:t>
      </w:r>
      <w:r>
        <w:rPr>
          <w:rFonts w:ascii="宋体" w:hAnsi="宋体" w:cs="宋体" w:eastAsia="宋体" w:hint="default"/>
          <w:sz w:val="18"/>
          <w:szCs w:val="18"/>
        </w:rPr>
        <w:t>股股票</w:t>
      </w:r>
      <w:r>
        <w:rPr>
          <w:rFonts w:ascii="Times New Roman" w:hAnsi="Times New Roman" w:cs="Times New Roman" w:eastAsia="Times New Roman" w:hint="default"/>
          <w:sz w:val="18"/>
          <w:szCs w:val="18"/>
        </w:rPr>
        <w:t>32,258,064</w:t>
      </w:r>
      <w:r>
        <w:rPr>
          <w:rFonts w:ascii="宋体" w:hAnsi="宋体" w:cs="宋体" w:eastAsia="宋体" w:hint="default"/>
          <w:sz w:val="18"/>
          <w:szCs w:val="18"/>
        </w:rPr>
        <w:t>股，每股发行价格为人民币</w:t>
      </w:r>
      <w:r>
        <w:rPr>
          <w:rFonts w:ascii="Times New Roman" w:hAnsi="Times New Roman" w:cs="Times New Roman" w:eastAsia="Times New Roman" w:hint="default"/>
          <w:sz w:val="18"/>
          <w:szCs w:val="18"/>
        </w:rPr>
        <w:t>18.60</w:t>
      </w:r>
      <w:r>
        <w:rPr>
          <w:rFonts w:ascii="宋体" w:hAnsi="宋体" w:cs="宋体" w:eastAsia="宋体" w:hint="default"/>
          <w:sz w:val="18"/>
          <w:szCs w:val="18"/>
        </w:rPr>
        <w:t>元。截止</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w:t>
      </w:r>
      <w:r>
        <w:rPr>
          <w:rFonts w:ascii="Times New Roman" w:hAnsi="Times New Roman" w:cs="Times New Roman" w:eastAsia="Times New Roman" w:hint="default"/>
          <w:sz w:val="18"/>
          <w:szCs w:val="18"/>
        </w:rPr>
        <w:t>22</w:t>
      </w:r>
      <w:r>
        <w:rPr>
          <w:rFonts w:ascii="宋体" w:hAnsi="宋体" w:cs="宋体" w:eastAsia="宋体" w:hint="default"/>
          <w:sz w:val="18"/>
          <w:szCs w:val="18"/>
        </w:rPr>
        <w:t>日，募集资金总额为人民币</w:t>
      </w:r>
      <w:r>
        <w:rPr>
          <w:rFonts w:ascii="Times New Roman" w:hAnsi="Times New Roman" w:cs="Times New Roman" w:eastAsia="Times New Roman" w:hint="default"/>
          <w:sz w:val="18"/>
          <w:szCs w:val="18"/>
        </w:rPr>
        <w:t>599,999,990.40</w:t>
      </w:r>
      <w:r>
        <w:rPr>
          <w:rFonts w:ascii="宋体" w:hAnsi="宋体" w:cs="宋体" w:eastAsia="宋体" w:hint="default"/>
          <w:sz w:val="18"/>
          <w:szCs w:val="18"/>
        </w:rPr>
        <w:t>元。扣除承销及保荐费用人民币</w:t>
      </w:r>
      <w:r>
        <w:rPr>
          <w:rFonts w:ascii="Times New Roman" w:hAnsi="Times New Roman" w:cs="Times New Roman" w:eastAsia="Times New Roman" w:hint="default"/>
          <w:sz w:val="18"/>
          <w:szCs w:val="18"/>
        </w:rPr>
        <w:t>15,500,000.00</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元，扣除为本次 股票发行所支付的预付审计验资费、律师费、股份登记托管费、其他发行相关手续费等费用合计人民币</w:t>
      </w:r>
      <w:r>
        <w:rPr>
          <w:rFonts w:ascii="Times New Roman" w:hAnsi="Times New Roman" w:cs="Times New Roman" w:eastAsia="Times New Roman" w:hint="default"/>
          <w:sz w:val="18"/>
          <w:szCs w:val="18"/>
        </w:rPr>
        <w:t>2,173,566.93</w:t>
      </w:r>
      <w:r>
        <w:rPr>
          <w:rFonts w:ascii="宋体" w:hAnsi="宋体" w:cs="宋体" w:eastAsia="宋体" w:hint="default"/>
          <w:sz w:val="18"/>
          <w:szCs w:val="18"/>
        </w:rPr>
        <w:t>元，实际募集股款为人民币</w:t>
      </w:r>
      <w:r>
        <w:rPr>
          <w:rFonts w:ascii="Times New Roman" w:hAnsi="Times New Roman" w:cs="Times New Roman" w:eastAsia="Times New Roman" w:hint="default"/>
          <w:sz w:val="18"/>
          <w:szCs w:val="18"/>
        </w:rPr>
        <w:t>582,326,423.47</w:t>
      </w:r>
      <w:r>
        <w:rPr>
          <w:rFonts w:ascii="宋体" w:hAnsi="宋体" w:cs="宋体" w:eastAsia="宋体" w:hint="default"/>
          <w:sz w:val="18"/>
          <w:szCs w:val="18"/>
        </w:rPr>
        <w:t>元。上述资金到位情 况业经立信会计师事务所进行审计，并出具了信会师报字</w:t>
      </w:r>
      <w:r>
        <w:rPr>
          <w:rFonts w:ascii="Times New Roman" w:hAnsi="Times New Roman" w:cs="Times New Roman" w:eastAsia="Times New Roman" w:hint="default"/>
          <w:sz w:val="18"/>
          <w:szCs w:val="18"/>
        </w:rPr>
        <w:t>(2017)</w:t>
      </w:r>
      <w:r>
        <w:rPr>
          <w:rFonts w:ascii="宋体" w:hAnsi="宋体" w:cs="宋体" w:eastAsia="宋体" w:hint="default"/>
          <w:sz w:val="18"/>
          <w:szCs w:val="18"/>
        </w:rPr>
        <w:t>第</w:t>
      </w:r>
      <w:r>
        <w:rPr>
          <w:rFonts w:ascii="Times New Roman" w:hAnsi="Times New Roman" w:cs="Times New Roman" w:eastAsia="Times New Roman" w:hint="default"/>
          <w:sz w:val="18"/>
          <w:szCs w:val="18"/>
        </w:rPr>
        <w:t>ZB10076</w:t>
      </w:r>
      <w:r>
        <w:rPr>
          <w:rFonts w:ascii="宋体" w:hAnsi="宋体" w:cs="宋体" w:eastAsia="宋体" w:hint="default"/>
          <w:sz w:val="18"/>
          <w:szCs w:val="18"/>
        </w:rPr>
        <w:t>号的验资报告。</w:t>
      </w:r>
    </w:p>
    <w:p>
      <w:pPr>
        <w:spacing w:before="84"/>
        <w:ind w:left="139" w:right="0" w:firstLine="0"/>
        <w:jc w:val="both"/>
        <w:rPr>
          <w:rFonts w:ascii="宋体" w:hAnsi="宋体" w:cs="宋体" w:eastAsia="宋体" w:hint="default"/>
          <w:sz w:val="18"/>
          <w:szCs w:val="18"/>
        </w:rPr>
      </w:pPr>
      <w:r>
        <w:rPr>
          <w:rFonts w:ascii="宋体" w:hAnsi="宋体" w:cs="宋体" w:eastAsia="宋体" w:hint="default"/>
          <w:sz w:val="18"/>
          <w:szCs w:val="18"/>
        </w:rPr>
        <w:t>公司以前年度已使用资金</w:t>
      </w:r>
      <w:r>
        <w:rPr>
          <w:rFonts w:ascii="Times New Roman" w:hAnsi="Times New Roman" w:cs="Times New Roman" w:eastAsia="Times New Roman" w:hint="default"/>
          <w:sz w:val="18"/>
          <w:szCs w:val="18"/>
        </w:rPr>
        <w:t>6,378.31</w:t>
      </w:r>
      <w:r>
        <w:rPr>
          <w:rFonts w:ascii="宋体" w:hAnsi="宋体" w:cs="宋体" w:eastAsia="宋体" w:hint="default"/>
          <w:sz w:val="18"/>
          <w:szCs w:val="18"/>
        </w:rPr>
        <w:t>万元，本年度使用资金</w:t>
      </w:r>
      <w:r>
        <w:rPr>
          <w:rFonts w:ascii="Times New Roman" w:hAnsi="Times New Roman" w:cs="Times New Roman" w:eastAsia="Times New Roman" w:hint="default"/>
          <w:sz w:val="18"/>
          <w:szCs w:val="18"/>
        </w:rPr>
        <w:t>906.36</w:t>
      </w:r>
      <w:r>
        <w:rPr>
          <w:rFonts w:ascii="宋体" w:hAnsi="宋体" w:cs="宋体" w:eastAsia="宋体" w:hint="default"/>
          <w:sz w:val="18"/>
          <w:szCs w:val="18"/>
        </w:rPr>
        <w:t>万元，本年利息收入</w:t>
      </w:r>
      <w:r>
        <w:rPr>
          <w:rFonts w:ascii="Times New Roman" w:hAnsi="Times New Roman" w:cs="Times New Roman" w:eastAsia="Times New Roman" w:hint="default"/>
          <w:sz w:val="18"/>
          <w:szCs w:val="18"/>
        </w:rPr>
        <w:t>31.50</w:t>
      </w:r>
      <w:r>
        <w:rPr>
          <w:rFonts w:ascii="宋体" w:hAnsi="宋体" w:cs="宋体" w:eastAsia="宋体" w:hint="default"/>
          <w:sz w:val="18"/>
          <w:szCs w:val="18"/>
        </w:rPr>
        <w:t>万元，使用闲置资金补充流动资金</w:t>
      </w:r>
      <w:r>
        <w:rPr>
          <w:rFonts w:ascii="Times New Roman" w:hAnsi="Times New Roman" w:cs="Times New Roman" w:eastAsia="Times New Roman" w:hint="default"/>
          <w:sz w:val="18"/>
          <w:szCs w:val="18"/>
        </w:rPr>
        <w:t>49,000.00</w:t>
      </w:r>
      <w:r>
        <w:rPr>
          <w:rFonts w:ascii="宋体" w:hAnsi="宋体" w:cs="宋体" w:eastAsia="宋体" w:hint="default"/>
          <w:sz w:val="18"/>
          <w:szCs w:val="18"/>
        </w:rPr>
        <w:t>万元，募资资金余额</w:t>
      </w:r>
      <w:r>
        <w:rPr>
          <w:rFonts w:ascii="Times New Roman" w:hAnsi="Times New Roman" w:cs="Times New Roman" w:eastAsia="Times New Roman" w:hint="default"/>
          <w:sz w:val="18"/>
          <w:szCs w:val="18"/>
        </w:rPr>
        <w:t>1,979.47</w:t>
      </w:r>
      <w:r>
        <w:rPr>
          <w:rFonts w:ascii="宋体" w:hAnsi="宋体" w:cs="宋体" w:eastAsia="宋体" w:hint="default"/>
          <w:sz w:val="18"/>
          <w:szCs w:val="18"/>
        </w:rPr>
        <w:t>万元。</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3"/>
          <w:szCs w:val="13"/>
        </w:rPr>
      </w:pPr>
    </w:p>
    <w:p>
      <w:pPr>
        <w:pStyle w:val="Heading6"/>
        <w:spacing w:line="240" w:lineRule="auto"/>
        <w:ind w:left="140" w:right="0"/>
        <w:jc w:val="both"/>
        <w:rPr>
          <w:b w:val="0"/>
          <w:bCs w:val="0"/>
        </w:rPr>
      </w:pP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3"/>
        <w:rPr>
          <w:rFonts w:ascii="宋体" w:hAnsi="宋体" w:cs="宋体" w:eastAsia="宋体" w:hint="default"/>
          <w:b/>
          <w:bCs/>
          <w:sz w:val="23"/>
          <w:szCs w:val="23"/>
        </w:rPr>
      </w:pPr>
    </w:p>
    <w:p>
      <w:pPr>
        <w:spacing w:before="44"/>
        <w:ind w:left="140" w:right="1195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不适用</w:t>
      </w:r>
    </w:p>
    <w:p>
      <w:pPr>
        <w:spacing w:before="102"/>
        <w:ind w:left="0" w:right="1436"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5"/>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590"/>
        <w:gridCol w:w="1140"/>
        <w:gridCol w:w="1141"/>
        <w:gridCol w:w="1141"/>
        <w:gridCol w:w="1139"/>
        <w:gridCol w:w="1141"/>
        <w:gridCol w:w="1141"/>
        <w:gridCol w:w="1140"/>
        <w:gridCol w:w="1141"/>
        <w:gridCol w:w="1142"/>
        <w:gridCol w:w="1132"/>
      </w:tblGrid>
      <w:tr>
        <w:trPr>
          <w:trHeight w:val="709" w:hRule="exact"/>
        </w:trPr>
        <w:tc>
          <w:tcPr>
            <w:tcW w:w="2590" w:type="dxa"/>
            <w:tcBorders>
              <w:top w:val="single" w:sz="12"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6"/>
              <w:ind w:left="113" w:right="0"/>
              <w:jc w:val="left"/>
              <w:rPr>
                <w:rFonts w:ascii="宋体" w:hAnsi="宋体" w:cs="宋体" w:eastAsia="宋体" w:hint="default"/>
                <w:sz w:val="18"/>
                <w:szCs w:val="18"/>
              </w:rPr>
            </w:pPr>
            <w:r>
              <w:rPr>
                <w:rFonts w:ascii="宋体" w:hAnsi="宋体" w:cs="宋体" w:eastAsia="宋体" w:hint="default"/>
                <w:sz w:val="18"/>
                <w:szCs w:val="18"/>
              </w:rPr>
              <w:t>承诺投资项目和超募资金投向</w:t>
            </w:r>
          </w:p>
        </w:tc>
        <w:tc>
          <w:tcPr>
            <w:tcW w:w="1140"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316" w:lineRule="auto" w:before="56"/>
              <w:ind w:left="81" w:right="23" w:hanging="60"/>
              <w:jc w:val="left"/>
              <w:rPr>
                <w:rFonts w:ascii="宋体" w:hAnsi="宋体" w:cs="宋体" w:eastAsia="宋体" w:hint="default"/>
                <w:sz w:val="18"/>
                <w:szCs w:val="18"/>
              </w:rPr>
            </w:pPr>
            <w:r>
              <w:rPr>
                <w:rFonts w:ascii="宋体" w:hAnsi="宋体" w:cs="宋体" w:eastAsia="宋体" w:hint="default"/>
                <w:sz w:val="18"/>
                <w:szCs w:val="18"/>
              </w:rPr>
              <w:t>是否已变更项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含部分变</w:t>
            </w:r>
          </w:p>
        </w:tc>
        <w:tc>
          <w:tcPr>
            <w:tcW w:w="1141"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募集资金承诺</w:t>
            </w:r>
          </w:p>
        </w:tc>
        <w:tc>
          <w:tcPr>
            <w:tcW w:w="1141"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调整后投资总</w:t>
            </w:r>
          </w:p>
        </w:tc>
        <w:tc>
          <w:tcPr>
            <w:tcW w:w="1139"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56"/>
              <w:ind w:left="21" w:right="0"/>
              <w:jc w:val="left"/>
              <w:rPr>
                <w:rFonts w:ascii="宋体" w:hAnsi="宋体" w:cs="宋体" w:eastAsia="宋体" w:hint="default"/>
                <w:sz w:val="18"/>
                <w:szCs w:val="18"/>
              </w:rPr>
            </w:pPr>
            <w:r>
              <w:rPr>
                <w:rFonts w:ascii="宋体" w:hAnsi="宋体" w:cs="宋体" w:eastAsia="宋体" w:hint="default"/>
                <w:sz w:val="18"/>
                <w:szCs w:val="18"/>
              </w:rPr>
              <w:t>本报告期投入</w:t>
            </w:r>
          </w:p>
        </w:tc>
        <w:tc>
          <w:tcPr>
            <w:tcW w:w="1141"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截至期末累计</w:t>
            </w:r>
          </w:p>
        </w:tc>
        <w:tc>
          <w:tcPr>
            <w:tcW w:w="1141"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316" w:lineRule="auto" w:before="56"/>
              <w:ind w:left="187" w:right="23" w:hanging="165"/>
              <w:jc w:val="left"/>
              <w:rPr>
                <w:rFonts w:ascii="宋体" w:hAnsi="宋体" w:cs="宋体" w:eastAsia="宋体" w:hint="default"/>
                <w:sz w:val="18"/>
                <w:szCs w:val="18"/>
              </w:rPr>
            </w:pPr>
            <w:r>
              <w:rPr>
                <w:rFonts w:ascii="宋体" w:hAnsi="宋体" w:cs="宋体" w:eastAsia="宋体" w:hint="default"/>
                <w:sz w:val="18"/>
                <w:szCs w:val="18"/>
              </w:rPr>
              <w:t>截至期末投资 进度</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1140"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316" w:lineRule="auto" w:before="56"/>
              <w:ind w:left="22" w:right="20"/>
              <w:jc w:val="left"/>
              <w:rPr>
                <w:rFonts w:ascii="宋体" w:hAnsi="宋体" w:cs="宋体" w:eastAsia="宋体" w:hint="default"/>
                <w:sz w:val="18"/>
                <w:szCs w:val="18"/>
              </w:rPr>
            </w:pPr>
            <w:r>
              <w:rPr>
                <w:rFonts w:ascii="宋体" w:hAnsi="宋体" w:cs="宋体" w:eastAsia="宋体" w:hint="default"/>
                <w:sz w:val="18"/>
                <w:szCs w:val="18"/>
              </w:rPr>
              <w:t>项目达到预定 可使用状态日</w:t>
            </w:r>
          </w:p>
        </w:tc>
        <w:tc>
          <w:tcPr>
            <w:tcW w:w="1141"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本报告期实现</w:t>
            </w:r>
          </w:p>
        </w:tc>
        <w:tc>
          <w:tcPr>
            <w:tcW w:w="1142"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是否达到预计</w:t>
            </w:r>
          </w:p>
        </w:tc>
        <w:tc>
          <w:tcPr>
            <w:tcW w:w="1132" w:type="dxa"/>
            <w:tcBorders>
              <w:top w:val="single" w:sz="12" w:space="0" w:color="000000"/>
              <w:left w:val="single" w:sz="6" w:space="0" w:color="000000"/>
              <w:bottom w:val="single" w:sz="12" w:space="0" w:color="000000"/>
              <w:right w:val="single" w:sz="12" w:space="0" w:color="000000"/>
            </w:tcBorders>
            <w:shd w:val="clear" w:color="auto" w:fill="D2D2D2"/>
          </w:tcPr>
          <w:p>
            <w:pPr>
              <w:pStyle w:val="TableParagraph"/>
              <w:spacing w:line="316" w:lineRule="auto" w:before="56"/>
              <w:ind w:left="17" w:right="11"/>
              <w:jc w:val="left"/>
              <w:rPr>
                <w:rFonts w:ascii="宋体" w:hAnsi="宋体" w:cs="宋体" w:eastAsia="宋体" w:hint="default"/>
                <w:sz w:val="18"/>
                <w:szCs w:val="18"/>
              </w:rPr>
            </w:pPr>
            <w:r>
              <w:rPr>
                <w:rFonts w:ascii="宋体" w:hAnsi="宋体" w:cs="宋体" w:eastAsia="宋体" w:hint="default"/>
                <w:sz w:val="18"/>
                <w:szCs w:val="18"/>
              </w:rPr>
              <w:t>项目可行性是 否发生重大变</w:t>
            </w:r>
          </w:p>
        </w:tc>
      </w:tr>
    </w:tbl>
    <w:p>
      <w:pPr>
        <w:spacing w:after="0" w:line="316" w:lineRule="auto"/>
        <w:jc w:val="left"/>
        <w:rPr>
          <w:rFonts w:ascii="宋体" w:hAnsi="宋体" w:cs="宋体" w:eastAsia="宋体" w:hint="default"/>
          <w:sz w:val="18"/>
          <w:szCs w:val="18"/>
        </w:rPr>
        <w:sectPr>
          <w:pgSz w:w="16840" w:h="11910" w:orient="landscape"/>
          <w:pgMar w:header="867" w:footer="979" w:top="1060" w:bottom="1160" w:left="1300" w:right="0"/>
        </w:sectPr>
      </w:pPr>
    </w:p>
    <w:p>
      <w:pPr>
        <w:spacing w:line="240" w:lineRule="auto" w:before="5"/>
        <w:rPr>
          <w:rFonts w:ascii="Times New Roman" w:hAnsi="Times New Roman" w:cs="Times New Roman" w:eastAsia="Times New Roman" w:hint="default"/>
          <w:sz w:val="17"/>
          <w:szCs w:val="17"/>
        </w:rPr>
      </w:pPr>
      <w:r>
        <w:rPr/>
        <w:pict>
          <v:shape style="position:absolute;margin-left:70.440002pt;margin-top:56.700008pt;width:701.75pt;height:462.6pt;mso-position-horizontal-relative:page;mso-position-vertical-relative:page;z-index:14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91"/>
                    <w:gridCol w:w="1140"/>
                    <w:gridCol w:w="1141"/>
                    <w:gridCol w:w="1141"/>
                    <w:gridCol w:w="1139"/>
                    <w:gridCol w:w="1141"/>
                    <w:gridCol w:w="1141"/>
                    <w:gridCol w:w="1140"/>
                    <w:gridCol w:w="1141"/>
                    <w:gridCol w:w="1142"/>
                    <w:gridCol w:w="1132"/>
                  </w:tblGrid>
                  <w:tr>
                    <w:trPr>
                      <w:trHeight w:val="394" w:hRule="exact"/>
                    </w:trPr>
                    <w:tc>
                      <w:tcPr>
                        <w:tcW w:w="2591" w:type="dxa"/>
                        <w:tcBorders>
                          <w:top w:val="single" w:sz="12" w:space="0" w:color="000000"/>
                          <w:left w:val="single" w:sz="12" w:space="0" w:color="000000"/>
                          <w:bottom w:val="single" w:sz="6" w:space="0" w:color="000000"/>
                          <w:right w:val="single" w:sz="6" w:space="0" w:color="000000"/>
                        </w:tcBorders>
                        <w:shd w:val="clear" w:color="auto" w:fill="D2D2D2"/>
                      </w:tcPr>
                      <w:p>
                        <w:pPr/>
                      </w:p>
                    </w:tc>
                    <w:tc>
                      <w:tcPr>
                        <w:tcW w:w="114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right="442"/>
                          <w:jc w:val="right"/>
                          <w:rPr>
                            <w:rFonts w:ascii="Times New Roman" w:hAnsi="Times New Roman" w:cs="Times New Roman" w:eastAsia="Times New Roman" w:hint="default"/>
                            <w:sz w:val="18"/>
                            <w:szCs w:val="18"/>
                          </w:rPr>
                        </w:pPr>
                        <w:r>
                          <w:rPr>
                            <w:rFonts w:ascii="宋体" w:hAnsi="宋体" w:cs="宋体" w:eastAsia="宋体" w:hint="default"/>
                            <w:sz w:val="18"/>
                            <w:szCs w:val="18"/>
                          </w:rPr>
                          <w:t>更</w:t>
                        </w:r>
                        <w:r>
                          <w:rPr>
                            <w:rFonts w:ascii="Times New Roman" w:hAnsi="Times New Roman" w:cs="Times New Roman" w:eastAsia="Times New Roman" w:hint="default"/>
                            <w:sz w:val="18"/>
                            <w:szCs w:val="18"/>
                          </w:rPr>
                          <w:t>)</w:t>
                        </w:r>
                      </w:p>
                    </w:tc>
                    <w:tc>
                      <w:tcPr>
                        <w:tcW w:w="1141"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202" w:right="0"/>
                          <w:jc w:val="left"/>
                          <w:rPr>
                            <w:rFonts w:ascii="宋体" w:hAnsi="宋体" w:cs="宋体" w:eastAsia="宋体" w:hint="default"/>
                            <w:sz w:val="18"/>
                            <w:szCs w:val="18"/>
                          </w:rPr>
                        </w:pPr>
                        <w:r>
                          <w:rPr>
                            <w:rFonts w:ascii="宋体" w:hAnsi="宋体" w:cs="宋体" w:eastAsia="宋体" w:hint="default"/>
                            <w:sz w:val="18"/>
                            <w:szCs w:val="18"/>
                          </w:rPr>
                          <w:t>投资总额</w:t>
                        </w:r>
                      </w:p>
                    </w:tc>
                    <w:tc>
                      <w:tcPr>
                        <w:tcW w:w="1141"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36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额</w:t>
                        </w:r>
                        <w:r>
                          <w:rPr>
                            <w:rFonts w:ascii="Times New Roman" w:hAnsi="Times New Roman" w:cs="Times New Roman" w:eastAsia="Times New Roman" w:hint="default"/>
                            <w:sz w:val="18"/>
                            <w:szCs w:val="18"/>
                          </w:rPr>
                          <w:t>(1)</w:t>
                        </w:r>
                      </w:p>
                    </w:tc>
                    <w:tc>
                      <w:tcPr>
                        <w:tcW w:w="113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141"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9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投入金额</w:t>
                        </w:r>
                        <w:r>
                          <w:rPr>
                            <w:rFonts w:ascii="Times New Roman" w:hAnsi="Times New Roman" w:cs="Times New Roman" w:eastAsia="Times New Roman" w:hint="default"/>
                            <w:sz w:val="18"/>
                            <w:szCs w:val="18"/>
                          </w:rPr>
                          <w:t>(2)</w:t>
                        </w:r>
                      </w:p>
                    </w:tc>
                    <w:tc>
                      <w:tcPr>
                        <w:tcW w:w="1141"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61"/>
                          <w:ind w:left="327" w:right="0"/>
                          <w:jc w:val="left"/>
                          <w:rPr>
                            <w:rFonts w:ascii="Times New Roman" w:hAnsi="Times New Roman" w:cs="Times New Roman" w:eastAsia="Times New Roman" w:hint="default"/>
                            <w:sz w:val="18"/>
                            <w:szCs w:val="18"/>
                          </w:rPr>
                        </w:pPr>
                        <w:r>
                          <w:rPr>
                            <w:rFonts w:ascii="Times New Roman"/>
                            <w:sz w:val="18"/>
                          </w:rPr>
                          <w:t>(2)/(1)</w:t>
                        </w:r>
                      </w:p>
                    </w:tc>
                    <w:tc>
                      <w:tcPr>
                        <w:tcW w:w="114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期</w:t>
                        </w:r>
                      </w:p>
                    </w:tc>
                    <w:tc>
                      <w:tcPr>
                        <w:tcW w:w="1141"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293" w:right="0"/>
                          <w:jc w:val="left"/>
                          <w:rPr>
                            <w:rFonts w:ascii="宋体" w:hAnsi="宋体" w:cs="宋体" w:eastAsia="宋体" w:hint="default"/>
                            <w:sz w:val="18"/>
                            <w:szCs w:val="18"/>
                          </w:rPr>
                        </w:pPr>
                        <w:r>
                          <w:rPr>
                            <w:rFonts w:ascii="宋体" w:hAnsi="宋体" w:cs="宋体" w:eastAsia="宋体" w:hint="default"/>
                            <w:sz w:val="18"/>
                            <w:szCs w:val="18"/>
                          </w:rPr>
                          <w:t>的效益</w:t>
                        </w:r>
                      </w:p>
                    </w:tc>
                    <w:tc>
                      <w:tcPr>
                        <w:tcW w:w="114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效益</w:t>
                        </w:r>
                      </w:p>
                    </w:tc>
                    <w:tc>
                      <w:tcPr>
                        <w:tcW w:w="1132"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21"/>
                          <w:ind w:right="461"/>
                          <w:jc w:val="right"/>
                          <w:rPr>
                            <w:rFonts w:ascii="宋体" w:hAnsi="宋体" w:cs="宋体" w:eastAsia="宋体" w:hint="default"/>
                            <w:sz w:val="18"/>
                            <w:szCs w:val="18"/>
                          </w:rPr>
                        </w:pPr>
                        <w:r>
                          <w:rPr>
                            <w:rFonts w:ascii="宋体" w:hAnsi="宋体" w:cs="宋体" w:eastAsia="宋体" w:hint="default"/>
                            <w:sz w:val="18"/>
                            <w:szCs w:val="18"/>
                          </w:rPr>
                          <w:t>化</w:t>
                        </w:r>
                      </w:p>
                    </w:tc>
                  </w:tr>
                  <w:tr>
                    <w:trPr>
                      <w:trHeight w:val="422" w:hRule="exact"/>
                    </w:trPr>
                    <w:tc>
                      <w:tcPr>
                        <w:tcW w:w="13990" w:type="dxa"/>
                        <w:gridSpan w:val="11"/>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62"/>
                          <w:ind w:left="1"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1057" w:hRule="exact"/>
                    </w:trPr>
                    <w:tc>
                      <w:tcPr>
                        <w:tcW w:w="2591" w:type="dxa"/>
                        <w:tcBorders>
                          <w:top w:val="single" w:sz="10" w:space="0" w:color="000000"/>
                          <w:left w:val="single" w:sz="12" w:space="0" w:color="000000"/>
                          <w:bottom w:val="single" w:sz="6" w:space="0" w:color="000000"/>
                          <w:right w:val="single" w:sz="6" w:space="0" w:color="000000"/>
                        </w:tcBorders>
                      </w:tcPr>
                      <w:p>
                        <w:pPr>
                          <w:pStyle w:val="TableParagraph"/>
                          <w:spacing w:line="300" w:lineRule="auto" w:before="62"/>
                          <w:ind w:left="1" w:right="83"/>
                          <w:jc w:val="left"/>
                          <w:rPr>
                            <w:rFonts w:ascii="宋体" w:hAnsi="宋体" w:cs="宋体" w:eastAsia="宋体" w:hint="default"/>
                            <w:sz w:val="18"/>
                            <w:szCs w:val="18"/>
                          </w:rPr>
                        </w:pPr>
                        <w:r>
                          <w:rPr>
                            <w:rFonts w:ascii="Times New Roman" w:hAnsi="Times New Roman" w:cs="Times New Roman" w:eastAsia="Times New Roman" w:hint="default"/>
                            <w:sz w:val="18"/>
                            <w:szCs w:val="18"/>
                          </w:rPr>
                          <w:t>1Mobile</w:t>
                        </w:r>
                        <w:r>
                          <w:rPr>
                            <w:rFonts w:ascii="Times New Roman" w:hAnsi="Times New Roman" w:cs="Times New Roman" w:eastAsia="Times New Roman" w:hint="default"/>
                            <w:spacing w:val="25"/>
                            <w:sz w:val="18"/>
                            <w:szCs w:val="18"/>
                          </w:rPr>
                          <w:t> </w:t>
                        </w:r>
                        <w:r>
                          <w:rPr>
                            <w:rFonts w:ascii="宋体" w:hAnsi="宋体" w:cs="宋体" w:eastAsia="宋体" w:hint="default"/>
                            <w:sz w:val="18"/>
                            <w:szCs w:val="18"/>
                          </w:rPr>
                          <w:t>线下手机分发渠道建设</w:t>
                        </w:r>
                        <w:r>
                          <w:rPr>
                            <w:rFonts w:ascii="宋体" w:hAnsi="宋体" w:cs="宋体" w:eastAsia="宋体" w:hint="default"/>
                            <w:w w:val="99"/>
                            <w:sz w:val="18"/>
                            <w:szCs w:val="18"/>
                          </w:rPr>
                          <w:t> </w:t>
                        </w:r>
                        <w:r>
                          <w:rPr>
                            <w:rFonts w:ascii="宋体" w:hAnsi="宋体" w:cs="宋体" w:eastAsia="宋体" w:hint="default"/>
                            <w:sz w:val="18"/>
                            <w:szCs w:val="18"/>
                          </w:rPr>
                          <w:t>项目</w:t>
                        </w:r>
                      </w:p>
                    </w:tc>
                    <w:tc>
                      <w:tcPr>
                        <w:tcW w:w="1140"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41"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58,232.64</w:t>
                        </w:r>
                      </w:p>
                    </w:tc>
                    <w:tc>
                      <w:tcPr>
                        <w:tcW w:w="1141"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102"/>
                          <w:ind w:left="403" w:right="0"/>
                          <w:jc w:val="left"/>
                          <w:rPr>
                            <w:rFonts w:ascii="Times New Roman" w:hAnsi="Times New Roman" w:cs="Times New Roman" w:eastAsia="Times New Roman" w:hint="default"/>
                            <w:sz w:val="18"/>
                            <w:szCs w:val="18"/>
                          </w:rPr>
                        </w:pPr>
                        <w:r>
                          <w:rPr>
                            <w:rFonts w:ascii="Times New Roman"/>
                            <w:sz w:val="18"/>
                          </w:rPr>
                          <w:t>58,232.64</w:t>
                        </w:r>
                      </w:p>
                    </w:tc>
                    <w:tc>
                      <w:tcPr>
                        <w:tcW w:w="1139"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906.36</w:t>
                        </w:r>
                      </w:p>
                    </w:tc>
                    <w:tc>
                      <w:tcPr>
                        <w:tcW w:w="1141"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7,284.68</w:t>
                        </w:r>
                      </w:p>
                    </w:tc>
                    <w:tc>
                      <w:tcPr>
                        <w:tcW w:w="1141" w:type="dxa"/>
                        <w:tcBorders>
                          <w:top w:val="single" w:sz="10" w:space="0" w:color="000000"/>
                          <w:left w:val="single" w:sz="6" w:space="0" w:color="000000"/>
                          <w:bottom w:val="single" w:sz="10" w:space="0" w:color="000000"/>
                          <w:right w:val="single" w:sz="6" w:space="0" w:color="000000"/>
                        </w:tcBorders>
                      </w:tcPr>
                      <w:p>
                        <w:pPr>
                          <w:pStyle w:val="TableParagraph"/>
                          <w:spacing w:line="240" w:lineRule="auto" w:before="102"/>
                          <w:ind w:left="568" w:right="0"/>
                          <w:jc w:val="left"/>
                          <w:rPr>
                            <w:rFonts w:ascii="Times New Roman" w:hAnsi="Times New Roman" w:cs="Times New Roman" w:eastAsia="Times New Roman" w:hint="default"/>
                            <w:sz w:val="18"/>
                            <w:szCs w:val="18"/>
                          </w:rPr>
                        </w:pPr>
                        <w:r>
                          <w:rPr>
                            <w:rFonts w:ascii="Times New Roman"/>
                            <w:sz w:val="18"/>
                          </w:rPr>
                          <w:t>12.51%</w:t>
                        </w:r>
                      </w:p>
                    </w:tc>
                    <w:tc>
                      <w:tcPr>
                        <w:tcW w:w="1140" w:type="dxa"/>
                        <w:tcBorders>
                          <w:top w:val="single" w:sz="10" w:space="0" w:color="000000"/>
                          <w:left w:val="single" w:sz="6" w:space="0" w:color="000000"/>
                          <w:bottom w:val="single" w:sz="10" w:space="0" w:color="000000"/>
                          <w:right w:val="single" w:sz="6" w:space="0" w:color="000000"/>
                        </w:tcBorders>
                      </w:tcPr>
                      <w:p>
                        <w:pPr>
                          <w:pStyle w:val="TableParagraph"/>
                          <w:spacing w:line="240" w:lineRule="auto" w:before="62"/>
                          <w:ind w:left="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24</w:t>
                        </w:r>
                      </w:p>
                      <w:p>
                        <w:pPr>
                          <w:pStyle w:val="TableParagraph"/>
                          <w:spacing w:line="240" w:lineRule="auto" w:before="63"/>
                          <w:ind w:left="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141"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484.28</w:t>
                        </w:r>
                      </w:p>
                    </w:tc>
                    <w:tc>
                      <w:tcPr>
                        <w:tcW w:w="1142" w:type="dxa"/>
                        <w:tcBorders>
                          <w:top w:val="single" w:sz="10" w:space="0" w:color="000000"/>
                          <w:left w:val="single" w:sz="6" w:space="0" w:color="000000"/>
                          <w:bottom w:val="single" w:sz="10" w:space="0" w:color="000000"/>
                          <w:right w:val="single" w:sz="6" w:space="0" w:color="000000"/>
                        </w:tcBorders>
                      </w:tcPr>
                      <w:p>
                        <w:pPr>
                          <w:pStyle w:val="TableParagraph"/>
                          <w:spacing w:line="316" w:lineRule="auto" w:before="62"/>
                          <w:ind w:left="2" w:right="42"/>
                          <w:jc w:val="both"/>
                          <w:rPr>
                            <w:rFonts w:ascii="宋体" w:hAnsi="宋体" w:cs="宋体" w:eastAsia="宋体" w:hint="default"/>
                            <w:sz w:val="18"/>
                            <w:szCs w:val="18"/>
                          </w:rPr>
                        </w:pPr>
                        <w:r>
                          <w:rPr>
                            <w:rFonts w:ascii="宋体" w:hAnsi="宋体" w:cs="宋体" w:eastAsia="宋体" w:hint="default"/>
                            <w:sz w:val="18"/>
                            <w:szCs w:val="18"/>
                          </w:rPr>
                          <w:t>未披露募集资 金效益指标， 不适用</w:t>
                        </w:r>
                      </w:p>
                    </w:tc>
                    <w:tc>
                      <w:tcPr>
                        <w:tcW w:w="1132" w:type="dxa"/>
                        <w:tcBorders>
                          <w:top w:val="single" w:sz="10" w:space="0" w:color="000000"/>
                          <w:left w:val="single" w:sz="6" w:space="0" w:color="000000"/>
                          <w:bottom w:val="single" w:sz="10" w:space="0" w:color="000000"/>
                          <w:right w:val="single" w:sz="12"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31" w:hRule="exact"/>
                    </w:trPr>
                    <w:tc>
                      <w:tcPr>
                        <w:tcW w:w="259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61"/>
                          <w:ind w:left="1"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114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0"/>
                          <w:ind w:right="503"/>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single" w:sz="6" w:space="0" w:color="000000"/>
                          <w:left w:val="single" w:sz="7" w:space="0" w:color="000000"/>
                          <w:bottom w:val="single" w:sz="10"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58,232.64</w:t>
                        </w:r>
                      </w:p>
                    </w:tc>
                    <w:tc>
                      <w:tcPr>
                        <w:tcW w:w="1141"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100"/>
                          <w:ind w:left="403" w:right="0"/>
                          <w:jc w:val="left"/>
                          <w:rPr>
                            <w:rFonts w:ascii="Times New Roman" w:hAnsi="Times New Roman" w:cs="Times New Roman" w:eastAsia="Times New Roman" w:hint="default"/>
                            <w:sz w:val="18"/>
                            <w:szCs w:val="18"/>
                          </w:rPr>
                        </w:pPr>
                        <w:r>
                          <w:rPr>
                            <w:rFonts w:ascii="Times New Roman"/>
                            <w:sz w:val="18"/>
                          </w:rPr>
                          <w:t>58,232.64</w:t>
                        </w:r>
                      </w:p>
                    </w:tc>
                    <w:tc>
                      <w:tcPr>
                        <w:tcW w:w="1139"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906.36</w:t>
                        </w:r>
                      </w:p>
                    </w:tc>
                    <w:tc>
                      <w:tcPr>
                        <w:tcW w:w="1141" w:type="dxa"/>
                        <w:tcBorders>
                          <w:top w:val="single" w:sz="6" w:space="0" w:color="000000"/>
                          <w:left w:val="single" w:sz="6" w:space="0" w:color="000000"/>
                          <w:bottom w:val="single" w:sz="10" w:space="0" w:color="000000"/>
                          <w:right w:val="single" w:sz="7"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7,284.68</w:t>
                        </w:r>
                      </w:p>
                    </w:tc>
                    <w:tc>
                      <w:tcPr>
                        <w:tcW w:w="114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w:t>
                        </w:r>
                      </w:p>
                    </w:tc>
                    <w:tc>
                      <w:tcPr>
                        <w:tcW w:w="114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w:t>
                        </w:r>
                      </w:p>
                    </w:tc>
                    <w:tc>
                      <w:tcPr>
                        <w:tcW w:w="1141" w:type="dxa"/>
                        <w:tcBorders>
                          <w:top w:val="single" w:sz="6" w:space="0" w:color="000000"/>
                          <w:left w:val="single" w:sz="6" w:space="0" w:color="000000"/>
                          <w:bottom w:val="single" w:sz="10" w:space="0" w:color="000000"/>
                          <w:right w:val="single" w:sz="7"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484.28</w:t>
                        </w:r>
                      </w:p>
                    </w:tc>
                    <w:tc>
                      <w:tcPr>
                        <w:tcW w:w="114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sz w:val="18"/>
                          </w:rPr>
                          <w:t>--</w:t>
                        </w:r>
                      </w:p>
                    </w:tc>
                    <w:tc>
                      <w:tcPr>
                        <w:tcW w:w="1132"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100"/>
                          <w:ind w:right="491"/>
                          <w:jc w:val="right"/>
                          <w:rPr>
                            <w:rFonts w:ascii="Times New Roman" w:hAnsi="Times New Roman" w:cs="Times New Roman" w:eastAsia="Times New Roman" w:hint="default"/>
                            <w:sz w:val="18"/>
                            <w:szCs w:val="18"/>
                          </w:rPr>
                        </w:pPr>
                        <w:r>
                          <w:rPr>
                            <w:rFonts w:ascii="Times New Roman"/>
                            <w:sz w:val="18"/>
                          </w:rPr>
                          <w:t>--</w:t>
                        </w:r>
                      </w:p>
                    </w:tc>
                  </w:tr>
                  <w:tr>
                    <w:trPr>
                      <w:trHeight w:val="416" w:hRule="exact"/>
                    </w:trPr>
                    <w:tc>
                      <w:tcPr>
                        <w:tcW w:w="13990" w:type="dxa"/>
                        <w:gridSpan w:val="11"/>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6"/>
                          <w:ind w:left="1"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433" w:hRule="exact"/>
                    </w:trPr>
                    <w:tc>
                      <w:tcPr>
                        <w:tcW w:w="2591" w:type="dxa"/>
                        <w:tcBorders>
                          <w:top w:val="single" w:sz="10" w:space="0" w:color="000000"/>
                          <w:left w:val="single" w:sz="12" w:space="0" w:color="000000"/>
                          <w:bottom w:val="single" w:sz="6" w:space="0" w:color="000000"/>
                          <w:right w:val="single" w:sz="6" w:space="0" w:color="000000"/>
                        </w:tcBorders>
                      </w:tcPr>
                      <w:p>
                        <w:pPr>
                          <w:pStyle w:val="TableParagraph"/>
                          <w:spacing w:line="240" w:lineRule="auto" w:before="62"/>
                          <w:ind w:left="1"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140" w:type="dxa"/>
                        <w:tcBorders>
                          <w:top w:val="single" w:sz="10" w:space="0" w:color="000000"/>
                          <w:left w:val="single" w:sz="6" w:space="0" w:color="000000"/>
                          <w:bottom w:val="single" w:sz="6" w:space="0" w:color="000000"/>
                          <w:right w:val="single" w:sz="6" w:space="0" w:color="000000"/>
                        </w:tcBorders>
                      </w:tcPr>
                      <w:p>
                        <w:pPr/>
                      </w:p>
                    </w:tc>
                    <w:tc>
                      <w:tcPr>
                        <w:tcW w:w="1141" w:type="dxa"/>
                        <w:tcBorders>
                          <w:top w:val="single" w:sz="10" w:space="0" w:color="000000"/>
                          <w:left w:val="single" w:sz="6" w:space="0" w:color="000000"/>
                          <w:bottom w:val="single" w:sz="6" w:space="0" w:color="000000"/>
                          <w:right w:val="single" w:sz="6" w:space="0" w:color="000000"/>
                        </w:tcBorders>
                      </w:tcPr>
                      <w:p>
                        <w:pPr/>
                      </w:p>
                    </w:tc>
                    <w:tc>
                      <w:tcPr>
                        <w:tcW w:w="1141" w:type="dxa"/>
                        <w:tcBorders>
                          <w:top w:val="single" w:sz="10" w:space="0" w:color="000000"/>
                          <w:left w:val="single" w:sz="6" w:space="0" w:color="000000"/>
                          <w:bottom w:val="single" w:sz="6" w:space="0" w:color="000000"/>
                          <w:right w:val="single" w:sz="6" w:space="0" w:color="000000"/>
                        </w:tcBorders>
                      </w:tcPr>
                      <w:p>
                        <w:pPr/>
                      </w:p>
                    </w:tc>
                    <w:tc>
                      <w:tcPr>
                        <w:tcW w:w="1139" w:type="dxa"/>
                        <w:tcBorders>
                          <w:top w:val="single" w:sz="10" w:space="0" w:color="000000"/>
                          <w:left w:val="single" w:sz="6" w:space="0" w:color="000000"/>
                          <w:bottom w:val="single" w:sz="6" w:space="0" w:color="000000"/>
                          <w:right w:val="single" w:sz="6" w:space="0" w:color="000000"/>
                        </w:tcBorders>
                      </w:tcPr>
                      <w:p>
                        <w:pPr/>
                      </w:p>
                    </w:tc>
                    <w:tc>
                      <w:tcPr>
                        <w:tcW w:w="1141" w:type="dxa"/>
                        <w:tcBorders>
                          <w:top w:val="single" w:sz="10" w:space="0" w:color="000000"/>
                          <w:left w:val="single" w:sz="6" w:space="0" w:color="000000"/>
                          <w:bottom w:val="single" w:sz="6" w:space="0" w:color="000000"/>
                          <w:right w:val="single" w:sz="6" w:space="0" w:color="000000"/>
                        </w:tcBorders>
                      </w:tcPr>
                      <w:p>
                        <w:pPr/>
                      </w:p>
                    </w:tc>
                    <w:tc>
                      <w:tcPr>
                        <w:tcW w:w="1141" w:type="dxa"/>
                        <w:tcBorders>
                          <w:top w:val="single" w:sz="10" w:space="0" w:color="000000"/>
                          <w:left w:val="single" w:sz="6" w:space="0" w:color="000000"/>
                          <w:bottom w:val="single" w:sz="6" w:space="0" w:color="000000"/>
                          <w:right w:val="single" w:sz="6" w:space="0" w:color="000000"/>
                        </w:tcBorders>
                      </w:tcPr>
                      <w:p>
                        <w:pPr/>
                      </w:p>
                    </w:tc>
                    <w:tc>
                      <w:tcPr>
                        <w:tcW w:w="1140" w:type="dxa"/>
                        <w:tcBorders>
                          <w:top w:val="single" w:sz="10" w:space="0" w:color="000000"/>
                          <w:left w:val="single" w:sz="6" w:space="0" w:color="000000"/>
                          <w:bottom w:val="single" w:sz="6" w:space="0" w:color="000000"/>
                          <w:right w:val="single" w:sz="6" w:space="0" w:color="000000"/>
                        </w:tcBorders>
                      </w:tcPr>
                      <w:p>
                        <w:pPr/>
                      </w:p>
                    </w:tc>
                    <w:tc>
                      <w:tcPr>
                        <w:tcW w:w="1141" w:type="dxa"/>
                        <w:tcBorders>
                          <w:top w:val="single" w:sz="10" w:space="0" w:color="000000"/>
                          <w:left w:val="single" w:sz="6" w:space="0" w:color="000000"/>
                          <w:bottom w:val="single" w:sz="6" w:space="0" w:color="000000"/>
                          <w:right w:val="single" w:sz="6" w:space="0" w:color="000000"/>
                        </w:tcBorders>
                      </w:tcPr>
                      <w:p>
                        <w:pPr/>
                      </w:p>
                    </w:tc>
                    <w:tc>
                      <w:tcPr>
                        <w:tcW w:w="1142" w:type="dxa"/>
                        <w:tcBorders>
                          <w:top w:val="single" w:sz="10" w:space="0" w:color="000000"/>
                          <w:left w:val="single" w:sz="6" w:space="0" w:color="000000"/>
                          <w:bottom w:val="single" w:sz="6" w:space="0" w:color="000000"/>
                          <w:right w:val="single" w:sz="6" w:space="0" w:color="000000"/>
                        </w:tcBorders>
                      </w:tcPr>
                      <w:p>
                        <w:pPr/>
                      </w:p>
                    </w:tc>
                    <w:tc>
                      <w:tcPr>
                        <w:tcW w:w="1132" w:type="dxa"/>
                        <w:tcBorders>
                          <w:top w:val="single" w:sz="10" w:space="0" w:color="000000"/>
                          <w:left w:val="single" w:sz="6" w:space="0" w:color="000000"/>
                          <w:bottom w:val="single" w:sz="6" w:space="0" w:color="000000"/>
                          <w:right w:val="single" w:sz="12" w:space="0" w:color="000000"/>
                        </w:tcBorders>
                      </w:tcPr>
                      <w:p>
                        <w:pPr/>
                      </w:p>
                    </w:tc>
                  </w:tr>
                  <w:tr>
                    <w:trPr>
                      <w:trHeight w:val="427" w:hRule="exact"/>
                    </w:trPr>
                    <w:tc>
                      <w:tcPr>
                        <w:tcW w:w="259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62"/>
                          <w:ind w:left="1" w:right="0"/>
                          <w:jc w:val="left"/>
                          <w:rPr>
                            <w:rFonts w:ascii="宋体" w:hAnsi="宋体" w:cs="宋体" w:eastAsia="宋体" w:hint="default"/>
                            <w:sz w:val="18"/>
                            <w:szCs w:val="18"/>
                          </w:rPr>
                        </w:pPr>
                        <w:r>
                          <w:rPr>
                            <w:rFonts w:ascii="宋体" w:hAnsi="宋体" w:cs="宋体" w:eastAsia="宋体" w:hint="default"/>
                            <w:sz w:val="18"/>
                            <w:szCs w:val="18"/>
                          </w:rPr>
                          <w:t>归还银行贷款（如有）</w:t>
                        </w:r>
                      </w:p>
                    </w:tc>
                    <w:tc>
                      <w:tcPr>
                        <w:tcW w:w="114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2"/>
                          <w:ind w:right="503"/>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single" w:sz="6" w:space="0" w:color="000000"/>
                          <w:left w:val="single" w:sz="7" w:space="0" w:color="000000"/>
                          <w:bottom w:val="single" w:sz="6" w:space="0" w:color="000000"/>
                          <w:right w:val="single" w:sz="6" w:space="0" w:color="000000"/>
                        </w:tcBorders>
                      </w:tcPr>
                      <w:p>
                        <w:pPr/>
                      </w:p>
                    </w:tc>
                    <w:tc>
                      <w:tcPr>
                        <w:tcW w:w="1141" w:type="dxa"/>
                        <w:tcBorders>
                          <w:top w:val="single" w:sz="6" w:space="0" w:color="000000"/>
                          <w:left w:val="single" w:sz="6" w:space="0" w:color="000000"/>
                          <w:bottom w:val="single" w:sz="6" w:space="0" w:color="000000"/>
                          <w:right w:val="single" w:sz="6" w:space="0" w:color="000000"/>
                        </w:tcBorders>
                      </w:tcPr>
                      <w:p>
                        <w:pPr/>
                      </w:p>
                    </w:tc>
                    <w:tc>
                      <w:tcPr>
                        <w:tcW w:w="1139" w:type="dxa"/>
                        <w:tcBorders>
                          <w:top w:val="single" w:sz="6" w:space="0" w:color="000000"/>
                          <w:left w:val="single" w:sz="6" w:space="0" w:color="000000"/>
                          <w:bottom w:val="single" w:sz="6" w:space="0" w:color="000000"/>
                          <w:right w:val="single" w:sz="6" w:space="0" w:color="000000"/>
                        </w:tcBorders>
                      </w:tcPr>
                      <w:p>
                        <w:pPr/>
                      </w:p>
                    </w:tc>
                    <w:tc>
                      <w:tcPr>
                        <w:tcW w:w="1141" w:type="dxa"/>
                        <w:tcBorders>
                          <w:top w:val="single" w:sz="6" w:space="0" w:color="000000"/>
                          <w:left w:val="single" w:sz="6" w:space="0" w:color="000000"/>
                          <w:bottom w:val="single" w:sz="6" w:space="0" w:color="000000"/>
                          <w:right w:val="single" w:sz="6" w:space="0" w:color="000000"/>
                        </w:tcBorders>
                      </w:tcPr>
                      <w:p>
                        <w:pPr/>
                      </w:p>
                    </w:tc>
                    <w:tc>
                      <w:tcPr>
                        <w:tcW w:w="1141" w:type="dxa"/>
                        <w:tcBorders>
                          <w:top w:val="single" w:sz="6" w:space="0" w:color="000000"/>
                          <w:left w:val="single" w:sz="6" w:space="0" w:color="000000"/>
                          <w:bottom w:val="single" w:sz="6"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2"/>
                          <w:ind w:right="0"/>
                          <w:jc w:val="center"/>
                          <w:rPr>
                            <w:rFonts w:ascii="Times New Roman" w:hAnsi="Times New Roman" w:cs="Times New Roman" w:eastAsia="Times New Roman" w:hint="default"/>
                            <w:sz w:val="18"/>
                            <w:szCs w:val="18"/>
                          </w:rPr>
                        </w:pPr>
                        <w:r>
                          <w:rPr>
                            <w:rFonts w:ascii="Times New Roman"/>
                            <w:sz w:val="18"/>
                          </w:rPr>
                          <w:t>--</w:t>
                        </w:r>
                      </w:p>
                    </w:tc>
                    <w:tc>
                      <w:tcPr>
                        <w:tcW w:w="114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2"/>
                          <w:ind w:left="1" w:right="0"/>
                          <w:jc w:val="center"/>
                          <w:rPr>
                            <w:rFonts w:ascii="Times New Roman" w:hAnsi="Times New Roman" w:cs="Times New Roman" w:eastAsia="Times New Roman" w:hint="default"/>
                            <w:sz w:val="18"/>
                            <w:szCs w:val="18"/>
                          </w:rPr>
                        </w:pPr>
                        <w:r>
                          <w:rPr>
                            <w:rFonts w:ascii="Times New Roman"/>
                            <w:sz w:val="18"/>
                          </w:rPr>
                          <w:t>--</w:t>
                        </w:r>
                      </w:p>
                    </w:tc>
                    <w:tc>
                      <w:tcPr>
                        <w:tcW w:w="114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2"/>
                          <w:ind w:right="1"/>
                          <w:jc w:val="center"/>
                          <w:rPr>
                            <w:rFonts w:ascii="Times New Roman" w:hAnsi="Times New Roman" w:cs="Times New Roman" w:eastAsia="Times New Roman" w:hint="default"/>
                            <w:sz w:val="18"/>
                            <w:szCs w:val="18"/>
                          </w:rPr>
                        </w:pPr>
                        <w:r>
                          <w:rPr>
                            <w:rFonts w:ascii="Times New Roman"/>
                            <w:sz w:val="18"/>
                          </w:rPr>
                          <w:t>--</w:t>
                        </w:r>
                      </w:p>
                    </w:tc>
                    <w:tc>
                      <w:tcPr>
                        <w:tcW w:w="1132"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102"/>
                          <w:ind w:right="491"/>
                          <w:jc w:val="right"/>
                          <w:rPr>
                            <w:rFonts w:ascii="Times New Roman" w:hAnsi="Times New Roman" w:cs="Times New Roman" w:eastAsia="Times New Roman" w:hint="default"/>
                            <w:sz w:val="18"/>
                            <w:szCs w:val="18"/>
                          </w:rPr>
                        </w:pPr>
                        <w:r>
                          <w:rPr>
                            <w:rFonts w:ascii="Times New Roman"/>
                            <w:sz w:val="18"/>
                          </w:rPr>
                          <w:t>--</w:t>
                        </w:r>
                      </w:p>
                    </w:tc>
                  </w:tr>
                  <w:tr>
                    <w:trPr>
                      <w:trHeight w:val="428" w:hRule="exact"/>
                    </w:trPr>
                    <w:tc>
                      <w:tcPr>
                        <w:tcW w:w="259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62"/>
                          <w:ind w:left="1" w:right="0"/>
                          <w:jc w:val="left"/>
                          <w:rPr>
                            <w:rFonts w:ascii="宋体" w:hAnsi="宋体" w:cs="宋体" w:eastAsia="宋体" w:hint="default"/>
                            <w:sz w:val="18"/>
                            <w:szCs w:val="18"/>
                          </w:rPr>
                        </w:pPr>
                        <w:r>
                          <w:rPr>
                            <w:rFonts w:ascii="宋体" w:hAnsi="宋体" w:cs="宋体" w:eastAsia="宋体" w:hint="default"/>
                            <w:sz w:val="18"/>
                            <w:szCs w:val="18"/>
                          </w:rPr>
                          <w:t>补充流动资金（如有）</w:t>
                        </w:r>
                      </w:p>
                    </w:tc>
                    <w:tc>
                      <w:tcPr>
                        <w:tcW w:w="114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2"/>
                          <w:ind w:right="503"/>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single" w:sz="6" w:space="0" w:color="000000"/>
                          <w:left w:val="single" w:sz="7" w:space="0" w:color="000000"/>
                          <w:bottom w:val="single" w:sz="6" w:space="0" w:color="000000"/>
                          <w:right w:val="single" w:sz="6" w:space="0" w:color="000000"/>
                        </w:tcBorders>
                      </w:tcPr>
                      <w:p>
                        <w:pPr/>
                      </w:p>
                    </w:tc>
                    <w:tc>
                      <w:tcPr>
                        <w:tcW w:w="1141" w:type="dxa"/>
                        <w:tcBorders>
                          <w:top w:val="single" w:sz="6" w:space="0" w:color="000000"/>
                          <w:left w:val="single" w:sz="6" w:space="0" w:color="000000"/>
                          <w:bottom w:val="single" w:sz="6" w:space="0" w:color="000000"/>
                          <w:right w:val="single" w:sz="6" w:space="0" w:color="000000"/>
                        </w:tcBorders>
                      </w:tcPr>
                      <w:p>
                        <w:pP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49,000</w:t>
                        </w:r>
                      </w:p>
                    </w:tc>
                    <w:tc>
                      <w:tcPr>
                        <w:tcW w:w="11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49,000</w:t>
                        </w:r>
                      </w:p>
                    </w:tc>
                    <w:tc>
                      <w:tcPr>
                        <w:tcW w:w="1141" w:type="dxa"/>
                        <w:tcBorders>
                          <w:top w:val="single" w:sz="6" w:space="0" w:color="000000"/>
                          <w:left w:val="single" w:sz="6" w:space="0" w:color="000000"/>
                          <w:bottom w:val="single" w:sz="10" w:space="0" w:color="000000"/>
                          <w:right w:val="single" w:sz="6" w:space="0" w:color="000000"/>
                        </w:tcBorders>
                      </w:tcPr>
                      <w:p>
                        <w:pPr/>
                      </w:p>
                    </w:tc>
                    <w:tc>
                      <w:tcPr>
                        <w:tcW w:w="114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2"/>
                          <w:ind w:right="0"/>
                          <w:jc w:val="center"/>
                          <w:rPr>
                            <w:rFonts w:ascii="Times New Roman" w:hAnsi="Times New Roman" w:cs="Times New Roman" w:eastAsia="Times New Roman" w:hint="default"/>
                            <w:sz w:val="18"/>
                            <w:szCs w:val="18"/>
                          </w:rPr>
                        </w:pPr>
                        <w:r>
                          <w:rPr>
                            <w:rFonts w:ascii="Times New Roman"/>
                            <w:sz w:val="18"/>
                          </w:rPr>
                          <w:t>--</w:t>
                        </w:r>
                      </w:p>
                    </w:tc>
                    <w:tc>
                      <w:tcPr>
                        <w:tcW w:w="114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2"/>
                          <w:ind w:left="1" w:right="0"/>
                          <w:jc w:val="center"/>
                          <w:rPr>
                            <w:rFonts w:ascii="Times New Roman" w:hAnsi="Times New Roman" w:cs="Times New Roman" w:eastAsia="Times New Roman" w:hint="default"/>
                            <w:sz w:val="18"/>
                            <w:szCs w:val="18"/>
                          </w:rPr>
                        </w:pPr>
                        <w:r>
                          <w:rPr>
                            <w:rFonts w:ascii="Times New Roman"/>
                            <w:sz w:val="18"/>
                          </w:rPr>
                          <w:t>--</w:t>
                        </w:r>
                      </w:p>
                    </w:tc>
                    <w:tc>
                      <w:tcPr>
                        <w:tcW w:w="114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2"/>
                          <w:ind w:right="1"/>
                          <w:jc w:val="center"/>
                          <w:rPr>
                            <w:rFonts w:ascii="Times New Roman" w:hAnsi="Times New Roman" w:cs="Times New Roman" w:eastAsia="Times New Roman" w:hint="default"/>
                            <w:sz w:val="18"/>
                            <w:szCs w:val="18"/>
                          </w:rPr>
                        </w:pPr>
                        <w:r>
                          <w:rPr>
                            <w:rFonts w:ascii="Times New Roman"/>
                            <w:sz w:val="18"/>
                          </w:rPr>
                          <w:t>--</w:t>
                        </w:r>
                      </w:p>
                    </w:tc>
                    <w:tc>
                      <w:tcPr>
                        <w:tcW w:w="1132"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102"/>
                          <w:ind w:right="491"/>
                          <w:jc w:val="right"/>
                          <w:rPr>
                            <w:rFonts w:ascii="Times New Roman" w:hAnsi="Times New Roman" w:cs="Times New Roman" w:eastAsia="Times New Roman" w:hint="default"/>
                            <w:sz w:val="18"/>
                            <w:szCs w:val="18"/>
                          </w:rPr>
                        </w:pPr>
                        <w:r>
                          <w:rPr>
                            <w:rFonts w:ascii="Times New Roman"/>
                            <w:sz w:val="18"/>
                          </w:rPr>
                          <w:t>--</w:t>
                        </w:r>
                      </w:p>
                    </w:tc>
                  </w:tr>
                  <w:tr>
                    <w:trPr>
                      <w:trHeight w:val="427" w:hRule="exact"/>
                    </w:trPr>
                    <w:tc>
                      <w:tcPr>
                        <w:tcW w:w="259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62"/>
                          <w:ind w:left="1" w:right="0"/>
                          <w:jc w:val="left"/>
                          <w:rPr>
                            <w:rFonts w:ascii="宋体" w:hAnsi="宋体" w:cs="宋体" w:eastAsia="宋体" w:hint="default"/>
                            <w:sz w:val="18"/>
                            <w:szCs w:val="18"/>
                          </w:rPr>
                        </w:pPr>
                        <w:r>
                          <w:rPr>
                            <w:rFonts w:ascii="宋体" w:hAnsi="宋体" w:cs="宋体" w:eastAsia="宋体" w:hint="default"/>
                            <w:sz w:val="18"/>
                            <w:szCs w:val="18"/>
                          </w:rPr>
                          <w:t>超募资金投向小计</w:t>
                        </w:r>
                      </w:p>
                    </w:tc>
                    <w:tc>
                      <w:tcPr>
                        <w:tcW w:w="114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2"/>
                          <w:ind w:right="503"/>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single" w:sz="6" w:space="0" w:color="000000"/>
                          <w:left w:val="single" w:sz="7" w:space="0" w:color="000000"/>
                          <w:bottom w:val="single" w:sz="6" w:space="0" w:color="000000"/>
                          <w:right w:val="single" w:sz="6" w:space="0" w:color="000000"/>
                        </w:tcBorders>
                      </w:tcPr>
                      <w:p>
                        <w:pPr/>
                      </w:p>
                    </w:tc>
                    <w:tc>
                      <w:tcPr>
                        <w:tcW w:w="1141" w:type="dxa"/>
                        <w:tcBorders>
                          <w:top w:val="single" w:sz="6" w:space="0" w:color="000000"/>
                          <w:left w:val="single" w:sz="6" w:space="0" w:color="000000"/>
                          <w:bottom w:val="single" w:sz="6" w:space="0" w:color="000000"/>
                          <w:right w:val="single" w:sz="6" w:space="0" w:color="000000"/>
                        </w:tcBorders>
                      </w:tcPr>
                      <w:p>
                        <w:pP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49,000</w:t>
                        </w:r>
                      </w:p>
                    </w:tc>
                    <w:tc>
                      <w:tcPr>
                        <w:tcW w:w="1141" w:type="dxa"/>
                        <w:tcBorders>
                          <w:top w:val="single" w:sz="6" w:space="0" w:color="000000"/>
                          <w:left w:val="single" w:sz="6" w:space="0" w:color="000000"/>
                          <w:bottom w:val="single" w:sz="6" w:space="0" w:color="000000"/>
                          <w:right w:val="single" w:sz="7"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49,000</w:t>
                        </w:r>
                      </w:p>
                    </w:tc>
                    <w:tc>
                      <w:tcPr>
                        <w:tcW w:w="114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2"/>
                          <w:ind w:right="0"/>
                          <w:jc w:val="center"/>
                          <w:rPr>
                            <w:rFonts w:ascii="Times New Roman" w:hAnsi="Times New Roman" w:cs="Times New Roman" w:eastAsia="Times New Roman" w:hint="default"/>
                            <w:sz w:val="18"/>
                            <w:szCs w:val="18"/>
                          </w:rPr>
                        </w:pPr>
                        <w:r>
                          <w:rPr>
                            <w:rFonts w:ascii="Times New Roman"/>
                            <w:sz w:val="18"/>
                          </w:rPr>
                          <w:t>--</w:t>
                        </w:r>
                      </w:p>
                    </w:tc>
                    <w:tc>
                      <w:tcPr>
                        <w:tcW w:w="114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2"/>
                          <w:ind w:right="0"/>
                          <w:jc w:val="center"/>
                          <w:rPr>
                            <w:rFonts w:ascii="Times New Roman" w:hAnsi="Times New Roman" w:cs="Times New Roman" w:eastAsia="Times New Roman" w:hint="default"/>
                            <w:sz w:val="18"/>
                            <w:szCs w:val="18"/>
                          </w:rPr>
                        </w:pPr>
                        <w:r>
                          <w:rPr>
                            <w:rFonts w:ascii="Times New Roman"/>
                            <w:sz w:val="18"/>
                          </w:rPr>
                          <w:t>--</w:t>
                        </w:r>
                      </w:p>
                    </w:tc>
                    <w:tc>
                      <w:tcPr>
                        <w:tcW w:w="1141" w:type="dxa"/>
                        <w:tcBorders>
                          <w:top w:val="single" w:sz="10" w:space="0" w:color="000000"/>
                          <w:left w:val="single" w:sz="6" w:space="0" w:color="000000"/>
                          <w:bottom w:val="single" w:sz="6" w:space="0" w:color="000000"/>
                          <w:right w:val="single" w:sz="7" w:space="0" w:color="000000"/>
                        </w:tcBorders>
                      </w:tcPr>
                      <w:p>
                        <w:pPr/>
                      </w:p>
                    </w:tc>
                    <w:tc>
                      <w:tcPr>
                        <w:tcW w:w="114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2"/>
                          <w:ind w:right="1"/>
                          <w:jc w:val="center"/>
                          <w:rPr>
                            <w:rFonts w:ascii="Times New Roman" w:hAnsi="Times New Roman" w:cs="Times New Roman" w:eastAsia="Times New Roman" w:hint="default"/>
                            <w:sz w:val="18"/>
                            <w:szCs w:val="18"/>
                          </w:rPr>
                        </w:pPr>
                        <w:r>
                          <w:rPr>
                            <w:rFonts w:ascii="Times New Roman"/>
                            <w:sz w:val="18"/>
                          </w:rPr>
                          <w:t>--</w:t>
                        </w:r>
                      </w:p>
                    </w:tc>
                    <w:tc>
                      <w:tcPr>
                        <w:tcW w:w="1132"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102"/>
                          <w:ind w:right="491"/>
                          <w:jc w:val="right"/>
                          <w:rPr>
                            <w:rFonts w:ascii="Times New Roman" w:hAnsi="Times New Roman" w:cs="Times New Roman" w:eastAsia="Times New Roman" w:hint="default"/>
                            <w:sz w:val="18"/>
                            <w:szCs w:val="18"/>
                          </w:rPr>
                        </w:pPr>
                        <w:r>
                          <w:rPr>
                            <w:rFonts w:ascii="Times New Roman"/>
                            <w:sz w:val="18"/>
                          </w:rPr>
                          <w:t>--</w:t>
                        </w:r>
                      </w:p>
                    </w:tc>
                  </w:tr>
                  <w:tr>
                    <w:trPr>
                      <w:trHeight w:val="421" w:hRule="exact"/>
                    </w:trPr>
                    <w:tc>
                      <w:tcPr>
                        <w:tcW w:w="259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61"/>
                          <w:ind w:left="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4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0"/>
                          <w:ind w:right="503"/>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58,232.64</w:t>
                        </w:r>
                      </w:p>
                    </w:tc>
                    <w:tc>
                      <w:tcPr>
                        <w:tcW w:w="11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left="403" w:right="0"/>
                          <w:jc w:val="left"/>
                          <w:rPr>
                            <w:rFonts w:ascii="Times New Roman" w:hAnsi="Times New Roman" w:cs="Times New Roman" w:eastAsia="Times New Roman" w:hint="default"/>
                            <w:sz w:val="18"/>
                            <w:szCs w:val="18"/>
                          </w:rPr>
                        </w:pPr>
                        <w:r>
                          <w:rPr>
                            <w:rFonts w:ascii="Times New Roman"/>
                            <w:sz w:val="18"/>
                          </w:rPr>
                          <w:t>58,232.64</w:t>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49,906.36</w:t>
                        </w:r>
                      </w:p>
                    </w:tc>
                    <w:tc>
                      <w:tcPr>
                        <w:tcW w:w="1141" w:type="dxa"/>
                        <w:tcBorders>
                          <w:top w:val="single" w:sz="6" w:space="0" w:color="000000"/>
                          <w:left w:val="single" w:sz="6" w:space="0" w:color="000000"/>
                          <w:bottom w:val="single" w:sz="6" w:space="0" w:color="000000"/>
                          <w:right w:val="single" w:sz="7"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56,284.68</w:t>
                        </w:r>
                      </w:p>
                    </w:tc>
                    <w:tc>
                      <w:tcPr>
                        <w:tcW w:w="114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w:t>
                        </w:r>
                      </w:p>
                    </w:tc>
                    <w:tc>
                      <w:tcPr>
                        <w:tcW w:w="114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0"/>
                          <w:ind w:right="0"/>
                          <w:jc w:val="center"/>
                          <w:rPr>
                            <w:rFonts w:ascii="Times New Roman" w:hAnsi="Times New Roman" w:cs="Times New Roman" w:eastAsia="Times New Roman" w:hint="default"/>
                            <w:sz w:val="18"/>
                            <w:szCs w:val="18"/>
                          </w:rPr>
                        </w:pPr>
                        <w:r>
                          <w:rPr>
                            <w:rFonts w:ascii="Times New Roman"/>
                            <w:sz w:val="18"/>
                          </w:rPr>
                          <w:t>--</w:t>
                        </w:r>
                      </w:p>
                    </w:tc>
                    <w:tc>
                      <w:tcPr>
                        <w:tcW w:w="1141" w:type="dxa"/>
                        <w:tcBorders>
                          <w:top w:val="single" w:sz="6" w:space="0" w:color="000000"/>
                          <w:left w:val="single" w:sz="6" w:space="0" w:color="000000"/>
                          <w:bottom w:val="single" w:sz="6" w:space="0" w:color="000000"/>
                          <w:right w:val="single" w:sz="7"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484.28</w:t>
                        </w:r>
                      </w:p>
                    </w:tc>
                    <w:tc>
                      <w:tcPr>
                        <w:tcW w:w="114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00"/>
                          <w:ind w:right="1"/>
                          <w:jc w:val="center"/>
                          <w:rPr>
                            <w:rFonts w:ascii="Times New Roman" w:hAnsi="Times New Roman" w:cs="Times New Roman" w:eastAsia="Times New Roman" w:hint="default"/>
                            <w:sz w:val="18"/>
                            <w:szCs w:val="18"/>
                          </w:rPr>
                        </w:pPr>
                        <w:r>
                          <w:rPr>
                            <w:rFonts w:ascii="Times New Roman"/>
                            <w:sz w:val="18"/>
                          </w:rPr>
                          <w:t>--</w:t>
                        </w:r>
                      </w:p>
                    </w:tc>
                    <w:tc>
                      <w:tcPr>
                        <w:tcW w:w="1132"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100"/>
                          <w:ind w:right="491"/>
                          <w:jc w:val="right"/>
                          <w:rPr>
                            <w:rFonts w:ascii="Times New Roman" w:hAnsi="Times New Roman" w:cs="Times New Roman" w:eastAsia="Times New Roman" w:hint="default"/>
                            <w:sz w:val="18"/>
                            <w:szCs w:val="18"/>
                          </w:rPr>
                        </w:pPr>
                        <w:r>
                          <w:rPr>
                            <w:rFonts w:ascii="Times New Roman"/>
                            <w:sz w:val="18"/>
                          </w:rPr>
                          <w:t>--</w:t>
                        </w:r>
                      </w:p>
                    </w:tc>
                  </w:tr>
                  <w:tr>
                    <w:trPr>
                      <w:trHeight w:val="745" w:hRule="exact"/>
                    </w:trPr>
                    <w:tc>
                      <w:tcPr>
                        <w:tcW w:w="259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9" w:lineRule="auto" w:before="67"/>
                          <w:ind w:left="1" w:right="45"/>
                          <w:jc w:val="left"/>
                          <w:rPr>
                            <w:rFonts w:ascii="宋体" w:hAnsi="宋体" w:cs="宋体" w:eastAsia="宋体" w:hint="default"/>
                            <w:sz w:val="18"/>
                            <w:szCs w:val="18"/>
                          </w:rPr>
                        </w:pPr>
                        <w:r>
                          <w:rPr>
                            <w:rFonts w:ascii="宋体" w:hAnsi="宋体" w:cs="宋体" w:eastAsia="宋体" w:hint="default"/>
                            <w:sz w:val="18"/>
                            <w:szCs w:val="18"/>
                          </w:rPr>
                          <w:t>未达到计划进度或预计收益的情 况和原因（分具体项目）</w:t>
                        </w:r>
                      </w:p>
                    </w:tc>
                    <w:tc>
                      <w:tcPr>
                        <w:tcW w:w="11399" w:type="dxa"/>
                        <w:gridSpan w:val="10"/>
                        <w:tcBorders>
                          <w:top w:val="single" w:sz="6" w:space="0" w:color="000000"/>
                          <w:left w:val="single" w:sz="6" w:space="0" w:color="000000"/>
                          <w:bottom w:val="single" w:sz="6" w:space="0" w:color="000000"/>
                          <w:right w:val="single" w:sz="12" w:space="0" w:color="000000"/>
                        </w:tcBorders>
                      </w:tcPr>
                      <w:p>
                        <w:pPr>
                          <w:pStyle w:val="TableParagraph"/>
                          <w:spacing w:line="240" w:lineRule="auto" w:before="67"/>
                          <w:ind w:left="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1051" w:hRule="exact"/>
                    </w:trPr>
                    <w:tc>
                      <w:tcPr>
                        <w:tcW w:w="259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6" w:lineRule="auto" w:before="62"/>
                          <w:ind w:left="1" w:right="45"/>
                          <w:jc w:val="left"/>
                          <w:rPr>
                            <w:rFonts w:ascii="宋体" w:hAnsi="宋体" w:cs="宋体" w:eastAsia="宋体" w:hint="default"/>
                            <w:sz w:val="18"/>
                            <w:szCs w:val="18"/>
                          </w:rPr>
                        </w:pPr>
                        <w:r>
                          <w:rPr>
                            <w:rFonts w:ascii="宋体" w:hAnsi="宋体" w:cs="宋体" w:eastAsia="宋体" w:hint="default"/>
                            <w:sz w:val="18"/>
                            <w:szCs w:val="18"/>
                          </w:rPr>
                          <w:t>项目可行性发生重大变化的情况 说明</w:t>
                        </w:r>
                      </w:p>
                    </w:tc>
                    <w:tc>
                      <w:tcPr>
                        <w:tcW w:w="11399" w:type="dxa"/>
                        <w:gridSpan w:val="10"/>
                        <w:tcBorders>
                          <w:top w:val="single" w:sz="6" w:space="0" w:color="000000"/>
                          <w:left w:val="single" w:sz="6" w:space="0" w:color="000000"/>
                          <w:bottom w:val="single" w:sz="6" w:space="0" w:color="000000"/>
                          <w:right w:val="single" w:sz="12" w:space="0" w:color="000000"/>
                        </w:tcBorders>
                      </w:tcPr>
                      <w:p>
                        <w:pPr>
                          <w:pStyle w:val="TableParagraph"/>
                          <w:spacing w:line="360" w:lineRule="auto" w:before="85"/>
                          <w:ind w:left="2" w:right="-3"/>
                          <w:jc w:val="both"/>
                          <w:rPr>
                            <w:rFonts w:ascii="宋体" w:hAnsi="宋体" w:cs="宋体" w:eastAsia="宋体" w:hint="default"/>
                            <w:sz w:val="15"/>
                            <w:szCs w:val="15"/>
                          </w:rPr>
                        </w:pPr>
                        <w:r>
                          <w:rPr>
                            <w:rFonts w:ascii="Times New Roman" w:hAnsi="Times New Roman" w:cs="Times New Roman" w:eastAsia="Times New Roman" w:hint="default"/>
                            <w:spacing w:val="-1"/>
                            <w:sz w:val="15"/>
                            <w:szCs w:val="15"/>
                          </w:rPr>
                          <w:t>2018</w:t>
                        </w:r>
                        <w:r>
                          <w:rPr>
                            <w:rFonts w:ascii="宋体" w:hAnsi="宋体" w:cs="宋体" w:eastAsia="宋体" w:hint="default"/>
                            <w:spacing w:val="-1"/>
                            <w:sz w:val="15"/>
                            <w:szCs w:val="15"/>
                          </w:rPr>
                          <w:t>年</w:t>
                        </w:r>
                        <w:r>
                          <w:rPr>
                            <w:rFonts w:ascii="Times New Roman" w:hAnsi="Times New Roman" w:cs="Times New Roman" w:eastAsia="Times New Roman" w:hint="default"/>
                            <w:spacing w:val="-1"/>
                            <w:sz w:val="15"/>
                            <w:szCs w:val="15"/>
                          </w:rPr>
                          <w:t>2</w:t>
                        </w:r>
                        <w:r>
                          <w:rPr>
                            <w:rFonts w:ascii="宋体" w:hAnsi="宋体" w:cs="宋体" w:eastAsia="宋体" w:hint="default"/>
                            <w:spacing w:val="-1"/>
                            <w:sz w:val="15"/>
                            <w:szCs w:val="15"/>
                          </w:rPr>
                          <w:t>月</w:t>
                        </w:r>
                        <w:r>
                          <w:rPr>
                            <w:rFonts w:ascii="Times New Roman" w:hAnsi="Times New Roman" w:cs="Times New Roman" w:eastAsia="Times New Roman" w:hint="default"/>
                            <w:spacing w:val="-1"/>
                            <w:sz w:val="15"/>
                            <w:szCs w:val="15"/>
                          </w:rPr>
                          <w:t>6</w:t>
                        </w:r>
                        <w:r>
                          <w:rPr>
                            <w:rFonts w:ascii="宋体" w:hAnsi="宋体" w:cs="宋体" w:eastAsia="宋体" w:hint="default"/>
                            <w:spacing w:val="-1"/>
                            <w:sz w:val="15"/>
                            <w:szCs w:val="15"/>
                          </w:rPr>
                          <w:t>日，公司第三届董事会第十八次会议审议通过了《关于非公开发行募集资金投资项目结项并将结余资金永久性补充流动资金的议案》，并已通过</w:t>
                        </w:r>
                        <w:r>
                          <w:rPr>
                            <w:rFonts w:ascii="Times New Roman" w:hAnsi="Times New Roman" w:cs="Times New Roman" w:eastAsia="Times New Roman" w:hint="default"/>
                            <w:spacing w:val="-1"/>
                            <w:sz w:val="15"/>
                            <w:szCs w:val="15"/>
                          </w:rPr>
                          <w:t>2018</w:t>
                        </w:r>
                        <w:r>
                          <w:rPr>
                            <w:rFonts w:ascii="宋体" w:hAnsi="宋体" w:cs="宋体" w:eastAsia="宋体" w:hint="default"/>
                            <w:spacing w:val="-1"/>
                            <w:sz w:val="15"/>
                            <w:szCs w:val="15"/>
                          </w:rPr>
                          <w:t>年第一次临时</w:t>
                        </w:r>
                        <w:r>
                          <w:rPr>
                            <w:rFonts w:ascii="宋体" w:hAnsi="宋体" w:cs="宋体" w:eastAsia="宋体" w:hint="default"/>
                            <w:spacing w:val="-26"/>
                            <w:sz w:val="15"/>
                            <w:szCs w:val="15"/>
                          </w:rPr>
                          <w:t> </w:t>
                        </w:r>
                        <w:r>
                          <w:rPr>
                            <w:rFonts w:ascii="宋体" w:hAnsi="宋体" w:cs="宋体" w:eastAsia="宋体" w:hint="default"/>
                            <w:spacing w:val="-26"/>
                            <w:sz w:val="15"/>
                            <w:szCs w:val="15"/>
                          </w:rPr>
                        </w:r>
                        <w:r>
                          <w:rPr>
                            <w:rFonts w:ascii="宋体" w:hAnsi="宋体" w:cs="宋体" w:eastAsia="宋体" w:hint="default"/>
                            <w:sz w:val="15"/>
                            <w:szCs w:val="15"/>
                          </w:rPr>
                          <w:t>股东大会审议通过。</w:t>
                        </w:r>
                        <w:r>
                          <w:rPr>
                            <w:rFonts w:ascii="Times New Roman" w:hAnsi="Times New Roman" w:cs="Times New Roman" w:eastAsia="Times New Roman" w:hint="default"/>
                            <w:sz w:val="15"/>
                            <w:szCs w:val="15"/>
                          </w:rPr>
                          <w:t>1Mobile</w:t>
                        </w:r>
                        <w:r>
                          <w:rPr>
                            <w:rFonts w:ascii="Times New Roman" w:hAnsi="Times New Roman" w:cs="Times New Roman" w:eastAsia="Times New Roman" w:hint="default"/>
                            <w:spacing w:val="20"/>
                            <w:sz w:val="15"/>
                            <w:szCs w:val="15"/>
                          </w:rPr>
                          <w:t> </w:t>
                        </w:r>
                        <w:r>
                          <w:rPr>
                            <w:rFonts w:ascii="宋体" w:hAnsi="宋体" w:cs="宋体" w:eastAsia="宋体" w:hint="default"/>
                            <w:sz w:val="15"/>
                            <w:szCs w:val="15"/>
                          </w:rPr>
                          <w:t>线下手机分发渠道建设项目投入前期，效益良好，但是由于互联网行业发展迅速，东南亚市场线上普及较快，线下分发渠道已经无法满足市场效 率，公司预计在未来的发展中该项目的投资收益不如预期，公司将该项目结项并将结余资金永久性补充流动资金</w:t>
                        </w:r>
                      </w:p>
                    </w:tc>
                  </w:tr>
                  <w:tr>
                    <w:trPr>
                      <w:trHeight w:val="428" w:hRule="exact"/>
                    </w:trPr>
                    <w:tc>
                      <w:tcPr>
                        <w:tcW w:w="2591" w:type="dxa"/>
                        <w:vMerge w:val="restart"/>
                        <w:tcBorders>
                          <w:top w:val="single" w:sz="6" w:space="0" w:color="000000"/>
                          <w:left w:val="single" w:sz="12" w:space="0" w:color="000000"/>
                          <w:right w:val="single" w:sz="6" w:space="0" w:color="000000"/>
                        </w:tcBorders>
                        <w:shd w:val="clear" w:color="auto" w:fill="D2D2D2"/>
                      </w:tcPr>
                      <w:p>
                        <w:pPr>
                          <w:pStyle w:val="TableParagraph"/>
                          <w:spacing w:line="319" w:lineRule="auto" w:before="62"/>
                          <w:ind w:left="1" w:right="45"/>
                          <w:jc w:val="left"/>
                          <w:rPr>
                            <w:rFonts w:ascii="宋体" w:hAnsi="宋体" w:cs="宋体" w:eastAsia="宋体" w:hint="default"/>
                            <w:sz w:val="18"/>
                            <w:szCs w:val="18"/>
                          </w:rPr>
                        </w:pPr>
                        <w:r>
                          <w:rPr>
                            <w:rFonts w:ascii="宋体" w:hAnsi="宋体" w:cs="宋体" w:eastAsia="宋体" w:hint="default"/>
                            <w:sz w:val="18"/>
                            <w:szCs w:val="18"/>
                          </w:rPr>
                          <w:t>超募资金的金额、用途及使用进 展情况</w:t>
                        </w:r>
                      </w:p>
                    </w:tc>
                    <w:tc>
                      <w:tcPr>
                        <w:tcW w:w="11399" w:type="dxa"/>
                        <w:gridSpan w:val="10"/>
                        <w:tcBorders>
                          <w:top w:val="single" w:sz="6" w:space="0" w:color="000000"/>
                          <w:left w:val="single" w:sz="6" w:space="0" w:color="000000"/>
                          <w:bottom w:val="single" w:sz="6" w:space="0" w:color="000000"/>
                          <w:right w:val="single" w:sz="12"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27" w:hRule="exact"/>
                    </w:trPr>
                    <w:tc>
                      <w:tcPr>
                        <w:tcW w:w="2591" w:type="dxa"/>
                        <w:vMerge/>
                        <w:tcBorders>
                          <w:left w:val="single" w:sz="12" w:space="0" w:color="000000"/>
                          <w:bottom w:val="single" w:sz="6" w:space="0" w:color="000000"/>
                          <w:right w:val="single" w:sz="6" w:space="0" w:color="000000"/>
                        </w:tcBorders>
                        <w:shd w:val="clear" w:color="auto" w:fill="D2D2D2"/>
                      </w:tcPr>
                      <w:p>
                        <w:pPr/>
                      </w:p>
                    </w:tc>
                    <w:tc>
                      <w:tcPr>
                        <w:tcW w:w="11399" w:type="dxa"/>
                        <w:gridSpan w:val="10"/>
                        <w:tcBorders>
                          <w:top w:val="single" w:sz="6" w:space="0" w:color="000000"/>
                          <w:left w:val="single" w:sz="6" w:space="0" w:color="000000"/>
                          <w:bottom w:val="single" w:sz="6" w:space="0" w:color="000000"/>
                          <w:right w:val="single" w:sz="12" w:space="0" w:color="000000"/>
                        </w:tcBorders>
                      </w:tcPr>
                      <w:p>
                        <w:pPr/>
                      </w:p>
                    </w:tc>
                  </w:tr>
                  <w:tr>
                    <w:trPr>
                      <w:trHeight w:val="427" w:hRule="exact"/>
                    </w:trPr>
                    <w:tc>
                      <w:tcPr>
                        <w:tcW w:w="2591" w:type="dxa"/>
                        <w:vMerge w:val="restart"/>
                        <w:tcBorders>
                          <w:top w:val="single" w:sz="6" w:space="0" w:color="000000"/>
                          <w:left w:val="single" w:sz="12" w:space="0" w:color="000000"/>
                          <w:right w:val="single" w:sz="6" w:space="0" w:color="000000"/>
                        </w:tcBorders>
                        <w:shd w:val="clear" w:color="auto" w:fill="D2D2D2"/>
                      </w:tcPr>
                      <w:p>
                        <w:pPr>
                          <w:pStyle w:val="TableParagraph"/>
                          <w:spacing w:line="316" w:lineRule="auto" w:before="62"/>
                          <w:ind w:left="1" w:right="45"/>
                          <w:jc w:val="left"/>
                          <w:rPr>
                            <w:rFonts w:ascii="宋体" w:hAnsi="宋体" w:cs="宋体" w:eastAsia="宋体" w:hint="default"/>
                            <w:sz w:val="18"/>
                            <w:szCs w:val="18"/>
                          </w:rPr>
                        </w:pPr>
                        <w:r>
                          <w:rPr>
                            <w:rFonts w:ascii="宋体" w:hAnsi="宋体" w:cs="宋体" w:eastAsia="宋体" w:hint="default"/>
                            <w:sz w:val="18"/>
                            <w:szCs w:val="18"/>
                          </w:rPr>
                          <w:t>募集资金投资项目实施地点变更 情况</w:t>
                        </w:r>
                      </w:p>
                    </w:tc>
                    <w:tc>
                      <w:tcPr>
                        <w:tcW w:w="11399" w:type="dxa"/>
                        <w:gridSpan w:val="10"/>
                        <w:tcBorders>
                          <w:top w:val="single" w:sz="6" w:space="0" w:color="000000"/>
                          <w:left w:val="single" w:sz="6" w:space="0" w:color="000000"/>
                          <w:bottom w:val="single" w:sz="6" w:space="0" w:color="000000"/>
                          <w:right w:val="single" w:sz="12"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26" w:hRule="exact"/>
                    </w:trPr>
                    <w:tc>
                      <w:tcPr>
                        <w:tcW w:w="2591" w:type="dxa"/>
                        <w:vMerge/>
                        <w:tcBorders>
                          <w:left w:val="single" w:sz="12" w:space="0" w:color="000000"/>
                          <w:right w:val="single" w:sz="6" w:space="0" w:color="000000"/>
                        </w:tcBorders>
                        <w:shd w:val="clear" w:color="auto" w:fill="D2D2D2"/>
                      </w:tcPr>
                      <w:p>
                        <w:pPr/>
                      </w:p>
                    </w:tc>
                    <w:tc>
                      <w:tcPr>
                        <w:tcW w:w="11399" w:type="dxa"/>
                        <w:gridSpan w:val="10"/>
                        <w:tcBorders>
                          <w:top w:val="single" w:sz="6" w:space="0" w:color="000000"/>
                          <w:left w:val="single" w:sz="6" w:space="0" w:color="000000"/>
                          <w:bottom w:val="single" w:sz="6" w:space="0" w:color="000000"/>
                          <w:right w:val="single" w:sz="12" w:space="0" w:color="000000"/>
                        </w:tcBorders>
                      </w:tcPr>
                      <w:p>
                        <w:pPr/>
                      </w:p>
                    </w:tc>
                  </w:tr>
                  <w:tr>
                    <w:trPr>
                      <w:trHeight w:val="427" w:hRule="exact"/>
                    </w:trPr>
                    <w:tc>
                      <w:tcPr>
                        <w:tcW w:w="2591" w:type="dxa"/>
                        <w:vMerge/>
                        <w:tcBorders>
                          <w:left w:val="single" w:sz="12" w:space="0" w:color="000000"/>
                          <w:bottom w:val="single" w:sz="6" w:space="0" w:color="000000"/>
                          <w:right w:val="single" w:sz="6" w:space="0" w:color="000000"/>
                        </w:tcBorders>
                        <w:shd w:val="clear" w:color="auto" w:fill="D2D2D2"/>
                      </w:tcPr>
                      <w:p>
                        <w:pPr/>
                      </w:p>
                    </w:tc>
                    <w:tc>
                      <w:tcPr>
                        <w:tcW w:w="11399" w:type="dxa"/>
                        <w:gridSpan w:val="10"/>
                        <w:tcBorders>
                          <w:top w:val="single" w:sz="6" w:space="0" w:color="000000"/>
                          <w:left w:val="single" w:sz="6" w:space="0" w:color="000000"/>
                          <w:bottom w:val="single" w:sz="6" w:space="0" w:color="000000"/>
                          <w:right w:val="single" w:sz="12" w:space="0" w:color="000000"/>
                        </w:tcBorders>
                      </w:tcPr>
                      <w:p>
                        <w:pPr/>
                      </w:p>
                    </w:tc>
                  </w:tr>
                  <w:tr>
                    <w:trPr>
                      <w:trHeight w:val="435" w:hRule="exact"/>
                    </w:trPr>
                    <w:tc>
                      <w:tcPr>
                        <w:tcW w:w="2591"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62"/>
                          <w:ind w:left="1" w:right="0"/>
                          <w:jc w:val="left"/>
                          <w:rPr>
                            <w:rFonts w:ascii="宋体" w:hAnsi="宋体" w:cs="宋体" w:eastAsia="宋体" w:hint="default"/>
                            <w:sz w:val="18"/>
                            <w:szCs w:val="18"/>
                          </w:rPr>
                        </w:pPr>
                        <w:r>
                          <w:rPr>
                            <w:rFonts w:ascii="宋体" w:hAnsi="宋体" w:cs="宋体" w:eastAsia="宋体" w:hint="default"/>
                            <w:sz w:val="18"/>
                            <w:szCs w:val="18"/>
                          </w:rPr>
                          <w:t>募集资金投资项目实施方式调整</w:t>
                        </w:r>
                      </w:p>
                    </w:tc>
                    <w:tc>
                      <w:tcPr>
                        <w:tcW w:w="11399" w:type="dxa"/>
                        <w:gridSpan w:val="10"/>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
              </w:txbxContent>
            </v:textbox>
            <w10:wrap type="none"/>
          </v:shape>
        </w:pict>
      </w:r>
    </w:p>
    <w:p>
      <w:pPr>
        <w:spacing w:after="0" w:line="240" w:lineRule="auto"/>
        <w:rPr>
          <w:rFonts w:ascii="Times New Roman" w:hAnsi="Times New Roman" w:cs="Times New Roman" w:eastAsia="Times New Roman" w:hint="default"/>
          <w:sz w:val="17"/>
          <w:szCs w:val="17"/>
        </w:rPr>
        <w:sectPr>
          <w:pgSz w:w="16840" w:h="11910" w:orient="landscape"/>
          <w:pgMar w:header="867" w:footer="979" w:top="1160" w:bottom="1160" w:left="1300" w:right="0"/>
        </w:sectPr>
      </w:pPr>
    </w:p>
    <w:p>
      <w:pPr>
        <w:spacing w:line="240" w:lineRule="auto" w:before="9"/>
        <w:rPr>
          <w:rFonts w:ascii="Times New Roman" w:hAnsi="Times New Roman" w:cs="Times New Roman" w:eastAsia="Times New Roman" w:hint="default"/>
          <w:sz w:val="5"/>
          <w:szCs w:val="5"/>
        </w:rPr>
      </w:pPr>
    </w:p>
    <w:tbl>
      <w:tblPr>
        <w:tblW w:w="0" w:type="auto"/>
        <w:jc w:val="left"/>
        <w:tblInd w:w="109" w:type="dxa"/>
        <w:tblLayout w:type="fixed"/>
        <w:tblCellMar>
          <w:top w:w="0" w:type="dxa"/>
          <w:left w:w="0" w:type="dxa"/>
          <w:bottom w:w="0" w:type="dxa"/>
          <w:right w:w="0" w:type="dxa"/>
        </w:tblCellMar>
        <w:tblLook w:val="01E0"/>
      </w:tblPr>
      <w:tblGrid>
        <w:gridCol w:w="2590"/>
        <w:gridCol w:w="11399"/>
      </w:tblGrid>
      <w:tr>
        <w:trPr>
          <w:trHeight w:val="434" w:hRule="exact"/>
        </w:trPr>
        <w:tc>
          <w:tcPr>
            <w:tcW w:w="2590" w:type="dxa"/>
            <w:vMerge w:val="restart"/>
            <w:tcBorders>
              <w:top w:val="single" w:sz="12" w:space="0" w:color="000000"/>
              <w:left w:val="single" w:sz="12" w:space="0" w:color="000000"/>
              <w:right w:val="single" w:sz="6" w:space="0" w:color="000000"/>
            </w:tcBorders>
            <w:shd w:val="clear" w:color="auto" w:fill="D2D2D2"/>
          </w:tcPr>
          <w:p>
            <w:pPr>
              <w:pStyle w:val="TableParagraph"/>
              <w:spacing w:line="240" w:lineRule="auto" w:before="21"/>
              <w:ind w:right="0"/>
              <w:jc w:val="left"/>
              <w:rPr>
                <w:rFonts w:ascii="宋体" w:hAnsi="宋体" w:cs="宋体" w:eastAsia="宋体" w:hint="default"/>
                <w:sz w:val="18"/>
                <w:szCs w:val="18"/>
              </w:rPr>
            </w:pPr>
            <w:r>
              <w:rPr>
                <w:rFonts w:ascii="宋体" w:hAnsi="宋体" w:cs="宋体" w:eastAsia="宋体" w:hint="default"/>
                <w:sz w:val="18"/>
                <w:szCs w:val="18"/>
              </w:rPr>
              <w:t>情况</w:t>
            </w:r>
          </w:p>
        </w:tc>
        <w:tc>
          <w:tcPr>
            <w:tcW w:w="11399" w:type="dxa"/>
            <w:tcBorders>
              <w:top w:val="single" w:sz="12" w:space="0" w:color="000000"/>
              <w:left w:val="single" w:sz="6" w:space="0" w:color="000000"/>
              <w:bottom w:val="single" w:sz="6" w:space="0" w:color="000000"/>
              <w:right w:val="single" w:sz="12" w:space="0" w:color="000000"/>
            </w:tcBorders>
          </w:tcPr>
          <w:p>
            <w:pPr/>
          </w:p>
        </w:tc>
      </w:tr>
      <w:tr>
        <w:trPr>
          <w:trHeight w:val="428" w:hRule="exact"/>
        </w:trPr>
        <w:tc>
          <w:tcPr>
            <w:tcW w:w="2590" w:type="dxa"/>
            <w:vMerge/>
            <w:tcBorders>
              <w:left w:val="single" w:sz="12" w:space="0" w:color="000000"/>
              <w:bottom w:val="single" w:sz="6" w:space="0" w:color="000000"/>
              <w:right w:val="single" w:sz="6" w:space="0" w:color="000000"/>
            </w:tcBorders>
            <w:shd w:val="clear" w:color="auto" w:fill="D2D2D2"/>
          </w:tcPr>
          <w:p>
            <w:pPr/>
          </w:p>
        </w:tc>
        <w:tc>
          <w:tcPr>
            <w:tcW w:w="11399" w:type="dxa"/>
            <w:tcBorders>
              <w:top w:val="single" w:sz="6" w:space="0" w:color="000000"/>
              <w:left w:val="single" w:sz="6" w:space="0" w:color="000000"/>
              <w:bottom w:val="single" w:sz="6" w:space="0" w:color="000000"/>
              <w:right w:val="single" w:sz="12" w:space="0" w:color="000000"/>
            </w:tcBorders>
          </w:tcPr>
          <w:p>
            <w:pPr/>
          </w:p>
        </w:tc>
      </w:tr>
      <w:tr>
        <w:trPr>
          <w:trHeight w:val="427" w:hRule="exact"/>
        </w:trPr>
        <w:tc>
          <w:tcPr>
            <w:tcW w:w="2590" w:type="dxa"/>
            <w:vMerge w:val="restart"/>
            <w:tcBorders>
              <w:top w:val="single" w:sz="6" w:space="0" w:color="000000"/>
              <w:left w:val="single" w:sz="12" w:space="0" w:color="000000"/>
              <w:right w:val="single" w:sz="6" w:space="0" w:color="000000"/>
            </w:tcBorders>
            <w:shd w:val="clear" w:color="auto" w:fill="D2D2D2"/>
          </w:tcPr>
          <w:p>
            <w:pPr>
              <w:pStyle w:val="TableParagraph"/>
              <w:spacing w:line="316" w:lineRule="auto" w:before="62"/>
              <w:ind w:right="45"/>
              <w:jc w:val="left"/>
              <w:rPr>
                <w:rFonts w:ascii="宋体" w:hAnsi="宋体" w:cs="宋体" w:eastAsia="宋体" w:hint="default"/>
                <w:sz w:val="18"/>
                <w:szCs w:val="18"/>
              </w:rPr>
            </w:pPr>
            <w:r>
              <w:rPr>
                <w:rFonts w:ascii="宋体" w:hAnsi="宋体" w:cs="宋体" w:eastAsia="宋体" w:hint="default"/>
                <w:sz w:val="18"/>
                <w:szCs w:val="18"/>
              </w:rPr>
              <w:t>募集资金投资项目先期投入及置 换情况</w:t>
            </w:r>
          </w:p>
        </w:tc>
        <w:tc>
          <w:tcPr>
            <w:tcW w:w="113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739" w:hRule="exact"/>
        </w:trPr>
        <w:tc>
          <w:tcPr>
            <w:tcW w:w="2590" w:type="dxa"/>
            <w:vMerge/>
            <w:tcBorders>
              <w:left w:val="single" w:sz="12" w:space="0" w:color="000000"/>
              <w:bottom w:val="single" w:sz="6" w:space="0" w:color="000000"/>
              <w:right w:val="single" w:sz="6" w:space="0" w:color="000000"/>
            </w:tcBorders>
            <w:shd w:val="clear" w:color="auto" w:fill="D2D2D2"/>
          </w:tcPr>
          <w:p>
            <w:pPr/>
          </w:p>
        </w:tc>
        <w:tc>
          <w:tcPr>
            <w:tcW w:w="11399" w:type="dxa"/>
            <w:tcBorders>
              <w:top w:val="single" w:sz="6" w:space="0" w:color="000000"/>
              <w:left w:val="single" w:sz="6" w:space="0" w:color="000000"/>
              <w:bottom w:val="single" w:sz="6" w:space="0" w:color="000000"/>
              <w:right w:val="single" w:sz="12" w:space="0" w:color="000000"/>
            </w:tcBorders>
          </w:tcPr>
          <w:p>
            <w:pPr>
              <w:pStyle w:val="TableParagraph"/>
              <w:spacing w:line="300" w:lineRule="auto" w:before="62"/>
              <w:ind w:left="2" w:right="-4"/>
              <w:jc w:val="left"/>
              <w:rPr>
                <w:rFonts w:ascii="宋体" w:hAnsi="宋体" w:cs="宋体" w:eastAsia="宋体" w:hint="default"/>
                <w:sz w:val="18"/>
                <w:szCs w:val="18"/>
              </w:rPr>
            </w:pPr>
            <w:r>
              <w:rPr>
                <w:rFonts w:ascii="宋体" w:hAnsi="宋体" w:cs="宋体" w:eastAsia="宋体" w:hint="default"/>
                <w:sz w:val="18"/>
                <w:szCs w:val="18"/>
              </w:rPr>
              <w:t>公司募投项目在履行内部程序后，自实际实施之日起至</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日，实际资金预先投入金额合计为</w:t>
            </w:r>
            <w:r>
              <w:rPr>
                <w:rFonts w:ascii="Times New Roman" w:hAnsi="Times New Roman" w:cs="Times New Roman" w:eastAsia="Times New Roman" w:hint="default"/>
                <w:sz w:val="18"/>
                <w:szCs w:val="18"/>
              </w:rPr>
              <w:t>63,783,128.10</w:t>
            </w:r>
            <w:r>
              <w:rPr>
                <w:rFonts w:ascii="宋体" w:hAnsi="宋体" w:cs="宋体" w:eastAsia="宋体" w:hint="default"/>
                <w:sz w:val="18"/>
                <w:szCs w:val="18"/>
              </w:rPr>
              <w:t>元，公司募集资金到位后对其 进行了置换，置换金额为</w:t>
            </w:r>
            <w:r>
              <w:rPr>
                <w:rFonts w:ascii="Times New Roman" w:hAnsi="Times New Roman" w:cs="Times New Roman" w:eastAsia="Times New Roman" w:hint="default"/>
                <w:sz w:val="18"/>
                <w:szCs w:val="18"/>
              </w:rPr>
              <w:t>63,783,128.10</w:t>
            </w:r>
            <w:r>
              <w:rPr>
                <w:rFonts w:ascii="宋体" w:hAnsi="宋体" w:cs="宋体" w:eastAsia="宋体" w:hint="default"/>
                <w:sz w:val="18"/>
                <w:szCs w:val="18"/>
              </w:rPr>
              <w:t>元。</w:t>
            </w:r>
          </w:p>
        </w:tc>
      </w:tr>
      <w:tr>
        <w:trPr>
          <w:trHeight w:val="427" w:hRule="exact"/>
        </w:trPr>
        <w:tc>
          <w:tcPr>
            <w:tcW w:w="2590" w:type="dxa"/>
            <w:vMerge w:val="restart"/>
            <w:tcBorders>
              <w:top w:val="single" w:sz="6" w:space="0" w:color="000000"/>
              <w:left w:val="single" w:sz="12" w:space="0" w:color="000000"/>
              <w:right w:val="single" w:sz="6" w:space="0" w:color="000000"/>
            </w:tcBorders>
            <w:shd w:val="clear" w:color="auto" w:fill="D2D2D2"/>
          </w:tcPr>
          <w:p>
            <w:pPr>
              <w:pStyle w:val="TableParagraph"/>
              <w:spacing w:line="316" w:lineRule="auto" w:before="62"/>
              <w:ind w:right="45"/>
              <w:jc w:val="left"/>
              <w:rPr>
                <w:rFonts w:ascii="宋体" w:hAnsi="宋体" w:cs="宋体" w:eastAsia="宋体" w:hint="default"/>
                <w:sz w:val="18"/>
                <w:szCs w:val="18"/>
              </w:rPr>
            </w:pPr>
            <w:r>
              <w:rPr>
                <w:rFonts w:ascii="宋体" w:hAnsi="宋体" w:cs="宋体" w:eastAsia="宋体" w:hint="default"/>
                <w:sz w:val="18"/>
                <w:szCs w:val="18"/>
              </w:rPr>
              <w:t>用闲置募集资金暂时补充流动资 金情况</w:t>
            </w:r>
          </w:p>
        </w:tc>
        <w:tc>
          <w:tcPr>
            <w:tcW w:w="113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738" w:hRule="exact"/>
        </w:trPr>
        <w:tc>
          <w:tcPr>
            <w:tcW w:w="2590" w:type="dxa"/>
            <w:vMerge/>
            <w:tcBorders>
              <w:left w:val="single" w:sz="12" w:space="0" w:color="000000"/>
              <w:bottom w:val="single" w:sz="6" w:space="0" w:color="000000"/>
              <w:right w:val="single" w:sz="6" w:space="0" w:color="000000"/>
            </w:tcBorders>
            <w:shd w:val="clear" w:color="auto" w:fill="D2D2D2"/>
          </w:tcPr>
          <w:p>
            <w:pPr/>
          </w:p>
        </w:tc>
        <w:tc>
          <w:tcPr>
            <w:tcW w:w="11399" w:type="dxa"/>
            <w:tcBorders>
              <w:top w:val="single" w:sz="6" w:space="0" w:color="000000"/>
              <w:left w:val="single" w:sz="6" w:space="0" w:color="000000"/>
              <w:bottom w:val="single" w:sz="6" w:space="0" w:color="000000"/>
              <w:right w:val="single" w:sz="12" w:space="0" w:color="000000"/>
            </w:tcBorders>
          </w:tcPr>
          <w:p>
            <w:pPr>
              <w:pStyle w:val="TableParagraph"/>
              <w:spacing w:line="302" w:lineRule="auto" w:before="61"/>
              <w:ind w:left="2" w:right="-2"/>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2017</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10</w:t>
            </w:r>
            <w:r>
              <w:rPr>
                <w:rFonts w:ascii="宋体" w:hAnsi="宋体" w:cs="宋体" w:eastAsia="宋体" w:hint="default"/>
                <w:spacing w:val="-1"/>
                <w:sz w:val="18"/>
                <w:szCs w:val="18"/>
              </w:rPr>
              <w:t>日，经公司第二届董事会第五十一次会议及第二届监事会第二十三次会议，审议通过了《关于使用部分闲置募集资金暂时补充流动资</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金的议案》，公司使用部分闲置募集资 </w:t>
            </w:r>
            <w:r>
              <w:rPr>
                <w:rFonts w:ascii="Times New Roman" w:hAnsi="Times New Roman" w:cs="Times New Roman" w:eastAsia="Times New Roman" w:hint="default"/>
                <w:sz w:val="18"/>
                <w:szCs w:val="18"/>
              </w:rPr>
              <w:t>4.9  </w:t>
            </w:r>
            <w:r>
              <w:rPr>
                <w:rFonts w:ascii="宋体" w:hAnsi="宋体" w:cs="宋体" w:eastAsia="宋体" w:hint="default"/>
                <w:sz w:val="18"/>
                <w:szCs w:val="18"/>
              </w:rPr>
              <w:t>亿元暂时补充流动资金，使用期限不超过董事会批准之日起</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个月，到期将归还至募集资金专户。</w:t>
            </w:r>
          </w:p>
        </w:tc>
      </w:tr>
      <w:tr>
        <w:trPr>
          <w:trHeight w:val="427" w:hRule="exact"/>
        </w:trPr>
        <w:tc>
          <w:tcPr>
            <w:tcW w:w="2590" w:type="dxa"/>
            <w:vMerge w:val="restart"/>
            <w:tcBorders>
              <w:top w:val="single" w:sz="6" w:space="0" w:color="000000"/>
              <w:left w:val="single" w:sz="12" w:space="0" w:color="000000"/>
              <w:right w:val="single" w:sz="6" w:space="0" w:color="000000"/>
            </w:tcBorders>
            <w:shd w:val="clear" w:color="auto" w:fill="D2D2D2"/>
          </w:tcPr>
          <w:p>
            <w:pPr>
              <w:pStyle w:val="TableParagraph"/>
              <w:spacing w:line="319" w:lineRule="auto" w:before="62"/>
              <w:ind w:right="45"/>
              <w:jc w:val="left"/>
              <w:rPr>
                <w:rFonts w:ascii="宋体" w:hAnsi="宋体" w:cs="宋体" w:eastAsia="宋体" w:hint="default"/>
                <w:sz w:val="18"/>
                <w:szCs w:val="18"/>
              </w:rPr>
            </w:pPr>
            <w:r>
              <w:rPr>
                <w:rFonts w:ascii="宋体" w:hAnsi="宋体" w:cs="宋体" w:eastAsia="宋体" w:hint="default"/>
                <w:sz w:val="18"/>
                <w:szCs w:val="18"/>
              </w:rPr>
              <w:t>项目实施出现募集资金结余的金 额及原因</w:t>
            </w:r>
          </w:p>
        </w:tc>
        <w:tc>
          <w:tcPr>
            <w:tcW w:w="113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28" w:hRule="exact"/>
        </w:trPr>
        <w:tc>
          <w:tcPr>
            <w:tcW w:w="2590" w:type="dxa"/>
            <w:vMerge/>
            <w:tcBorders>
              <w:left w:val="single" w:sz="12" w:space="0" w:color="000000"/>
              <w:bottom w:val="single" w:sz="6" w:space="0" w:color="000000"/>
              <w:right w:val="single" w:sz="6" w:space="0" w:color="000000"/>
            </w:tcBorders>
            <w:shd w:val="clear" w:color="auto" w:fill="D2D2D2"/>
          </w:tcPr>
          <w:p>
            <w:pPr/>
          </w:p>
        </w:tc>
        <w:tc>
          <w:tcPr>
            <w:tcW w:w="11399" w:type="dxa"/>
            <w:tcBorders>
              <w:top w:val="single" w:sz="6" w:space="0" w:color="000000"/>
              <w:left w:val="single" w:sz="6" w:space="0" w:color="000000"/>
              <w:bottom w:val="single" w:sz="6" w:space="0" w:color="000000"/>
              <w:right w:val="single" w:sz="12" w:space="0" w:color="000000"/>
            </w:tcBorders>
          </w:tcPr>
          <w:p>
            <w:pPr/>
          </w:p>
        </w:tc>
      </w:tr>
      <w:tr>
        <w:trPr>
          <w:trHeight w:val="739" w:hRule="exact"/>
        </w:trPr>
        <w:tc>
          <w:tcPr>
            <w:tcW w:w="259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62"/>
              <w:ind w:right="0"/>
              <w:jc w:val="left"/>
              <w:rPr>
                <w:rFonts w:ascii="宋体" w:hAnsi="宋体" w:cs="宋体" w:eastAsia="宋体" w:hint="default"/>
                <w:sz w:val="18"/>
                <w:szCs w:val="18"/>
              </w:rPr>
            </w:pPr>
            <w:r>
              <w:rPr>
                <w:rFonts w:ascii="宋体" w:hAnsi="宋体" w:cs="宋体" w:eastAsia="宋体" w:hint="default"/>
                <w:sz w:val="18"/>
                <w:szCs w:val="18"/>
              </w:rPr>
              <w:t>尚未使用的募集资金用途及去向</w:t>
            </w:r>
          </w:p>
        </w:tc>
        <w:tc>
          <w:tcPr>
            <w:tcW w:w="11399" w:type="dxa"/>
            <w:tcBorders>
              <w:top w:val="single" w:sz="6" w:space="0" w:color="000000"/>
              <w:left w:val="single" w:sz="6" w:space="0" w:color="000000"/>
              <w:bottom w:val="single" w:sz="6" w:space="0" w:color="000000"/>
              <w:right w:val="single" w:sz="12" w:space="0" w:color="000000"/>
            </w:tcBorders>
          </w:tcPr>
          <w:p>
            <w:pPr>
              <w:pStyle w:val="TableParagraph"/>
              <w:spacing w:line="300" w:lineRule="auto" w:before="62"/>
              <w:ind w:left="2" w:right="-2"/>
              <w:jc w:val="left"/>
              <w:rPr>
                <w:rFonts w:ascii="宋体" w:hAnsi="宋体" w:cs="宋体" w:eastAsia="宋体" w:hint="default"/>
                <w:sz w:val="18"/>
                <w:szCs w:val="18"/>
              </w:rPr>
            </w:pPr>
            <w:r>
              <w:rPr>
                <w:rFonts w:ascii="宋体" w:hAnsi="宋体" w:cs="宋体" w:eastAsia="宋体" w:hint="default"/>
                <w:sz w:val="18"/>
                <w:szCs w:val="18"/>
              </w:rPr>
              <w:t>截止</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日，募集资金余额为</w:t>
            </w:r>
            <w:r>
              <w:rPr>
                <w:rFonts w:ascii="Times New Roman" w:hAnsi="Times New Roman" w:cs="Times New Roman" w:eastAsia="Times New Roman" w:hint="default"/>
                <w:sz w:val="18"/>
                <w:szCs w:val="18"/>
              </w:rPr>
              <w:t>1,979.47</w:t>
            </w:r>
            <w:r>
              <w:rPr>
                <w:rFonts w:ascii="宋体" w:hAnsi="宋体" w:cs="宋体" w:eastAsia="宋体" w:hint="default"/>
                <w:sz w:val="18"/>
                <w:szCs w:val="18"/>
              </w:rPr>
              <w:t>万元，全部为银行存款，其中以七天通知存款方式存放的金额为</w:t>
            </w:r>
            <w:r>
              <w:rPr>
                <w:rFonts w:ascii="Times New Roman" w:hAnsi="Times New Roman" w:cs="Times New Roman" w:eastAsia="Times New Roman" w:hint="default"/>
                <w:sz w:val="18"/>
                <w:szCs w:val="18"/>
              </w:rPr>
              <w:t>100.00</w:t>
            </w:r>
            <w:r>
              <w:rPr>
                <w:rFonts w:ascii="宋体" w:hAnsi="宋体" w:cs="宋体" w:eastAsia="宋体" w:hint="default"/>
                <w:sz w:val="18"/>
                <w:szCs w:val="18"/>
              </w:rPr>
              <w:t>万元，募集资金专户活期存 款</w:t>
            </w:r>
            <w:r>
              <w:rPr>
                <w:rFonts w:ascii="Times New Roman" w:hAnsi="Times New Roman" w:cs="Times New Roman" w:eastAsia="Times New Roman" w:hint="default"/>
                <w:sz w:val="18"/>
                <w:szCs w:val="18"/>
              </w:rPr>
              <w:t>1,879.47</w:t>
            </w:r>
            <w:r>
              <w:rPr>
                <w:rFonts w:ascii="宋体" w:hAnsi="宋体" w:cs="宋体" w:eastAsia="宋体" w:hint="default"/>
                <w:sz w:val="18"/>
                <w:szCs w:val="18"/>
              </w:rPr>
              <w:t>万元。</w:t>
            </w:r>
          </w:p>
        </w:tc>
      </w:tr>
      <w:tr>
        <w:trPr>
          <w:trHeight w:val="747" w:hRule="exact"/>
        </w:trPr>
        <w:tc>
          <w:tcPr>
            <w:tcW w:w="2590"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316" w:lineRule="auto" w:before="62"/>
              <w:ind w:right="45"/>
              <w:jc w:val="left"/>
              <w:rPr>
                <w:rFonts w:ascii="宋体" w:hAnsi="宋体" w:cs="宋体" w:eastAsia="宋体" w:hint="default"/>
                <w:sz w:val="18"/>
                <w:szCs w:val="18"/>
              </w:rPr>
            </w:pPr>
            <w:r>
              <w:rPr>
                <w:rFonts w:ascii="宋体" w:hAnsi="宋体" w:cs="宋体" w:eastAsia="宋体" w:hint="default"/>
                <w:sz w:val="18"/>
                <w:szCs w:val="18"/>
              </w:rPr>
              <w:t>募集资金使用及披露中存在的问 题或其他情况</w:t>
            </w:r>
          </w:p>
        </w:tc>
        <w:tc>
          <w:tcPr>
            <w:tcW w:w="1139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8"/>
        <w:rPr>
          <w:rFonts w:ascii="Times New Roman" w:hAnsi="Times New Roman" w:cs="Times New Roman" w:eastAsia="Times New Roman" w:hint="default"/>
          <w:sz w:val="21"/>
          <w:szCs w:val="21"/>
        </w:rPr>
      </w:pPr>
    </w:p>
    <w:p>
      <w:pPr>
        <w:pStyle w:val="Heading6"/>
        <w:spacing w:line="240" w:lineRule="auto" w:before="35"/>
        <w:ind w:left="140" w:right="11959"/>
        <w:jc w:val="left"/>
        <w:rPr>
          <w:b w:val="0"/>
          <w:bCs w:val="0"/>
        </w:rPr>
      </w:pP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8"/>
        <w:rPr>
          <w:rFonts w:ascii="宋体" w:hAnsi="宋体" w:cs="宋体" w:eastAsia="宋体" w:hint="default"/>
          <w:b/>
          <w:bCs/>
          <w:sz w:val="26"/>
          <w:szCs w:val="26"/>
        </w:rPr>
      </w:pPr>
    </w:p>
    <w:p>
      <w:pPr>
        <w:spacing w:line="338" w:lineRule="auto" w:before="0"/>
        <w:ind w:left="139" w:right="1195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不适用 公司报告期不存在募集资金变更项目情况。</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34"/>
        <w:ind w:left="139" w:right="11959"/>
        <w:jc w:val="left"/>
        <w:rPr>
          <w:b w:val="0"/>
          <w:bCs w:val="0"/>
        </w:rPr>
      </w:pPr>
      <w:bookmarkStart w:name="六、重大资产和股权出售" w:id="54"/>
      <w:bookmarkEnd w:id="54"/>
      <w:r>
        <w:rPr>
          <w:b w:val="0"/>
          <w:bCs w:val="0"/>
        </w:rPr>
      </w:r>
      <w:r>
        <w:rPr/>
        <w:t>六、重大资产和股权出售</w:t>
      </w:r>
      <w:r>
        <w:rPr>
          <w:b w:val="0"/>
          <w:bCs w:val="0"/>
        </w:rPr>
      </w:r>
    </w:p>
    <w:p>
      <w:pPr>
        <w:spacing w:line="240" w:lineRule="auto" w:before="9"/>
        <w:rPr>
          <w:rFonts w:ascii="宋体" w:hAnsi="宋体" w:cs="宋体" w:eastAsia="宋体" w:hint="default"/>
          <w:b/>
          <w:bCs/>
          <w:sz w:val="24"/>
          <w:szCs w:val="24"/>
        </w:rPr>
      </w:pPr>
    </w:p>
    <w:p>
      <w:pPr>
        <w:pStyle w:val="Heading6"/>
        <w:spacing w:line="240" w:lineRule="auto"/>
        <w:ind w:left="139" w:right="11959"/>
        <w:jc w:val="left"/>
        <w:rPr>
          <w:b w:val="0"/>
          <w:bCs w:val="0"/>
        </w:rPr>
      </w:pPr>
      <w:bookmarkStart w:name="1、出售重大资产情况" w:id="55"/>
      <w:bookmarkEnd w:id="55"/>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8"/>
        <w:rPr>
          <w:rFonts w:ascii="宋体" w:hAnsi="宋体" w:cs="宋体" w:eastAsia="宋体" w:hint="default"/>
          <w:b/>
          <w:bCs/>
          <w:sz w:val="26"/>
          <w:szCs w:val="26"/>
        </w:rPr>
      </w:pPr>
    </w:p>
    <w:p>
      <w:pPr>
        <w:spacing w:before="0"/>
        <w:ind w:left="139" w:right="1195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6840" w:h="11910" w:orient="landscape"/>
          <w:pgMar w:header="867" w:footer="979" w:top="1060" w:bottom="1160" w:left="1300" w:right="0"/>
        </w:sectPr>
      </w:pPr>
    </w:p>
    <w:p>
      <w:pPr>
        <w:spacing w:line="240" w:lineRule="auto" w:before="12"/>
        <w:rPr>
          <w:rFonts w:ascii="宋体" w:hAnsi="宋体" w:cs="宋体" w:eastAsia="宋体" w:hint="default"/>
          <w:sz w:val="2"/>
          <w:szCs w:val="2"/>
        </w:rPr>
      </w:pPr>
    </w:p>
    <w:p>
      <w:pPr>
        <w:spacing w:line="20" w:lineRule="exact"/>
        <w:ind w:left="12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p>
      <w:pPr>
        <w:spacing w:before="20"/>
        <w:ind w:left="160" w:right="0" w:firstLine="0"/>
        <w:jc w:val="left"/>
        <w:rPr>
          <w:rFonts w:ascii="宋体" w:hAnsi="宋体" w:cs="宋体" w:eastAsia="宋体" w:hint="default"/>
          <w:sz w:val="18"/>
          <w:szCs w:val="18"/>
        </w:rPr>
      </w:pPr>
      <w:r>
        <w:rPr>
          <w:rFonts w:ascii="宋体" w:hAnsi="宋体" w:cs="宋体" w:eastAsia="宋体" w:hint="default"/>
          <w:sz w:val="18"/>
          <w:szCs w:val="18"/>
        </w:rPr>
        <w:t>公司报告期未出售重大资产。</w:t>
      </w:r>
    </w:p>
    <w:p>
      <w:pPr>
        <w:spacing w:line="240" w:lineRule="auto" w:before="10"/>
        <w:rPr>
          <w:rFonts w:ascii="宋体" w:hAnsi="宋体" w:cs="宋体" w:eastAsia="宋体" w:hint="default"/>
          <w:sz w:val="26"/>
          <w:szCs w:val="26"/>
        </w:rPr>
      </w:pPr>
    </w:p>
    <w:p>
      <w:pPr>
        <w:pStyle w:val="Heading6"/>
        <w:spacing w:line="240" w:lineRule="auto"/>
        <w:ind w:left="159" w:right="0"/>
        <w:jc w:val="left"/>
        <w:rPr>
          <w:b w:val="0"/>
          <w:bCs w:val="0"/>
        </w:rPr>
      </w:pPr>
      <w:bookmarkStart w:name="2、出售重大股权情况" w:id="56"/>
      <w:bookmarkEnd w:id="56"/>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9"/>
        <w:rPr>
          <w:rFonts w:ascii="宋体" w:hAnsi="宋体" w:cs="宋体" w:eastAsia="宋体" w:hint="default"/>
          <w:b/>
          <w:bCs/>
          <w:sz w:val="26"/>
          <w:szCs w:val="26"/>
        </w:rPr>
      </w:pPr>
    </w:p>
    <w:p>
      <w:pPr>
        <w:spacing w:before="0"/>
        <w:ind w:left="15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914"/>
        <w:gridCol w:w="914"/>
        <w:gridCol w:w="914"/>
        <w:gridCol w:w="914"/>
        <w:gridCol w:w="1050"/>
        <w:gridCol w:w="780"/>
        <w:gridCol w:w="913"/>
        <w:gridCol w:w="920"/>
        <w:gridCol w:w="914"/>
        <w:gridCol w:w="913"/>
        <w:gridCol w:w="804"/>
        <w:gridCol w:w="1418"/>
        <w:gridCol w:w="992"/>
        <w:gridCol w:w="1653"/>
      </w:tblGrid>
      <w:tr>
        <w:trPr>
          <w:trHeight w:val="1975" w:hRule="exact"/>
        </w:trPr>
        <w:tc>
          <w:tcPr>
            <w:tcW w:w="914"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81" w:right="0"/>
              <w:jc w:val="left"/>
              <w:rPr>
                <w:rFonts w:ascii="宋体" w:hAnsi="宋体" w:cs="宋体" w:eastAsia="宋体" w:hint="default"/>
                <w:sz w:val="18"/>
                <w:szCs w:val="18"/>
              </w:rPr>
            </w:pPr>
            <w:r>
              <w:rPr>
                <w:rFonts w:ascii="宋体" w:hAnsi="宋体" w:cs="宋体" w:eastAsia="宋体" w:hint="default"/>
                <w:sz w:val="18"/>
                <w:szCs w:val="18"/>
              </w:rPr>
              <w:t>交易对方</w:t>
            </w:r>
          </w:p>
        </w:tc>
        <w:tc>
          <w:tcPr>
            <w:tcW w:w="914"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358" w:right="88" w:hanging="270"/>
              <w:jc w:val="left"/>
              <w:rPr>
                <w:rFonts w:ascii="宋体" w:hAnsi="宋体" w:cs="宋体" w:eastAsia="宋体" w:hint="default"/>
                <w:sz w:val="18"/>
                <w:szCs w:val="18"/>
              </w:rPr>
            </w:pPr>
            <w:r>
              <w:rPr>
                <w:rFonts w:ascii="宋体" w:hAnsi="宋体" w:cs="宋体" w:eastAsia="宋体" w:hint="default"/>
                <w:sz w:val="18"/>
                <w:szCs w:val="18"/>
              </w:rPr>
              <w:t>被出售股 权</w:t>
            </w:r>
          </w:p>
        </w:tc>
        <w:tc>
          <w:tcPr>
            <w:tcW w:w="914"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80" w:right="0"/>
              <w:jc w:val="left"/>
              <w:rPr>
                <w:rFonts w:ascii="宋体" w:hAnsi="宋体" w:cs="宋体" w:eastAsia="宋体" w:hint="default"/>
                <w:sz w:val="18"/>
                <w:szCs w:val="18"/>
              </w:rPr>
            </w:pPr>
            <w:r>
              <w:rPr>
                <w:rFonts w:ascii="宋体" w:hAnsi="宋体" w:cs="宋体" w:eastAsia="宋体" w:hint="default"/>
                <w:sz w:val="18"/>
                <w:szCs w:val="18"/>
              </w:rPr>
              <w:t>出售日</w:t>
            </w:r>
          </w:p>
        </w:tc>
        <w:tc>
          <w:tcPr>
            <w:tcW w:w="914"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88" w:right="0"/>
              <w:jc w:val="left"/>
              <w:rPr>
                <w:rFonts w:ascii="宋体" w:hAnsi="宋体" w:cs="宋体" w:eastAsia="宋体" w:hint="default"/>
                <w:sz w:val="18"/>
                <w:szCs w:val="18"/>
              </w:rPr>
            </w:pPr>
            <w:r>
              <w:rPr>
                <w:rFonts w:ascii="宋体" w:hAnsi="宋体" w:cs="宋体" w:eastAsia="宋体" w:hint="default"/>
                <w:sz w:val="18"/>
                <w:szCs w:val="18"/>
              </w:rPr>
              <w:t>交易价格</w:t>
            </w:r>
          </w:p>
          <w:p>
            <w:pPr>
              <w:pStyle w:val="TableParagraph"/>
              <w:spacing w:line="240" w:lineRule="auto" w:before="77"/>
              <w:ind w:left="88"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05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0" w:right="66" w:firstLine="46"/>
              <w:jc w:val="both"/>
              <w:rPr>
                <w:rFonts w:ascii="宋体" w:hAnsi="宋体" w:cs="宋体" w:eastAsia="宋体" w:hint="default"/>
                <w:sz w:val="18"/>
                <w:szCs w:val="18"/>
              </w:rPr>
            </w:pPr>
            <w:r>
              <w:rPr>
                <w:rFonts w:ascii="宋体" w:hAnsi="宋体" w:cs="宋体" w:eastAsia="宋体" w:hint="default"/>
                <w:sz w:val="18"/>
                <w:szCs w:val="18"/>
              </w:rPr>
              <w:t>本期初起至 出售日该股 权为上市公 司贡献的净 利润（万元</w:t>
            </w:r>
          </w:p>
        </w:tc>
        <w:tc>
          <w:tcPr>
            <w:tcW w:w="78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22" w:right="20"/>
              <w:jc w:val="left"/>
              <w:rPr>
                <w:rFonts w:ascii="宋体" w:hAnsi="宋体" w:cs="宋体" w:eastAsia="宋体" w:hint="default"/>
                <w:sz w:val="18"/>
                <w:szCs w:val="18"/>
              </w:rPr>
            </w:pPr>
            <w:r>
              <w:rPr>
                <w:rFonts w:ascii="宋体" w:hAnsi="宋体" w:cs="宋体" w:eastAsia="宋体" w:hint="default"/>
                <w:sz w:val="18"/>
                <w:szCs w:val="18"/>
              </w:rPr>
              <w:t>出售对公 司的影响</w:t>
            </w: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30" w:right="0"/>
              <w:jc w:val="left"/>
              <w:rPr>
                <w:rFonts w:ascii="宋体" w:hAnsi="宋体" w:cs="宋体" w:eastAsia="宋体" w:hint="default"/>
                <w:sz w:val="18"/>
                <w:szCs w:val="18"/>
              </w:rPr>
            </w:pPr>
            <w:r>
              <w:rPr>
                <w:rFonts w:ascii="宋体" w:hAnsi="宋体" w:cs="宋体" w:eastAsia="宋体" w:hint="default"/>
                <w:sz w:val="18"/>
                <w:szCs w:val="18"/>
              </w:rPr>
              <w:t>）</w:t>
            </w:r>
          </w:p>
        </w:tc>
        <w:tc>
          <w:tcPr>
            <w:tcW w:w="913"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9" w:lineRule="auto" w:before="51"/>
              <w:ind w:left="88" w:right="89"/>
              <w:jc w:val="both"/>
              <w:rPr>
                <w:rFonts w:ascii="宋体" w:hAnsi="宋体" w:cs="宋体" w:eastAsia="宋体" w:hint="default"/>
                <w:sz w:val="18"/>
                <w:szCs w:val="18"/>
              </w:rPr>
            </w:pPr>
            <w:r>
              <w:rPr>
                <w:rFonts w:ascii="宋体" w:hAnsi="宋体" w:cs="宋体" w:eastAsia="宋体" w:hint="default"/>
                <w:sz w:val="18"/>
                <w:szCs w:val="18"/>
              </w:rPr>
              <w:t>股权出售 为上市公 司贡献的 净利润占 净利润总 额的比例</w:t>
            </w:r>
          </w:p>
        </w:tc>
        <w:tc>
          <w:tcPr>
            <w:tcW w:w="92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92" w:right="90"/>
              <w:jc w:val="left"/>
              <w:rPr>
                <w:rFonts w:ascii="宋体" w:hAnsi="宋体" w:cs="宋体" w:eastAsia="宋体" w:hint="default"/>
                <w:sz w:val="18"/>
                <w:szCs w:val="18"/>
              </w:rPr>
            </w:pPr>
            <w:r>
              <w:rPr>
                <w:rFonts w:ascii="宋体" w:hAnsi="宋体" w:cs="宋体" w:eastAsia="宋体" w:hint="default"/>
                <w:sz w:val="18"/>
                <w:szCs w:val="18"/>
              </w:rPr>
              <w:t>股权出售 定价原则</w:t>
            </w:r>
          </w:p>
        </w:tc>
        <w:tc>
          <w:tcPr>
            <w:tcW w:w="914"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178" w:right="89" w:hanging="90"/>
              <w:jc w:val="left"/>
              <w:rPr>
                <w:rFonts w:ascii="宋体" w:hAnsi="宋体" w:cs="宋体" w:eastAsia="宋体" w:hint="default"/>
                <w:sz w:val="18"/>
                <w:szCs w:val="18"/>
              </w:rPr>
            </w:pPr>
            <w:r>
              <w:rPr>
                <w:rFonts w:ascii="宋体" w:hAnsi="宋体" w:cs="宋体" w:eastAsia="宋体" w:hint="default"/>
                <w:sz w:val="18"/>
                <w:szCs w:val="18"/>
              </w:rPr>
              <w:t>是否为关 联交易</w:t>
            </w:r>
          </w:p>
        </w:tc>
        <w:tc>
          <w:tcPr>
            <w:tcW w:w="913"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88" w:right="89"/>
              <w:jc w:val="center"/>
              <w:rPr>
                <w:rFonts w:ascii="宋体" w:hAnsi="宋体" w:cs="宋体" w:eastAsia="宋体" w:hint="default"/>
                <w:sz w:val="18"/>
                <w:szCs w:val="18"/>
              </w:rPr>
            </w:pPr>
            <w:r>
              <w:rPr>
                <w:rFonts w:ascii="宋体" w:hAnsi="宋体" w:cs="宋体" w:eastAsia="宋体" w:hint="default"/>
                <w:sz w:val="18"/>
                <w:szCs w:val="18"/>
              </w:rPr>
              <w:t>与交易对 方的关联 关系</w:t>
            </w:r>
          </w:p>
        </w:tc>
        <w:tc>
          <w:tcPr>
            <w:tcW w:w="804"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34" w:right="32"/>
              <w:jc w:val="center"/>
              <w:rPr>
                <w:rFonts w:ascii="宋体" w:hAnsi="宋体" w:cs="宋体" w:eastAsia="宋体" w:hint="default"/>
                <w:sz w:val="18"/>
                <w:szCs w:val="18"/>
              </w:rPr>
            </w:pPr>
            <w:r>
              <w:rPr>
                <w:rFonts w:ascii="宋体" w:hAnsi="宋体" w:cs="宋体" w:eastAsia="宋体" w:hint="default"/>
                <w:sz w:val="18"/>
                <w:szCs w:val="18"/>
              </w:rPr>
              <w:t>所涉及的 股权是否 已全部过 户</w:t>
            </w:r>
          </w:p>
        </w:tc>
        <w:tc>
          <w:tcPr>
            <w:tcW w:w="141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1" w:right="18" w:hanging="2"/>
              <w:jc w:val="center"/>
              <w:rPr>
                <w:rFonts w:ascii="宋体" w:hAnsi="宋体" w:cs="宋体" w:eastAsia="宋体" w:hint="default"/>
                <w:sz w:val="18"/>
                <w:szCs w:val="18"/>
              </w:rPr>
            </w:pPr>
            <w:r>
              <w:rPr>
                <w:rFonts w:ascii="宋体" w:hAnsi="宋体" w:cs="宋体" w:eastAsia="宋体" w:hint="default"/>
                <w:sz w:val="18"/>
                <w:szCs w:val="18"/>
              </w:rPr>
              <w:t>是否按计划如期 </w:t>
            </w:r>
            <w:r>
              <w:rPr>
                <w:rFonts w:ascii="宋体" w:hAnsi="宋体" w:cs="宋体" w:eastAsia="宋体" w:hint="default"/>
                <w:spacing w:val="-10"/>
                <w:sz w:val="18"/>
                <w:szCs w:val="18"/>
              </w:rPr>
              <w:t>实施，如未按计划</w:t>
            </w:r>
            <w:r>
              <w:rPr>
                <w:rFonts w:ascii="宋体" w:hAnsi="宋体" w:cs="宋体" w:eastAsia="宋体" w:hint="default"/>
                <w:sz w:val="18"/>
                <w:szCs w:val="18"/>
              </w:rPr>
              <w:t> </w:t>
            </w:r>
            <w:r>
              <w:rPr>
                <w:rFonts w:ascii="宋体" w:hAnsi="宋体" w:cs="宋体" w:eastAsia="宋体" w:hint="default"/>
                <w:spacing w:val="-10"/>
                <w:sz w:val="18"/>
                <w:szCs w:val="18"/>
              </w:rPr>
              <w:t>实施，应当说明原</w:t>
            </w:r>
            <w:r>
              <w:rPr>
                <w:rFonts w:ascii="宋体" w:hAnsi="宋体" w:cs="宋体" w:eastAsia="宋体" w:hint="default"/>
                <w:sz w:val="18"/>
                <w:szCs w:val="18"/>
              </w:rPr>
              <w:t> 因及公司已采取 的措施</w:t>
            </w:r>
          </w:p>
        </w:tc>
        <w:tc>
          <w:tcPr>
            <w:tcW w:w="99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28"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653"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460"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719" w:hRule="exact"/>
        </w:trPr>
        <w:tc>
          <w:tcPr>
            <w:tcW w:w="914" w:type="dxa"/>
            <w:tcBorders>
              <w:top w:val="single" w:sz="6" w:space="0" w:color="000000"/>
              <w:left w:val="single" w:sz="12" w:space="0" w:color="000000"/>
              <w:bottom w:val="single" w:sz="6" w:space="0" w:color="000000"/>
              <w:right w:val="single" w:sz="6" w:space="0" w:color="000000"/>
            </w:tcBorders>
          </w:tcPr>
          <w:p>
            <w:pPr>
              <w:pStyle w:val="TableParagraph"/>
              <w:spacing w:line="362" w:lineRule="auto" w:before="92"/>
              <w:ind w:left="13" w:right="221"/>
              <w:jc w:val="left"/>
              <w:rPr>
                <w:rFonts w:ascii="Times New Roman" w:hAnsi="Times New Roman" w:cs="Times New Roman" w:eastAsia="Times New Roman" w:hint="default"/>
                <w:sz w:val="18"/>
                <w:szCs w:val="18"/>
              </w:rPr>
            </w:pPr>
            <w:r>
              <w:rPr>
                <w:rFonts w:ascii="Times New Roman"/>
                <w:sz w:val="18"/>
              </w:rPr>
              <w:t>gx</w:t>
            </w:r>
            <w:r>
              <w:rPr>
                <w:rFonts w:ascii="Times New Roman"/>
                <w:spacing w:val="-1"/>
                <w:sz w:val="18"/>
              </w:rPr>
              <w:t> </w:t>
            </w:r>
            <w:r>
              <w:rPr>
                <w:rFonts w:ascii="Times New Roman"/>
                <w:sz w:val="18"/>
              </w:rPr>
              <w:t>music</w:t>
            </w:r>
            <w:r>
              <w:rPr>
                <w:rFonts w:ascii="Times New Roman"/>
                <w:sz w:val="18"/>
              </w:rPr>
              <w:t> limited</w:t>
            </w:r>
          </w:p>
        </w:tc>
        <w:tc>
          <w:tcPr>
            <w:tcW w:w="914" w:type="dxa"/>
            <w:tcBorders>
              <w:top w:val="single" w:sz="6" w:space="0" w:color="000000"/>
              <w:left w:val="single" w:sz="6" w:space="0" w:color="000000"/>
              <w:bottom w:val="single" w:sz="6" w:space="0" w:color="000000"/>
              <w:right w:val="single" w:sz="6" w:space="0" w:color="000000"/>
            </w:tcBorders>
          </w:tcPr>
          <w:p>
            <w:pPr>
              <w:pStyle w:val="TableParagraph"/>
              <w:spacing w:line="362" w:lineRule="auto" w:before="92"/>
              <w:ind w:left="20" w:right="222"/>
              <w:jc w:val="left"/>
              <w:rPr>
                <w:rFonts w:ascii="Times New Roman" w:hAnsi="Times New Roman" w:cs="Times New Roman" w:eastAsia="Times New Roman" w:hint="default"/>
                <w:sz w:val="18"/>
                <w:szCs w:val="18"/>
              </w:rPr>
            </w:pPr>
            <w:r>
              <w:rPr>
                <w:rFonts w:ascii="Times New Roman"/>
                <w:sz w:val="18"/>
              </w:rPr>
              <w:t>gx</w:t>
            </w:r>
            <w:r>
              <w:rPr>
                <w:rFonts w:ascii="Times New Roman"/>
                <w:spacing w:val="-1"/>
                <w:sz w:val="18"/>
              </w:rPr>
              <w:t> </w:t>
            </w:r>
            <w:r>
              <w:rPr>
                <w:rFonts w:ascii="Times New Roman"/>
                <w:sz w:val="18"/>
              </w:rPr>
              <w:t>music</w:t>
            </w:r>
            <w:r>
              <w:rPr>
                <w:rFonts w:ascii="Times New Roman"/>
                <w:sz w:val="18"/>
              </w:rPr>
              <w:t> limited</w:t>
            </w:r>
          </w:p>
        </w:tc>
        <w:tc>
          <w:tcPr>
            <w:tcW w:w="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29,133.85</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15,797.65</w:t>
            </w:r>
          </w:p>
        </w:tc>
        <w:tc>
          <w:tcPr>
            <w:tcW w:w="78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21" w:right="23"/>
              <w:jc w:val="left"/>
              <w:rPr>
                <w:rFonts w:ascii="宋体" w:hAnsi="宋体" w:cs="宋体" w:eastAsia="宋体" w:hint="default"/>
                <w:sz w:val="18"/>
                <w:szCs w:val="18"/>
              </w:rPr>
            </w:pPr>
            <w:r>
              <w:rPr>
                <w:rFonts w:ascii="宋体" w:hAnsi="宋体" w:cs="宋体" w:eastAsia="宋体" w:hint="default"/>
                <w:sz w:val="18"/>
                <w:szCs w:val="18"/>
              </w:rPr>
              <w:t>增加净利 润</w:t>
            </w:r>
          </w:p>
        </w:tc>
        <w:tc>
          <w:tcPr>
            <w:tcW w:w="9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15.82%</w:t>
            </w:r>
          </w:p>
        </w:tc>
        <w:tc>
          <w:tcPr>
            <w:tcW w:w="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协议价</w:t>
            </w:r>
          </w:p>
        </w:tc>
        <w:tc>
          <w:tcPr>
            <w:tcW w:w="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2017-170</w:t>
            </w:r>
          </w:p>
        </w:tc>
      </w:tr>
      <w:tr>
        <w:trPr>
          <w:trHeight w:val="1111" w:hRule="exact"/>
        </w:trPr>
        <w:tc>
          <w:tcPr>
            <w:tcW w:w="91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 w:right="0"/>
              <w:jc w:val="left"/>
              <w:rPr>
                <w:rFonts w:ascii="Times New Roman" w:hAnsi="Times New Roman" w:cs="Times New Roman" w:eastAsia="Times New Roman" w:hint="default"/>
                <w:sz w:val="18"/>
                <w:szCs w:val="18"/>
              </w:rPr>
            </w:pPr>
            <w:r>
              <w:rPr>
                <w:rFonts w:ascii="Times New Roman"/>
                <w:sz w:val="18"/>
              </w:rPr>
              <w:t>Qudian</w:t>
            </w:r>
          </w:p>
        </w:tc>
        <w:tc>
          <w:tcPr>
            <w:tcW w:w="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Qudian</w:t>
            </w:r>
          </w:p>
        </w:tc>
        <w:tc>
          <w:tcPr>
            <w:tcW w:w="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8,858.93</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8,352.5</w:t>
            </w:r>
          </w:p>
        </w:tc>
        <w:tc>
          <w:tcPr>
            <w:tcW w:w="7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316" w:lineRule="auto"/>
              <w:ind w:left="21" w:right="23"/>
              <w:jc w:val="left"/>
              <w:rPr>
                <w:rFonts w:ascii="宋体" w:hAnsi="宋体" w:cs="宋体" w:eastAsia="宋体" w:hint="default"/>
                <w:sz w:val="18"/>
                <w:szCs w:val="18"/>
              </w:rPr>
            </w:pPr>
            <w:r>
              <w:rPr>
                <w:rFonts w:ascii="宋体" w:hAnsi="宋体" w:cs="宋体" w:eastAsia="宋体" w:hint="default"/>
                <w:sz w:val="18"/>
                <w:szCs w:val="18"/>
              </w:rPr>
              <w:t>增加净利 润</w:t>
            </w:r>
          </w:p>
        </w:tc>
        <w:tc>
          <w:tcPr>
            <w:tcW w:w="9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8.36%</w:t>
            </w:r>
          </w:p>
        </w:tc>
        <w:tc>
          <w:tcPr>
            <w:tcW w:w="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协议价</w:t>
            </w:r>
          </w:p>
        </w:tc>
        <w:tc>
          <w:tcPr>
            <w:tcW w:w="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2017-142</w:t>
            </w:r>
          </w:p>
          <w:p>
            <w:pPr>
              <w:pStyle w:val="TableParagraph"/>
              <w:spacing w:line="240" w:lineRule="auto" w:before="144"/>
              <w:ind w:left="20" w:right="0"/>
              <w:jc w:val="left"/>
              <w:rPr>
                <w:rFonts w:ascii="Times New Roman" w:hAnsi="Times New Roman" w:cs="Times New Roman" w:eastAsia="Times New Roman" w:hint="default"/>
                <w:sz w:val="18"/>
                <w:szCs w:val="18"/>
              </w:rPr>
            </w:pPr>
            <w:r>
              <w:rPr>
                <w:rFonts w:ascii="Times New Roman"/>
                <w:sz w:val="18"/>
              </w:rPr>
              <w:t>2017-143</w:t>
            </w:r>
          </w:p>
          <w:p>
            <w:pPr>
              <w:pStyle w:val="TableParagraph"/>
              <w:spacing w:line="240" w:lineRule="auto" w:before="146"/>
              <w:ind w:left="20" w:right="0"/>
              <w:jc w:val="left"/>
              <w:rPr>
                <w:rFonts w:ascii="Times New Roman" w:hAnsi="Times New Roman" w:cs="Times New Roman" w:eastAsia="Times New Roman" w:hint="default"/>
                <w:sz w:val="18"/>
                <w:szCs w:val="18"/>
              </w:rPr>
            </w:pPr>
            <w:r>
              <w:rPr>
                <w:rFonts w:ascii="Times New Roman"/>
                <w:sz w:val="18"/>
              </w:rPr>
              <w:t>2017-145</w:t>
            </w:r>
          </w:p>
        </w:tc>
      </w:tr>
      <w:tr>
        <w:trPr>
          <w:trHeight w:val="1119" w:hRule="exact"/>
        </w:trPr>
        <w:tc>
          <w:tcPr>
            <w:tcW w:w="914" w:type="dxa"/>
            <w:tcBorders>
              <w:top w:val="single" w:sz="6" w:space="0" w:color="000000"/>
              <w:left w:val="single" w:sz="12" w:space="0" w:color="000000"/>
              <w:bottom w:val="single" w:sz="12" w:space="0" w:color="000000"/>
              <w:right w:val="single" w:sz="6" w:space="0" w:color="000000"/>
            </w:tcBorders>
          </w:tcPr>
          <w:p>
            <w:pPr>
              <w:pStyle w:val="TableParagraph"/>
              <w:spacing w:line="316" w:lineRule="auto" w:before="92"/>
              <w:ind w:left="13" w:right="156"/>
              <w:jc w:val="both"/>
              <w:rPr>
                <w:rFonts w:ascii="宋体" w:hAnsi="宋体" w:cs="宋体" w:eastAsia="宋体" w:hint="default"/>
                <w:sz w:val="18"/>
                <w:szCs w:val="18"/>
              </w:rPr>
            </w:pPr>
            <w:r>
              <w:rPr>
                <w:rFonts w:ascii="宋体" w:hAnsi="宋体" w:cs="宋体" w:eastAsia="宋体" w:hint="default"/>
                <w:sz w:val="18"/>
                <w:szCs w:val="18"/>
              </w:rPr>
              <w:t>德意志银 行美国信 托公司</w:t>
            </w:r>
          </w:p>
        </w:tc>
        <w:tc>
          <w:tcPr>
            <w:tcW w:w="9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Qudian</w:t>
            </w:r>
          </w:p>
        </w:tc>
        <w:tc>
          <w:tcPr>
            <w:tcW w:w="9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0" w:lineRule="auto" w:before="63"/>
              <w:ind w:left="2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26,553.68</w:t>
            </w:r>
          </w:p>
        </w:tc>
        <w:tc>
          <w:tcPr>
            <w:tcW w:w="105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25,034.42</w:t>
            </w:r>
          </w:p>
        </w:tc>
        <w:tc>
          <w:tcPr>
            <w:tcW w:w="7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316" w:lineRule="auto"/>
              <w:ind w:left="21" w:right="23"/>
              <w:jc w:val="left"/>
              <w:rPr>
                <w:rFonts w:ascii="宋体" w:hAnsi="宋体" w:cs="宋体" w:eastAsia="宋体" w:hint="default"/>
                <w:sz w:val="18"/>
                <w:szCs w:val="18"/>
              </w:rPr>
            </w:pPr>
            <w:r>
              <w:rPr>
                <w:rFonts w:ascii="宋体" w:hAnsi="宋体" w:cs="宋体" w:eastAsia="宋体" w:hint="default"/>
                <w:sz w:val="18"/>
                <w:szCs w:val="18"/>
              </w:rPr>
              <w:t>增加净利 润</w:t>
            </w:r>
          </w:p>
        </w:tc>
        <w:tc>
          <w:tcPr>
            <w:tcW w:w="91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25.07%</w:t>
            </w:r>
          </w:p>
        </w:tc>
        <w:tc>
          <w:tcPr>
            <w:tcW w:w="92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协议价</w:t>
            </w:r>
          </w:p>
        </w:tc>
        <w:tc>
          <w:tcPr>
            <w:tcW w:w="9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无</w:t>
            </w:r>
          </w:p>
        </w:tc>
        <w:tc>
          <w:tcPr>
            <w:tcW w:w="80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41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5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2017-142</w:t>
            </w:r>
          </w:p>
          <w:p>
            <w:pPr>
              <w:pStyle w:val="TableParagraph"/>
              <w:spacing w:line="240" w:lineRule="auto" w:before="144"/>
              <w:ind w:left="20" w:right="0"/>
              <w:jc w:val="left"/>
              <w:rPr>
                <w:rFonts w:ascii="Times New Roman" w:hAnsi="Times New Roman" w:cs="Times New Roman" w:eastAsia="Times New Roman" w:hint="default"/>
                <w:sz w:val="18"/>
                <w:szCs w:val="18"/>
              </w:rPr>
            </w:pPr>
            <w:r>
              <w:rPr>
                <w:rFonts w:ascii="Times New Roman"/>
                <w:sz w:val="18"/>
              </w:rPr>
              <w:t>2017-143</w:t>
            </w:r>
          </w:p>
          <w:p>
            <w:pPr>
              <w:pStyle w:val="TableParagraph"/>
              <w:spacing w:line="240" w:lineRule="auto" w:before="146"/>
              <w:ind w:left="20" w:right="0"/>
              <w:jc w:val="left"/>
              <w:rPr>
                <w:rFonts w:ascii="Times New Roman" w:hAnsi="Times New Roman" w:cs="Times New Roman" w:eastAsia="Times New Roman" w:hint="default"/>
                <w:sz w:val="18"/>
                <w:szCs w:val="18"/>
              </w:rPr>
            </w:pPr>
            <w:r>
              <w:rPr>
                <w:rFonts w:ascii="Times New Roman"/>
                <w:sz w:val="18"/>
              </w:rPr>
              <w:t>2017-145</w:t>
            </w:r>
          </w:p>
        </w:tc>
      </w:tr>
    </w:tbl>
    <w:p>
      <w:pPr>
        <w:spacing w:after="0" w:line="240" w:lineRule="auto"/>
        <w:jc w:val="left"/>
        <w:rPr>
          <w:rFonts w:ascii="Times New Roman" w:hAnsi="Times New Roman" w:cs="Times New Roman" w:eastAsia="Times New Roman" w:hint="default"/>
          <w:sz w:val="18"/>
          <w:szCs w:val="18"/>
        </w:rPr>
        <w:sectPr>
          <w:pgSz w:w="16840" w:h="11910" w:orient="landscape"/>
          <w:pgMar w:header="867" w:footer="979" w:top="1060" w:bottom="1160" w:left="1280" w:right="0"/>
        </w:sectPr>
      </w:pPr>
    </w:p>
    <w:p>
      <w:pPr>
        <w:spacing w:line="240" w:lineRule="auto" w:before="9"/>
        <w:rPr>
          <w:rFonts w:ascii="宋体" w:hAnsi="宋体" w:cs="宋体" w:eastAsia="宋体" w:hint="default"/>
          <w:sz w:val="19"/>
          <w:szCs w:val="19"/>
        </w:rPr>
      </w:pPr>
    </w:p>
    <w:p>
      <w:pPr>
        <w:pStyle w:val="Heading4"/>
        <w:spacing w:line="240" w:lineRule="auto" w:before="26"/>
        <w:ind w:right="998"/>
        <w:jc w:val="left"/>
        <w:rPr>
          <w:b w:val="0"/>
          <w:bCs w:val="0"/>
        </w:rPr>
      </w:pPr>
      <w:bookmarkStart w:name="七、主要控股参股公司分析" w:id="57"/>
      <w:bookmarkEnd w:id="57"/>
      <w:r>
        <w:rPr>
          <w:b w:val="0"/>
          <w:bCs w:val="0"/>
        </w:rPr>
      </w:r>
      <w:r>
        <w:rPr/>
        <w:t>七、主要控股参股公司分析</w:t>
      </w:r>
      <w:r>
        <w:rPr>
          <w:b w:val="0"/>
          <w:bCs w:val="0"/>
        </w:rPr>
      </w:r>
    </w:p>
    <w:p>
      <w:pPr>
        <w:spacing w:line="240" w:lineRule="auto" w:before="2"/>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headerReference w:type="default" r:id="rId18"/>
          <w:footerReference w:type="default" r:id="rId19"/>
          <w:pgSz w:w="11910" w:h="16840"/>
          <w:pgMar w:header="877" w:footer="979" w:top="1100" w:bottom="1160" w:left="0" w:right="0"/>
          <w:pgNumType w:start="44"/>
        </w:sectPr>
      </w:pPr>
    </w:p>
    <w:p>
      <w:pPr>
        <w:spacing w:before="44"/>
        <w:ind w:left="1133" w:right="-1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1133" w:right="-19" w:firstLine="0"/>
        <w:jc w:val="left"/>
        <w:rPr>
          <w:rFonts w:ascii="宋体" w:hAnsi="宋体" w:cs="宋体" w:eastAsia="宋体" w:hint="default"/>
          <w:sz w:val="18"/>
          <w:szCs w:val="18"/>
        </w:rPr>
      </w:pPr>
      <w:r>
        <w:rPr>
          <w:rFonts w:ascii="宋体" w:hAnsi="宋体" w:cs="宋体" w:eastAsia="宋体" w:hint="default"/>
          <w:sz w:val="18"/>
          <w:szCs w:val="18"/>
        </w:rPr>
        <w:t>主要子公司及对公司净利润影响达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5829" w:space="3090"/>
            <w:col w:w="2991"/>
          </w:cols>
        </w:sectPr>
      </w:pPr>
    </w:p>
    <w:p>
      <w:pPr>
        <w:spacing w:line="240" w:lineRule="auto" w:before="13"/>
        <w:rPr>
          <w:rFonts w:ascii="宋体" w:hAnsi="宋体" w:cs="宋体" w:eastAsia="宋体" w:hint="default"/>
          <w:sz w:val="7"/>
          <w:szCs w:val="7"/>
        </w:rPr>
      </w:pPr>
    </w:p>
    <w:tbl>
      <w:tblPr>
        <w:tblW w:w="0" w:type="auto"/>
        <w:jc w:val="left"/>
        <w:tblInd w:w="1153" w:type="dxa"/>
        <w:tblLayout w:type="fixed"/>
        <w:tblCellMar>
          <w:top w:w="0" w:type="dxa"/>
          <w:left w:w="0" w:type="dxa"/>
          <w:bottom w:w="0" w:type="dxa"/>
          <w:right w:w="0" w:type="dxa"/>
        </w:tblCellMar>
        <w:tblLook w:val="01E0"/>
      </w:tblPr>
      <w:tblGrid>
        <w:gridCol w:w="1056"/>
        <w:gridCol w:w="1195"/>
        <w:gridCol w:w="1045"/>
        <w:gridCol w:w="1046"/>
        <w:gridCol w:w="1046"/>
        <w:gridCol w:w="1044"/>
        <w:gridCol w:w="1046"/>
        <w:gridCol w:w="1045"/>
        <w:gridCol w:w="1046"/>
      </w:tblGrid>
      <w:tr>
        <w:trPr>
          <w:trHeight w:val="415" w:hRule="exact"/>
        </w:trPr>
        <w:tc>
          <w:tcPr>
            <w:tcW w:w="1056"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152"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19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230"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04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56"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04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54"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04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244"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044"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244"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4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5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4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55"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244"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1655" w:hRule="exact"/>
        </w:trPr>
        <w:tc>
          <w:tcPr>
            <w:tcW w:w="105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13" w:right="119"/>
              <w:jc w:val="left"/>
              <w:rPr>
                <w:rFonts w:ascii="宋体" w:hAnsi="宋体" w:cs="宋体" w:eastAsia="宋体" w:hint="default"/>
                <w:sz w:val="18"/>
                <w:szCs w:val="18"/>
              </w:rPr>
            </w:pPr>
            <w:r>
              <w:rPr>
                <w:rFonts w:ascii="宋体" w:hAnsi="宋体" w:cs="宋体" w:eastAsia="宋体" w:hint="default"/>
                <w:sz w:val="18"/>
                <w:szCs w:val="18"/>
              </w:rPr>
              <w:t>昆仑集团有 限公司</w:t>
            </w:r>
          </w:p>
        </w:tc>
        <w:tc>
          <w:tcPr>
            <w:tcW w:w="11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51"/>
              <w:ind w:left="21" w:right="107"/>
              <w:jc w:val="both"/>
              <w:rPr>
                <w:rFonts w:ascii="宋体" w:hAnsi="宋体" w:cs="宋体" w:eastAsia="宋体" w:hint="default"/>
                <w:sz w:val="18"/>
                <w:szCs w:val="18"/>
              </w:rPr>
            </w:pPr>
            <w:r>
              <w:rPr>
                <w:rFonts w:ascii="宋体" w:hAnsi="宋体" w:cs="宋体" w:eastAsia="宋体" w:hint="default"/>
                <w:sz w:val="18"/>
                <w:szCs w:val="18"/>
              </w:rPr>
              <w:t>主营业务为 研发、发行 及运营互联 网游戏及互 联网软件</w:t>
            </w:r>
          </w:p>
        </w:tc>
        <w:tc>
          <w:tcPr>
            <w:tcW w:w="10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1,288,787,62</w:t>
            </w:r>
          </w:p>
          <w:p>
            <w:pPr>
              <w:pStyle w:val="TableParagraph"/>
              <w:spacing w:line="240" w:lineRule="auto" w:before="106"/>
              <w:ind w:left="20" w:right="0"/>
              <w:jc w:val="left"/>
              <w:rPr>
                <w:rFonts w:ascii="Times New Roman" w:hAnsi="Times New Roman" w:cs="Times New Roman" w:eastAsia="Times New Roman" w:hint="default"/>
                <w:sz w:val="18"/>
                <w:szCs w:val="18"/>
              </w:rPr>
            </w:pPr>
            <w:r>
              <w:rPr>
                <w:rFonts w:ascii="Times New Roman"/>
                <w:sz w:val="18"/>
              </w:rPr>
              <w:t>0.01</w:t>
            </w:r>
          </w:p>
        </w:tc>
        <w:tc>
          <w:tcPr>
            <w:tcW w:w="10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8,172,388,64</w:t>
            </w:r>
          </w:p>
          <w:p>
            <w:pPr>
              <w:pStyle w:val="TableParagraph"/>
              <w:spacing w:line="240" w:lineRule="auto" w:before="106"/>
              <w:ind w:right="18"/>
              <w:jc w:val="right"/>
              <w:rPr>
                <w:rFonts w:ascii="Times New Roman" w:hAnsi="Times New Roman" w:cs="Times New Roman" w:eastAsia="Times New Roman" w:hint="default"/>
                <w:sz w:val="18"/>
                <w:szCs w:val="18"/>
              </w:rPr>
            </w:pPr>
            <w:r>
              <w:rPr>
                <w:rFonts w:ascii="Times New Roman"/>
                <w:sz w:val="18"/>
              </w:rPr>
              <w:t>0.46</w:t>
            </w:r>
          </w:p>
        </w:tc>
        <w:tc>
          <w:tcPr>
            <w:tcW w:w="10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6,207,795,01</w:t>
            </w:r>
          </w:p>
          <w:p>
            <w:pPr>
              <w:pStyle w:val="TableParagraph"/>
              <w:spacing w:line="240" w:lineRule="auto" w:before="106"/>
              <w:ind w:right="17"/>
              <w:jc w:val="right"/>
              <w:rPr>
                <w:rFonts w:ascii="Times New Roman" w:hAnsi="Times New Roman" w:cs="Times New Roman" w:eastAsia="Times New Roman" w:hint="default"/>
                <w:sz w:val="18"/>
                <w:szCs w:val="18"/>
              </w:rPr>
            </w:pPr>
            <w:r>
              <w:rPr>
                <w:rFonts w:ascii="Times New Roman"/>
                <w:sz w:val="18"/>
              </w:rPr>
              <w:t>7.05</w:t>
            </w:r>
          </w:p>
        </w:tc>
        <w:tc>
          <w:tcPr>
            <w:tcW w:w="10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444,313,435.</w:t>
            </w:r>
          </w:p>
          <w:p>
            <w:pPr>
              <w:pStyle w:val="TableParagraph"/>
              <w:spacing w:line="240" w:lineRule="auto" w:before="106"/>
              <w:ind w:right="18"/>
              <w:jc w:val="right"/>
              <w:rPr>
                <w:rFonts w:ascii="Times New Roman" w:hAnsi="Times New Roman" w:cs="Times New Roman" w:eastAsia="Times New Roman" w:hint="default"/>
                <w:sz w:val="18"/>
                <w:szCs w:val="18"/>
              </w:rPr>
            </w:pPr>
            <w:r>
              <w:rPr>
                <w:rFonts w:ascii="Times New Roman"/>
                <w:sz w:val="18"/>
              </w:rPr>
              <w:t>65</w:t>
            </w: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196,742,054.</w:t>
            </w:r>
          </w:p>
          <w:p>
            <w:pPr>
              <w:pStyle w:val="TableParagraph"/>
              <w:spacing w:line="240" w:lineRule="auto" w:before="106"/>
              <w:ind w:right="18"/>
              <w:jc w:val="right"/>
              <w:rPr>
                <w:rFonts w:ascii="Times New Roman" w:hAnsi="Times New Roman" w:cs="Times New Roman" w:eastAsia="Times New Roman" w:hint="default"/>
                <w:sz w:val="18"/>
                <w:szCs w:val="18"/>
              </w:rPr>
            </w:pPr>
            <w:r>
              <w:rPr>
                <w:rFonts w:ascii="Times New Roman"/>
                <w:sz w:val="18"/>
              </w:rPr>
              <w:t>98</w:t>
            </w:r>
          </w:p>
        </w:tc>
        <w:tc>
          <w:tcPr>
            <w:tcW w:w="10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pacing w:val="-1"/>
                <w:sz w:val="18"/>
              </w:rPr>
              <w:t>197,421,354.</w:t>
            </w:r>
          </w:p>
          <w:p>
            <w:pPr>
              <w:pStyle w:val="TableParagraph"/>
              <w:spacing w:line="240" w:lineRule="auto" w:before="106"/>
              <w:ind w:right="11"/>
              <w:jc w:val="right"/>
              <w:rPr>
                <w:rFonts w:ascii="Times New Roman" w:hAnsi="Times New Roman" w:cs="Times New Roman" w:eastAsia="Times New Roman" w:hint="default"/>
                <w:sz w:val="18"/>
                <w:szCs w:val="18"/>
              </w:rPr>
            </w:pPr>
            <w:r>
              <w:rPr>
                <w:rFonts w:ascii="Times New Roman"/>
                <w:sz w:val="18"/>
              </w:rPr>
              <w:t>62</w:t>
            </w:r>
          </w:p>
        </w:tc>
      </w:tr>
      <w:tr>
        <w:trPr>
          <w:trHeight w:val="1039" w:hRule="exact"/>
        </w:trPr>
        <w:tc>
          <w:tcPr>
            <w:tcW w:w="1056" w:type="dxa"/>
            <w:tcBorders>
              <w:top w:val="single" w:sz="6" w:space="0" w:color="000000"/>
              <w:left w:val="single" w:sz="12" w:space="0" w:color="000000"/>
              <w:bottom w:val="single" w:sz="12" w:space="0" w:color="000000"/>
              <w:right w:val="single" w:sz="6" w:space="0" w:color="000000"/>
            </w:tcBorders>
          </w:tcPr>
          <w:p>
            <w:pPr>
              <w:pStyle w:val="TableParagraph"/>
              <w:spacing w:line="319" w:lineRule="auto" w:before="51"/>
              <w:ind w:left="13" w:right="118"/>
              <w:jc w:val="both"/>
              <w:rPr>
                <w:rFonts w:ascii="宋体" w:hAnsi="宋体" w:cs="宋体" w:eastAsia="宋体" w:hint="default"/>
                <w:sz w:val="18"/>
                <w:szCs w:val="18"/>
              </w:rPr>
            </w:pPr>
            <w:r>
              <w:rPr>
                <w:rFonts w:ascii="宋体" w:hAnsi="宋体" w:cs="宋体" w:eastAsia="宋体" w:hint="default"/>
                <w:sz w:val="18"/>
                <w:szCs w:val="18"/>
              </w:rPr>
              <w:t>香港昆仑万 维股份有限 公司</w:t>
            </w:r>
          </w:p>
        </w:tc>
        <w:tc>
          <w:tcPr>
            <w:tcW w:w="119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0"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 w:right="0"/>
              <w:jc w:val="left"/>
              <w:rPr>
                <w:rFonts w:ascii="宋体" w:hAnsi="宋体" w:cs="宋体" w:eastAsia="宋体" w:hint="default"/>
                <w:sz w:val="18"/>
                <w:szCs w:val="18"/>
              </w:rPr>
            </w:pPr>
            <w:r>
              <w:rPr>
                <w:rFonts w:ascii="宋体" w:hAnsi="宋体" w:cs="宋体" w:eastAsia="宋体" w:hint="default"/>
                <w:sz w:val="18"/>
                <w:szCs w:val="18"/>
              </w:rPr>
              <w:t>投资</w:t>
            </w:r>
          </w:p>
        </w:tc>
        <w:tc>
          <w:tcPr>
            <w:tcW w:w="104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1,029,742,66</w:t>
            </w:r>
          </w:p>
          <w:p>
            <w:pPr>
              <w:pStyle w:val="TableParagraph"/>
              <w:spacing w:line="240" w:lineRule="auto" w:before="106"/>
              <w:ind w:left="20" w:right="0"/>
              <w:jc w:val="left"/>
              <w:rPr>
                <w:rFonts w:ascii="Times New Roman" w:hAnsi="Times New Roman" w:cs="Times New Roman" w:eastAsia="Times New Roman" w:hint="default"/>
                <w:sz w:val="18"/>
                <w:szCs w:val="18"/>
              </w:rPr>
            </w:pPr>
            <w:r>
              <w:rPr>
                <w:rFonts w:ascii="Times New Roman"/>
                <w:sz w:val="18"/>
              </w:rPr>
              <w:t>6.77</w:t>
            </w:r>
          </w:p>
        </w:tc>
        <w:tc>
          <w:tcPr>
            <w:tcW w:w="104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1,432,493,81</w:t>
            </w:r>
          </w:p>
          <w:p>
            <w:pPr>
              <w:pStyle w:val="TableParagraph"/>
              <w:spacing w:line="240" w:lineRule="auto" w:before="106"/>
              <w:ind w:right="18"/>
              <w:jc w:val="right"/>
              <w:rPr>
                <w:rFonts w:ascii="Times New Roman" w:hAnsi="Times New Roman" w:cs="Times New Roman" w:eastAsia="Times New Roman" w:hint="default"/>
                <w:sz w:val="18"/>
                <w:szCs w:val="18"/>
              </w:rPr>
            </w:pPr>
            <w:r>
              <w:rPr>
                <w:rFonts w:ascii="Times New Roman"/>
                <w:sz w:val="18"/>
              </w:rPr>
              <w:t>7.62</w:t>
            </w:r>
          </w:p>
        </w:tc>
        <w:tc>
          <w:tcPr>
            <w:tcW w:w="104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1,189,909,54</w:t>
            </w:r>
          </w:p>
          <w:p>
            <w:pPr>
              <w:pStyle w:val="TableParagraph"/>
              <w:spacing w:line="240" w:lineRule="auto" w:before="106"/>
              <w:ind w:right="17"/>
              <w:jc w:val="right"/>
              <w:rPr>
                <w:rFonts w:ascii="Times New Roman" w:hAnsi="Times New Roman" w:cs="Times New Roman" w:eastAsia="Times New Roman" w:hint="default"/>
                <w:sz w:val="18"/>
                <w:szCs w:val="18"/>
              </w:rPr>
            </w:pPr>
            <w:r>
              <w:rPr>
                <w:rFonts w:ascii="Times New Roman"/>
                <w:sz w:val="18"/>
              </w:rPr>
              <w:t>8.50</w:t>
            </w:r>
          </w:p>
        </w:tc>
        <w:tc>
          <w:tcPr>
            <w:tcW w:w="1046" w:type="dxa"/>
            <w:tcBorders>
              <w:top w:val="single" w:sz="6" w:space="0" w:color="000000"/>
              <w:left w:val="single" w:sz="6" w:space="0" w:color="000000"/>
              <w:bottom w:val="single" w:sz="12" w:space="0" w:color="000000"/>
              <w:right w:val="single" w:sz="6" w:space="0" w:color="000000"/>
            </w:tcBorders>
          </w:tcPr>
          <w:p>
            <w:pPr/>
          </w:p>
        </w:tc>
        <w:tc>
          <w:tcPr>
            <w:tcW w:w="104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146,936,180.</w:t>
            </w:r>
          </w:p>
          <w:p>
            <w:pPr>
              <w:pStyle w:val="TableParagraph"/>
              <w:spacing w:line="240" w:lineRule="auto" w:before="106"/>
              <w:ind w:right="18"/>
              <w:jc w:val="right"/>
              <w:rPr>
                <w:rFonts w:ascii="Times New Roman" w:hAnsi="Times New Roman" w:cs="Times New Roman" w:eastAsia="Times New Roman" w:hint="default"/>
                <w:sz w:val="18"/>
                <w:szCs w:val="18"/>
              </w:rPr>
            </w:pPr>
            <w:r>
              <w:rPr>
                <w:rFonts w:ascii="Times New Roman"/>
                <w:sz w:val="18"/>
              </w:rPr>
              <w:t>81</w:t>
            </w:r>
          </w:p>
        </w:tc>
        <w:tc>
          <w:tcPr>
            <w:tcW w:w="104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pacing w:val="-1"/>
                <w:sz w:val="18"/>
              </w:rPr>
              <w:t>146,936,180.</w:t>
            </w:r>
          </w:p>
          <w:p>
            <w:pPr>
              <w:pStyle w:val="TableParagraph"/>
              <w:spacing w:line="240" w:lineRule="auto" w:before="106"/>
              <w:ind w:right="11"/>
              <w:jc w:val="right"/>
              <w:rPr>
                <w:rFonts w:ascii="Times New Roman" w:hAnsi="Times New Roman" w:cs="Times New Roman" w:eastAsia="Times New Roman" w:hint="default"/>
                <w:sz w:val="18"/>
                <w:szCs w:val="18"/>
              </w:rPr>
            </w:pPr>
            <w:r>
              <w:rPr>
                <w:rFonts w:ascii="Times New Roman"/>
                <w:sz w:val="18"/>
              </w:rPr>
              <w:t>81</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报告期内取得和处置子公司的情况</w:t>
      </w:r>
    </w:p>
    <w:p>
      <w:pPr>
        <w:spacing w:before="117"/>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151" w:type="dxa"/>
        <w:tblLayout w:type="fixed"/>
        <w:tblCellMar>
          <w:top w:w="0" w:type="dxa"/>
          <w:left w:w="0" w:type="dxa"/>
          <w:bottom w:w="0" w:type="dxa"/>
          <w:right w:w="0" w:type="dxa"/>
        </w:tblCellMar>
        <w:tblLook w:val="01E0"/>
      </w:tblPr>
      <w:tblGrid>
        <w:gridCol w:w="3189"/>
        <w:gridCol w:w="3190"/>
        <w:gridCol w:w="3192"/>
      </w:tblGrid>
      <w:tr>
        <w:trPr>
          <w:trHeight w:val="415" w:hRule="exact"/>
        </w:trPr>
        <w:tc>
          <w:tcPr>
            <w:tcW w:w="3189"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right="3"/>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19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327"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192"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418"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719" w:hRule="exact"/>
        </w:trPr>
        <w:tc>
          <w:tcPr>
            <w:tcW w:w="31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北京闲徕互娱网络科技有限公司</w:t>
            </w:r>
          </w:p>
        </w:tc>
        <w:tc>
          <w:tcPr>
            <w:tcW w:w="3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购买</w:t>
            </w:r>
          </w:p>
        </w:tc>
        <w:tc>
          <w:tcPr>
            <w:tcW w:w="3192" w:type="dxa"/>
            <w:tcBorders>
              <w:top w:val="single" w:sz="6" w:space="0" w:color="000000"/>
              <w:left w:val="single" w:sz="6" w:space="0" w:color="000000"/>
              <w:bottom w:val="single" w:sz="6" w:space="0" w:color="000000"/>
              <w:right w:val="single" w:sz="12" w:space="0" w:color="000000"/>
            </w:tcBorders>
          </w:tcPr>
          <w:p>
            <w:pPr>
              <w:pStyle w:val="TableParagraph"/>
              <w:spacing w:line="319" w:lineRule="auto" w:before="51"/>
              <w:ind w:left="21" w:right="87"/>
              <w:jc w:val="left"/>
              <w:rPr>
                <w:rFonts w:ascii="宋体" w:hAnsi="宋体" w:cs="宋体" w:eastAsia="宋体" w:hint="default"/>
                <w:sz w:val="18"/>
                <w:szCs w:val="18"/>
              </w:rPr>
            </w:pPr>
            <w:r>
              <w:rPr>
                <w:rFonts w:ascii="宋体" w:hAnsi="宋体" w:cs="宋体" w:eastAsia="宋体" w:hint="default"/>
                <w:sz w:val="18"/>
                <w:szCs w:val="18"/>
              </w:rPr>
              <w:t>拓展公司业务，提高公司综合竞争力， 为公司增加新的利润增长点</w:t>
            </w:r>
          </w:p>
        </w:tc>
      </w:tr>
      <w:tr>
        <w:trPr>
          <w:trHeight w:val="719" w:hRule="exact"/>
        </w:trPr>
        <w:tc>
          <w:tcPr>
            <w:tcW w:w="31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成都杰蛙科技有限公司</w:t>
            </w:r>
          </w:p>
        </w:tc>
        <w:tc>
          <w:tcPr>
            <w:tcW w:w="3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购买</w:t>
            </w:r>
          </w:p>
        </w:tc>
        <w:tc>
          <w:tcPr>
            <w:tcW w:w="3192" w:type="dxa"/>
            <w:tcBorders>
              <w:top w:val="single" w:sz="6" w:space="0" w:color="000000"/>
              <w:left w:val="single" w:sz="6" w:space="0" w:color="000000"/>
              <w:bottom w:val="single" w:sz="6" w:space="0" w:color="000000"/>
              <w:right w:val="single" w:sz="12" w:space="0" w:color="000000"/>
            </w:tcBorders>
          </w:tcPr>
          <w:p>
            <w:pPr>
              <w:pStyle w:val="TableParagraph"/>
              <w:spacing w:line="319" w:lineRule="auto" w:before="51"/>
              <w:ind w:left="21" w:right="87"/>
              <w:jc w:val="left"/>
              <w:rPr>
                <w:rFonts w:ascii="宋体" w:hAnsi="宋体" w:cs="宋体" w:eastAsia="宋体" w:hint="default"/>
                <w:sz w:val="18"/>
                <w:szCs w:val="18"/>
              </w:rPr>
            </w:pPr>
            <w:r>
              <w:rPr>
                <w:rFonts w:ascii="宋体" w:hAnsi="宋体" w:cs="宋体" w:eastAsia="宋体" w:hint="default"/>
                <w:sz w:val="18"/>
                <w:szCs w:val="18"/>
              </w:rPr>
              <w:t>拓展公司业务，提高公司综合竞争力， 为公司增加新的利润增长点</w:t>
            </w:r>
          </w:p>
        </w:tc>
      </w:tr>
      <w:tr>
        <w:trPr>
          <w:trHeight w:val="407" w:hRule="exact"/>
        </w:trPr>
        <w:tc>
          <w:tcPr>
            <w:tcW w:w="31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霍尔果斯昆仑点金科技网络有限公司</w:t>
            </w:r>
          </w:p>
        </w:tc>
        <w:tc>
          <w:tcPr>
            <w:tcW w:w="3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设立</w:t>
            </w:r>
          </w:p>
        </w:tc>
        <w:tc>
          <w:tcPr>
            <w:tcW w:w="31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根据公司长远规划，拓展新业务</w:t>
            </w:r>
          </w:p>
        </w:tc>
      </w:tr>
      <w:tr>
        <w:trPr>
          <w:trHeight w:val="407" w:hRule="exact"/>
        </w:trPr>
        <w:tc>
          <w:tcPr>
            <w:tcW w:w="31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霍尔果斯昆诺天勤创业投资有限公司</w:t>
            </w:r>
          </w:p>
        </w:tc>
        <w:tc>
          <w:tcPr>
            <w:tcW w:w="3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设立</w:t>
            </w:r>
          </w:p>
        </w:tc>
        <w:tc>
          <w:tcPr>
            <w:tcW w:w="31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根据公司长远规划，拓展新业务</w:t>
            </w:r>
          </w:p>
        </w:tc>
      </w:tr>
      <w:tr>
        <w:trPr>
          <w:trHeight w:val="408" w:hRule="exact"/>
        </w:trPr>
        <w:tc>
          <w:tcPr>
            <w:tcW w:w="31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新余市昆仑乐云网络小额贷款有限公司</w:t>
            </w:r>
          </w:p>
        </w:tc>
        <w:tc>
          <w:tcPr>
            <w:tcW w:w="31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设立</w:t>
            </w:r>
          </w:p>
        </w:tc>
        <w:tc>
          <w:tcPr>
            <w:tcW w:w="31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根据公司长远规划，拓展新业务</w:t>
            </w:r>
          </w:p>
        </w:tc>
      </w:tr>
      <w:tr>
        <w:trPr>
          <w:trHeight w:val="415" w:hRule="exact"/>
        </w:trPr>
        <w:tc>
          <w:tcPr>
            <w:tcW w:w="318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1"/>
              <w:ind w:left="14" w:right="0"/>
              <w:jc w:val="left"/>
              <w:rPr>
                <w:rFonts w:ascii="Times New Roman" w:hAnsi="Times New Roman" w:cs="Times New Roman" w:eastAsia="Times New Roman" w:hint="default"/>
                <w:sz w:val="18"/>
                <w:szCs w:val="18"/>
              </w:rPr>
            </w:pPr>
            <w:r>
              <w:rPr>
                <w:rFonts w:ascii="Times New Roman"/>
                <w:sz w:val="18"/>
              </w:rPr>
              <w:t>Cayman Kunlun</w:t>
            </w:r>
            <w:r>
              <w:rPr>
                <w:rFonts w:ascii="Times New Roman"/>
                <w:spacing w:val="-2"/>
                <w:sz w:val="18"/>
              </w:rPr>
              <w:t> </w:t>
            </w:r>
            <w:r>
              <w:rPr>
                <w:rFonts w:ascii="Times New Roman"/>
                <w:sz w:val="18"/>
              </w:rPr>
              <w:t>Group</w:t>
            </w:r>
          </w:p>
        </w:tc>
        <w:tc>
          <w:tcPr>
            <w:tcW w:w="319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设立</w:t>
            </w:r>
          </w:p>
        </w:tc>
        <w:tc>
          <w:tcPr>
            <w:tcW w:w="319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根据公司长远规划，拓展新业务</w:t>
            </w:r>
          </w:p>
        </w:tc>
      </w:tr>
    </w:tbl>
    <w:p>
      <w:pPr>
        <w:spacing w:line="240" w:lineRule="auto" w:before="6"/>
        <w:rPr>
          <w:rFonts w:ascii="宋体" w:hAnsi="宋体" w:cs="宋体" w:eastAsia="宋体" w:hint="default"/>
          <w:sz w:val="6"/>
          <w:szCs w:val="6"/>
        </w:rPr>
      </w:pPr>
    </w:p>
    <w:p>
      <w:pPr>
        <w:spacing w:before="44"/>
        <w:ind w:left="1134" w:right="998" w:firstLine="0"/>
        <w:jc w:val="left"/>
        <w:rPr>
          <w:rFonts w:ascii="宋体" w:hAnsi="宋体" w:cs="宋体" w:eastAsia="宋体" w:hint="default"/>
          <w:sz w:val="18"/>
          <w:szCs w:val="18"/>
        </w:rPr>
      </w:pPr>
      <w:r>
        <w:rPr>
          <w:rFonts w:ascii="宋体" w:hAnsi="宋体" w:cs="宋体" w:eastAsia="宋体" w:hint="default"/>
          <w:sz w:val="18"/>
          <w:szCs w:val="18"/>
        </w:rPr>
        <w:t>主要控股参股公司情况说明</w:t>
      </w:r>
    </w:p>
    <w:p>
      <w:pPr>
        <w:spacing w:line="240" w:lineRule="auto" w:before="9"/>
        <w:rPr>
          <w:rFonts w:ascii="宋体" w:hAnsi="宋体" w:cs="宋体" w:eastAsia="宋体" w:hint="default"/>
          <w:sz w:val="20"/>
          <w:szCs w:val="20"/>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、报告期内，昆仑集团有限公司收入主要来自于两方面：</w:t>
      </w:r>
    </w:p>
    <w:p>
      <w:pPr>
        <w:spacing w:line="240" w:lineRule="auto" w:before="9"/>
        <w:rPr>
          <w:rFonts w:ascii="宋体" w:hAnsi="宋体" w:cs="宋体" w:eastAsia="宋体" w:hint="default"/>
          <w:sz w:val="16"/>
          <w:szCs w:val="1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）、以下游戏的运营发行：手机游戏韩文版《神魔圣域》、手机游戏俄语版《无双剑姬》、手机游戏繁体版《全民奇迹》、</w:t>
      </w:r>
    </w:p>
    <w:p>
      <w:pPr>
        <w:spacing w:line="240" w:lineRule="auto" w:before="9"/>
        <w:rPr>
          <w:rFonts w:ascii="宋体" w:hAnsi="宋体" w:cs="宋体" w:eastAsia="宋体" w:hint="default"/>
          <w:sz w:val="16"/>
          <w:szCs w:val="1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《啪啪三国》、《武侠</w:t>
      </w:r>
      <w:r>
        <w:rPr>
          <w:rFonts w:ascii="Times New Roman" w:hAnsi="Times New Roman" w:cs="Times New Roman" w:eastAsia="Times New Roman" w:hint="default"/>
          <w:sz w:val="18"/>
          <w:szCs w:val="18"/>
        </w:rPr>
        <w:t>Q</w:t>
      </w:r>
      <w:r>
        <w:rPr>
          <w:rFonts w:ascii="宋体" w:hAnsi="宋体" w:cs="宋体" w:eastAsia="宋体" w:hint="default"/>
          <w:sz w:val="18"/>
          <w:szCs w:val="18"/>
        </w:rPr>
        <w:t>传》等，网页游戏德文版、法文版、意大利语版《神曲》等。</w:t>
      </w:r>
    </w:p>
    <w:p>
      <w:pPr>
        <w:spacing w:line="240" w:lineRule="auto" w:before="9"/>
        <w:rPr>
          <w:rFonts w:ascii="宋体" w:hAnsi="宋体" w:cs="宋体" w:eastAsia="宋体" w:hint="default"/>
          <w:sz w:val="16"/>
          <w:szCs w:val="16"/>
        </w:rPr>
      </w:pPr>
    </w:p>
    <w:p>
      <w:pPr>
        <w:spacing w:line="451" w:lineRule="auto" w:before="0"/>
        <w:ind w:left="1133" w:right="159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）、投资收益：处置持有的</w:t>
      </w:r>
      <w:r>
        <w:rPr>
          <w:rFonts w:ascii="Times New Roman" w:hAnsi="Times New Roman" w:cs="Times New Roman" w:eastAsia="Times New Roman" w:hint="default"/>
          <w:sz w:val="18"/>
          <w:szCs w:val="18"/>
        </w:rPr>
        <w:t>qudian</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z w:val="18"/>
          <w:szCs w:val="18"/>
        </w:rPr>
        <w:t>inc.</w:t>
      </w:r>
      <w:r>
        <w:rPr>
          <w:rFonts w:ascii="宋体" w:hAnsi="宋体" w:cs="宋体" w:eastAsia="宋体" w:hint="default"/>
          <w:sz w:val="18"/>
          <w:szCs w:val="18"/>
        </w:rPr>
        <w:t>股权产生投资收益</w:t>
      </w:r>
      <w:r>
        <w:rPr>
          <w:rFonts w:ascii="Times New Roman" w:hAnsi="Times New Roman" w:cs="Times New Roman" w:eastAsia="Times New Roman" w:hint="default"/>
          <w:sz w:val="18"/>
          <w:szCs w:val="18"/>
        </w:rPr>
        <w:t>333,869,203.32</w:t>
      </w:r>
      <w:r>
        <w:rPr>
          <w:rFonts w:ascii="宋体" w:hAnsi="宋体" w:cs="宋体" w:eastAsia="宋体" w:hint="default"/>
          <w:sz w:val="18"/>
          <w:szCs w:val="18"/>
        </w:rPr>
        <w:t>元 </w:t>
      </w:r>
      <w:r>
        <w:rPr>
          <w:rFonts w:ascii="Times New Roman" w:hAnsi="Times New Roman" w:cs="Times New Roman" w:eastAsia="Times New Roman" w:hint="default"/>
          <w:sz w:val="18"/>
          <w:szCs w:val="18"/>
        </w:rPr>
        <w:t>2</w:t>
      </w:r>
      <w:r>
        <w:rPr>
          <w:rFonts w:ascii="宋体" w:hAnsi="宋体" w:cs="宋体" w:eastAsia="宋体" w:hint="default"/>
          <w:sz w:val="18"/>
          <w:szCs w:val="18"/>
        </w:rPr>
        <w:t>、报告期内，香港昆仑万维股份有限公司的利润主要来自处置</w:t>
      </w:r>
      <w:r>
        <w:rPr>
          <w:rFonts w:ascii="Times New Roman" w:hAnsi="Times New Roman" w:cs="Times New Roman" w:eastAsia="Times New Roman" w:hint="default"/>
          <w:sz w:val="18"/>
          <w:szCs w:val="18"/>
        </w:rPr>
        <w:t>GX music</w:t>
      </w:r>
      <w:r>
        <w:rPr>
          <w:rFonts w:ascii="Times New Roman" w:hAnsi="Times New Roman" w:cs="Times New Roman" w:eastAsia="Times New Roman" w:hint="default"/>
          <w:spacing w:val="-8"/>
          <w:sz w:val="18"/>
          <w:szCs w:val="18"/>
        </w:rPr>
        <w:t> </w:t>
      </w:r>
      <w:r>
        <w:rPr>
          <w:rFonts w:ascii="Times New Roman" w:hAnsi="Times New Roman" w:cs="Times New Roman" w:eastAsia="Times New Roman" w:hint="default"/>
          <w:sz w:val="18"/>
          <w:szCs w:val="18"/>
        </w:rPr>
        <w:t>limited</w:t>
      </w:r>
      <w:r>
        <w:rPr>
          <w:rFonts w:ascii="宋体" w:hAnsi="宋体" w:cs="宋体" w:eastAsia="宋体" w:hint="default"/>
          <w:sz w:val="18"/>
          <w:szCs w:val="18"/>
        </w:rPr>
        <w:t>的股权产生投资收益</w:t>
      </w:r>
      <w:r>
        <w:rPr>
          <w:rFonts w:ascii="Times New Roman" w:hAnsi="Times New Roman" w:cs="Times New Roman" w:eastAsia="Times New Roman" w:hint="default"/>
          <w:sz w:val="18"/>
          <w:szCs w:val="18"/>
        </w:rPr>
        <w:t>157,976,496.69</w:t>
      </w:r>
      <w:r>
        <w:rPr>
          <w:rFonts w:ascii="宋体" w:hAnsi="宋体" w:cs="宋体" w:eastAsia="宋体" w:hint="default"/>
          <w:sz w:val="18"/>
          <w:szCs w:val="18"/>
        </w:rPr>
        <w:t>元</w:t>
      </w:r>
    </w:p>
    <w:p>
      <w:pPr>
        <w:spacing w:line="240" w:lineRule="auto" w:before="9"/>
        <w:rPr>
          <w:rFonts w:ascii="宋体" w:hAnsi="宋体" w:cs="宋体" w:eastAsia="宋体" w:hint="default"/>
          <w:sz w:val="16"/>
          <w:szCs w:val="16"/>
        </w:rPr>
      </w:pPr>
    </w:p>
    <w:p>
      <w:pPr>
        <w:pStyle w:val="Heading4"/>
        <w:spacing w:line="240" w:lineRule="auto"/>
        <w:ind w:left="1134" w:right="998"/>
        <w:jc w:val="left"/>
        <w:rPr>
          <w:b w:val="0"/>
          <w:bCs w:val="0"/>
        </w:rPr>
      </w:pPr>
      <w:bookmarkStart w:name="八、公司控制的结构化主体情况" w:id="58"/>
      <w:bookmarkEnd w:id="58"/>
      <w:r>
        <w:rPr>
          <w:b w:val="0"/>
          <w:bCs w:val="0"/>
        </w:rPr>
      </w:r>
      <w:r>
        <w:rPr/>
        <w:t>八、公司控制的结构化主体情况</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type w:val="continuous"/>
          <w:pgSz w:w="11910" w:h="16840"/>
          <w:pgMar w:top="1060" w:bottom="1160" w:left="0" w:right="0"/>
        </w:sectPr>
      </w:pPr>
    </w:p>
    <w:p>
      <w:pPr>
        <w:spacing w:line="240" w:lineRule="auto" w:before="8"/>
        <w:rPr>
          <w:rFonts w:ascii="宋体" w:hAnsi="宋体" w:cs="宋体" w:eastAsia="宋体" w:hint="default"/>
          <w:sz w:val="19"/>
          <w:szCs w:val="19"/>
        </w:rPr>
      </w:pPr>
    </w:p>
    <w:p>
      <w:pPr>
        <w:pStyle w:val="Heading4"/>
        <w:spacing w:line="240" w:lineRule="auto" w:before="26"/>
        <w:ind w:right="0"/>
        <w:jc w:val="both"/>
        <w:rPr>
          <w:b w:val="0"/>
          <w:bCs w:val="0"/>
        </w:rPr>
      </w:pPr>
      <w:bookmarkStart w:name="九、公司未来发展的展望" w:id="59"/>
      <w:bookmarkEnd w:id="59"/>
      <w:r>
        <w:rPr>
          <w:b w:val="0"/>
          <w:bCs w:val="0"/>
        </w:rPr>
      </w:r>
      <w:r>
        <w:rPr/>
        <w:t>九、公司未来发展的展望</w:t>
      </w:r>
      <w:r>
        <w:rPr>
          <w:b w:val="0"/>
          <w:bCs w:val="0"/>
        </w:rPr>
      </w:r>
    </w:p>
    <w:p>
      <w:pPr>
        <w:spacing w:line="240" w:lineRule="auto" w:before="8"/>
        <w:rPr>
          <w:rFonts w:ascii="宋体" w:hAnsi="宋体" w:cs="宋体" w:eastAsia="宋体" w:hint="default"/>
          <w:b/>
          <w:bCs/>
          <w:sz w:val="30"/>
          <w:szCs w:val="30"/>
        </w:rPr>
      </w:pPr>
    </w:p>
    <w:p>
      <w:pPr>
        <w:pStyle w:val="Heading6"/>
        <w:spacing w:line="240" w:lineRule="auto"/>
        <w:ind w:left="1133" w:right="0"/>
        <w:jc w:val="both"/>
        <w:rPr>
          <w:b w:val="0"/>
          <w:bCs w:val="0"/>
        </w:rPr>
      </w:pPr>
      <w:r>
        <w:rPr>
          <w:rFonts w:ascii="Times New Roman" w:hAnsi="Times New Roman" w:cs="Times New Roman" w:eastAsia="Times New Roman" w:hint="default"/>
        </w:rPr>
        <w:t>1</w:t>
      </w:r>
      <w:r>
        <w:rPr/>
        <w:t>、发展战略</w:t>
      </w:r>
      <w:r>
        <w:rPr>
          <w:b w:val="0"/>
          <w:bCs w:val="0"/>
        </w:rPr>
      </w:r>
    </w:p>
    <w:p>
      <w:pPr>
        <w:pStyle w:val="BodyText"/>
        <w:spacing w:line="386" w:lineRule="auto" w:before="177"/>
        <w:ind w:right="1132" w:firstLine="420"/>
        <w:jc w:val="both"/>
      </w:pPr>
      <w:r>
        <w:rPr/>
        <w:t>昆仑万维是一家全球领先、业内前沿的综合性互联网集团。自</w:t>
      </w:r>
      <w:r>
        <w:rPr>
          <w:rFonts w:ascii="Times New Roman" w:hAnsi="Times New Roman" w:cs="Times New Roman" w:eastAsia="Times New Roman" w:hint="default"/>
        </w:rPr>
        <w:t>2008</w:t>
      </w:r>
      <w:r>
        <w:rPr/>
        <w:t>年成立以来，聚焦</w:t>
      </w:r>
      <w:r>
        <w:rPr>
          <w:rFonts w:ascii="Times New Roman" w:hAnsi="Times New Roman" w:cs="Times New Roman" w:eastAsia="Times New Roman" w:hint="default"/>
        </w:rPr>
        <w:t>“</w:t>
      </w:r>
      <w:r>
        <w:rPr/>
        <w:t>打造海外领先 的社交媒体和内容平台</w:t>
      </w:r>
      <w:r>
        <w:rPr>
          <w:rFonts w:ascii="Times New Roman" w:hAnsi="Times New Roman" w:cs="Times New Roman" w:eastAsia="Times New Roman" w:hint="default"/>
        </w:rPr>
        <w:t>”</w:t>
      </w:r>
      <w:r>
        <w:rPr/>
        <w:t>的发展战略，围绕研发及运营的核心优势，逐渐在全球范围内形成了由移动游戏</w:t>
      </w:r>
      <w:r>
        <w:rPr>
          <w:spacing w:val="-22"/>
        </w:rPr>
        <w:t> </w:t>
      </w:r>
      <w:r>
        <w:rPr>
          <w:spacing w:val="-22"/>
        </w:rPr>
      </w:r>
      <w:r>
        <w:rPr>
          <w:spacing w:val="-2"/>
        </w:rPr>
        <w:t>平台（昆仑游戏）、休闲娱乐社交平台（闲徕互娱）、社交平台</w:t>
      </w:r>
      <w:r>
        <w:rPr>
          <w:rFonts w:ascii="Times New Roman" w:hAnsi="Times New Roman" w:cs="Times New Roman" w:eastAsia="Times New Roman" w:hint="default"/>
          <w:spacing w:val="-2"/>
        </w:rPr>
        <w:t>(Grindr)</w:t>
      </w:r>
      <w:r>
        <w:rPr>
          <w:spacing w:val="-2"/>
        </w:rPr>
        <w:t>等三大业务板块组成的社交媒体和</w:t>
      </w:r>
      <w:r>
        <w:rPr>
          <w:spacing w:val="-100"/>
        </w:rPr>
        <w:t> </w:t>
      </w:r>
      <w:r>
        <w:rPr>
          <w:spacing w:val="-100"/>
        </w:rPr>
      </w:r>
      <w:r>
        <w:rPr/>
        <w:t>内容平台，并通过构建集团大数据系统驱动各板块产生协同效应。</w:t>
      </w:r>
    </w:p>
    <w:p>
      <w:pPr>
        <w:pStyle w:val="Heading6"/>
        <w:spacing w:line="240" w:lineRule="auto" w:before="65"/>
        <w:ind w:right="0"/>
        <w:jc w:val="both"/>
        <w:rPr>
          <w:b w:val="0"/>
          <w:bCs w:val="0"/>
        </w:rPr>
      </w:pPr>
      <w:r>
        <w:rPr>
          <w:rFonts w:ascii="Times New Roman" w:hAnsi="Times New Roman" w:cs="Times New Roman" w:eastAsia="Times New Roman" w:hint="default"/>
        </w:rPr>
        <w:t>2</w:t>
      </w:r>
      <w:r>
        <w:rPr/>
        <w:t>、经营计划</w:t>
      </w:r>
      <w:r>
        <w:rPr>
          <w:b w:val="0"/>
          <w:bCs w:val="0"/>
        </w:rPr>
      </w:r>
    </w:p>
    <w:p>
      <w:pPr>
        <w:pStyle w:val="BodyText"/>
        <w:spacing w:line="240" w:lineRule="auto" w:before="177"/>
        <w:ind w:left="1134" w:right="0"/>
        <w:jc w:val="both"/>
      </w:pPr>
      <w:r>
        <w:rPr/>
        <w:t>（</w:t>
      </w:r>
      <w:r>
        <w:rPr>
          <w:rFonts w:ascii="Times New Roman" w:hAnsi="Times New Roman" w:cs="Times New Roman" w:eastAsia="Times New Roman" w:hint="default"/>
        </w:rPr>
        <w:t>1</w:t>
      </w:r>
      <w:r>
        <w:rPr/>
        <w:t>）昆仑游戏</w:t>
      </w:r>
    </w:p>
    <w:p>
      <w:pPr>
        <w:pStyle w:val="BodyText"/>
        <w:spacing w:line="240" w:lineRule="auto" w:before="177"/>
        <w:ind w:left="1553" w:right="998"/>
        <w:jc w:val="left"/>
      </w:pPr>
      <w:r>
        <w:rPr/>
        <w:t>自研游戏方面，公司将继续重点围绕有</w:t>
      </w:r>
      <w:r>
        <w:rPr>
          <w:rFonts w:ascii="Times New Roman" w:hAnsi="Times New Roman" w:cs="Times New Roman" w:eastAsia="Times New Roman" w:hint="default"/>
        </w:rPr>
        <w:t>IP</w:t>
      </w:r>
      <w:r>
        <w:rPr/>
        <w:t>支撑的移动端精品游戏项目进行布局，包括：</w:t>
      </w:r>
    </w:p>
    <w:p>
      <w:pPr>
        <w:pStyle w:val="BodyText"/>
        <w:spacing w:line="240" w:lineRule="auto" w:before="177"/>
        <w:ind w:left="1553" w:right="998"/>
        <w:jc w:val="left"/>
      </w:pPr>
      <w:r>
        <w:rPr/>
        <w:t>①</w:t>
      </w:r>
      <w:r>
        <w:rPr>
          <w:spacing w:val="43"/>
        </w:rPr>
        <w:t> </w:t>
      </w:r>
      <w:r>
        <w:rPr/>
        <w:t>于端游</w:t>
      </w:r>
      <w:r>
        <w:rPr>
          <w:rFonts w:ascii="Times New Roman" w:hAnsi="Times New Roman" w:cs="Times New Roman" w:eastAsia="Times New Roman" w:hint="default"/>
        </w:rPr>
        <w:t>IP</w:t>
      </w:r>
      <w:r>
        <w:rPr/>
        <w:t>的《洛奇》项目；</w:t>
      </w:r>
    </w:p>
    <w:p>
      <w:pPr>
        <w:pStyle w:val="BodyText"/>
        <w:spacing w:line="240" w:lineRule="auto" w:before="177"/>
        <w:ind w:left="1553" w:right="998"/>
        <w:jc w:val="left"/>
      </w:pPr>
      <w:r>
        <w:rPr/>
        <w:t>②</w:t>
      </w:r>
      <w:r>
        <w:rPr>
          <w:spacing w:val="42"/>
        </w:rPr>
        <w:t> </w:t>
      </w:r>
      <w:r>
        <w:rPr/>
        <w:t>基于动漫</w:t>
      </w:r>
      <w:r>
        <w:rPr>
          <w:rFonts w:ascii="Times New Roman" w:hAnsi="Times New Roman" w:cs="Times New Roman" w:eastAsia="Times New Roman" w:hint="default"/>
        </w:rPr>
        <w:t>IP</w:t>
      </w:r>
      <w:r>
        <w:rPr/>
        <w:t>的《</w:t>
      </w:r>
      <w:r>
        <w:rPr>
          <w:rFonts w:ascii="Times New Roman" w:hAnsi="Times New Roman" w:cs="Times New Roman" w:eastAsia="Times New Roman" w:hint="default"/>
        </w:rPr>
        <w:t>BLEACH</w:t>
      </w:r>
      <w:r>
        <w:rPr/>
        <w:t>境</w:t>
      </w:r>
      <w:r>
        <w:rPr>
          <w:rFonts w:ascii="Times New Roman" w:hAnsi="Times New Roman" w:cs="Times New Roman" w:eastAsia="Times New Roman" w:hint="default"/>
        </w:rPr>
        <w:t>•</w:t>
      </w:r>
      <w:r>
        <w:rPr/>
        <w:t>界</w:t>
      </w:r>
      <w:r>
        <w:rPr>
          <w:rFonts w:ascii="Times New Roman" w:hAnsi="Times New Roman" w:cs="Times New Roman" w:eastAsia="Times New Roman" w:hint="default"/>
        </w:rPr>
        <w:t>-</w:t>
      </w:r>
      <w:r>
        <w:rPr/>
        <w:t>魂之觉醒》、《偷星九月天》项目；</w:t>
      </w:r>
    </w:p>
    <w:p>
      <w:pPr>
        <w:pStyle w:val="BodyText"/>
        <w:spacing w:line="240" w:lineRule="auto" w:before="177"/>
        <w:ind w:left="1553" w:right="998"/>
        <w:jc w:val="left"/>
      </w:pPr>
      <w:r>
        <w:rPr/>
        <w:t>③ 基于漫画电影</w:t>
      </w:r>
      <w:r>
        <w:rPr>
          <w:rFonts w:ascii="Times New Roman" w:hAnsi="Times New Roman" w:cs="Times New Roman" w:eastAsia="Times New Roman" w:hint="default"/>
        </w:rPr>
        <w:t>IP</w:t>
      </w:r>
      <w:r>
        <w:rPr/>
        <w:t>的《</w:t>
      </w:r>
      <w:r>
        <w:rPr>
          <w:rFonts w:ascii="Times New Roman" w:hAnsi="Times New Roman" w:cs="Times New Roman" w:eastAsia="Times New Roman" w:hint="default"/>
        </w:rPr>
        <w:t>Project</w:t>
      </w:r>
      <w:r>
        <w:rPr>
          <w:rFonts w:ascii="Times New Roman" w:hAnsi="Times New Roman" w:cs="Times New Roman" w:eastAsia="Times New Roman" w:hint="default"/>
          <w:spacing w:val="39"/>
        </w:rPr>
        <w:t> </w:t>
      </w:r>
      <w:r>
        <w:rPr>
          <w:rFonts w:ascii="Times New Roman" w:hAnsi="Times New Roman" w:cs="Times New Roman" w:eastAsia="Times New Roman" w:hint="default"/>
        </w:rPr>
        <w:t>A</w:t>
      </w:r>
      <w:r>
        <w:rPr/>
        <w:t>》项目；</w:t>
      </w:r>
    </w:p>
    <w:p>
      <w:pPr>
        <w:pStyle w:val="BodyText"/>
        <w:spacing w:line="386" w:lineRule="auto" w:before="177"/>
        <w:ind w:left="1553" w:right="998"/>
        <w:jc w:val="left"/>
        <w:rPr>
          <w:rFonts w:ascii="Times New Roman" w:hAnsi="Times New Roman" w:cs="Times New Roman" w:eastAsia="Times New Roman" w:hint="default"/>
        </w:rPr>
      </w:pPr>
      <w:r>
        <w:rPr/>
        <w:t>④ 面向华人玩家的基于仙侠题材单机游戏的《</w:t>
      </w:r>
      <w:r>
        <w:rPr>
          <w:rFonts w:ascii="Times New Roman" w:hAnsi="Times New Roman" w:cs="Times New Roman" w:eastAsia="Times New Roman" w:hint="default"/>
        </w:rPr>
        <w:t>Project</w:t>
      </w:r>
      <w:r>
        <w:rPr>
          <w:rFonts w:ascii="Times New Roman" w:hAnsi="Times New Roman" w:cs="Times New Roman" w:eastAsia="Times New Roman" w:hint="default"/>
          <w:spacing w:val="44"/>
        </w:rPr>
        <w:t> </w:t>
      </w:r>
      <w:r>
        <w:rPr>
          <w:rFonts w:ascii="Times New Roman" w:hAnsi="Times New Roman" w:cs="Times New Roman" w:eastAsia="Times New Roman" w:hint="default"/>
        </w:rPr>
        <w:t>P</w:t>
      </w:r>
      <w:r>
        <w:rPr/>
        <w:t>》项目。 代理游戏方面，由昆仑游戏和盛大游戏合作发行的端游</w:t>
      </w:r>
      <w:r>
        <w:rPr>
          <w:rFonts w:ascii="Times New Roman" w:hAnsi="Times New Roman" w:cs="Times New Roman" w:eastAsia="Times New Roman" w:hint="default"/>
        </w:rPr>
        <w:t>IP</w:t>
      </w:r>
      <w:r>
        <w:rPr/>
        <w:t>改编、精品动作手游《龙之谷</w:t>
      </w:r>
      <w:r>
        <w:rPr>
          <w:rFonts w:ascii="Times New Roman" w:hAnsi="Times New Roman" w:cs="Times New Roman" w:eastAsia="Times New Roman" w:hint="default"/>
        </w:rPr>
        <w:t>M</w:t>
      </w:r>
      <w:r>
        <w:rPr/>
        <w:t>》已于</w:t>
      </w:r>
      <w:r>
        <w:rPr>
          <w:rFonts w:ascii="Times New Roman" w:hAnsi="Times New Roman" w:cs="Times New Roman" w:eastAsia="Times New Roman" w:hint="default"/>
        </w:rPr>
        <w:t>2018</w:t>
      </w:r>
    </w:p>
    <w:p>
      <w:pPr>
        <w:pStyle w:val="BodyText"/>
        <w:spacing w:line="386" w:lineRule="auto" w:before="36"/>
        <w:ind w:right="1130"/>
        <w:jc w:val="both"/>
      </w:pPr>
      <w:r>
        <w:rPr/>
        <w:t>年</w:t>
      </w:r>
      <w:r>
        <w:rPr>
          <w:rFonts w:ascii="Times New Roman" w:hAnsi="Times New Roman" w:cs="Times New Roman" w:eastAsia="Times New Roman" w:hint="default"/>
        </w:rPr>
        <w:t>2</w:t>
      </w:r>
      <w:r>
        <w:rPr/>
        <w:t>月在繁体区域上线，首月即进入当地市场苹果及谷歌畅销榜前三和免费榜第一，成为</w:t>
      </w:r>
      <w:r>
        <w:rPr>
          <w:rFonts w:ascii="Times New Roman" w:hAnsi="Times New Roman" w:cs="Times New Roman" w:eastAsia="Times New Roman" w:hint="default"/>
        </w:rPr>
        <w:t>2018</w:t>
      </w:r>
      <w:r>
        <w:rPr/>
        <w:t>年一季度繁</w:t>
      </w:r>
      <w:r>
        <w:rPr>
          <w:spacing w:val="-26"/>
        </w:rPr>
        <w:t> </w:t>
      </w:r>
      <w:r>
        <w:rPr>
          <w:spacing w:val="-26"/>
        </w:rPr>
      </w:r>
      <w:r>
        <w:rPr/>
        <w:t>体地区表现最好的头部新产品，进一步巩固了公司在当地市场的市场占有率。《龙之谷</w:t>
      </w:r>
      <w:r>
        <w:rPr>
          <w:rFonts w:ascii="Times New Roman" w:hAnsi="Times New Roman" w:cs="Times New Roman" w:eastAsia="Times New Roman" w:hint="default"/>
        </w:rPr>
        <w:t>M</w:t>
      </w:r>
      <w:r>
        <w:rPr/>
        <w:t>》国内发行为腾 讯游戏，是</w:t>
      </w:r>
      <w:r>
        <w:rPr>
          <w:rFonts w:ascii="Times New Roman" w:hAnsi="Times New Roman" w:cs="Times New Roman" w:eastAsia="Times New Roman" w:hint="default"/>
        </w:rPr>
        <w:t>2017</w:t>
      </w:r>
      <w:r>
        <w:rPr/>
        <w:t>年单月收入最高的腾讯代理产品，后续公司还将和盛大游戏共同推动《龙之谷</w:t>
      </w:r>
      <w:r>
        <w:rPr>
          <w:rFonts w:ascii="Times New Roman" w:hAnsi="Times New Roman" w:cs="Times New Roman" w:eastAsia="Times New Roman" w:hint="default"/>
        </w:rPr>
        <w:t>M</w:t>
      </w:r>
      <w:r>
        <w:rPr/>
        <w:t>》在东南 亚及欧美区域的发行。</w:t>
      </w:r>
    </w:p>
    <w:p>
      <w:pPr>
        <w:pStyle w:val="BodyText"/>
        <w:spacing w:line="240" w:lineRule="auto" w:before="65"/>
        <w:ind w:left="1134" w:right="0"/>
        <w:jc w:val="both"/>
      </w:pPr>
      <w:r>
        <w:rPr/>
        <w:t>（</w:t>
      </w:r>
      <w:r>
        <w:rPr>
          <w:rFonts w:ascii="Times New Roman" w:hAnsi="Times New Roman" w:cs="Times New Roman" w:eastAsia="Times New Roman" w:hint="default"/>
        </w:rPr>
        <w:t>2</w:t>
      </w:r>
      <w:r>
        <w:rPr/>
        <w:t>）闲徕互娱</w:t>
      </w:r>
    </w:p>
    <w:p>
      <w:pPr>
        <w:pStyle w:val="BodyText"/>
        <w:spacing w:line="408" w:lineRule="auto" w:before="177"/>
        <w:ind w:right="1110" w:firstLine="420"/>
        <w:jc w:val="both"/>
      </w:pPr>
      <w:r>
        <w:rPr/>
        <w:t>继续巩固传统优势市场，逐渐向城市、县级、乡镇、农村层层渗透，同时不断调整和优化运营思路， 尝试推出</w:t>
      </w:r>
      <w:r>
        <w:rPr>
          <w:spacing w:val="54"/>
        </w:rPr>
        <w:t> </w:t>
      </w:r>
      <w:r>
        <w:rPr/>
        <w:t>“比赛场”等更加迎合用户口味的新娱乐模式，增加用户在线时长和使用粘性，充分发挥其休</w:t>
      </w:r>
      <w:r>
        <w:rPr>
          <w:spacing w:val="-88"/>
        </w:rPr>
        <w:t> </w:t>
      </w:r>
      <w:r>
        <w:rPr>
          <w:spacing w:val="-88"/>
        </w:rPr>
      </w:r>
      <w:r>
        <w:rPr/>
        <w:t>闲娱乐平台的商业价值。</w:t>
      </w:r>
    </w:p>
    <w:p>
      <w:pPr>
        <w:pStyle w:val="BodyText"/>
        <w:spacing w:line="240" w:lineRule="auto" w:before="46"/>
        <w:ind w:right="0"/>
        <w:jc w:val="both"/>
        <w:rPr>
          <w:rFonts w:ascii="Times New Roman" w:hAnsi="Times New Roman" w:cs="Times New Roman" w:eastAsia="Times New Roman" w:hint="default"/>
        </w:rPr>
      </w:pP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Grindr</w:t>
      </w:r>
    </w:p>
    <w:p>
      <w:pPr>
        <w:pStyle w:val="BodyText"/>
        <w:spacing w:line="408" w:lineRule="auto" w:before="177"/>
        <w:ind w:left="1134" w:right="1131" w:firstLine="420"/>
        <w:jc w:val="both"/>
      </w:pPr>
      <w:r>
        <w:rPr>
          <w:spacing w:val="-1"/>
        </w:rPr>
        <w:t>通过推出新功能进一步提升用户体验，在加快用户数量增长的同时提高用户粘性；增加更多增值服务</w:t>
      </w:r>
      <w:r>
        <w:rPr/>
        <w:t> </w:t>
      </w:r>
      <w:r>
        <w:rPr>
          <w:spacing w:val="-1"/>
        </w:rPr>
        <w:t>以继续提高付费用户转化率，进而提高会员费收入；进一步改善用户广告体验的同时通过产品优化来提高</w:t>
      </w:r>
      <w:r>
        <w:rPr>
          <w:spacing w:val="-81"/>
        </w:rPr>
        <w:t> </w:t>
      </w:r>
      <w:r>
        <w:rPr>
          <w:spacing w:val="-81"/>
        </w:rPr>
      </w:r>
      <w:r>
        <w:rPr/>
        <w:t>广告变现能力，提升产品的商业价值。</w:t>
      </w:r>
    </w:p>
    <w:p>
      <w:pPr>
        <w:pStyle w:val="Heading6"/>
        <w:spacing w:line="240" w:lineRule="auto" w:before="46"/>
        <w:ind w:left="1556" w:right="998"/>
        <w:jc w:val="left"/>
        <w:rPr>
          <w:b w:val="0"/>
          <w:bCs w:val="0"/>
        </w:rPr>
      </w:pPr>
      <w:r>
        <w:rPr>
          <w:rFonts w:ascii="Times New Roman" w:hAnsi="Times New Roman" w:cs="Times New Roman" w:eastAsia="Times New Roman" w:hint="default"/>
        </w:rPr>
        <w:t>3</w:t>
      </w:r>
      <w:r>
        <w:rPr/>
        <w:t>、可能面临的风险</w:t>
      </w:r>
      <w:r>
        <w:rPr>
          <w:b w:val="0"/>
          <w:bCs w:val="0"/>
        </w:rPr>
      </w:r>
    </w:p>
    <w:p>
      <w:pPr>
        <w:pStyle w:val="BodyText"/>
        <w:spacing w:line="386" w:lineRule="auto" w:before="177"/>
        <w:ind w:left="1134" w:right="1133" w:firstLine="420"/>
        <w:jc w:val="both"/>
      </w:pPr>
      <w:r>
        <w:rPr/>
        <w:t>（</w:t>
      </w:r>
      <w:r>
        <w:rPr>
          <w:rFonts w:ascii="Times New Roman" w:hAnsi="Times New Roman" w:cs="Times New Roman" w:eastAsia="Times New Roman" w:hint="default"/>
        </w:rPr>
        <w:t>1</w:t>
      </w:r>
      <w:r>
        <w:rPr/>
        <w:t>）行业监管政策风险：互联网行业在我国乃至全球均处在快速发展的过程，公司目前涉及的网络 </w:t>
      </w:r>
      <w:r>
        <w:rPr>
          <w:spacing w:val="-1"/>
        </w:rPr>
        <w:t>游戏行业、社交平台等行业都属于新兴互联网行业。伴随着技术的持续创新、业务模式的不断升级，我国</w:t>
      </w:r>
    </w:p>
    <w:p>
      <w:pPr>
        <w:spacing w:after="0" w:line="386" w:lineRule="auto"/>
        <w:jc w:val="both"/>
        <w:sectPr>
          <w:pgSz w:w="11910" w:h="16840"/>
          <w:pgMar w:header="877" w:footer="979" w:top="1100" w:bottom="1160" w:left="0" w:right="0"/>
        </w:sectPr>
      </w:pPr>
    </w:p>
    <w:p>
      <w:pPr>
        <w:spacing w:line="240" w:lineRule="auto" w:before="8"/>
        <w:rPr>
          <w:rFonts w:ascii="宋体" w:hAnsi="宋体" w:cs="宋体" w:eastAsia="宋体" w:hint="default"/>
          <w:sz w:val="26"/>
          <w:szCs w:val="26"/>
        </w:rPr>
      </w:pPr>
    </w:p>
    <w:p>
      <w:pPr>
        <w:pStyle w:val="BodyText"/>
        <w:spacing w:line="408" w:lineRule="auto" w:before="35"/>
        <w:ind w:right="1131"/>
        <w:jc w:val="both"/>
      </w:pPr>
      <w:r>
        <w:rPr>
          <w:spacing w:val="-1"/>
        </w:rPr>
        <w:t>互联网相关行业的法律监管体系也正处于不断发展和完善的过程中。如果国家对相关互联网行业监管政策</w:t>
      </w:r>
      <w:r>
        <w:rPr>
          <w:spacing w:val="-81"/>
        </w:rPr>
        <w:t> </w:t>
      </w:r>
      <w:r>
        <w:rPr>
          <w:spacing w:val="-81"/>
        </w:rPr>
      </w:r>
      <w:r>
        <w:rPr>
          <w:spacing w:val="-1"/>
        </w:rPr>
        <w:t>发生不利变化，可能会对公司的经营业绩产生一定程度的不利影响。同时，由于公司计划开展的多个项目</w:t>
      </w:r>
      <w:r>
        <w:rPr>
          <w:spacing w:val="-83"/>
        </w:rPr>
        <w:t> </w:t>
      </w:r>
      <w:r>
        <w:rPr>
          <w:spacing w:val="-83"/>
        </w:rPr>
      </w:r>
      <w:r>
        <w:rPr>
          <w:spacing w:val="-1"/>
        </w:rPr>
        <w:t>均在境外区域开展，当地行业监管政策变化也会对公司的发展产生一定程度的影响。公司在进入新的市场</w:t>
      </w:r>
      <w:r>
        <w:rPr>
          <w:spacing w:val="-81"/>
        </w:rPr>
        <w:t> </w:t>
      </w:r>
      <w:r>
        <w:rPr>
          <w:spacing w:val="-81"/>
        </w:rPr>
      </w:r>
      <w:r>
        <w:rPr>
          <w:spacing w:val="-1"/>
        </w:rPr>
        <w:t>前，都会进行深入的市场环境和监管政策环境的调研，必要时向熟悉当地法律政策的机构或人员咨询监管</w:t>
      </w:r>
      <w:r>
        <w:rPr>
          <w:spacing w:val="-81"/>
        </w:rPr>
        <w:t> </w:t>
      </w:r>
      <w:r>
        <w:rPr>
          <w:spacing w:val="-81"/>
        </w:rPr>
      </w:r>
      <w:r>
        <w:rPr>
          <w:spacing w:val="-1"/>
        </w:rPr>
        <w:t>政策，并根据相应的监管环境及政策要求开展业务运营，在实际业务运作的过程中，也会积极配合和落实</w:t>
      </w:r>
      <w:r>
        <w:rPr>
          <w:spacing w:val="-83"/>
        </w:rPr>
        <w:t> </w:t>
      </w:r>
      <w:r>
        <w:rPr>
          <w:spacing w:val="-83"/>
        </w:rPr>
      </w:r>
      <w:r>
        <w:rPr/>
        <w:t>监管要求，有效控制和降低监管政策的风险。</w:t>
      </w:r>
    </w:p>
    <w:p>
      <w:pPr>
        <w:pStyle w:val="BodyText"/>
        <w:spacing w:line="405" w:lineRule="auto" w:before="46"/>
        <w:ind w:right="1024" w:firstLine="420"/>
        <w:jc w:val="left"/>
      </w:pPr>
      <w:r>
        <w:rPr/>
        <w:t>（</w:t>
      </w:r>
      <w:r>
        <w:rPr>
          <w:rFonts w:ascii="Times New Roman" w:hAnsi="Times New Roman" w:cs="Times New Roman" w:eastAsia="Times New Roman" w:hint="default"/>
        </w:rPr>
        <w:t>2</w:t>
      </w:r>
      <w:r>
        <w:rPr/>
        <w:t>）市场竞争加剧的风险：互联网产业日新月异，互联网用户对产品的要求也日益提升。如果未来 市场竞争进一步加剧，将影响本公司未来业务的发展和产品推广，给公司带来一定的发展压力。网络游戏 </w:t>
      </w:r>
      <w:r>
        <w:rPr>
          <w:spacing w:val="-3"/>
        </w:rPr>
        <w:t>行业在产品服务、市场渠道等方面已经形成激烈的行业竞争格局，平台化、精品化、泛娱乐化等趋势明显；</w:t>
      </w:r>
      <w:r>
        <w:rPr>
          <w:spacing w:val="-97"/>
        </w:rPr>
        <w:t> </w:t>
      </w:r>
      <w:r>
        <w:rPr>
          <w:spacing w:val="-97"/>
        </w:rPr>
      </w:r>
      <w:r>
        <w:rPr/>
        <w:t>浏览器、社交平台、软件工具等行业竞争激烈，平台化趋势明显，呈现强者恒强的趋势。公司需保持持续</w:t>
      </w:r>
      <w:r>
        <w:rPr/>
        <w:t> 创新能力，对抗市场竞争加剧的风险。公司上线项目均经过严格筛选，有针对性的面向细分市场，通过玩 法的持续创新和策划水平的不断提高，提升游戏的娱乐性与用户体验，提升核心玩家群体的粘性。同时， </w:t>
      </w:r>
      <w:r>
        <w:rPr>
          <w:spacing w:val="3"/>
        </w:rPr>
        <w:t>公司拥有经验丰富的市场推广队伍和反馈机制，在产品推出过程中通过分阶段的测试进行动态修改和调</w:t>
      </w:r>
      <w:r>
        <w:rPr>
          <w:spacing w:val="-82"/>
        </w:rPr>
        <w:t> </w:t>
      </w:r>
      <w:r>
        <w:rPr>
          <w:spacing w:val="-82"/>
        </w:rPr>
      </w:r>
      <w:r>
        <w:rPr/>
        <w:t>整，从而使产品能及时更新适应市场需求，并不断改进以规避市场风险。</w:t>
      </w:r>
    </w:p>
    <w:p>
      <w:pPr>
        <w:pStyle w:val="BodyText"/>
        <w:spacing w:line="405" w:lineRule="auto" w:before="48"/>
        <w:ind w:right="1024" w:firstLine="420"/>
        <w:jc w:val="left"/>
      </w:pPr>
      <w:r>
        <w:rPr/>
        <w:t>（</w:t>
      </w:r>
      <w:r>
        <w:rPr>
          <w:rFonts w:ascii="Times New Roman" w:hAnsi="Times New Roman" w:cs="Times New Roman" w:eastAsia="Times New Roman" w:hint="default"/>
        </w:rPr>
        <w:t>3</w:t>
      </w:r>
      <w:r>
        <w:rPr/>
        <w:t>）境外市场经营风险：由于公司业务涉及的地域范围较广，各个国家或地区的政治环境、法律、 </w:t>
      </w:r>
      <w:r>
        <w:rPr>
          <w:spacing w:val="-3"/>
        </w:rPr>
        <w:t>税务等政策存在差异，如果公司对当地政局风险的把握不够、对相关法律法规、税务要求的了解不够全面，</w:t>
      </w:r>
      <w:r>
        <w:rPr>
          <w:spacing w:val="-90"/>
        </w:rPr>
        <w:t> </w:t>
      </w:r>
      <w:r>
        <w:rPr>
          <w:spacing w:val="-90"/>
        </w:rPr>
      </w:r>
      <w:r>
        <w:rPr/>
        <w:t>可能会面临境外运营的产品无法满足当地监管政策要求的风险。如果公司的运营触犯了当地政府的法律法</w:t>
      </w:r>
      <w:r>
        <w:rPr/>
        <w:t> 规，还可能会遭受处罚，甚至导致运营平台关闭，无法正常运营。此外，各个国家的文化背景和市场情况 也各不相同，用户对于互联网产品的不同偏好可能导致公司在境内运营成功的产品不能很好地适应境外市 场。公司在进行境外市场的开发时，如果对部分国家或地区的互联网产品运营模式不够了解，导致前期投 入的市场开发资金不能达到预想的效果，可能会给公司未来的经营造成不利的影响。</w:t>
      </w:r>
    </w:p>
    <w:p>
      <w:pPr>
        <w:pStyle w:val="BodyText"/>
        <w:spacing w:line="403" w:lineRule="auto" w:before="48"/>
        <w:ind w:right="1109" w:firstLine="420"/>
        <w:jc w:val="both"/>
      </w:pPr>
      <w:r>
        <w:rPr/>
        <w:t>（</w:t>
      </w:r>
      <w:r>
        <w:rPr>
          <w:rFonts w:ascii="Times New Roman" w:hAnsi="Times New Roman" w:cs="Times New Roman" w:eastAsia="Times New Roman" w:hint="default"/>
        </w:rPr>
        <w:t>4</w:t>
      </w:r>
      <w:r>
        <w:rPr/>
        <w:t>）知识产权风险：公司在进行自主研发游戏产品的过程中，可能会因为公司与知识产权方对于知 </w:t>
      </w:r>
      <w:r>
        <w:rPr>
          <w:spacing w:val="-1"/>
        </w:rPr>
        <w:t>识产权的理解出现偏差，或调查过程中出现失误，导致面临第三方提出侵犯他人知识产权诉讼的风险。若</w:t>
      </w:r>
      <w:r>
        <w:rPr>
          <w:spacing w:val="-83"/>
        </w:rPr>
        <w:t> </w:t>
      </w:r>
      <w:r>
        <w:rPr>
          <w:spacing w:val="-83"/>
        </w:rPr>
      </w:r>
      <w:r>
        <w:rPr>
          <w:spacing w:val="-1"/>
        </w:rPr>
        <w:t>公司产品进一步被有权机关认定为侵犯他人知识产权，则可能导致公司承担相应的侵权责任，且必须对原</w:t>
      </w:r>
      <w:r>
        <w:rPr>
          <w:spacing w:val="-81"/>
        </w:rPr>
        <w:t> </w:t>
      </w:r>
      <w:r>
        <w:rPr>
          <w:spacing w:val="-81"/>
        </w:rPr>
      </w:r>
      <w:r>
        <w:rPr>
          <w:spacing w:val="-1"/>
        </w:rPr>
        <w:t>有产品进行修改或调整，甚至可能导致公司产品下架，从而对公司经营业绩产生不利影响。对此，公司从</w:t>
      </w:r>
      <w:r>
        <w:rPr>
          <w:spacing w:val="-86"/>
        </w:rPr>
        <w:t> </w:t>
      </w:r>
      <w:r>
        <w:rPr>
          <w:spacing w:val="-86"/>
        </w:rPr>
      </w:r>
      <w:r>
        <w:rPr/>
        <w:t>源头把控，提高相关员工维护知识产权的意识和相关知识，寻求知识产权清晰的合作方，规范合同条款， 尽可能规避侵犯他人知识产权的可能性。如双方出现纠纷，则积极采取应对措施，将双方损失降至最低。</w:t>
      </w:r>
    </w:p>
    <w:p>
      <w:pPr>
        <w:pStyle w:val="BodyText"/>
        <w:spacing w:line="398" w:lineRule="auto" w:before="50"/>
        <w:ind w:right="1026" w:firstLine="420"/>
        <w:jc w:val="both"/>
      </w:pPr>
      <w:r>
        <w:rPr/>
        <w:t>（</w:t>
      </w:r>
      <w:r>
        <w:rPr>
          <w:rFonts w:ascii="Times New Roman" w:hAnsi="Times New Roman" w:cs="Times New Roman" w:eastAsia="Times New Roman" w:hint="default"/>
        </w:rPr>
        <w:t>5</w:t>
      </w:r>
      <w:r>
        <w:rPr/>
        <w:t>）游戏产品生命周期风险：网络游戏本身具有生命周期，几乎所有游戏均需经历成长期、爆发期 和衰退期。若公司不能及时对现有游戏进行更新维护、版本升级和持续的市场推广，或玩家偏好发生了变 </w:t>
      </w:r>
      <w:r>
        <w:rPr>
          <w:spacing w:val="-3"/>
        </w:rPr>
        <w:t>化，则公司已上线运营的游戏迅速进入衰退期，收入迅速下降，导致公司游戏产品有生命周期过短的风险。</w:t>
      </w:r>
    </w:p>
    <w:p>
      <w:pPr>
        <w:spacing w:after="0" w:line="398" w:lineRule="auto"/>
        <w:jc w:val="both"/>
        <w:sectPr>
          <w:pgSz w:w="11910" w:h="16840"/>
          <w:pgMar w:header="877" w:footer="979" w:top="1100" w:bottom="1160" w:left="0" w:right="0"/>
        </w:sectPr>
      </w:pPr>
    </w:p>
    <w:p>
      <w:pPr>
        <w:spacing w:line="240" w:lineRule="auto" w:before="8"/>
        <w:rPr>
          <w:rFonts w:ascii="宋体" w:hAnsi="宋体" w:cs="宋体" w:eastAsia="宋体" w:hint="default"/>
          <w:sz w:val="26"/>
          <w:szCs w:val="26"/>
        </w:rPr>
      </w:pPr>
    </w:p>
    <w:p>
      <w:pPr>
        <w:pStyle w:val="BodyText"/>
        <w:spacing w:line="386" w:lineRule="auto" w:before="35"/>
        <w:ind w:right="1132"/>
        <w:jc w:val="both"/>
      </w:pPr>
      <w:r>
        <w:rPr/>
        <w:t>对此，公司在游戏项目立项时，便针对游戏生命周期进行了策划和预估。公司目前所有的</w:t>
      </w:r>
      <w:r>
        <w:rPr>
          <w:rFonts w:ascii="Times New Roman" w:hAnsi="Times New Roman" w:cs="Times New Roman" w:eastAsia="Times New Roman" w:hint="default"/>
        </w:rPr>
        <w:t>IP</w:t>
      </w:r>
      <w:r>
        <w:rPr/>
        <w:t>储备，均为在 全球范围内有一定影响力，并且可以影响一代人的可持续经营的优质</w:t>
      </w:r>
      <w:r>
        <w:rPr>
          <w:rFonts w:ascii="Times New Roman" w:hAnsi="Times New Roman" w:cs="Times New Roman" w:eastAsia="Times New Roman" w:hint="default"/>
        </w:rPr>
        <w:t>IP</w:t>
      </w:r>
      <w:r>
        <w:rPr/>
        <w:t>。游戏上线后，公司会及时针对玩 家喜好，对游戏进行更新维护、版本升级和市场推广，尽可能保持产品的生命力和用户活跃度。</w:t>
      </w:r>
    </w:p>
    <w:p>
      <w:pPr>
        <w:pStyle w:val="BodyText"/>
        <w:spacing w:line="403" w:lineRule="auto" w:before="65"/>
        <w:ind w:right="1024" w:firstLine="420"/>
        <w:jc w:val="left"/>
      </w:pPr>
      <w:r>
        <w:rPr/>
        <w:t>（</w:t>
      </w:r>
      <w:r>
        <w:rPr>
          <w:rFonts w:ascii="Times New Roman" w:hAnsi="Times New Roman" w:cs="Times New Roman" w:eastAsia="Times New Roman" w:hint="default"/>
        </w:rPr>
        <w:t>6</w:t>
      </w:r>
      <w:r>
        <w:rPr/>
        <w:t>）新游戏开发和运营失败风险：随着网络游戏市场的快速发展，行业竞争日趋激烈，游戏产品大 量增加，同质化现象日益严重。如果公司不能及时洞察市场变化，持续不断地进行新游戏和新技术研发， 或公司对市场需求的理解出现偏差，新游戏和新技术与市场需求不符，将导致公司面临新游戏开发和运营 </w:t>
      </w:r>
      <w:r>
        <w:rPr>
          <w:spacing w:val="-3"/>
        </w:rPr>
        <w:t>失败的风险。公司成立多个事业部，分别针对各类细分游戏市场长期深耕，行业理解透彻，相关资源丰富。</w:t>
      </w:r>
      <w:r>
        <w:rPr>
          <w:spacing w:val="-95"/>
        </w:rPr>
        <w:t> </w:t>
      </w:r>
      <w:r>
        <w:rPr>
          <w:spacing w:val="-95"/>
        </w:rPr>
      </w:r>
      <w:r>
        <w:rPr/>
        <w:t>研发期间随时洞察行业变化，积极学习新技术、新趋势，使得研发团队实力始终处于行业领先地位。</w:t>
      </w:r>
    </w:p>
    <w:p>
      <w:pPr>
        <w:pStyle w:val="BodyText"/>
        <w:spacing w:line="403" w:lineRule="auto" w:before="50"/>
        <w:ind w:right="1110" w:firstLine="420"/>
        <w:jc w:val="both"/>
      </w:pPr>
      <w:r>
        <w:rPr/>
        <w:t>（</w:t>
      </w:r>
      <w:r>
        <w:rPr>
          <w:rFonts w:ascii="Times New Roman" w:hAnsi="Times New Roman" w:cs="Times New Roman" w:eastAsia="Times New Roman" w:hint="default"/>
        </w:rPr>
        <w:t>7</w:t>
      </w:r>
      <w:r>
        <w:rPr/>
        <w:t>）核心管理和技术人才流失的风险：对于互联网公司而言，掌握行业核心技术与保持核心技术团 </w:t>
      </w:r>
      <w:r>
        <w:rPr>
          <w:spacing w:val="-1"/>
        </w:rPr>
        <w:t>队稳定是公司生存和发展的根本。互联网企业一般都面临人员流动大、知识结构更新快的问题，行业内的</w:t>
      </w:r>
      <w:r>
        <w:rPr>
          <w:spacing w:val="-83"/>
        </w:rPr>
        <w:t> </w:t>
      </w:r>
      <w:r>
        <w:rPr>
          <w:spacing w:val="-83"/>
        </w:rPr>
      </w:r>
      <w:r>
        <w:rPr>
          <w:spacing w:val="-1"/>
        </w:rPr>
        <w:t>市场竞争也越来越体现为高素质人才之间的竞争。为了稳定公司的管理、技术和运营团队，公司提供有竞</w:t>
      </w:r>
      <w:r>
        <w:rPr>
          <w:spacing w:val="-83"/>
        </w:rPr>
        <w:t> </w:t>
      </w:r>
      <w:r>
        <w:rPr>
          <w:spacing w:val="-83"/>
        </w:rPr>
      </w:r>
      <w:r>
        <w:rPr/>
        <w:t>争力的薪酬福利和建立公平的竞争晋升机制，提供全面、完善的培训计划，创造开放、协作的工作环境， 提倡</w:t>
      </w:r>
      <w:r>
        <w:rPr>
          <w:rFonts w:ascii="Times New Roman" w:hAnsi="Times New Roman" w:cs="Times New Roman" w:eastAsia="Times New Roman" w:hint="default"/>
        </w:rPr>
        <w:t>“</w:t>
      </w:r>
      <w:r>
        <w:rPr/>
        <w:t>专注、创新</w:t>
      </w:r>
      <w:r>
        <w:rPr>
          <w:rFonts w:ascii="Times New Roman" w:hAnsi="Times New Roman" w:cs="Times New Roman" w:eastAsia="Times New Roman" w:hint="default"/>
        </w:rPr>
        <w:t>”</w:t>
      </w:r>
      <w:r>
        <w:rPr/>
        <w:t>的企业文化，吸引并培养管理和技术人才，公司的核心骨干人员也直接或间接持有公司 </w:t>
      </w:r>
      <w:r>
        <w:rPr>
          <w:spacing w:val="-1"/>
        </w:rPr>
        <w:t>股份。但是，如果公司之后核心骨干人员流失且无法吸引新的优秀人才加入，将对公司的经营造成不利影</w:t>
      </w:r>
      <w:r>
        <w:rPr>
          <w:spacing w:val="-83"/>
        </w:rPr>
        <w:t> </w:t>
      </w:r>
      <w:r>
        <w:rPr>
          <w:spacing w:val="-83"/>
        </w:rPr>
      </w:r>
      <w:r>
        <w:rPr>
          <w:spacing w:val="-1"/>
        </w:rPr>
        <w:t>响。公司将在保障现有人才队伍稳定及后续人才持续培养的同时，以优厚的待遇及激励机制，引进行业中</w:t>
      </w:r>
      <w:r>
        <w:rPr>
          <w:spacing w:val="-83"/>
        </w:rPr>
        <w:t> </w:t>
      </w:r>
      <w:r>
        <w:rPr>
          <w:spacing w:val="-83"/>
        </w:rPr>
      </w:r>
      <w:r>
        <w:rPr/>
        <w:t>优秀的人才为公司服务，以满足公司业务持续快速发展的需要。</w:t>
      </w:r>
    </w:p>
    <w:p>
      <w:pPr>
        <w:pStyle w:val="BodyText"/>
        <w:spacing w:line="398" w:lineRule="auto" w:before="50"/>
        <w:ind w:right="1127" w:firstLine="420"/>
        <w:jc w:val="both"/>
      </w:pPr>
      <w:r>
        <w:rPr/>
        <w:t>（</w:t>
      </w:r>
      <w:r>
        <w:rPr>
          <w:rFonts w:ascii="Times New Roman" w:hAnsi="Times New Roman" w:cs="Times New Roman" w:eastAsia="Times New Roman" w:hint="default"/>
        </w:rPr>
        <w:t>8</w:t>
      </w:r>
      <w:r>
        <w:rPr/>
        <w:t>）汇率风险：自公司开始布局海外市场至今，公司境外业务收入占总收入的比重较大且呈现快速 </w:t>
      </w:r>
      <w:r>
        <w:rPr>
          <w:spacing w:val="-1"/>
        </w:rPr>
        <w:t>增长的态势。公司自</w:t>
      </w:r>
      <w:r>
        <w:rPr>
          <w:rFonts w:ascii="Times New Roman" w:hAnsi="Times New Roman" w:cs="Times New Roman" w:eastAsia="Times New Roman" w:hint="default"/>
          <w:spacing w:val="-1"/>
        </w:rPr>
        <w:t>2009</w:t>
      </w:r>
      <w:r>
        <w:rPr>
          <w:spacing w:val="-1"/>
        </w:rPr>
        <w:t>年开始布局海外市场，目前已经分别在香港、日本、韩国、马来西亚、美国、英</w:t>
      </w:r>
      <w:r>
        <w:rPr>
          <w:spacing w:val="-85"/>
        </w:rPr>
        <w:t> </w:t>
      </w:r>
      <w:r>
        <w:rPr>
          <w:spacing w:val="-85"/>
        </w:rPr>
      </w:r>
      <w:r>
        <w:rPr/>
        <w:t>国等地区设立子公司。一方面，公司与境外支付渠道的结算涉及美元、港币等货币，账期一般在</w:t>
      </w:r>
      <w:r>
        <w:rPr>
          <w:rFonts w:ascii="Times New Roman" w:hAnsi="Times New Roman" w:cs="Times New Roman" w:eastAsia="Times New Roman" w:hint="default"/>
        </w:rPr>
        <w:t>3</w:t>
      </w:r>
      <w:r>
        <w:rPr/>
        <w:t>个月以</w:t>
      </w:r>
      <w:r>
        <w:rPr>
          <w:spacing w:val="-23"/>
        </w:rPr>
        <w:t> </w:t>
      </w:r>
      <w:r>
        <w:rPr>
          <w:spacing w:val="-1"/>
        </w:rPr>
        <w:t>内，期间应收账款中的外币资产会面临一定的汇率风险。另一方面，母公司报表及合并报表的记账单位是</w:t>
      </w:r>
      <w:r>
        <w:rPr>
          <w:spacing w:val="-83"/>
        </w:rPr>
        <w:t> </w:t>
      </w:r>
      <w:r>
        <w:rPr>
          <w:spacing w:val="-83"/>
        </w:rPr>
      </w:r>
      <w:r>
        <w:rPr>
          <w:spacing w:val="-1"/>
        </w:rPr>
        <w:t>人民币，境外子公司的期末报表外币折算时同样面临汇率风险。综上，如果未来我国汇率政策发生重大变</w:t>
      </w:r>
      <w:r>
        <w:rPr>
          <w:spacing w:val="-83"/>
        </w:rPr>
        <w:t> </w:t>
      </w:r>
      <w:r>
        <w:rPr>
          <w:spacing w:val="-83"/>
        </w:rPr>
      </w:r>
      <w:r>
        <w:rPr>
          <w:spacing w:val="-1"/>
        </w:rPr>
        <w:t>化或者未来人民币的汇率出现大幅波动，公司可能面临一定的汇率波动风险。在应对汇率风险方面，公司</w:t>
      </w:r>
      <w:r>
        <w:rPr>
          <w:spacing w:val="-83"/>
        </w:rPr>
        <w:t> </w:t>
      </w:r>
      <w:r>
        <w:rPr>
          <w:spacing w:val="-83"/>
        </w:rPr>
      </w:r>
      <w:r>
        <w:rPr>
          <w:spacing w:val="-1"/>
        </w:rPr>
        <w:t>将培养和强化汇率风险防范意识，随时密切注视国际外汇市场相关货币的变化趋势，培养和吸收高素质的</w:t>
      </w:r>
      <w:r>
        <w:rPr>
          <w:spacing w:val="-81"/>
        </w:rPr>
        <w:t> </w:t>
      </w:r>
      <w:r>
        <w:rPr>
          <w:spacing w:val="-81"/>
        </w:rPr>
      </w:r>
      <w:r>
        <w:rPr/>
        <w:t>外汇风险管理人才，同时形成防范汇率风险的有效管理机制，并从合同等源头控制交易风险。</w:t>
      </w:r>
    </w:p>
    <w:p>
      <w:pPr>
        <w:pStyle w:val="BodyText"/>
        <w:spacing w:line="396" w:lineRule="auto" w:before="54"/>
        <w:ind w:right="1024" w:firstLine="420"/>
        <w:jc w:val="left"/>
      </w:pPr>
      <w:r>
        <w:rPr/>
        <w:t>（</w:t>
      </w:r>
      <w:r>
        <w:rPr>
          <w:rFonts w:ascii="Times New Roman" w:hAnsi="Times New Roman" w:cs="Times New Roman" w:eastAsia="Times New Roman" w:hint="default"/>
        </w:rPr>
        <w:t>9</w:t>
      </w:r>
      <w:r>
        <w:rPr/>
        <w:t>）投资项目业绩不及预期风险：上市以来，公司已经陆续在互联网工具、社交平台、软件工具、 </w:t>
      </w:r>
      <w:r>
        <w:rPr>
          <w:rFonts w:ascii="Times New Roman" w:hAnsi="Times New Roman" w:cs="Times New Roman" w:eastAsia="Times New Roman" w:hint="default"/>
        </w:rPr>
        <w:t>O2O</w:t>
      </w:r>
      <w:r>
        <w:rPr/>
        <w:t>、视频直播、网络游戏等方向进行了投资布局，并在趣店、映客、银客、随手科技、洋钱罐、信达天 下、</w:t>
      </w:r>
      <w:r>
        <w:rPr>
          <w:rFonts w:ascii="Times New Roman" w:hAnsi="Times New Roman" w:cs="Times New Roman" w:eastAsia="Times New Roman" w:hint="default"/>
        </w:rPr>
        <w:t>Lendinvest</w:t>
      </w:r>
      <w:r>
        <w:rPr/>
        <w:t>、汇量科技、有米科技等项目中获得了投资收益。但由于互联网市场竞争激烈、新型公司</w:t>
      </w:r>
      <w:r>
        <w:rPr>
          <w:spacing w:val="-26"/>
        </w:rPr>
        <w:t> </w:t>
      </w:r>
      <w:r>
        <w:rPr>
          <w:spacing w:val="-26"/>
        </w:rPr>
      </w:r>
      <w:r>
        <w:rPr>
          <w:spacing w:val="-3"/>
        </w:rPr>
        <w:t>层出不穷、商业模式不断创新、技术手段不断更迭，所以公司投资的相关项目面临着业绩不及预期的风险。</w:t>
      </w:r>
      <w:r>
        <w:rPr>
          <w:spacing w:val="-90"/>
        </w:rPr>
        <w:t> </w:t>
      </w:r>
      <w:r>
        <w:rPr>
          <w:spacing w:val="-90"/>
        </w:rPr>
      </w:r>
      <w:r>
        <w:rPr/>
        <w:t>公司会在投资决策前进行完整详实的市场论证和尽职调查，投资后及时关注被投公司的经营状况及所在行</w:t>
      </w:r>
      <w:r>
        <w:rPr/>
        <w:t> 业变化趋势，不断强化公司的治理行为，充分给予投资并购公司发展空间和必要的资源共享。</w:t>
      </w:r>
    </w:p>
    <w:p>
      <w:pPr>
        <w:spacing w:after="0" w:line="396" w:lineRule="auto"/>
        <w:jc w:val="left"/>
        <w:sectPr>
          <w:pgSz w:w="11910" w:h="16840"/>
          <w:pgMar w:header="877" w:footer="979" w:top="1100" w:bottom="1160" w:left="0" w:right="0"/>
        </w:sectPr>
      </w:pPr>
    </w:p>
    <w:p>
      <w:pPr>
        <w:spacing w:line="240" w:lineRule="auto" w:before="8"/>
        <w:rPr>
          <w:rFonts w:ascii="宋体" w:hAnsi="宋体" w:cs="宋体" w:eastAsia="宋体" w:hint="default"/>
          <w:sz w:val="26"/>
          <w:szCs w:val="26"/>
        </w:rPr>
      </w:pPr>
    </w:p>
    <w:p>
      <w:pPr>
        <w:pStyle w:val="BodyText"/>
        <w:spacing w:line="403" w:lineRule="auto" w:before="35"/>
        <w:ind w:left="1134" w:right="1020" w:firstLine="420"/>
        <w:jc w:val="left"/>
      </w:pPr>
      <w:r>
        <w:rPr>
          <w:spacing w:val="-3"/>
        </w:rPr>
        <w:t>（</w:t>
      </w:r>
      <w:r>
        <w:rPr>
          <w:rFonts w:ascii="Times New Roman" w:hAnsi="Times New Roman" w:cs="Times New Roman" w:eastAsia="Times New Roman" w:hint="default"/>
          <w:spacing w:val="-3"/>
        </w:rPr>
        <w:t>10</w:t>
      </w:r>
      <w:r>
        <w:rPr>
          <w:spacing w:val="-3"/>
        </w:rPr>
        <w:t>）公司规模扩大带来的管理风险：目前公司的主营业务包括社交平台、网络游戏、休闲娱乐平台、</w:t>
      </w:r>
      <w:r>
        <w:rPr/>
        <w:t> 投资等板块，经营规模愈加庞大，组织结构愈加复杂，这将对公司的经营管理、财务规划以及人力资源配 置等提出更高要求。如果公司的管理水平不能随之提升，可能面临相应的运营管理和内部控制等方面的挑 战。公司将进一步完善法人治理结构，提高公司治理水平，建立更加有效的运行机制，确保公司各项业务 计划的平稳实施、有序进行。目前，公司整体战略和发展目标由董事长把控，并在每条业务线上委派业务 线</w:t>
      </w:r>
      <w:r>
        <w:rPr>
          <w:rFonts w:ascii="Times New Roman" w:hAnsi="Times New Roman" w:cs="Times New Roman" w:eastAsia="Times New Roman" w:hint="default"/>
        </w:rPr>
        <w:t>CEO</w:t>
      </w:r>
      <w:r>
        <w:rPr/>
        <w:t>负责相关工作的执行，确保各业务线的有序进行。</w:t>
      </w:r>
    </w:p>
    <w:p>
      <w:pPr>
        <w:pStyle w:val="BodyText"/>
        <w:spacing w:line="398" w:lineRule="auto" w:before="19"/>
        <w:ind w:right="1132" w:firstLine="420"/>
        <w:jc w:val="both"/>
      </w:pPr>
      <w:r>
        <w:rPr>
          <w:spacing w:val="-2"/>
        </w:rPr>
        <w:t>（</w:t>
      </w:r>
      <w:r>
        <w:rPr>
          <w:rFonts w:ascii="宋体" w:hAnsi="宋体" w:cs="宋体" w:eastAsia="宋体" w:hint="default"/>
          <w:spacing w:val="-2"/>
        </w:rPr>
        <w:t>11</w:t>
      </w:r>
      <w:r>
        <w:rPr>
          <w:spacing w:val="-2"/>
        </w:rPr>
        <w:t>）公司在收购闲徕互娱和</w:t>
      </w:r>
      <w:r>
        <w:rPr>
          <w:rFonts w:ascii="Times New Roman" w:hAnsi="Times New Roman" w:cs="Times New Roman" w:eastAsia="Times New Roman" w:hint="default"/>
          <w:spacing w:val="-2"/>
        </w:rPr>
        <w:t>Grindr</w:t>
      </w:r>
      <w:r>
        <w:rPr>
          <w:spacing w:val="-2"/>
        </w:rPr>
        <w:t>时均形成了一定的商誉，</w:t>
      </w:r>
      <w:r>
        <w:rPr>
          <w:rFonts w:ascii="Times New Roman" w:hAnsi="Times New Roman" w:cs="Times New Roman" w:eastAsia="Times New Roman" w:hint="default"/>
          <w:spacing w:val="-2"/>
        </w:rPr>
        <w:t>2017</w:t>
      </w:r>
      <w:r>
        <w:rPr>
          <w:spacing w:val="-2"/>
        </w:rPr>
        <w:t>年度，闲徕互娱和</w:t>
      </w:r>
      <w:r>
        <w:rPr>
          <w:rFonts w:ascii="Times New Roman" w:hAnsi="Times New Roman" w:cs="Times New Roman" w:eastAsia="Times New Roman" w:hint="default"/>
          <w:spacing w:val="-2"/>
        </w:rPr>
        <w:t>Grindr</w:t>
      </w:r>
      <w:r>
        <w:rPr>
          <w:spacing w:val="-2"/>
        </w:rPr>
        <w:t>运营及盈利</w:t>
      </w:r>
      <w:r>
        <w:rPr/>
        <w:t> </w:t>
      </w:r>
      <w:r>
        <w:rPr>
          <w:spacing w:val="-1"/>
        </w:rPr>
        <w:t>情况良好，超出预期，未来如果其所处行业的竞争格局、政策环境发生重大不利变化，可能会对闲徕互娱</w:t>
      </w:r>
      <w:r>
        <w:rPr>
          <w:spacing w:val="-86"/>
        </w:rPr>
        <w:t> </w:t>
      </w:r>
      <w:r>
        <w:rPr>
          <w:spacing w:val="-86"/>
        </w:rPr>
      </w:r>
      <w:r>
        <w:rPr/>
        <w:t>和</w:t>
      </w:r>
      <w:r>
        <w:rPr>
          <w:rFonts w:ascii="Times New Roman" w:hAnsi="Times New Roman" w:cs="Times New Roman" w:eastAsia="Times New Roman" w:hint="default"/>
        </w:rPr>
        <w:t>Grindr</w:t>
      </w:r>
      <w:r>
        <w:rPr/>
        <w:t>的经营业绩产生一定程度的不利影响，公司可能面临闲徕互娱和</w:t>
      </w:r>
      <w:r>
        <w:rPr>
          <w:rFonts w:ascii="Times New Roman" w:hAnsi="Times New Roman" w:cs="Times New Roman" w:eastAsia="Times New Roman" w:hint="default"/>
        </w:rPr>
        <w:t>Grindr</w:t>
      </w:r>
      <w:r>
        <w:rPr/>
        <w:t>商誉计提减值的风险。</w:t>
      </w:r>
    </w:p>
    <w:p>
      <w:pPr>
        <w:spacing w:line="240" w:lineRule="auto" w:before="2"/>
        <w:rPr>
          <w:rFonts w:ascii="宋体" w:hAnsi="宋体" w:cs="宋体" w:eastAsia="宋体" w:hint="default"/>
          <w:sz w:val="17"/>
          <w:szCs w:val="17"/>
        </w:rPr>
      </w:pPr>
    </w:p>
    <w:p>
      <w:pPr>
        <w:pStyle w:val="Heading4"/>
        <w:spacing w:line="240" w:lineRule="auto"/>
        <w:ind w:right="998"/>
        <w:jc w:val="left"/>
        <w:rPr>
          <w:b w:val="0"/>
          <w:bCs w:val="0"/>
        </w:rPr>
      </w:pPr>
      <w:bookmarkStart w:name="十、接待调研、沟通、采访等活动登记表" w:id="60"/>
      <w:bookmarkEnd w:id="60"/>
      <w:r>
        <w:rPr>
          <w:b w:val="0"/>
          <w:bCs w:val="0"/>
        </w:rPr>
      </w:r>
      <w:r>
        <w:rPr/>
        <w:t>十、接待调研、沟通、采访等活动登记表</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报告期内接待调研、沟通、采访等活动登记表" w:id="61"/>
      <w:bookmarkEnd w:id="61"/>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8"/>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151" w:type="dxa"/>
        <w:tblLayout w:type="fixed"/>
        <w:tblCellMar>
          <w:top w:w="0" w:type="dxa"/>
          <w:left w:w="0" w:type="dxa"/>
          <w:bottom w:w="0" w:type="dxa"/>
          <w:right w:w="0" w:type="dxa"/>
        </w:tblCellMar>
        <w:tblLook w:val="01E0"/>
      </w:tblPr>
      <w:tblGrid>
        <w:gridCol w:w="2179"/>
        <w:gridCol w:w="2178"/>
        <w:gridCol w:w="2177"/>
        <w:gridCol w:w="3037"/>
      </w:tblGrid>
      <w:tr>
        <w:trPr>
          <w:trHeight w:val="415" w:hRule="exact"/>
        </w:trPr>
        <w:tc>
          <w:tcPr>
            <w:tcW w:w="2179"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715" w:right="0"/>
              <w:jc w:val="left"/>
              <w:rPr>
                <w:rFonts w:ascii="宋体" w:hAnsi="宋体" w:cs="宋体" w:eastAsia="宋体" w:hint="default"/>
                <w:sz w:val="18"/>
                <w:szCs w:val="18"/>
              </w:rPr>
            </w:pPr>
            <w:r>
              <w:rPr>
                <w:rFonts w:ascii="宋体" w:hAnsi="宋体" w:cs="宋体" w:eastAsia="宋体" w:hint="default"/>
                <w:sz w:val="18"/>
                <w:szCs w:val="18"/>
              </w:rPr>
              <w:t>接待时间</w:t>
            </w:r>
          </w:p>
        </w:tc>
        <w:tc>
          <w:tcPr>
            <w:tcW w:w="217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接待方式</w:t>
            </w:r>
          </w:p>
        </w:tc>
        <w:tc>
          <w:tcPr>
            <w:tcW w:w="217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541"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037"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701"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1039" w:hRule="exact"/>
        </w:trPr>
        <w:tc>
          <w:tcPr>
            <w:tcW w:w="217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1"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6" w:space="0" w:color="000000"/>
              <w:left w:val="single" w:sz="6" w:space="0" w:color="000000"/>
              <w:bottom w:val="single" w:sz="12" w:space="0" w:color="000000"/>
              <w:right w:val="single" w:sz="12" w:space="0" w:color="000000"/>
            </w:tcBorders>
          </w:tcPr>
          <w:p>
            <w:pPr>
              <w:pStyle w:val="TableParagraph"/>
              <w:spacing w:line="309" w:lineRule="auto" w:before="52"/>
              <w:ind w:left="20" w:right="11"/>
              <w:jc w:val="left"/>
              <w:rPr>
                <w:rFonts w:ascii="宋体" w:hAnsi="宋体" w:cs="宋体" w:eastAsia="宋体" w:hint="default"/>
                <w:sz w:val="18"/>
                <w:szCs w:val="18"/>
              </w:rPr>
            </w:pPr>
            <w:r>
              <w:rPr>
                <w:rFonts w:ascii="宋体" w:hAnsi="宋体" w:cs="宋体" w:eastAsia="宋体" w:hint="default"/>
                <w:sz w:val="18"/>
                <w:szCs w:val="18"/>
              </w:rPr>
              <w:t>详见深圳证券交易所网站互动易平台 </w:t>
            </w:r>
            <w:r>
              <w:rPr>
                <w:rFonts w:ascii="宋体" w:hAnsi="宋体" w:cs="宋体" w:eastAsia="宋体" w:hint="default"/>
                <w:spacing w:val="-5"/>
                <w:sz w:val="18"/>
                <w:szCs w:val="18"/>
              </w:rPr>
              <w:t>上的《</w:t>
            </w:r>
            <w:r>
              <w:rPr>
                <w:rFonts w:ascii="Times New Roman" w:hAnsi="Times New Roman" w:cs="Times New Roman" w:eastAsia="Times New Roman" w:hint="default"/>
                <w:spacing w:val="-5"/>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日投资者关系活 动记录表》</w:t>
            </w:r>
          </w:p>
        </w:tc>
      </w:tr>
    </w:tbl>
    <w:p>
      <w:pPr>
        <w:spacing w:after="0" w:line="309" w:lineRule="auto"/>
        <w:jc w:val="left"/>
        <w:rPr>
          <w:rFonts w:ascii="宋体" w:hAnsi="宋体" w:cs="宋体" w:eastAsia="宋体" w:hint="default"/>
          <w:sz w:val="18"/>
          <w:szCs w:val="18"/>
        </w:rPr>
        <w:sectPr>
          <w:pgSz w:w="11910" w:h="16840"/>
          <w:pgMar w:header="877" w:footer="979" w:top="110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right="3403"/>
        <w:jc w:val="center"/>
        <w:rPr>
          <w:b w:val="0"/>
          <w:bCs w:val="0"/>
        </w:rPr>
      </w:pPr>
      <w:bookmarkStart w:name="_TOC_250007" w:id="62"/>
      <w:bookmarkStart w:name="第五节 重要事项" w:id="63"/>
      <w:r>
        <w:rPr>
          <w:b w:val="0"/>
          <w:bCs w:val="0"/>
        </w:rPr>
      </w:r>
      <w:r>
        <w:rPr/>
        <w:t>第五节</w:t>
      </w:r>
      <w:r>
        <w:rPr>
          <w:spacing w:val="-5"/>
        </w:rPr>
        <w:t> </w:t>
      </w:r>
      <w:r>
        <w:rPr/>
        <w:t>重要事项</w:t>
      </w:r>
      <w:bookmarkEnd w:id="62"/>
      <w:r>
        <w:rPr>
          <w:b w:val="0"/>
          <w:bCs w:val="0"/>
        </w:rPr>
      </w:r>
    </w:p>
    <w:p>
      <w:pPr>
        <w:spacing w:line="240" w:lineRule="auto" w:before="12"/>
        <w:rPr>
          <w:rFonts w:ascii="宋体" w:hAnsi="宋体" w:cs="宋体" w:eastAsia="宋体" w:hint="default"/>
          <w:b/>
          <w:bCs/>
          <w:sz w:val="38"/>
          <w:szCs w:val="38"/>
        </w:rPr>
      </w:pPr>
    </w:p>
    <w:p>
      <w:pPr>
        <w:pStyle w:val="Heading4"/>
        <w:spacing w:line="240" w:lineRule="auto"/>
        <w:ind w:right="998"/>
        <w:jc w:val="left"/>
        <w:rPr>
          <w:b w:val="0"/>
          <w:bCs w:val="0"/>
        </w:rPr>
      </w:pPr>
      <w:bookmarkStart w:name="一、公司普通股利润分配及资本公积金转增股本情况" w:id="64"/>
      <w:bookmarkEnd w:id="64"/>
      <w:r>
        <w:rPr>
          <w:b w:val="0"/>
          <w:bCs w:val="0"/>
        </w:rPr>
      </w:r>
      <w:r>
        <w:rPr/>
        <w:t>一、公司普通股利润分配及资本公积金转增股本情况</w:t>
      </w:r>
      <w:r>
        <w:rPr>
          <w:b w:val="0"/>
          <w:bCs w:val="0"/>
        </w:rPr>
      </w:r>
    </w:p>
    <w:p>
      <w:pPr>
        <w:spacing w:line="240" w:lineRule="auto" w:before="7"/>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报告期内普通股利润分配政策，特别是现金分红政策的制定、执行或调整情况</w:t>
      </w:r>
    </w:p>
    <w:p>
      <w:pPr>
        <w:spacing w:line="328" w:lineRule="auto" w:before="117"/>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r>
        <w:rPr>
          <w:rFonts w:ascii="宋体" w:hAnsi="宋体" w:cs="宋体" w:eastAsia="宋体" w:hint="default"/>
          <w:spacing w:val="-2"/>
          <w:sz w:val="18"/>
          <w:szCs w:val="18"/>
        </w:rPr>
        <w:t>报告期内公司普通股利润分配政策，符合公司章程的规定及股东大会决议的要求，分红标准和比例明确和清晰，相关的决策</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程序和机制完备，独立董事履职尽责并发挥了应有的作用，中小股东的的合法权益得到了充分保护。</w:t>
      </w:r>
    </w:p>
    <w:p>
      <w:pPr>
        <w:spacing w:line="240" w:lineRule="auto" w:before="12"/>
        <w:rPr>
          <w:rFonts w:ascii="宋体" w:hAnsi="宋体" w:cs="宋体" w:eastAsia="宋体" w:hint="default"/>
          <w:sz w:val="2"/>
          <w:szCs w:val="2"/>
        </w:rPr>
      </w:pPr>
    </w:p>
    <w:tbl>
      <w:tblPr>
        <w:tblW w:w="0" w:type="auto"/>
        <w:jc w:val="left"/>
        <w:tblInd w:w="1159" w:type="dxa"/>
        <w:tblLayout w:type="fixed"/>
        <w:tblCellMar>
          <w:top w:w="0" w:type="dxa"/>
          <w:left w:w="0" w:type="dxa"/>
          <w:bottom w:w="0" w:type="dxa"/>
          <w:right w:w="0" w:type="dxa"/>
        </w:tblCellMar>
        <w:tblLook w:val="01E0"/>
      </w:tblPr>
      <w:tblGrid>
        <w:gridCol w:w="4768"/>
        <w:gridCol w:w="4795"/>
      </w:tblGrid>
      <w:tr>
        <w:trPr>
          <w:trHeight w:val="407" w:hRule="exact"/>
        </w:trPr>
        <w:tc>
          <w:tcPr>
            <w:tcW w:w="9563" w:type="dxa"/>
            <w:gridSpan w:val="2"/>
            <w:tcBorders>
              <w:top w:val="single" w:sz="12"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1"/>
              <w:ind w:right="5"/>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415" w:hRule="exact"/>
        </w:trPr>
        <w:tc>
          <w:tcPr>
            <w:tcW w:w="4768"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8"/>
              <w:ind w:left="6"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479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8"/>
              <w:ind w:left="2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7" w:hRule="exact"/>
        </w:trPr>
        <w:tc>
          <w:tcPr>
            <w:tcW w:w="4768"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479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7" w:hRule="exact"/>
        </w:trPr>
        <w:tc>
          <w:tcPr>
            <w:tcW w:w="4768"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479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8" w:hRule="exact"/>
        </w:trPr>
        <w:tc>
          <w:tcPr>
            <w:tcW w:w="4768"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479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9" w:hRule="exact"/>
        </w:trPr>
        <w:tc>
          <w:tcPr>
            <w:tcW w:w="4768"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6" w:lineRule="auto" w:before="50"/>
              <w:ind w:left="6" w:right="57"/>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 否得到了充分保护：</w:t>
            </w:r>
          </w:p>
        </w:tc>
        <w:tc>
          <w:tcPr>
            <w:tcW w:w="479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26" w:hRule="exact"/>
        </w:trPr>
        <w:tc>
          <w:tcPr>
            <w:tcW w:w="4768"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319" w:lineRule="auto" w:before="50"/>
              <w:ind w:left="6" w:right="57"/>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现金分红政策进行调整或变更的，条件及程序是否合规、透 明：</w:t>
            </w:r>
          </w:p>
        </w:tc>
        <w:tc>
          <w:tcPr>
            <w:tcW w:w="4795" w:type="dxa"/>
            <w:tcBorders>
              <w:top w:val="single" w:sz="6" w:space="0" w:color="000000"/>
              <w:left w:val="single" w:sz="14" w:space="0" w:color="D2D2D2"/>
              <w:bottom w:val="single" w:sz="12" w:space="0" w:color="000000"/>
              <w:right w:val="single" w:sz="12"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公司报告期利润分配预案及资本公积金转增股本预案与公司章程和分红管理办法等的相关规定一致</w:t>
      </w:r>
    </w:p>
    <w:p>
      <w:pPr>
        <w:spacing w:line="348" w:lineRule="auto" w:before="117"/>
        <w:ind w:left="1133" w:right="427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宋体" w:hAnsi="宋体" w:cs="宋体" w:eastAsia="宋体" w:hint="default"/>
          <w:sz w:val="18"/>
          <w:szCs w:val="18"/>
        </w:rPr>
        <w:t>否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不适用 公司报告期利润分配预案及资本公积金转增股本预案符合公司章程等的相关规定。 本年度利润分配及资本公积金转增股本预案</w:t>
      </w:r>
    </w:p>
    <w:p>
      <w:pPr>
        <w:spacing w:line="240" w:lineRule="auto" w:before="0"/>
        <w:rPr>
          <w:rFonts w:ascii="宋体" w:hAnsi="宋体" w:cs="宋体" w:eastAsia="宋体" w:hint="default"/>
          <w:sz w:val="2"/>
          <w:szCs w:val="2"/>
        </w:rPr>
      </w:pPr>
    </w:p>
    <w:tbl>
      <w:tblPr>
        <w:tblW w:w="0" w:type="auto"/>
        <w:jc w:val="left"/>
        <w:tblInd w:w="1159" w:type="dxa"/>
        <w:tblLayout w:type="fixed"/>
        <w:tblCellMar>
          <w:top w:w="0" w:type="dxa"/>
          <w:left w:w="0" w:type="dxa"/>
          <w:bottom w:w="0" w:type="dxa"/>
          <w:right w:w="0" w:type="dxa"/>
        </w:tblCellMar>
        <w:tblLook w:val="01E0"/>
      </w:tblPr>
      <w:tblGrid>
        <w:gridCol w:w="3701"/>
        <w:gridCol w:w="5862"/>
      </w:tblGrid>
      <w:tr>
        <w:trPr>
          <w:trHeight w:val="414" w:hRule="exact"/>
        </w:trPr>
        <w:tc>
          <w:tcPr>
            <w:tcW w:w="3701"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862" w:type="dxa"/>
            <w:tcBorders>
              <w:top w:val="single" w:sz="12" w:space="0" w:color="000000"/>
              <w:left w:val="single" w:sz="15" w:space="0" w:color="D2D2D2"/>
              <w:bottom w:val="single" w:sz="6" w:space="0" w:color="000000"/>
              <w:right w:val="single" w:sz="12" w:space="0" w:color="000000"/>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z w:val="18"/>
              </w:rPr>
              <w:t>0</w:t>
            </w:r>
          </w:p>
        </w:tc>
      </w:tr>
      <w:tr>
        <w:trPr>
          <w:trHeight w:val="407" w:hRule="exact"/>
        </w:trPr>
        <w:tc>
          <w:tcPr>
            <w:tcW w:w="370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w:t>
            </w:r>
            <w:r>
              <w:rPr>
                <w:rFonts w:ascii="宋体" w:hAnsi="宋体" w:cs="宋体" w:eastAsia="宋体" w:hint="default"/>
                <w:spacing w:val="1"/>
                <w:sz w:val="18"/>
                <w:szCs w:val="18"/>
              </w:rPr>
              <w:t>数</w:t>
            </w: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862" w:type="dxa"/>
            <w:tcBorders>
              <w:top w:val="single" w:sz="6" w:space="0" w:color="000000"/>
              <w:left w:val="single" w:sz="15" w:space="0" w:color="D2D2D2"/>
              <w:bottom w:val="single" w:sz="6" w:space="0" w:color="000000"/>
              <w:right w:val="single" w:sz="12" w:space="0" w:color="000000"/>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z w:val="18"/>
              </w:rPr>
              <w:t>0.87</w:t>
            </w:r>
          </w:p>
        </w:tc>
      </w:tr>
      <w:tr>
        <w:trPr>
          <w:trHeight w:val="408" w:hRule="exact"/>
        </w:trPr>
        <w:tc>
          <w:tcPr>
            <w:tcW w:w="370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862" w:type="dxa"/>
            <w:tcBorders>
              <w:top w:val="single" w:sz="6" w:space="0" w:color="000000"/>
              <w:left w:val="single" w:sz="15" w:space="0" w:color="D2D2D2"/>
              <w:bottom w:val="single" w:sz="6" w:space="0" w:color="000000"/>
              <w:right w:val="single" w:sz="12" w:space="0" w:color="000000"/>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z w:val="18"/>
              </w:rPr>
              <w:t>0</w:t>
            </w:r>
          </w:p>
        </w:tc>
      </w:tr>
      <w:tr>
        <w:trPr>
          <w:trHeight w:val="407" w:hRule="exact"/>
        </w:trPr>
        <w:tc>
          <w:tcPr>
            <w:tcW w:w="370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0"/>
              <w:ind w:left="6"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862" w:type="dxa"/>
            <w:tcBorders>
              <w:top w:val="single" w:sz="6" w:space="0" w:color="000000"/>
              <w:left w:val="single" w:sz="15" w:space="0" w:color="D2D2D2"/>
              <w:bottom w:val="single" w:sz="6" w:space="0" w:color="000000"/>
              <w:right w:val="single" w:sz="12" w:space="0" w:color="000000"/>
            </w:tcBorders>
          </w:tcPr>
          <w:p>
            <w:pPr>
              <w:pStyle w:val="TableParagraph"/>
              <w:spacing w:line="240" w:lineRule="auto" w:before="90"/>
              <w:ind w:right="10"/>
              <w:jc w:val="right"/>
              <w:rPr>
                <w:rFonts w:ascii="Times New Roman" w:hAnsi="Times New Roman" w:cs="Times New Roman" w:eastAsia="Times New Roman" w:hint="default"/>
                <w:sz w:val="18"/>
                <w:szCs w:val="18"/>
              </w:rPr>
            </w:pPr>
            <w:r>
              <w:rPr>
                <w:rFonts w:ascii="Times New Roman"/>
                <w:spacing w:val="-1"/>
                <w:sz w:val="18"/>
              </w:rPr>
              <w:t>1,151,946,216</w:t>
            </w:r>
          </w:p>
        </w:tc>
      </w:tr>
      <w:tr>
        <w:trPr>
          <w:trHeight w:val="407" w:hRule="exact"/>
        </w:trPr>
        <w:tc>
          <w:tcPr>
            <w:tcW w:w="370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0"/>
              <w:ind w:left="6" w:right="0"/>
              <w:jc w:val="left"/>
              <w:rPr>
                <w:rFonts w:ascii="宋体" w:hAnsi="宋体" w:cs="宋体" w:eastAsia="宋体" w:hint="default"/>
                <w:sz w:val="18"/>
                <w:szCs w:val="18"/>
              </w:rPr>
            </w:pPr>
            <w:r>
              <w:rPr>
                <w:rFonts w:ascii="宋体" w:hAnsi="宋体" w:cs="宋体" w:eastAsia="宋体" w:hint="default"/>
                <w:sz w:val="18"/>
                <w:szCs w:val="18"/>
              </w:rPr>
              <w:t>现金分红总额（元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862" w:type="dxa"/>
            <w:tcBorders>
              <w:top w:val="single" w:sz="6" w:space="0" w:color="000000"/>
              <w:left w:val="single" w:sz="15" w:space="0" w:color="D2D2D2"/>
              <w:bottom w:val="single" w:sz="6" w:space="0" w:color="000000"/>
              <w:right w:val="single" w:sz="12" w:space="0" w:color="000000"/>
            </w:tcBorders>
          </w:tcPr>
          <w:p>
            <w:pPr>
              <w:pStyle w:val="TableParagraph"/>
              <w:spacing w:line="240" w:lineRule="auto" w:before="90"/>
              <w:ind w:right="10"/>
              <w:jc w:val="right"/>
              <w:rPr>
                <w:rFonts w:ascii="Times New Roman" w:hAnsi="Times New Roman" w:cs="Times New Roman" w:eastAsia="Times New Roman" w:hint="default"/>
                <w:sz w:val="18"/>
                <w:szCs w:val="18"/>
              </w:rPr>
            </w:pPr>
            <w:r>
              <w:rPr>
                <w:rFonts w:ascii="Times New Roman"/>
                <w:spacing w:val="-1"/>
                <w:sz w:val="18"/>
              </w:rPr>
              <w:t>100,219,320.79</w:t>
            </w:r>
          </w:p>
        </w:tc>
      </w:tr>
      <w:tr>
        <w:trPr>
          <w:trHeight w:val="407" w:hRule="exact"/>
        </w:trPr>
        <w:tc>
          <w:tcPr>
            <w:tcW w:w="370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0"/>
              <w:ind w:left="6"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862" w:type="dxa"/>
            <w:tcBorders>
              <w:top w:val="single" w:sz="6" w:space="0" w:color="000000"/>
              <w:left w:val="single" w:sz="15" w:space="0" w:color="D2D2D2"/>
              <w:bottom w:val="single" w:sz="6" w:space="0" w:color="000000"/>
              <w:right w:val="single" w:sz="12" w:space="0" w:color="000000"/>
            </w:tcBorders>
          </w:tcPr>
          <w:p>
            <w:pPr>
              <w:pStyle w:val="TableParagraph"/>
              <w:spacing w:line="240" w:lineRule="auto" w:before="90"/>
              <w:ind w:right="10"/>
              <w:jc w:val="right"/>
              <w:rPr>
                <w:rFonts w:ascii="Times New Roman" w:hAnsi="Times New Roman" w:cs="Times New Roman" w:eastAsia="Times New Roman" w:hint="default"/>
                <w:sz w:val="18"/>
                <w:szCs w:val="18"/>
              </w:rPr>
            </w:pPr>
            <w:r>
              <w:rPr>
                <w:rFonts w:ascii="Times New Roman"/>
                <w:spacing w:val="-1"/>
                <w:sz w:val="18"/>
              </w:rPr>
              <w:t>113,894,278.72</w:t>
            </w:r>
          </w:p>
        </w:tc>
      </w:tr>
      <w:tr>
        <w:trPr>
          <w:trHeight w:val="407" w:hRule="exact"/>
        </w:trPr>
        <w:tc>
          <w:tcPr>
            <w:tcW w:w="370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现金分红占利润分配总额的比例</w:t>
            </w:r>
          </w:p>
        </w:tc>
        <w:tc>
          <w:tcPr>
            <w:tcW w:w="5862" w:type="dxa"/>
            <w:tcBorders>
              <w:top w:val="single" w:sz="6" w:space="0" w:color="000000"/>
              <w:left w:val="single" w:sz="15" w:space="0" w:color="D2D2D2"/>
              <w:bottom w:val="single" w:sz="6" w:space="0" w:color="000000"/>
              <w:right w:val="single" w:sz="12" w:space="0" w:color="000000"/>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z w:val="18"/>
              </w:rPr>
              <w:t>100.00%</w:t>
            </w:r>
          </w:p>
        </w:tc>
      </w:tr>
      <w:tr>
        <w:trPr>
          <w:trHeight w:val="406" w:hRule="exact"/>
        </w:trPr>
        <w:tc>
          <w:tcPr>
            <w:tcW w:w="9563" w:type="dxa"/>
            <w:gridSpan w:val="2"/>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2"/>
              <w:ind w:right="5"/>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9" w:hRule="exact"/>
        </w:trPr>
        <w:tc>
          <w:tcPr>
            <w:tcW w:w="9563" w:type="dxa"/>
            <w:gridSpan w:val="2"/>
            <w:tcBorders>
              <w:top w:val="single" w:sz="6" w:space="0" w:color="000000"/>
              <w:left w:val="single" w:sz="12" w:space="0" w:color="000000"/>
              <w:bottom w:val="single" w:sz="6" w:space="0" w:color="000000"/>
              <w:right w:val="single" w:sz="12" w:space="0" w:color="000000"/>
            </w:tcBorders>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406" w:hRule="exact"/>
        </w:trPr>
        <w:tc>
          <w:tcPr>
            <w:tcW w:w="9563" w:type="dxa"/>
            <w:gridSpan w:val="2"/>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0"/>
              <w:ind w:left="2872"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727" w:hRule="exact"/>
        </w:trPr>
        <w:tc>
          <w:tcPr>
            <w:tcW w:w="9563" w:type="dxa"/>
            <w:gridSpan w:val="2"/>
            <w:tcBorders>
              <w:top w:val="single" w:sz="6" w:space="0" w:color="000000"/>
              <w:left w:val="single" w:sz="12" w:space="0" w:color="000000"/>
              <w:bottom w:val="single" w:sz="12" w:space="0" w:color="000000"/>
              <w:right w:val="single" w:sz="12" w:space="0" w:color="000000"/>
            </w:tcBorders>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年利润分配预案拟以总股本</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1,151,946,216</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股为基数，按每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股派发现金红利</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0.87</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元</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含税</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向全体股东分配，共</w:t>
            </w:r>
          </w:p>
          <w:p>
            <w:pPr>
              <w:pStyle w:val="TableParagraph"/>
              <w:spacing w:line="240" w:lineRule="auto" w:before="64"/>
              <w:ind w:left="6" w:right="0"/>
              <w:jc w:val="left"/>
              <w:rPr>
                <w:rFonts w:ascii="宋体" w:hAnsi="宋体" w:cs="宋体" w:eastAsia="宋体" w:hint="default"/>
                <w:sz w:val="18"/>
                <w:szCs w:val="18"/>
              </w:rPr>
            </w:pPr>
            <w:r>
              <w:rPr>
                <w:rFonts w:ascii="宋体" w:hAnsi="宋体" w:cs="宋体" w:eastAsia="宋体" w:hint="default"/>
                <w:sz w:val="18"/>
                <w:szCs w:val="18"/>
              </w:rPr>
              <w:t>计分配现金红利</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100,219,320.79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tc>
      </w:tr>
    </w:tbl>
    <w:p>
      <w:pPr>
        <w:spacing w:line="240" w:lineRule="auto" w:before="5"/>
        <w:rPr>
          <w:rFonts w:ascii="宋体" w:hAnsi="宋体" w:cs="宋体" w:eastAsia="宋体" w:hint="default"/>
          <w:sz w:val="6"/>
          <w:szCs w:val="6"/>
        </w:rPr>
      </w:pPr>
    </w:p>
    <w:p>
      <w:pPr>
        <w:spacing w:before="44"/>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1"/>
          <w:sz w:val="18"/>
          <w:szCs w:val="18"/>
        </w:rPr>
        <w:t>（</w:t>
      </w:r>
      <w:r>
        <w:rPr>
          <w:rFonts w:ascii="宋体" w:hAnsi="宋体" w:cs="宋体" w:eastAsia="宋体" w:hint="default"/>
          <w:sz w:val="18"/>
          <w:szCs w:val="18"/>
        </w:rPr>
        <w:t>包括本报告期）的普通股股利分配方案（预案</w:t>
      </w:r>
      <w:r>
        <w:rPr>
          <w:rFonts w:ascii="宋体" w:hAnsi="宋体" w:cs="宋体" w:eastAsia="宋体" w:hint="default"/>
          <w:spacing w:val="-90"/>
          <w:sz w:val="18"/>
          <w:szCs w:val="18"/>
        </w:rPr>
        <w:t>）</w:t>
      </w:r>
      <w:r>
        <w:rPr>
          <w:rFonts w:ascii="宋体" w:hAnsi="宋体" w:cs="宋体" w:eastAsia="宋体" w:hint="default"/>
          <w:sz w:val="18"/>
          <w:szCs w:val="18"/>
        </w:rPr>
        <w:t>、资本公积金转增股本方案（预案）情况</w:t>
      </w:r>
    </w:p>
    <w:p>
      <w:pPr>
        <w:spacing w:after="0"/>
        <w:jc w:val="left"/>
        <w:rPr>
          <w:rFonts w:ascii="宋体" w:hAnsi="宋体" w:cs="宋体" w:eastAsia="宋体" w:hint="default"/>
          <w:sz w:val="18"/>
          <w:szCs w:val="18"/>
        </w:rPr>
        <w:sectPr>
          <w:pgSz w:w="11910" w:h="16840"/>
          <w:pgMar w:header="877" w:footer="979" w:top="1100" w:bottom="1160" w:left="0" w:right="0"/>
        </w:sectPr>
      </w:pPr>
    </w:p>
    <w:p>
      <w:pPr>
        <w:spacing w:line="240" w:lineRule="auto" w:before="8"/>
        <w:rPr>
          <w:rFonts w:ascii="宋体" w:hAnsi="宋体" w:cs="宋体" w:eastAsia="宋体" w:hint="default"/>
          <w:sz w:val="26"/>
          <w:szCs w:val="26"/>
        </w:rPr>
      </w:pPr>
    </w:p>
    <w:p>
      <w:pPr>
        <w:pStyle w:val="BodyText"/>
        <w:spacing w:line="386" w:lineRule="auto" w:before="35"/>
        <w:ind w:right="1040" w:firstLine="420"/>
        <w:jc w:val="left"/>
      </w:pPr>
      <w:r>
        <w:rPr/>
        <w:t>公司于</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15</w:t>
      </w:r>
      <w:r>
        <w:rPr/>
        <w:t>日召开</w:t>
      </w:r>
      <w:r>
        <w:rPr>
          <w:rFonts w:ascii="Times New Roman" w:hAnsi="Times New Roman" w:cs="Times New Roman" w:eastAsia="Times New Roman" w:hint="default"/>
        </w:rPr>
        <w:t>2015</w:t>
      </w:r>
      <w:r>
        <w:rPr/>
        <w:t>年第五次临时股东大会，决议</w:t>
      </w:r>
      <w:r>
        <w:rPr>
          <w:rFonts w:ascii="Times New Roman" w:hAnsi="Times New Roman" w:cs="Times New Roman" w:eastAsia="Times New Roman" w:hint="default"/>
        </w:rPr>
        <w:t>2015</w:t>
      </w:r>
      <w:r>
        <w:rPr/>
        <w:t>年半年度权益分派最终以公司现有 总股本</w:t>
      </w:r>
      <w:r>
        <w:rPr>
          <w:rFonts w:ascii="Times New Roman" w:hAnsi="Times New Roman" w:cs="Times New Roman" w:eastAsia="Times New Roman" w:hint="default"/>
        </w:rPr>
        <w:t>287,231,000</w:t>
      </w:r>
      <w:r>
        <w:rPr/>
        <w:t>股为基数，以资本公积金向全体股东每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29.244754</w:t>
      </w:r>
      <w:r>
        <w:rPr/>
        <w:t>股，共计转增</w:t>
      </w:r>
      <w:r>
        <w:rPr>
          <w:rFonts w:ascii="Times New Roman" w:hAnsi="Times New Roman" w:cs="Times New Roman" w:eastAsia="Times New Roman" w:hint="default"/>
        </w:rPr>
        <w:t>839,999,993</w:t>
      </w:r>
      <w:r>
        <w:rPr/>
        <w:t>股。</w:t>
      </w:r>
      <w:r>
        <w:rPr>
          <w:spacing w:val="1"/>
        </w:rPr>
        <w:t> </w:t>
      </w:r>
      <w:r>
        <w:rPr>
          <w:rFonts w:ascii="Times New Roman" w:hAnsi="Times New Roman" w:cs="Times New Roman" w:eastAsia="Times New Roman" w:hint="default"/>
        </w:rPr>
        <w:t>2015</w:t>
      </w:r>
      <w:r>
        <w:rPr/>
        <w:t>年半年度不送股，不派发现金股利。前述转增已经登记完毕。</w:t>
      </w:r>
    </w:p>
    <w:p>
      <w:pPr>
        <w:pStyle w:val="BodyText"/>
        <w:spacing w:line="398" w:lineRule="auto" w:before="36"/>
        <w:ind w:right="998" w:firstLine="420"/>
        <w:jc w:val="left"/>
      </w:pPr>
      <w:r>
        <w:rPr/>
        <w:t>公司于</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5</w:t>
      </w:r>
      <w:r>
        <w:rPr/>
        <w:t>日召开</w:t>
      </w:r>
      <w:r>
        <w:rPr>
          <w:rFonts w:ascii="Times New Roman" w:hAnsi="Times New Roman" w:cs="Times New Roman" w:eastAsia="Times New Roman" w:hint="default"/>
        </w:rPr>
        <w:t>2015</w:t>
      </w:r>
      <w:r>
        <w:rPr/>
        <w:t>年年度股东大会，决议</w:t>
      </w:r>
      <w:r>
        <w:rPr>
          <w:rFonts w:ascii="Times New Roman" w:hAnsi="Times New Roman" w:cs="Times New Roman" w:eastAsia="Times New Roman" w:hint="default"/>
        </w:rPr>
        <w:t>2015</w:t>
      </w:r>
      <w:r>
        <w:rPr/>
        <w:t>年年度权益分派方案以公司总股本 </w:t>
      </w:r>
      <w:r>
        <w:rPr>
          <w:rFonts w:ascii="Times New Roman" w:hAnsi="Times New Roman" w:cs="Times New Roman" w:eastAsia="Times New Roman" w:hint="default"/>
        </w:rPr>
        <w:t>1,127,230,993</w:t>
      </w:r>
      <w:r>
        <w:rPr/>
        <w:t>股为基数，向全体股东每</w:t>
      </w:r>
      <w:r>
        <w:rPr>
          <w:rFonts w:ascii="Times New Roman" w:hAnsi="Times New Roman" w:cs="Times New Roman" w:eastAsia="Times New Roman" w:hint="default"/>
        </w:rPr>
        <w:t>10</w:t>
      </w:r>
      <w:r>
        <w:rPr/>
        <w:t>股派</w:t>
      </w:r>
      <w:r>
        <w:rPr>
          <w:rFonts w:ascii="Times New Roman" w:hAnsi="Times New Roman" w:cs="Times New Roman" w:eastAsia="Times New Roman" w:hint="default"/>
        </w:rPr>
        <w:t>1.05</w:t>
      </w:r>
      <w:r>
        <w:rPr/>
        <w:t>元人民币现金</w:t>
      </w:r>
      <w:r>
        <w:rPr>
          <w:rFonts w:ascii="Times New Roman" w:hAnsi="Times New Roman" w:cs="Times New Roman" w:eastAsia="Times New Roman" w:hint="default"/>
        </w:rPr>
        <w:t>(</w:t>
      </w:r>
      <w:r>
        <w:rPr/>
        <w:t>含税</w:t>
      </w:r>
      <w:r>
        <w:rPr>
          <w:rFonts w:ascii="Times New Roman" w:hAnsi="Times New Roman" w:cs="Times New Roman" w:eastAsia="Times New Roman" w:hint="default"/>
        </w:rPr>
        <w:t>)</w:t>
      </w:r>
      <w:r>
        <w:rPr/>
        <w:t>，合计派发现金</w:t>
      </w:r>
      <w:r>
        <w:rPr>
          <w:rFonts w:ascii="Times New Roman" w:hAnsi="Times New Roman" w:cs="Times New Roman" w:eastAsia="Times New Roman" w:hint="default"/>
        </w:rPr>
        <w:t>118,359,254.27</w:t>
      </w:r>
      <w:r>
        <w:rPr/>
        <w:t>元。 </w:t>
      </w:r>
      <w:r>
        <w:rPr>
          <w:spacing w:val="-2"/>
        </w:rPr>
        <w:t>公司于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31</w:t>
      </w:r>
      <w:r>
        <w:rPr>
          <w:spacing w:val="-2"/>
        </w:rPr>
        <w:t>日召开</w:t>
      </w:r>
      <w:r>
        <w:rPr>
          <w:rFonts w:ascii="Times New Roman" w:hAnsi="Times New Roman" w:cs="Times New Roman" w:eastAsia="Times New Roman" w:hint="default"/>
          <w:spacing w:val="-2"/>
        </w:rPr>
        <w:t>2016</w:t>
      </w:r>
      <w:r>
        <w:rPr>
          <w:spacing w:val="-2"/>
        </w:rPr>
        <w:t>年年度股东大会，决议</w:t>
      </w:r>
      <w:r>
        <w:rPr>
          <w:rFonts w:ascii="Times New Roman" w:hAnsi="Times New Roman" w:cs="Times New Roman" w:eastAsia="Times New Roman" w:hint="default"/>
          <w:spacing w:val="-2"/>
        </w:rPr>
        <w:t>2016</w:t>
      </w:r>
      <w:r>
        <w:rPr>
          <w:spacing w:val="-2"/>
        </w:rPr>
        <w:t>年权益分配方案以公司总股本</w:t>
      </w:r>
      <w:r>
        <w:rPr>
          <w:rFonts w:ascii="Times New Roman" w:hAnsi="Times New Roman" w:cs="Times New Roman" w:eastAsia="Times New Roman" w:hint="default"/>
          <w:spacing w:val="-2"/>
        </w:rPr>
        <w:t>1,159,124,083</w:t>
      </w:r>
      <w:r>
        <w:rPr>
          <w:spacing w:val="-2"/>
        </w:rPr>
        <w:t>股为</w:t>
      </w:r>
      <w:r>
        <w:rPr>
          <w:spacing w:val="-63"/>
        </w:rPr>
        <w:t> </w:t>
      </w:r>
      <w:r>
        <w:rPr/>
        <w:t>基数，</w:t>
      </w:r>
      <w:r>
        <w:rPr>
          <w:sz w:val="18"/>
          <w:szCs w:val="18"/>
        </w:rPr>
        <w:t>向全体股东每</w:t>
      </w:r>
      <w:r>
        <w:rPr>
          <w:rFonts w:ascii="Times New Roman" w:hAnsi="Times New Roman" w:cs="Times New Roman" w:eastAsia="Times New Roman" w:hint="default"/>
          <w:sz w:val="18"/>
          <w:szCs w:val="18"/>
        </w:rPr>
        <w:t>10</w:t>
      </w:r>
      <w:r>
        <w:rPr/>
        <w:t>股派</w:t>
      </w:r>
      <w:r>
        <w:rPr>
          <w:rFonts w:ascii="Times New Roman" w:hAnsi="Times New Roman" w:cs="Times New Roman" w:eastAsia="Times New Roman" w:hint="default"/>
        </w:rPr>
        <w:t>1.05</w:t>
      </w:r>
      <w:r>
        <w:rPr/>
        <w:t>元人民币现金</w:t>
      </w:r>
      <w:r>
        <w:rPr>
          <w:rFonts w:ascii="Times New Roman" w:hAnsi="Times New Roman" w:cs="Times New Roman" w:eastAsia="Times New Roman" w:hint="default"/>
        </w:rPr>
        <w:t>(</w:t>
      </w:r>
      <w:r>
        <w:rPr/>
        <w:t>含税</w:t>
      </w:r>
      <w:r>
        <w:rPr>
          <w:rFonts w:ascii="Times New Roman" w:hAnsi="Times New Roman" w:cs="Times New Roman" w:eastAsia="Times New Roman" w:hint="default"/>
        </w:rPr>
        <w:t>)</w:t>
      </w:r>
      <w:r>
        <w:rPr/>
        <w:t>，合计派发现金</w:t>
      </w:r>
      <w:r>
        <w:rPr>
          <w:rFonts w:ascii="Times New Roman" w:hAnsi="Times New Roman" w:cs="Times New Roman" w:eastAsia="Times New Roman" w:hint="default"/>
        </w:rPr>
        <w:t>121,708,028.72</w:t>
      </w:r>
      <w:r>
        <w:rPr/>
        <w:t>元。</w:t>
      </w:r>
    </w:p>
    <w:p>
      <w:pPr>
        <w:pStyle w:val="BodyText"/>
        <w:spacing w:line="240" w:lineRule="auto" w:before="63"/>
        <w:ind w:left="1553" w:right="998"/>
        <w:jc w:val="left"/>
      </w:pPr>
      <w:r>
        <w:rPr/>
        <w:t>公司</w:t>
      </w:r>
      <w:r>
        <w:rPr>
          <w:rFonts w:ascii="Times New Roman" w:hAnsi="Times New Roman" w:cs="Times New Roman" w:eastAsia="Times New Roman" w:hint="default"/>
        </w:rPr>
        <w:t>2017</w:t>
      </w:r>
      <w:r>
        <w:rPr/>
        <w:t>年利润分配预案拟以总股本</w:t>
      </w:r>
      <w:r>
        <w:rPr>
          <w:rFonts w:ascii="Times New Roman" w:hAnsi="Times New Roman" w:cs="Times New Roman" w:eastAsia="Times New Roman" w:hint="default"/>
        </w:rPr>
        <w:t>1,151,946,216</w:t>
      </w:r>
      <w:r>
        <w:rPr/>
        <w:t>股为基数，向全体股东每</w:t>
      </w:r>
      <w:r>
        <w:rPr>
          <w:rFonts w:ascii="Times New Roman" w:hAnsi="Times New Roman" w:cs="Times New Roman" w:eastAsia="Times New Roman" w:hint="default"/>
        </w:rPr>
        <w:t>10</w:t>
      </w:r>
      <w:r>
        <w:rPr/>
        <w:t>股派</w:t>
      </w:r>
      <w:r>
        <w:rPr>
          <w:rFonts w:ascii="Times New Roman" w:hAnsi="Times New Roman" w:cs="Times New Roman" w:eastAsia="Times New Roman" w:hint="default"/>
        </w:rPr>
        <w:t>0.87</w:t>
      </w:r>
      <w:r>
        <w:rPr/>
        <w:t>元人民币现金</w:t>
      </w:r>
    </w:p>
    <w:p>
      <w:pPr>
        <w:pStyle w:val="BodyText"/>
        <w:spacing w:line="240" w:lineRule="auto" w:before="177"/>
        <w:ind w:left="1134" w:right="998"/>
        <w:jc w:val="left"/>
      </w:pPr>
      <w:r>
        <w:rPr>
          <w:rFonts w:ascii="Times New Roman" w:hAnsi="Times New Roman" w:cs="Times New Roman" w:eastAsia="Times New Roman" w:hint="default"/>
        </w:rPr>
        <w:t>(</w:t>
      </w:r>
      <w:r>
        <w:rPr/>
        <w:t>含税</w:t>
      </w:r>
      <w:r>
        <w:rPr>
          <w:rFonts w:ascii="Times New Roman" w:hAnsi="Times New Roman" w:cs="Times New Roman" w:eastAsia="Times New Roman" w:hint="default"/>
        </w:rPr>
        <w:t>)</w:t>
      </w:r>
      <w:r>
        <w:rPr/>
        <w:t>，合计派发现金</w:t>
      </w:r>
      <w:r>
        <w:rPr>
          <w:rFonts w:ascii="Times New Roman" w:hAnsi="Times New Roman" w:cs="Times New Roman" w:eastAsia="Times New Roman" w:hint="default"/>
        </w:rPr>
        <w:t>100,219,320.79</w:t>
      </w:r>
      <w:r>
        <w:rPr/>
        <w:t>元。</w:t>
      </w:r>
    </w:p>
    <w:p>
      <w:pPr>
        <w:spacing w:line="240" w:lineRule="auto" w:before="3"/>
        <w:rPr>
          <w:rFonts w:ascii="宋体" w:hAnsi="宋体" w:cs="宋体" w:eastAsia="宋体" w:hint="default"/>
          <w:sz w:val="9"/>
          <w:szCs w:val="9"/>
        </w:rPr>
      </w:pPr>
    </w:p>
    <w:p>
      <w:pPr>
        <w:spacing w:before="44"/>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公司近三年（包括本报告期）普通股现金分红情况表</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60" w:type="dxa"/>
        <w:tblLayout w:type="fixed"/>
        <w:tblCellMar>
          <w:top w:w="0" w:type="dxa"/>
          <w:left w:w="0" w:type="dxa"/>
          <w:bottom w:w="0" w:type="dxa"/>
          <w:right w:w="0" w:type="dxa"/>
        </w:tblCellMar>
        <w:tblLook w:val="01E0"/>
      </w:tblPr>
      <w:tblGrid>
        <w:gridCol w:w="1590"/>
        <w:gridCol w:w="1594"/>
        <w:gridCol w:w="1595"/>
        <w:gridCol w:w="1594"/>
        <w:gridCol w:w="1594"/>
        <w:gridCol w:w="1594"/>
      </w:tblGrid>
      <w:tr>
        <w:trPr>
          <w:trHeight w:val="327" w:hRule="exact"/>
        </w:trPr>
        <w:tc>
          <w:tcPr>
            <w:tcW w:w="1590" w:type="dxa"/>
            <w:vMerge w:val="restart"/>
            <w:tcBorders>
              <w:top w:val="single" w:sz="12" w:space="0" w:color="000000"/>
              <w:left w:val="single" w:sz="12" w:space="0" w:color="000000"/>
              <w:right w:val="single" w:sz="6" w:space="0" w:color="000000"/>
            </w:tcBorders>
            <w:shd w:val="clear" w:color="auto" w:fill="D2D2D2"/>
          </w:tcPr>
          <w:p>
            <w:pPr/>
          </w:p>
        </w:tc>
        <w:tc>
          <w:tcPr>
            <w:tcW w:w="1594" w:type="dxa"/>
            <w:tcBorders>
              <w:top w:val="single" w:sz="12" w:space="0" w:color="000000"/>
              <w:left w:val="single" w:sz="6" w:space="0" w:color="000000"/>
              <w:bottom w:val="nil" w:sz="6" w:space="0" w:color="auto"/>
              <w:right w:val="single" w:sz="6" w:space="0" w:color="000000"/>
            </w:tcBorders>
            <w:shd w:val="clear" w:color="auto" w:fill="D2D2D2"/>
          </w:tcPr>
          <w:p>
            <w:pPr/>
          </w:p>
        </w:tc>
        <w:tc>
          <w:tcPr>
            <w:tcW w:w="1595" w:type="dxa"/>
            <w:vMerge w:val="restart"/>
            <w:tcBorders>
              <w:top w:val="single" w:sz="12" w:space="0" w:color="000000"/>
              <w:left w:val="single" w:sz="6" w:space="0" w:color="000000"/>
              <w:right w:val="single" w:sz="6" w:space="0" w:color="000000"/>
            </w:tcBorders>
            <w:shd w:val="clear" w:color="auto" w:fill="D2D2D2"/>
          </w:tcPr>
          <w:p>
            <w:pPr>
              <w:pStyle w:val="TableParagraph"/>
              <w:spacing w:line="316" w:lineRule="auto" w:before="51"/>
              <w:ind w:left="70" w:right="69"/>
              <w:jc w:val="center"/>
              <w:rPr>
                <w:rFonts w:ascii="宋体" w:hAnsi="宋体" w:cs="宋体" w:eastAsia="宋体" w:hint="default"/>
                <w:sz w:val="18"/>
                <w:szCs w:val="18"/>
              </w:rPr>
            </w:pPr>
            <w:r>
              <w:rPr>
                <w:rFonts w:ascii="宋体" w:hAnsi="宋体" w:cs="宋体" w:eastAsia="宋体" w:hint="default"/>
                <w:sz w:val="18"/>
                <w:szCs w:val="18"/>
              </w:rPr>
              <w:t>分红年度合并报表 中归属于上市公司 普通股股东的净利 润</w:t>
            </w:r>
          </w:p>
        </w:tc>
        <w:tc>
          <w:tcPr>
            <w:tcW w:w="1594" w:type="dxa"/>
            <w:vMerge w:val="restart"/>
            <w:tcBorders>
              <w:top w:val="single" w:sz="12" w:space="0" w:color="000000"/>
              <w:left w:val="single" w:sz="6" w:space="0" w:color="000000"/>
              <w:right w:val="single" w:sz="6" w:space="0" w:color="000000"/>
            </w:tcBorders>
            <w:shd w:val="clear" w:color="auto" w:fill="D2D2D2"/>
          </w:tcPr>
          <w:p>
            <w:pPr>
              <w:pStyle w:val="TableParagraph"/>
              <w:spacing w:line="316" w:lineRule="auto" w:before="51"/>
              <w:ind w:left="69" w:right="67"/>
              <w:jc w:val="center"/>
              <w:rPr>
                <w:rFonts w:ascii="宋体" w:hAnsi="宋体" w:cs="宋体" w:eastAsia="宋体" w:hint="default"/>
                <w:sz w:val="18"/>
                <w:szCs w:val="18"/>
              </w:rPr>
            </w:pPr>
            <w:r>
              <w:rPr>
                <w:rFonts w:ascii="宋体" w:hAnsi="宋体" w:cs="宋体" w:eastAsia="宋体" w:hint="default"/>
                <w:sz w:val="18"/>
                <w:szCs w:val="18"/>
              </w:rPr>
              <w:t>占合并报表中归属 于上市公司普通股 股东的净利润的比 率</w:t>
            </w:r>
          </w:p>
        </w:tc>
        <w:tc>
          <w:tcPr>
            <w:tcW w:w="1594" w:type="dxa"/>
            <w:tcBorders>
              <w:top w:val="single" w:sz="12" w:space="0" w:color="000000"/>
              <w:left w:val="single" w:sz="6" w:space="0" w:color="000000"/>
              <w:bottom w:val="nil" w:sz="6" w:space="0" w:color="auto"/>
              <w:right w:val="single" w:sz="6" w:space="0" w:color="000000"/>
            </w:tcBorders>
            <w:shd w:val="clear" w:color="auto" w:fill="D2D2D2"/>
          </w:tcPr>
          <w:p>
            <w:pPr/>
          </w:p>
        </w:tc>
        <w:tc>
          <w:tcPr>
            <w:tcW w:w="1594" w:type="dxa"/>
            <w:tcBorders>
              <w:top w:val="single" w:sz="12" w:space="0" w:color="000000"/>
              <w:left w:val="single" w:sz="6" w:space="0" w:color="000000"/>
              <w:bottom w:val="nil" w:sz="6" w:space="0" w:color="auto"/>
              <w:right w:val="single" w:sz="12" w:space="0" w:color="000000"/>
            </w:tcBorders>
            <w:shd w:val="clear" w:color="auto" w:fill="D2D2D2"/>
          </w:tcPr>
          <w:p>
            <w:pPr/>
          </w:p>
        </w:tc>
      </w:tr>
      <w:tr>
        <w:trPr>
          <w:trHeight w:val="156" w:hRule="exact"/>
        </w:trPr>
        <w:tc>
          <w:tcPr>
            <w:tcW w:w="1590" w:type="dxa"/>
            <w:vMerge/>
            <w:tcBorders>
              <w:left w:val="single" w:sz="12" w:space="0" w:color="000000"/>
              <w:bottom w:val="nil" w:sz="6" w:space="0" w:color="auto"/>
              <w:right w:val="single" w:sz="6" w:space="0" w:color="000000"/>
            </w:tcBorders>
            <w:shd w:val="clear" w:color="auto" w:fill="D2D2D2"/>
          </w:tcPr>
          <w:p>
            <w:pPr/>
          </w:p>
        </w:tc>
        <w:tc>
          <w:tcPr>
            <w:tcW w:w="1594" w:type="dxa"/>
            <w:vMerge w:val="restart"/>
            <w:tcBorders>
              <w:top w:val="nil" w:sz="6" w:space="0" w:color="auto"/>
              <w:left w:val="single" w:sz="6" w:space="0" w:color="000000"/>
              <w:right w:val="single" w:sz="6" w:space="0" w:color="000000"/>
            </w:tcBorders>
            <w:shd w:val="clear" w:color="auto" w:fill="D2D2D2"/>
          </w:tcPr>
          <w:p>
            <w:pPr>
              <w:pStyle w:val="TableParagraph"/>
              <w:spacing w:line="316" w:lineRule="auto" w:before="51"/>
              <w:ind w:left="609" w:right="67" w:hanging="540"/>
              <w:jc w:val="left"/>
              <w:rPr>
                <w:rFonts w:ascii="宋体" w:hAnsi="宋体" w:cs="宋体" w:eastAsia="宋体" w:hint="default"/>
                <w:sz w:val="18"/>
                <w:szCs w:val="18"/>
              </w:rPr>
            </w:pPr>
            <w:r>
              <w:rPr>
                <w:rFonts w:ascii="宋体" w:hAnsi="宋体" w:cs="宋体" w:eastAsia="宋体" w:hint="default"/>
                <w:sz w:val="18"/>
                <w:szCs w:val="18"/>
              </w:rPr>
              <w:t>现金分红金额（含 税）</w:t>
            </w:r>
          </w:p>
        </w:tc>
        <w:tc>
          <w:tcPr>
            <w:tcW w:w="1595" w:type="dxa"/>
            <w:vMerge/>
            <w:tcBorders>
              <w:left w:val="single" w:sz="6" w:space="0" w:color="000000"/>
              <w:right w:val="single" w:sz="6" w:space="0" w:color="000000"/>
            </w:tcBorders>
            <w:shd w:val="clear" w:color="auto" w:fill="D2D2D2"/>
          </w:tcPr>
          <w:p>
            <w:pPr/>
          </w:p>
        </w:tc>
        <w:tc>
          <w:tcPr>
            <w:tcW w:w="1594" w:type="dxa"/>
            <w:vMerge/>
            <w:tcBorders>
              <w:left w:val="single" w:sz="6" w:space="0" w:color="000000"/>
              <w:right w:val="single" w:sz="6" w:space="0" w:color="000000"/>
            </w:tcBorders>
            <w:shd w:val="clear" w:color="auto" w:fill="D2D2D2"/>
          </w:tcPr>
          <w:p>
            <w:pPr/>
          </w:p>
        </w:tc>
        <w:tc>
          <w:tcPr>
            <w:tcW w:w="1594" w:type="dxa"/>
            <w:vMerge w:val="restart"/>
            <w:tcBorders>
              <w:top w:val="nil" w:sz="6" w:space="0" w:color="auto"/>
              <w:left w:val="single" w:sz="6" w:space="0" w:color="000000"/>
              <w:right w:val="single" w:sz="6" w:space="0" w:color="000000"/>
            </w:tcBorders>
            <w:shd w:val="clear" w:color="auto" w:fill="D2D2D2"/>
          </w:tcPr>
          <w:p>
            <w:pPr>
              <w:pStyle w:val="TableParagraph"/>
              <w:spacing w:line="316" w:lineRule="auto" w:before="51"/>
              <w:ind w:left="429" w:right="69" w:hanging="360"/>
              <w:jc w:val="left"/>
              <w:rPr>
                <w:rFonts w:ascii="宋体" w:hAnsi="宋体" w:cs="宋体" w:eastAsia="宋体" w:hint="default"/>
                <w:sz w:val="18"/>
                <w:szCs w:val="18"/>
              </w:rPr>
            </w:pPr>
            <w:r>
              <w:rPr>
                <w:rFonts w:ascii="宋体" w:hAnsi="宋体" w:cs="宋体" w:eastAsia="宋体" w:hint="default"/>
                <w:sz w:val="18"/>
                <w:szCs w:val="18"/>
              </w:rPr>
              <w:t>以其他方式现金分 红的金额</w:t>
            </w:r>
          </w:p>
        </w:tc>
        <w:tc>
          <w:tcPr>
            <w:tcW w:w="1594" w:type="dxa"/>
            <w:vMerge w:val="restart"/>
            <w:tcBorders>
              <w:top w:val="nil" w:sz="6" w:space="0" w:color="auto"/>
              <w:left w:val="single" w:sz="6" w:space="0" w:color="000000"/>
              <w:right w:val="single" w:sz="12" w:space="0" w:color="000000"/>
            </w:tcBorders>
            <w:shd w:val="clear" w:color="auto" w:fill="D2D2D2"/>
          </w:tcPr>
          <w:p>
            <w:pPr>
              <w:pStyle w:val="TableParagraph"/>
              <w:spacing w:line="316" w:lineRule="auto" w:before="51"/>
              <w:ind w:left="430" w:right="59" w:hanging="360"/>
              <w:jc w:val="left"/>
              <w:rPr>
                <w:rFonts w:ascii="宋体" w:hAnsi="宋体" w:cs="宋体" w:eastAsia="宋体" w:hint="default"/>
                <w:sz w:val="18"/>
                <w:szCs w:val="18"/>
              </w:rPr>
            </w:pPr>
            <w:r>
              <w:rPr>
                <w:rFonts w:ascii="宋体" w:hAnsi="宋体" w:cs="宋体" w:eastAsia="宋体" w:hint="default"/>
                <w:sz w:val="18"/>
                <w:szCs w:val="18"/>
              </w:rPr>
              <w:t>以其他方式现金分 红的比例</w:t>
            </w:r>
          </w:p>
        </w:tc>
      </w:tr>
      <w:tr>
        <w:trPr>
          <w:trHeight w:val="391" w:hRule="exact"/>
        </w:trPr>
        <w:tc>
          <w:tcPr>
            <w:tcW w:w="1590"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415"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594" w:type="dxa"/>
            <w:vMerge/>
            <w:tcBorders>
              <w:left w:val="single" w:sz="6" w:space="0" w:color="000000"/>
              <w:right w:val="single" w:sz="6" w:space="0" w:color="000000"/>
            </w:tcBorders>
            <w:shd w:val="clear" w:color="auto" w:fill="D2D2D2"/>
          </w:tcPr>
          <w:p>
            <w:pPr/>
          </w:p>
        </w:tc>
        <w:tc>
          <w:tcPr>
            <w:tcW w:w="1595" w:type="dxa"/>
            <w:vMerge/>
            <w:tcBorders>
              <w:left w:val="single" w:sz="6" w:space="0" w:color="000000"/>
              <w:right w:val="single" w:sz="6" w:space="0" w:color="000000"/>
            </w:tcBorders>
            <w:shd w:val="clear" w:color="auto" w:fill="D2D2D2"/>
          </w:tcPr>
          <w:p>
            <w:pPr/>
          </w:p>
        </w:tc>
        <w:tc>
          <w:tcPr>
            <w:tcW w:w="1594" w:type="dxa"/>
            <w:vMerge/>
            <w:tcBorders>
              <w:left w:val="single" w:sz="6" w:space="0" w:color="000000"/>
              <w:right w:val="single" w:sz="6" w:space="0" w:color="000000"/>
            </w:tcBorders>
            <w:shd w:val="clear" w:color="auto" w:fill="D2D2D2"/>
          </w:tcPr>
          <w:p>
            <w:pPr/>
          </w:p>
        </w:tc>
        <w:tc>
          <w:tcPr>
            <w:tcW w:w="1594" w:type="dxa"/>
            <w:vMerge/>
            <w:tcBorders>
              <w:left w:val="single" w:sz="6" w:space="0" w:color="000000"/>
              <w:right w:val="single" w:sz="6" w:space="0" w:color="000000"/>
            </w:tcBorders>
            <w:shd w:val="clear" w:color="auto" w:fill="D2D2D2"/>
          </w:tcPr>
          <w:p>
            <w:pPr/>
          </w:p>
        </w:tc>
        <w:tc>
          <w:tcPr>
            <w:tcW w:w="1594" w:type="dxa"/>
            <w:vMerge/>
            <w:tcBorders>
              <w:left w:val="single" w:sz="6" w:space="0" w:color="000000"/>
              <w:right w:val="single" w:sz="12" w:space="0" w:color="000000"/>
            </w:tcBorders>
            <w:shd w:val="clear" w:color="auto" w:fill="D2D2D2"/>
          </w:tcPr>
          <w:p>
            <w:pPr/>
          </w:p>
        </w:tc>
      </w:tr>
      <w:tr>
        <w:trPr>
          <w:trHeight w:val="156" w:hRule="exact"/>
        </w:trPr>
        <w:tc>
          <w:tcPr>
            <w:tcW w:w="1590" w:type="dxa"/>
            <w:vMerge w:val="restart"/>
            <w:tcBorders>
              <w:top w:val="nil" w:sz="6" w:space="0" w:color="auto"/>
              <w:left w:val="single" w:sz="12" w:space="0" w:color="000000"/>
              <w:right w:val="single" w:sz="6" w:space="0" w:color="000000"/>
            </w:tcBorders>
            <w:shd w:val="clear" w:color="auto" w:fill="D2D2D2"/>
          </w:tcPr>
          <w:p>
            <w:pPr/>
          </w:p>
        </w:tc>
        <w:tc>
          <w:tcPr>
            <w:tcW w:w="1594" w:type="dxa"/>
            <w:vMerge/>
            <w:tcBorders>
              <w:left w:val="single" w:sz="6" w:space="0" w:color="000000"/>
              <w:bottom w:val="nil" w:sz="6" w:space="0" w:color="auto"/>
              <w:right w:val="single" w:sz="6" w:space="0" w:color="000000"/>
            </w:tcBorders>
            <w:shd w:val="clear" w:color="auto" w:fill="D2D2D2"/>
          </w:tcPr>
          <w:p>
            <w:pPr/>
          </w:p>
        </w:tc>
        <w:tc>
          <w:tcPr>
            <w:tcW w:w="1595" w:type="dxa"/>
            <w:vMerge/>
            <w:tcBorders>
              <w:left w:val="single" w:sz="6" w:space="0" w:color="000000"/>
              <w:right w:val="single" w:sz="6" w:space="0" w:color="000000"/>
            </w:tcBorders>
            <w:shd w:val="clear" w:color="auto" w:fill="D2D2D2"/>
          </w:tcPr>
          <w:p>
            <w:pPr/>
          </w:p>
        </w:tc>
        <w:tc>
          <w:tcPr>
            <w:tcW w:w="1594" w:type="dxa"/>
            <w:vMerge/>
            <w:tcBorders>
              <w:left w:val="single" w:sz="6" w:space="0" w:color="000000"/>
              <w:right w:val="single" w:sz="6" w:space="0" w:color="000000"/>
            </w:tcBorders>
            <w:shd w:val="clear" w:color="auto" w:fill="D2D2D2"/>
          </w:tcPr>
          <w:p>
            <w:pPr/>
          </w:p>
        </w:tc>
        <w:tc>
          <w:tcPr>
            <w:tcW w:w="1594" w:type="dxa"/>
            <w:vMerge/>
            <w:tcBorders>
              <w:left w:val="single" w:sz="6" w:space="0" w:color="000000"/>
              <w:bottom w:val="nil" w:sz="6" w:space="0" w:color="auto"/>
              <w:right w:val="single" w:sz="6" w:space="0" w:color="000000"/>
            </w:tcBorders>
            <w:shd w:val="clear" w:color="auto" w:fill="D2D2D2"/>
          </w:tcPr>
          <w:p>
            <w:pPr/>
          </w:p>
        </w:tc>
        <w:tc>
          <w:tcPr>
            <w:tcW w:w="1594" w:type="dxa"/>
            <w:vMerge/>
            <w:tcBorders>
              <w:left w:val="single" w:sz="6" w:space="0" w:color="000000"/>
              <w:bottom w:val="nil" w:sz="6" w:space="0" w:color="auto"/>
              <w:right w:val="single" w:sz="12" w:space="0" w:color="000000"/>
            </w:tcBorders>
            <w:shd w:val="clear" w:color="auto" w:fill="D2D2D2"/>
          </w:tcPr>
          <w:p>
            <w:pPr/>
          </w:p>
        </w:tc>
      </w:tr>
      <w:tr>
        <w:trPr>
          <w:trHeight w:val="319" w:hRule="exact"/>
        </w:trPr>
        <w:tc>
          <w:tcPr>
            <w:tcW w:w="1590" w:type="dxa"/>
            <w:vMerge/>
            <w:tcBorders>
              <w:left w:val="single" w:sz="12" w:space="0" w:color="000000"/>
              <w:bottom w:val="single" w:sz="6" w:space="0" w:color="000000"/>
              <w:right w:val="single" w:sz="6" w:space="0" w:color="000000"/>
            </w:tcBorders>
            <w:shd w:val="clear" w:color="auto" w:fill="D2D2D2"/>
          </w:tcPr>
          <w:p>
            <w:pPr/>
          </w:p>
        </w:tc>
        <w:tc>
          <w:tcPr>
            <w:tcW w:w="1594" w:type="dxa"/>
            <w:tcBorders>
              <w:top w:val="nil" w:sz="6" w:space="0" w:color="auto"/>
              <w:left w:val="single" w:sz="6" w:space="0" w:color="000000"/>
              <w:bottom w:val="single" w:sz="6" w:space="0" w:color="000000"/>
              <w:right w:val="single" w:sz="6" w:space="0" w:color="000000"/>
            </w:tcBorders>
            <w:shd w:val="clear" w:color="auto" w:fill="D2D2D2"/>
          </w:tcPr>
          <w:p>
            <w:pPr/>
          </w:p>
        </w:tc>
        <w:tc>
          <w:tcPr>
            <w:tcW w:w="1595" w:type="dxa"/>
            <w:vMerge/>
            <w:tcBorders>
              <w:left w:val="single" w:sz="6" w:space="0" w:color="000000"/>
              <w:bottom w:val="single" w:sz="6" w:space="0" w:color="000000"/>
              <w:right w:val="single" w:sz="6" w:space="0" w:color="000000"/>
            </w:tcBorders>
            <w:shd w:val="clear" w:color="auto" w:fill="D2D2D2"/>
          </w:tcPr>
          <w:p>
            <w:pPr/>
          </w:p>
        </w:tc>
        <w:tc>
          <w:tcPr>
            <w:tcW w:w="1594" w:type="dxa"/>
            <w:vMerge/>
            <w:tcBorders>
              <w:left w:val="single" w:sz="6" w:space="0" w:color="000000"/>
              <w:bottom w:val="single" w:sz="6" w:space="0" w:color="000000"/>
              <w:right w:val="single" w:sz="6" w:space="0" w:color="000000"/>
            </w:tcBorders>
            <w:shd w:val="clear" w:color="auto" w:fill="D2D2D2"/>
          </w:tcPr>
          <w:p>
            <w:pPr/>
          </w:p>
        </w:tc>
        <w:tc>
          <w:tcPr>
            <w:tcW w:w="1594" w:type="dxa"/>
            <w:tcBorders>
              <w:top w:val="nil" w:sz="6" w:space="0" w:color="auto"/>
              <w:left w:val="single" w:sz="6" w:space="0" w:color="000000"/>
              <w:bottom w:val="single" w:sz="6" w:space="0" w:color="000000"/>
              <w:right w:val="single" w:sz="6" w:space="0" w:color="000000"/>
            </w:tcBorders>
            <w:shd w:val="clear" w:color="auto" w:fill="D2D2D2"/>
          </w:tcPr>
          <w:p>
            <w:pPr/>
          </w:p>
        </w:tc>
        <w:tc>
          <w:tcPr>
            <w:tcW w:w="1594" w:type="dxa"/>
            <w:tcBorders>
              <w:top w:val="nil" w:sz="6" w:space="0" w:color="auto"/>
              <w:left w:val="single" w:sz="6" w:space="0" w:color="000000"/>
              <w:bottom w:val="single" w:sz="6" w:space="0" w:color="000000"/>
              <w:right w:val="single" w:sz="12" w:space="0" w:color="000000"/>
            </w:tcBorders>
            <w:shd w:val="clear" w:color="auto" w:fill="D2D2D2"/>
          </w:tcPr>
          <w:p>
            <w:pPr/>
          </w:p>
        </w:tc>
      </w:tr>
      <w:tr>
        <w:trPr>
          <w:trHeight w:val="407" w:hRule="exact"/>
        </w:trPr>
        <w:tc>
          <w:tcPr>
            <w:tcW w:w="159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100,219,320.79</w:t>
            </w:r>
          </w:p>
        </w:tc>
        <w:tc>
          <w:tcPr>
            <w:tcW w:w="1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998,666,057.61</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10.04%</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0.00</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0.00%</w:t>
            </w:r>
          </w:p>
        </w:tc>
      </w:tr>
      <w:tr>
        <w:trPr>
          <w:trHeight w:val="408" w:hRule="exact"/>
        </w:trPr>
        <w:tc>
          <w:tcPr>
            <w:tcW w:w="159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3"/>
              <w:ind w:left="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121,708,028.72</w:t>
            </w:r>
          </w:p>
        </w:tc>
        <w:tc>
          <w:tcPr>
            <w:tcW w:w="1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531,497,123.47</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22.90%</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0.00</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0.00%</w:t>
            </w:r>
          </w:p>
        </w:tc>
      </w:tr>
      <w:tr>
        <w:trPr>
          <w:trHeight w:val="415" w:hRule="exact"/>
        </w:trPr>
        <w:tc>
          <w:tcPr>
            <w:tcW w:w="1590"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6" w:space="0" w:color="000000"/>
              <w:left w:val="single" w:sz="14" w:space="0" w:color="D2D2D2"/>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118,359,254.27</w:t>
            </w:r>
          </w:p>
        </w:tc>
        <w:tc>
          <w:tcPr>
            <w:tcW w:w="159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405,288,398.77</w:t>
            </w:r>
          </w:p>
        </w:tc>
        <w:tc>
          <w:tcPr>
            <w:tcW w:w="15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29.20%</w:t>
            </w:r>
          </w:p>
        </w:tc>
        <w:tc>
          <w:tcPr>
            <w:tcW w:w="15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c>
          <w:tcPr>
            <w:tcW w:w="159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公司报告期内盈利且母公司可供普通股股东分配利润为正但未提出普通股现金红利分配预案</w:t>
      </w:r>
    </w:p>
    <w:p>
      <w:pPr>
        <w:spacing w:before="116"/>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77" w:footer="979" w:top="1100" w:bottom="1160" w:left="0" w:right="0"/>
        </w:sectPr>
      </w:pPr>
    </w:p>
    <w:p>
      <w:pPr>
        <w:pStyle w:val="Heading4"/>
        <w:spacing w:line="240" w:lineRule="auto" w:before="30"/>
        <w:ind w:left="160" w:right="0"/>
        <w:jc w:val="left"/>
        <w:rPr>
          <w:b w:val="0"/>
          <w:bCs w:val="0"/>
        </w:rPr>
      </w:pPr>
      <w:r>
        <w:rPr/>
        <w:pict>
          <v:group style="position:absolute;margin-left:70.5pt;margin-top:2.255627pt;width:701pt;height:.1pt;mso-position-horizontal-relative:page;mso-position-vertical-relative:paragraph;z-index:-1136488" coordorigin="1410,45" coordsize="14020,2">
            <v:shape style="position:absolute;left:1410;top:45;width:14020;height:2" coordorigin="1410,45" coordsize="14020,0" path="m1410,45l15430,45e" filled="false" stroked="true" strokeweight=".72pt" strokecolor="#000000">
              <v:path arrowok="t"/>
            </v:shape>
            <w10:wrap type="none"/>
          </v:group>
        </w:pict>
      </w:r>
      <w:bookmarkStart w:name="二、承诺事项履行情况" w:id="65"/>
      <w:bookmarkEnd w:id="65"/>
      <w:r>
        <w:rPr>
          <w:b w:val="0"/>
          <w:bCs w:val="0"/>
        </w:rPr>
      </w:r>
      <w:r>
        <w:rPr/>
        <w:t>二、承诺事项履行情况</w:t>
      </w:r>
      <w:r>
        <w:rPr>
          <w:b w:val="0"/>
          <w:bCs w:val="0"/>
        </w:rPr>
      </w:r>
    </w:p>
    <w:p>
      <w:pPr>
        <w:spacing w:line="240" w:lineRule="auto" w:before="9"/>
        <w:rPr>
          <w:rFonts w:ascii="宋体" w:hAnsi="宋体" w:cs="宋体" w:eastAsia="宋体" w:hint="default"/>
          <w:b/>
          <w:bCs/>
          <w:sz w:val="24"/>
          <w:szCs w:val="24"/>
        </w:rPr>
      </w:pPr>
    </w:p>
    <w:p>
      <w:pPr>
        <w:pStyle w:val="Heading6"/>
        <w:spacing w:line="240" w:lineRule="auto"/>
        <w:ind w:left="160" w:right="0"/>
        <w:jc w:val="left"/>
        <w:rPr>
          <w:b w:val="0"/>
          <w:bCs w:val="0"/>
        </w:rPr>
      </w:pPr>
      <w:bookmarkStart w:name="1、公司实际控制人、股东、关联方、收购人以及公司等承诺相关方在报告期内履行完毕及" w:id="66"/>
      <w:bookmarkEnd w:id="66"/>
      <w:r>
        <w:rPr>
          <w:b w:val="0"/>
          <w:bCs w:val="0"/>
        </w:rPr>
      </w:r>
      <w:r>
        <w:rPr>
          <w:rFonts w:ascii="Times New Roman" w:hAnsi="Times New Roman" w:cs="Times New Roman" w:eastAsia="Times New Roman" w:hint="default"/>
        </w:rPr>
        <w:t>1</w:t>
      </w:r>
      <w:r>
        <w:rPr/>
        <w:t>、公司实际控制人、股东、关联方、收购人以及公司等承诺相关方在报告期内履行完毕及截至报告期末尚未履行完毕的承诺事项</w:t>
      </w:r>
      <w:r>
        <w:rPr>
          <w:b w:val="0"/>
          <w:bCs w:val="0"/>
        </w:rPr>
      </w:r>
    </w:p>
    <w:p>
      <w:pPr>
        <w:spacing w:line="240" w:lineRule="auto" w:before="8"/>
        <w:rPr>
          <w:rFonts w:ascii="宋体" w:hAnsi="宋体" w:cs="宋体" w:eastAsia="宋体" w:hint="default"/>
          <w:b/>
          <w:bCs/>
          <w:sz w:val="26"/>
          <w:szCs w:val="26"/>
        </w:rPr>
      </w:pPr>
    </w:p>
    <w:p>
      <w:pPr>
        <w:spacing w:before="0"/>
        <w:ind w:left="16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2582"/>
        <w:gridCol w:w="1981"/>
        <w:gridCol w:w="1418"/>
        <w:gridCol w:w="4115"/>
        <w:gridCol w:w="1276"/>
        <w:gridCol w:w="1275"/>
        <w:gridCol w:w="1367"/>
      </w:tblGrid>
      <w:tr>
        <w:trPr>
          <w:trHeight w:val="415" w:hRule="exact"/>
        </w:trPr>
        <w:tc>
          <w:tcPr>
            <w:tcW w:w="2582"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right="922"/>
              <w:jc w:val="right"/>
              <w:rPr>
                <w:rFonts w:ascii="宋体" w:hAnsi="宋体" w:cs="宋体" w:eastAsia="宋体" w:hint="default"/>
                <w:sz w:val="18"/>
                <w:szCs w:val="18"/>
              </w:rPr>
            </w:pPr>
            <w:r>
              <w:rPr>
                <w:rFonts w:ascii="宋体" w:hAnsi="宋体" w:cs="宋体" w:eastAsia="宋体" w:hint="default"/>
                <w:sz w:val="18"/>
                <w:szCs w:val="18"/>
              </w:rPr>
              <w:t>承诺来源</w:t>
            </w:r>
          </w:p>
        </w:tc>
        <w:tc>
          <w:tcPr>
            <w:tcW w:w="1981"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承诺方</w:t>
            </w:r>
          </w:p>
        </w:tc>
        <w:tc>
          <w:tcPr>
            <w:tcW w:w="141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342"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411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127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269"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127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270"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1367"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315"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719" w:hRule="exact"/>
        </w:trPr>
        <w:tc>
          <w:tcPr>
            <w:tcW w:w="2582"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6" w:lineRule="auto" w:before="52"/>
              <w:ind w:left="13" w:right="24"/>
              <w:jc w:val="left"/>
              <w:rPr>
                <w:rFonts w:ascii="宋体" w:hAnsi="宋体" w:cs="宋体" w:eastAsia="宋体" w:hint="default"/>
                <w:sz w:val="18"/>
                <w:szCs w:val="18"/>
              </w:rPr>
            </w:pPr>
            <w:r>
              <w:rPr>
                <w:rFonts w:ascii="宋体" w:hAnsi="宋体" w:cs="宋体" w:eastAsia="宋体" w:hint="default"/>
                <w:sz w:val="18"/>
                <w:szCs w:val="18"/>
              </w:rPr>
              <w:t>收购报告书或权益变动报告书中 所作承诺</w:t>
            </w:r>
          </w:p>
        </w:tc>
        <w:tc>
          <w:tcPr>
            <w:tcW w:w="1981" w:type="dxa"/>
            <w:tcBorders>
              <w:top w:val="single" w:sz="6" w:space="0" w:color="000000"/>
              <w:left w:val="single" w:sz="9" w:space="0" w:color="D2D2D2"/>
              <w:bottom w:val="single" w:sz="6" w:space="0" w:color="000000"/>
              <w:right w:val="single" w:sz="6" w:space="0" w:color="000000"/>
            </w:tcBorders>
          </w:tcPr>
          <w:p>
            <w:pPr/>
          </w:p>
        </w:tc>
        <w:tc>
          <w:tcPr>
            <w:tcW w:w="1418" w:type="dxa"/>
            <w:tcBorders>
              <w:top w:val="single" w:sz="6" w:space="0" w:color="000000"/>
              <w:left w:val="single" w:sz="6" w:space="0" w:color="000000"/>
              <w:bottom w:val="single" w:sz="6" w:space="0" w:color="000000"/>
              <w:right w:val="single" w:sz="6" w:space="0" w:color="000000"/>
            </w:tcBorders>
          </w:tcPr>
          <w:p>
            <w:pPr/>
          </w:p>
        </w:tc>
        <w:tc>
          <w:tcPr>
            <w:tcW w:w="4115"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5" w:type="dxa"/>
            <w:tcBorders>
              <w:top w:val="single" w:sz="6" w:space="0" w:color="000000"/>
              <w:left w:val="single" w:sz="6" w:space="0" w:color="000000"/>
              <w:bottom w:val="single" w:sz="6" w:space="0" w:color="000000"/>
              <w:right w:val="single" w:sz="6" w:space="0" w:color="000000"/>
            </w:tcBorders>
          </w:tcPr>
          <w:p>
            <w:pPr/>
          </w:p>
        </w:tc>
        <w:tc>
          <w:tcPr>
            <w:tcW w:w="1367" w:type="dxa"/>
            <w:tcBorders>
              <w:top w:val="single" w:sz="6" w:space="0" w:color="000000"/>
              <w:left w:val="single" w:sz="6" w:space="0" w:color="000000"/>
              <w:bottom w:val="single" w:sz="6" w:space="0" w:color="000000"/>
              <w:right w:val="single" w:sz="12" w:space="0" w:color="000000"/>
            </w:tcBorders>
          </w:tcPr>
          <w:p>
            <w:pPr/>
          </w:p>
        </w:tc>
      </w:tr>
      <w:tr>
        <w:trPr>
          <w:trHeight w:val="407" w:hRule="exact"/>
        </w:trPr>
        <w:tc>
          <w:tcPr>
            <w:tcW w:w="2582"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right="924"/>
              <w:jc w:val="right"/>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1981" w:type="dxa"/>
            <w:tcBorders>
              <w:top w:val="single" w:sz="6" w:space="0" w:color="000000"/>
              <w:left w:val="single" w:sz="9" w:space="0" w:color="D2D2D2"/>
              <w:bottom w:val="single" w:sz="6" w:space="0" w:color="000000"/>
              <w:right w:val="single" w:sz="6" w:space="0" w:color="000000"/>
            </w:tcBorders>
          </w:tcPr>
          <w:p>
            <w:pPr/>
          </w:p>
        </w:tc>
        <w:tc>
          <w:tcPr>
            <w:tcW w:w="1418" w:type="dxa"/>
            <w:tcBorders>
              <w:top w:val="single" w:sz="6" w:space="0" w:color="000000"/>
              <w:left w:val="single" w:sz="6" w:space="0" w:color="000000"/>
              <w:bottom w:val="single" w:sz="6" w:space="0" w:color="000000"/>
              <w:right w:val="single" w:sz="6" w:space="0" w:color="000000"/>
            </w:tcBorders>
          </w:tcPr>
          <w:p>
            <w:pPr/>
          </w:p>
        </w:tc>
        <w:tc>
          <w:tcPr>
            <w:tcW w:w="4115"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5" w:type="dxa"/>
            <w:tcBorders>
              <w:top w:val="single" w:sz="6" w:space="0" w:color="000000"/>
              <w:left w:val="single" w:sz="6" w:space="0" w:color="000000"/>
              <w:bottom w:val="single" w:sz="6" w:space="0" w:color="000000"/>
              <w:right w:val="single" w:sz="6" w:space="0" w:color="000000"/>
            </w:tcBorders>
          </w:tcPr>
          <w:p>
            <w:pPr/>
          </w:p>
        </w:tc>
        <w:tc>
          <w:tcPr>
            <w:tcW w:w="1367" w:type="dxa"/>
            <w:tcBorders>
              <w:top w:val="single" w:sz="6" w:space="0" w:color="000000"/>
              <w:left w:val="single" w:sz="6" w:space="0" w:color="000000"/>
              <w:bottom w:val="single" w:sz="6" w:space="0" w:color="000000"/>
              <w:right w:val="single" w:sz="12" w:space="0" w:color="000000"/>
            </w:tcBorders>
          </w:tcPr>
          <w:p>
            <w:pPr/>
          </w:p>
        </w:tc>
      </w:tr>
      <w:tr>
        <w:trPr>
          <w:trHeight w:val="2796" w:hRule="exact"/>
        </w:trPr>
        <w:tc>
          <w:tcPr>
            <w:tcW w:w="2582" w:type="dxa"/>
            <w:tcBorders>
              <w:top w:val="single" w:sz="6" w:space="0" w:color="000000"/>
              <w:left w:val="single" w:sz="12" w:space="0" w:color="000000"/>
              <w:bottom w:val="nil" w:sz="6" w:space="0" w:color="auto"/>
              <w:right w:val="single" w:sz="6" w:space="0" w:color="000000"/>
            </w:tcBorders>
            <w:shd w:val="clear" w:color="auto" w:fill="D2D2D2"/>
          </w:tcPr>
          <w:p>
            <w:pPr/>
          </w:p>
        </w:tc>
        <w:tc>
          <w:tcPr>
            <w:tcW w:w="1981" w:type="dxa"/>
            <w:vMerge w:val="restart"/>
            <w:tcBorders>
              <w:top w:val="single" w:sz="6" w:space="0" w:color="000000"/>
              <w:left w:val="single" w:sz="9" w:space="0" w:color="D2D2D2"/>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300" w:lineRule="auto"/>
              <w:ind w:left="16" w:right="17"/>
              <w:jc w:val="left"/>
              <w:rPr>
                <w:rFonts w:ascii="宋体" w:hAnsi="宋体" w:cs="宋体" w:eastAsia="宋体" w:hint="default"/>
                <w:sz w:val="18"/>
                <w:szCs w:val="18"/>
              </w:rPr>
            </w:pPr>
            <w:r>
              <w:rPr>
                <w:rFonts w:ascii="宋体" w:hAnsi="宋体" w:cs="宋体" w:eastAsia="宋体" w:hint="default"/>
                <w:sz w:val="18"/>
                <w:szCs w:val="18"/>
              </w:rPr>
              <w:t>王立伟</w:t>
            </w:r>
            <w:r>
              <w:rPr>
                <w:rFonts w:ascii="Times New Roman" w:hAnsi="Times New Roman" w:cs="Times New Roman" w:eastAsia="Times New Roman" w:hint="default"/>
                <w:sz w:val="18"/>
                <w:szCs w:val="18"/>
              </w:rPr>
              <w:t>;</w:t>
            </w:r>
            <w:r>
              <w:rPr>
                <w:rFonts w:ascii="宋体" w:hAnsi="宋体" w:cs="宋体" w:eastAsia="宋体" w:hint="default"/>
                <w:sz w:val="18"/>
                <w:szCs w:val="18"/>
              </w:rPr>
              <w:t>新余盈瑞世纪软 </w:t>
            </w:r>
            <w:r>
              <w:rPr>
                <w:rFonts w:ascii="宋体" w:hAnsi="宋体" w:cs="宋体" w:eastAsia="宋体" w:hint="default"/>
                <w:spacing w:val="-9"/>
                <w:sz w:val="18"/>
                <w:szCs w:val="18"/>
              </w:rPr>
              <w:t>件研发中心（有限合伙）</w:t>
            </w:r>
            <w:r>
              <w:rPr>
                <w:rFonts w:ascii="Times New Roman" w:hAnsi="Times New Roman" w:cs="Times New Roman" w:eastAsia="Times New Roman" w:hint="default"/>
                <w:spacing w:val="-9"/>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周亚辉；李琼</w:t>
            </w:r>
          </w:p>
        </w:tc>
        <w:tc>
          <w:tcPr>
            <w:tcW w:w="1418"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股份限售承诺</w:t>
            </w:r>
          </w:p>
        </w:tc>
        <w:tc>
          <w:tcPr>
            <w:tcW w:w="4115" w:type="dxa"/>
            <w:vMerge w:val="restart"/>
            <w:tcBorders>
              <w:top w:val="single" w:sz="6" w:space="0" w:color="000000"/>
              <w:left w:val="single" w:sz="6" w:space="0" w:color="000000"/>
              <w:right w:val="single" w:sz="6" w:space="0" w:color="000000"/>
            </w:tcBorders>
          </w:tcPr>
          <w:p>
            <w:pPr>
              <w:pStyle w:val="TableParagraph"/>
              <w:spacing w:line="304" w:lineRule="auto" w:before="52"/>
              <w:ind w:left="20" w:right="19"/>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、公司控股股东、实际控制人周亚辉承诺：（</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）自</w:t>
            </w:r>
            <w:r>
              <w:rPr>
                <w:rFonts w:ascii="宋体" w:hAnsi="宋体" w:cs="宋体" w:eastAsia="宋体" w:hint="default"/>
                <w:spacing w:val="-84"/>
                <w:sz w:val="18"/>
                <w:szCs w:val="18"/>
              </w:rPr>
              <w:t> </w:t>
            </w:r>
            <w:r>
              <w:rPr>
                <w:rFonts w:ascii="宋体" w:hAnsi="宋体" w:cs="宋体" w:eastAsia="宋体" w:hint="default"/>
                <w:sz w:val="18"/>
                <w:szCs w:val="18"/>
              </w:rPr>
              <w:t>公司股票上市之日起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个月内，不转让或者委托他 </w:t>
            </w:r>
            <w:r>
              <w:rPr>
                <w:rFonts w:ascii="宋体" w:hAnsi="宋体" w:cs="宋体" w:eastAsia="宋体" w:hint="default"/>
                <w:spacing w:val="-4"/>
                <w:sz w:val="18"/>
                <w:szCs w:val="18"/>
              </w:rPr>
              <w:t>人管理其直接和间接持有的公司股份，也不由公司回</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8"/>
                <w:sz w:val="18"/>
                <w:szCs w:val="18"/>
              </w:rPr>
              <w:t>购该部分股份；（</w:t>
            </w:r>
            <w:r>
              <w:rPr>
                <w:rFonts w:ascii="Times New Roman" w:hAnsi="Times New Roman" w:cs="Times New Roman" w:eastAsia="Times New Roman" w:hint="default"/>
                <w:spacing w:val="-8"/>
                <w:sz w:val="18"/>
                <w:szCs w:val="18"/>
              </w:rPr>
              <w:t>2</w:t>
            </w:r>
            <w:r>
              <w:rPr>
                <w:rFonts w:ascii="宋体" w:hAnsi="宋体" w:cs="宋体" w:eastAsia="宋体" w:hint="default"/>
                <w:spacing w:val="-8"/>
                <w:sz w:val="18"/>
                <w:szCs w:val="18"/>
              </w:rPr>
              <w:t>）在其任职期间每年转让的股份不</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超过其直接或间接持有公司股份总数的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，在离 职后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个月内不转让其直接或者间接持有的公司股</w:t>
            </w:r>
          </w:p>
          <w:p>
            <w:pPr>
              <w:pStyle w:val="TableParagraph"/>
              <w:spacing w:line="240" w:lineRule="auto" w:before="9"/>
              <w:ind w:left="20" w:right="0"/>
              <w:jc w:val="left"/>
              <w:rPr>
                <w:rFonts w:ascii="宋体" w:hAnsi="宋体" w:cs="宋体" w:eastAsia="宋体" w:hint="default"/>
                <w:sz w:val="18"/>
                <w:szCs w:val="18"/>
              </w:rPr>
            </w:pPr>
            <w:r>
              <w:rPr>
                <w:rFonts w:ascii="宋体" w:hAnsi="宋体" w:cs="宋体" w:eastAsia="宋体" w:hint="default"/>
                <w:spacing w:val="-4"/>
                <w:sz w:val="18"/>
                <w:szCs w:val="18"/>
              </w:rPr>
              <w:t>份；在公司股票上市之日起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6"/>
                <w:sz w:val="18"/>
                <w:szCs w:val="18"/>
              </w:rPr>
              <w:t> </w:t>
            </w:r>
            <w:r>
              <w:rPr>
                <w:rFonts w:ascii="宋体" w:hAnsi="宋体" w:cs="宋体" w:eastAsia="宋体" w:hint="default"/>
                <w:spacing w:val="-5"/>
                <w:sz w:val="18"/>
                <w:szCs w:val="18"/>
              </w:rPr>
              <w:t>个月内申报离职的，自</w:t>
            </w:r>
          </w:p>
          <w:p>
            <w:pPr>
              <w:pStyle w:val="TableParagraph"/>
              <w:spacing w:line="240" w:lineRule="auto" w:before="63"/>
              <w:ind w:left="20" w:right="0"/>
              <w:jc w:val="left"/>
              <w:rPr>
                <w:rFonts w:ascii="宋体" w:hAnsi="宋体" w:cs="宋体" w:eastAsia="宋体" w:hint="default"/>
                <w:sz w:val="18"/>
                <w:szCs w:val="18"/>
              </w:rPr>
            </w:pPr>
            <w:r>
              <w:rPr>
                <w:rFonts w:ascii="宋体" w:hAnsi="宋体" w:cs="宋体" w:eastAsia="宋体" w:hint="default"/>
                <w:sz w:val="18"/>
                <w:szCs w:val="18"/>
              </w:rPr>
              <w:t>申报离职之日起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个月内不转让其直接或间接持有</w:t>
            </w:r>
          </w:p>
          <w:p>
            <w:pPr>
              <w:pStyle w:val="TableParagraph"/>
              <w:spacing w:line="240" w:lineRule="auto" w:before="63"/>
              <w:ind w:left="20" w:right="0"/>
              <w:jc w:val="left"/>
              <w:rPr>
                <w:rFonts w:ascii="宋体" w:hAnsi="宋体" w:cs="宋体" w:eastAsia="宋体" w:hint="default"/>
                <w:sz w:val="18"/>
                <w:szCs w:val="18"/>
              </w:rPr>
            </w:pPr>
            <w:r>
              <w:rPr>
                <w:rFonts w:ascii="宋体" w:hAnsi="宋体" w:cs="宋体" w:eastAsia="宋体" w:hint="default"/>
                <w:sz w:val="18"/>
                <w:szCs w:val="18"/>
              </w:rPr>
              <w:t>的公司股份；在公司股票上市之日起第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个月至第</w:t>
            </w:r>
          </w:p>
          <w:p>
            <w:pPr>
              <w:pStyle w:val="TableParagraph"/>
              <w:spacing w:line="307" w:lineRule="auto" w:before="63"/>
              <w:ind w:left="20" w:right="19"/>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个月之间申报离职的，自申报离职之日起</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个月 </w:t>
            </w:r>
            <w:r>
              <w:rPr>
                <w:rFonts w:ascii="宋体" w:hAnsi="宋体" w:cs="宋体" w:eastAsia="宋体" w:hint="default"/>
                <w:spacing w:val="-8"/>
                <w:sz w:val="18"/>
                <w:szCs w:val="18"/>
              </w:rPr>
              <w:t>内不转让其直接或间接持有的公司股份；（</w:t>
            </w:r>
            <w:r>
              <w:rPr>
                <w:rFonts w:ascii="Times New Roman" w:hAnsi="Times New Roman" w:cs="Times New Roman" w:eastAsia="Times New Roman" w:hint="default"/>
                <w:spacing w:val="-8"/>
                <w:sz w:val="18"/>
                <w:szCs w:val="18"/>
              </w:rPr>
              <w:t>3</w:t>
            </w:r>
            <w:r>
              <w:rPr>
                <w:rFonts w:ascii="宋体" w:hAnsi="宋体" w:cs="宋体" w:eastAsia="宋体" w:hint="default"/>
                <w:spacing w:val="-8"/>
                <w:sz w:val="18"/>
                <w:szCs w:val="18"/>
              </w:rPr>
              <w:t>）在股份</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锁定期限届满后</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6"/>
                <w:sz w:val="18"/>
                <w:szCs w:val="18"/>
              </w:rPr>
              <w:t>年内减持的，每个会计年度减持数</w:t>
            </w:r>
            <w:r>
              <w:rPr>
                <w:rFonts w:ascii="宋体" w:hAnsi="宋体" w:cs="宋体" w:eastAsia="宋体" w:hint="default"/>
                <w:sz w:val="18"/>
                <w:szCs w:val="18"/>
              </w:rPr>
              <w:t> </w:t>
            </w:r>
            <w:r>
              <w:rPr>
                <w:rFonts w:ascii="宋体" w:hAnsi="宋体" w:cs="宋体" w:eastAsia="宋体" w:hint="default"/>
                <w:spacing w:val="-4"/>
                <w:sz w:val="18"/>
                <w:szCs w:val="18"/>
              </w:rPr>
              <w:t>量不超过其在本次发行前直接、间接所持公司股份总</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，减持价格不低于发行价（若公司在上市 </w:t>
            </w:r>
            <w:r>
              <w:rPr>
                <w:rFonts w:ascii="宋体" w:hAnsi="宋体" w:cs="宋体" w:eastAsia="宋体" w:hint="default"/>
                <w:spacing w:val="-4"/>
                <w:sz w:val="18"/>
                <w:szCs w:val="18"/>
              </w:rPr>
              <w:t>后至其减持期间发生派发股利、送红股、转增股本等</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除息、除权行为，减持公司股份的数量和减持价格下</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9"/>
                <w:sz w:val="18"/>
                <w:szCs w:val="18"/>
              </w:rPr>
              <w:t>限将作相应调整，下同）；（</w:t>
            </w:r>
            <w:r>
              <w:rPr>
                <w:rFonts w:ascii="Times New Roman" w:hAnsi="Times New Roman" w:cs="Times New Roman" w:eastAsia="Times New Roman" w:hint="default"/>
                <w:spacing w:val="-9"/>
                <w:sz w:val="18"/>
                <w:szCs w:val="18"/>
              </w:rPr>
              <w:t>4</w:t>
            </w:r>
            <w:r>
              <w:rPr>
                <w:rFonts w:ascii="宋体" w:hAnsi="宋体" w:cs="宋体" w:eastAsia="宋体" w:hint="default"/>
                <w:spacing w:val="-9"/>
                <w:sz w:val="18"/>
                <w:szCs w:val="18"/>
              </w:rPr>
              <w:t>）若公司上市后</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个月</w:t>
            </w:r>
          </w:p>
          <w:p>
            <w:pPr>
              <w:pStyle w:val="TableParagraph"/>
              <w:spacing w:line="240" w:lineRule="auto" w:before="7"/>
              <w:ind w:left="20" w:right="0"/>
              <w:jc w:val="left"/>
              <w:rPr>
                <w:rFonts w:ascii="宋体" w:hAnsi="宋体" w:cs="宋体" w:eastAsia="宋体" w:hint="default"/>
                <w:sz w:val="18"/>
                <w:szCs w:val="18"/>
              </w:rPr>
            </w:pPr>
            <w:r>
              <w:rPr>
                <w:rFonts w:ascii="宋体" w:hAnsi="宋体" w:cs="宋体" w:eastAsia="宋体" w:hint="default"/>
                <w:sz w:val="18"/>
                <w:szCs w:val="18"/>
              </w:rPr>
              <w:t>内股票价格连续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个交易日的收盘价均低于发行</w:t>
            </w:r>
          </w:p>
          <w:p>
            <w:pPr>
              <w:pStyle w:val="TableParagraph"/>
              <w:spacing w:line="240" w:lineRule="auto" w:before="63"/>
              <w:ind w:left="20" w:right="0"/>
              <w:jc w:val="left"/>
              <w:rPr>
                <w:rFonts w:ascii="宋体" w:hAnsi="宋体" w:cs="宋体" w:eastAsia="宋体" w:hint="default"/>
                <w:sz w:val="18"/>
                <w:szCs w:val="18"/>
              </w:rPr>
            </w:pPr>
            <w:r>
              <w:rPr>
                <w:rFonts w:ascii="宋体" w:hAnsi="宋体" w:cs="宋体" w:eastAsia="宋体" w:hint="default"/>
                <w:spacing w:val="-6"/>
                <w:sz w:val="18"/>
                <w:szCs w:val="18"/>
              </w:rPr>
              <w:t>价，或者上市后</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个月期末收盘价低于发行价（若公</w:t>
            </w:r>
          </w:p>
          <w:p>
            <w:pPr>
              <w:pStyle w:val="TableParagraph"/>
              <w:spacing w:line="240" w:lineRule="auto" w:before="63"/>
              <w:ind w:left="20" w:right="0"/>
              <w:jc w:val="left"/>
              <w:rPr>
                <w:rFonts w:ascii="宋体" w:hAnsi="宋体" w:cs="宋体" w:eastAsia="宋体" w:hint="default"/>
                <w:sz w:val="18"/>
                <w:szCs w:val="18"/>
              </w:rPr>
            </w:pPr>
            <w:r>
              <w:rPr>
                <w:rFonts w:ascii="宋体" w:hAnsi="宋体" w:cs="宋体" w:eastAsia="宋体" w:hint="default"/>
                <w:sz w:val="18"/>
                <w:szCs w:val="18"/>
              </w:rPr>
              <w:t>司在上市后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个月内发生派发股利、送红股、转增股</w:t>
            </w:r>
          </w:p>
        </w:tc>
        <w:tc>
          <w:tcPr>
            <w:tcW w:w="1276"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21</w:t>
            </w:r>
          </w:p>
          <w:p>
            <w:pPr>
              <w:pStyle w:val="TableParagraph"/>
              <w:spacing w:line="240" w:lineRule="auto" w:before="64"/>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75"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2018-01-21</w:t>
            </w:r>
          </w:p>
        </w:tc>
        <w:tc>
          <w:tcPr>
            <w:tcW w:w="1367" w:type="dxa"/>
            <w:vMerge w:val="restart"/>
            <w:tcBorders>
              <w:top w:val="single" w:sz="6" w:space="0" w:color="000000"/>
              <w:left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正常履行中</w:t>
            </w:r>
          </w:p>
        </w:tc>
      </w:tr>
      <w:tr>
        <w:trPr>
          <w:trHeight w:val="704" w:hRule="exact"/>
        </w:trPr>
        <w:tc>
          <w:tcPr>
            <w:tcW w:w="2582"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319" w:lineRule="auto" w:before="51"/>
              <w:ind w:left="13" w:right="24"/>
              <w:jc w:val="left"/>
              <w:rPr>
                <w:rFonts w:ascii="宋体" w:hAnsi="宋体" w:cs="宋体" w:eastAsia="宋体" w:hint="default"/>
                <w:sz w:val="18"/>
                <w:szCs w:val="18"/>
              </w:rPr>
            </w:pPr>
            <w:r>
              <w:rPr>
                <w:rFonts w:ascii="宋体" w:hAnsi="宋体" w:cs="宋体" w:eastAsia="宋体" w:hint="default"/>
                <w:sz w:val="18"/>
                <w:szCs w:val="18"/>
              </w:rPr>
              <w:t>首次公开发行或再融资时所作承 诺</w:t>
            </w:r>
          </w:p>
        </w:tc>
        <w:tc>
          <w:tcPr>
            <w:tcW w:w="1981" w:type="dxa"/>
            <w:vMerge/>
            <w:tcBorders>
              <w:left w:val="single" w:sz="9" w:space="0" w:color="D2D2D2"/>
              <w:right w:val="single" w:sz="6" w:space="0" w:color="000000"/>
            </w:tcBorders>
          </w:tcPr>
          <w:p>
            <w:pPr/>
          </w:p>
        </w:tc>
        <w:tc>
          <w:tcPr>
            <w:tcW w:w="1418" w:type="dxa"/>
            <w:vMerge/>
            <w:tcBorders>
              <w:left w:val="single" w:sz="6" w:space="0" w:color="000000"/>
              <w:right w:val="single" w:sz="6" w:space="0" w:color="000000"/>
            </w:tcBorders>
          </w:tcPr>
          <w:p>
            <w:pPr/>
          </w:p>
        </w:tc>
        <w:tc>
          <w:tcPr>
            <w:tcW w:w="4115" w:type="dxa"/>
            <w:vMerge/>
            <w:tcBorders>
              <w:left w:val="single" w:sz="6" w:space="0" w:color="000000"/>
              <w:right w:val="single" w:sz="6" w:space="0" w:color="000000"/>
            </w:tcBorders>
          </w:tcPr>
          <w:p>
            <w:pP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2803" w:hRule="exact"/>
        </w:trPr>
        <w:tc>
          <w:tcPr>
            <w:tcW w:w="2582" w:type="dxa"/>
            <w:tcBorders>
              <w:top w:val="nil" w:sz="6" w:space="0" w:color="auto"/>
              <w:left w:val="single" w:sz="12" w:space="0" w:color="000000"/>
              <w:bottom w:val="single" w:sz="12" w:space="0" w:color="000000"/>
              <w:right w:val="single" w:sz="6" w:space="0" w:color="000000"/>
            </w:tcBorders>
            <w:shd w:val="clear" w:color="auto" w:fill="D2D2D2"/>
          </w:tcPr>
          <w:p>
            <w:pPr/>
          </w:p>
        </w:tc>
        <w:tc>
          <w:tcPr>
            <w:tcW w:w="1981" w:type="dxa"/>
            <w:vMerge/>
            <w:tcBorders>
              <w:left w:val="single" w:sz="9" w:space="0" w:color="D2D2D2"/>
              <w:bottom w:val="single" w:sz="12" w:space="0" w:color="000000"/>
              <w:right w:val="single" w:sz="6" w:space="0" w:color="000000"/>
            </w:tcBorders>
          </w:tcPr>
          <w:p>
            <w:pPr/>
          </w:p>
        </w:tc>
        <w:tc>
          <w:tcPr>
            <w:tcW w:w="1418" w:type="dxa"/>
            <w:vMerge/>
            <w:tcBorders>
              <w:left w:val="single" w:sz="6" w:space="0" w:color="000000"/>
              <w:bottom w:val="single" w:sz="12" w:space="0" w:color="000000"/>
              <w:right w:val="single" w:sz="6" w:space="0" w:color="000000"/>
            </w:tcBorders>
          </w:tcPr>
          <w:p>
            <w:pPr/>
          </w:p>
        </w:tc>
        <w:tc>
          <w:tcPr>
            <w:tcW w:w="4115" w:type="dxa"/>
            <w:vMerge/>
            <w:tcBorders>
              <w:left w:val="single" w:sz="6" w:space="0" w:color="000000"/>
              <w:bottom w:val="single" w:sz="12" w:space="0" w:color="000000"/>
              <w:right w:val="single" w:sz="6" w:space="0" w:color="000000"/>
            </w:tcBorders>
          </w:tcPr>
          <w:p>
            <w:pPr/>
          </w:p>
        </w:tc>
        <w:tc>
          <w:tcPr>
            <w:tcW w:w="1276" w:type="dxa"/>
            <w:vMerge/>
            <w:tcBorders>
              <w:left w:val="single" w:sz="6" w:space="0" w:color="000000"/>
              <w:bottom w:val="single" w:sz="12" w:space="0" w:color="000000"/>
              <w:right w:val="single" w:sz="6" w:space="0" w:color="000000"/>
            </w:tcBorders>
          </w:tcPr>
          <w:p>
            <w:pPr/>
          </w:p>
        </w:tc>
        <w:tc>
          <w:tcPr>
            <w:tcW w:w="1275" w:type="dxa"/>
            <w:vMerge/>
            <w:tcBorders>
              <w:left w:val="single" w:sz="6" w:space="0" w:color="000000"/>
              <w:bottom w:val="single" w:sz="12" w:space="0" w:color="000000"/>
              <w:right w:val="single" w:sz="6" w:space="0" w:color="000000"/>
            </w:tcBorders>
          </w:tcPr>
          <w:p>
            <w:pPr/>
          </w:p>
        </w:tc>
        <w:tc>
          <w:tcPr>
            <w:tcW w:w="1367" w:type="dxa"/>
            <w:vMerge/>
            <w:tcBorders>
              <w:left w:val="single" w:sz="6" w:space="0" w:color="000000"/>
              <w:bottom w:val="single" w:sz="12" w:space="0" w:color="000000"/>
              <w:right w:val="single" w:sz="12" w:space="0" w:color="000000"/>
            </w:tcBorders>
          </w:tcPr>
          <w:p>
            <w:pPr/>
          </w:p>
        </w:tc>
      </w:tr>
    </w:tbl>
    <w:p>
      <w:pPr>
        <w:spacing w:after="0"/>
        <w:sectPr>
          <w:headerReference w:type="default" r:id="rId20"/>
          <w:footerReference w:type="default" r:id="rId21"/>
          <w:pgSz w:w="16840" w:h="11910" w:orient="landscape"/>
          <w:pgMar w:header="867" w:footer="979" w:top="1060" w:bottom="1160" w:left="1280" w:right="0"/>
          <w:pgNumType w:start="51"/>
        </w:sectPr>
      </w:pPr>
    </w:p>
    <w:p>
      <w:pPr>
        <w:spacing w:line="307" w:lineRule="auto" w:before="107"/>
        <w:ind w:left="6141" w:right="5257" w:firstLine="0"/>
        <w:jc w:val="left"/>
        <w:rPr>
          <w:rFonts w:ascii="宋体" w:hAnsi="宋体" w:cs="宋体" w:eastAsia="宋体" w:hint="default"/>
          <w:sz w:val="18"/>
          <w:szCs w:val="18"/>
        </w:rPr>
      </w:pPr>
      <w:r>
        <w:rPr/>
        <w:pict>
          <v:shape style="position:absolute;margin-left:569.5pt;margin-top:58.200008pt;width:69.4pt;height:468.1pt;mso-position-horizontal-relative:page;mso-position-vertical-relative:page;z-index:-1136464"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group style="position:absolute;margin-left:69.839996pt;margin-top:55.260006pt;width:702.25pt;height:473.25pt;mso-position-horizontal-relative:page;mso-position-vertical-relative:page;z-index:-1136440" coordorigin="1397,1105" coordsize="14045,9465">
            <v:group style="position:absolute;left:1410;top:1112;width:14020;height:2" coordorigin="1410,1112" coordsize="14020,2">
              <v:shape style="position:absolute;left:1410;top:1112;width:14020;height:2" coordorigin="1410,1112" coordsize="14020,0" path="m1410,1112l15430,1112e" filled="false" stroked="true" strokeweight=".72pt" strokecolor="#000000">
                <v:path arrowok="t"/>
              </v:shape>
            </v:group>
            <v:group style="position:absolute;left:1427;top:1164;width:2560;height:9362" coordorigin="1427,1164" coordsize="2560,9362">
              <v:shape style="position:absolute;left:1427;top:1164;width:2560;height:9362" coordorigin="1427,1164" coordsize="2560,9362" path="m1427,10525l3987,10525,3987,1164,1427,1164,1427,10525xe" filled="true" fillcolor="#d2d2d2" stroked="false">
                <v:path arrowok="t"/>
                <v:fill type="solid"/>
              </v:shape>
            </v:group>
            <v:group style="position:absolute;left:11516;top:1164;width:1262;height:9362" coordorigin="11516,1164" coordsize="1262,9362">
              <v:shape style="position:absolute;left:11516;top:1164;width:1262;height:9362" coordorigin="11516,1164" coordsize="1262,9362" path="m11516,10525l12777,10525,12777,1164,11516,1164,11516,10525xe" filled="true" fillcolor="#ffffff" stroked="false">
                <v:path arrowok="t"/>
                <v:fill type="solid"/>
              </v:shape>
            </v:group>
            <v:group style="position:absolute;left:1427;top:1134;width:2560;height:30" coordorigin="1427,1134" coordsize="2560,30">
              <v:shape style="position:absolute;left:1427;top:1134;width:2560;height:30" coordorigin="1427,1134" coordsize="2560,30" path="m1427,1164l3987,1164,3987,1134,1427,1134,1427,1164xe" filled="true" fillcolor="#000000" stroked="false">
                <v:path arrowok="t"/>
                <v:fill type="solid"/>
              </v:shape>
            </v:group>
            <v:group style="position:absolute;left:3987;top:1149;width:30;height:2" coordorigin="3987,1149" coordsize="30,2">
              <v:shape style="position:absolute;left:3987;top:1149;width:30;height:2" coordorigin="3987,1149" coordsize="30,0" path="m3987,1149l4017,1149e" filled="false" stroked="true" strokeweight="1.5pt" strokecolor="#000000">
                <v:path arrowok="t"/>
              </v:shape>
            </v:group>
            <v:group style="position:absolute;left:4017;top:1149;width:1952;height:2" coordorigin="4017,1149" coordsize="1952,2">
              <v:shape style="position:absolute;left:4017;top:1149;width:1952;height:2" coordorigin="4017,1149" coordsize="1952,0" path="m4017,1149l5968,1149e" filled="false" stroked="true" strokeweight="1.5pt" strokecolor="#000000">
                <v:path arrowok="t"/>
              </v:shape>
            </v:group>
            <v:group style="position:absolute;left:5968;top:1149;width:30;height:2" coordorigin="5968,1149" coordsize="30,2">
              <v:shape style="position:absolute;left:5968;top:1149;width:30;height:2" coordorigin="5968,1149" coordsize="30,0" path="m5968,1149l5998,1149e" filled="false" stroked="true" strokeweight="1.5pt" strokecolor="#000000">
                <v:path arrowok="t"/>
              </v:shape>
            </v:group>
            <v:group style="position:absolute;left:5998;top:1149;width:1389;height:2" coordorigin="5998,1149" coordsize="1389,2">
              <v:shape style="position:absolute;left:5998;top:1149;width:1389;height:2" coordorigin="5998,1149" coordsize="1389,0" path="m5998,1149l7386,1149e" filled="false" stroked="true" strokeweight="1.5pt" strokecolor="#000000">
                <v:path arrowok="t"/>
              </v:shape>
            </v:group>
            <v:group style="position:absolute;left:7386;top:1149;width:30;height:2" coordorigin="7386,1149" coordsize="30,2">
              <v:shape style="position:absolute;left:7386;top:1149;width:30;height:2" coordorigin="7386,1149" coordsize="30,0" path="m7386,1149l7416,1149e" filled="false" stroked="true" strokeweight="1.5pt" strokecolor="#000000">
                <v:path arrowok="t"/>
              </v:shape>
            </v:group>
            <v:group style="position:absolute;left:7416;top:1149;width:4086;height:2" coordorigin="7416,1149" coordsize="4086,2">
              <v:shape style="position:absolute;left:7416;top:1149;width:4086;height:2" coordorigin="7416,1149" coordsize="4086,0" path="m7416,1149l11502,1149e" filled="false" stroked="true" strokeweight="1.5pt" strokecolor="#000000">
                <v:path arrowok="t"/>
              </v:shape>
            </v:group>
            <v:group style="position:absolute;left:11502;top:1149;width:30;height:2" coordorigin="11502,1149" coordsize="30,2">
              <v:shape style="position:absolute;left:11502;top:1149;width:30;height:2" coordorigin="11502,1149" coordsize="30,0" path="m11502,1149l11532,1149e" filled="false" stroked="true" strokeweight="1.5pt" strokecolor="#000000">
                <v:path arrowok="t"/>
              </v:shape>
            </v:group>
            <v:group style="position:absolute;left:11532;top:1134;width:1246;height:30" coordorigin="11532,1134" coordsize="1246,30">
              <v:shape style="position:absolute;left:11532;top:1134;width:1246;height:30" coordorigin="11532,1134" coordsize="1246,30" path="m11532,1164l12777,1164,12777,1134,11532,1134,11532,1164xe" filled="true" fillcolor="#000000" stroked="false">
                <v:path arrowok="t"/>
                <v:fill type="solid"/>
              </v:shape>
            </v:group>
            <v:group style="position:absolute;left:12777;top:1149;width:30;height:2" coordorigin="12777,1149" coordsize="30,2">
              <v:shape style="position:absolute;left:12777;top:1149;width:30;height:2" coordorigin="12777,1149" coordsize="30,0" path="m12777,1149l12807,1149e" filled="false" stroked="true" strokeweight="1.5pt" strokecolor="#000000">
                <v:path arrowok="t"/>
              </v:shape>
            </v:group>
            <v:group style="position:absolute;left:12807;top:1149;width:1245;height:2" coordorigin="12807,1149" coordsize="1245,2">
              <v:shape style="position:absolute;left:12807;top:1149;width:1245;height:2" coordorigin="12807,1149" coordsize="1245,0" path="m12807,1149l14052,1149e" filled="false" stroked="true" strokeweight="1.5pt" strokecolor="#000000">
                <v:path arrowok="t"/>
              </v:shape>
            </v:group>
            <v:group style="position:absolute;left:14052;top:1149;width:30;height:2" coordorigin="14052,1149" coordsize="30,2">
              <v:shape style="position:absolute;left:14052;top:1149;width:30;height:2" coordorigin="14052,1149" coordsize="30,0" path="m14052,1149l14082,1149e" filled="false" stroked="true" strokeweight="1.5pt" strokecolor="#000000">
                <v:path arrowok="t"/>
              </v:shape>
            </v:group>
            <v:group style="position:absolute;left:14082;top:1149;width:1330;height:2" coordorigin="14082,1149" coordsize="1330,2">
              <v:shape style="position:absolute;left:14082;top:1149;width:1330;height:2" coordorigin="14082,1149" coordsize="1330,0" path="m14082,1149l15412,1149e" filled="false" stroked="true" strokeweight="1.5pt" strokecolor="#000000">
                <v:path arrowok="t"/>
              </v:shape>
            </v:group>
            <v:group style="position:absolute;left:1412;top:1134;width:2;height:9422" coordorigin="1412,1134" coordsize="2,9422">
              <v:shape style="position:absolute;left:1412;top:1134;width:2;height:9422" coordorigin="1412,1134" coordsize="0,9422" path="m1412,1134l1412,10555e" filled="false" stroked="true" strokeweight="1.5pt" strokecolor="#000000">
                <v:path arrowok="t"/>
              </v:shape>
            </v:group>
            <v:group style="position:absolute;left:1427;top:10540;width:2560;height:2" coordorigin="1427,10540" coordsize="2560,2">
              <v:shape style="position:absolute;left:1427;top:10540;width:2560;height:2" coordorigin="1427,10540" coordsize="2560,0" path="m1427,10540l3987,10540e" filled="false" stroked="true" strokeweight="1.5pt" strokecolor="#000000">
                <v:path arrowok="t"/>
              </v:shape>
            </v:group>
            <v:group style="position:absolute;left:3994;top:1164;width:2;height:9362" coordorigin="3994,1164" coordsize="2,9362">
              <v:shape style="position:absolute;left:3994;top:1164;width:2;height:9362" coordorigin="3994,1164" coordsize="0,9362" path="m3994,1164l3994,10525e" filled="false" stroked="true" strokeweight=".72pt" strokecolor="#000000">
                <v:path arrowok="t"/>
              </v:shape>
            </v:group>
            <v:group style="position:absolute;left:3987;top:10540;width:30;height:2" coordorigin="3987,10540" coordsize="30,2">
              <v:shape style="position:absolute;left:3987;top:10540;width:30;height:2" coordorigin="3987,10540" coordsize="30,0" path="m3987,10540l4017,10540e" filled="false" stroked="true" strokeweight="1.5pt" strokecolor="#000000">
                <v:path arrowok="t"/>
              </v:shape>
            </v:group>
            <v:group style="position:absolute;left:4017;top:10540;width:1952;height:2" coordorigin="4017,10540" coordsize="1952,2">
              <v:shape style="position:absolute;left:4017;top:10540;width:1952;height:2" coordorigin="4017,10540" coordsize="1952,0" path="m4017,10540l5968,10540e" filled="false" stroked="true" strokeweight="1.5pt" strokecolor="#000000">
                <v:path arrowok="t"/>
              </v:shape>
            </v:group>
            <v:group style="position:absolute;left:5975;top:1164;width:2;height:9362" coordorigin="5975,1164" coordsize="2,9362">
              <v:shape style="position:absolute;left:5975;top:1164;width:2;height:9362" coordorigin="5975,1164" coordsize="0,9362" path="m5975,1164l5975,10525e" filled="false" stroked="true" strokeweight=".72pt" strokecolor="#000000">
                <v:path arrowok="t"/>
              </v:shape>
            </v:group>
            <v:group style="position:absolute;left:5968;top:10540;width:30;height:2" coordorigin="5968,10540" coordsize="30,2">
              <v:shape style="position:absolute;left:5968;top:10540;width:30;height:2" coordorigin="5968,10540" coordsize="30,0" path="m5968,10540l5998,10540e" filled="false" stroked="true" strokeweight="1.5pt" strokecolor="#000000">
                <v:path arrowok="t"/>
              </v:shape>
            </v:group>
            <v:group style="position:absolute;left:5998;top:10540;width:1389;height:2" coordorigin="5998,10540" coordsize="1389,2">
              <v:shape style="position:absolute;left:5998;top:10540;width:1389;height:2" coordorigin="5998,10540" coordsize="1389,0" path="m5998,10540l7386,10540e" filled="false" stroked="true" strokeweight="1.5pt" strokecolor="#000000">
                <v:path arrowok="t"/>
              </v:shape>
            </v:group>
            <v:group style="position:absolute;left:7394;top:1164;width:2;height:9362" coordorigin="7394,1164" coordsize="2,9362">
              <v:shape style="position:absolute;left:7394;top:1164;width:2;height:9362" coordorigin="7394,1164" coordsize="0,9362" path="m7394,1164l7394,10525e" filled="false" stroked="true" strokeweight=".72pt" strokecolor="#000000">
                <v:path arrowok="t"/>
              </v:shape>
            </v:group>
            <v:group style="position:absolute;left:7386;top:10540;width:30;height:2" coordorigin="7386,10540" coordsize="30,2">
              <v:shape style="position:absolute;left:7386;top:10540;width:30;height:2" coordorigin="7386,10540" coordsize="30,0" path="m7386,10540l7416,10540e" filled="false" stroked="true" strokeweight="1.5pt" strokecolor="#000000">
                <v:path arrowok="t"/>
              </v:shape>
            </v:group>
            <v:group style="position:absolute;left:7416;top:10540;width:4086;height:2" coordorigin="7416,10540" coordsize="4086,2">
              <v:shape style="position:absolute;left:7416;top:10540;width:4086;height:2" coordorigin="7416,10540" coordsize="4086,0" path="m7416,10540l11502,10540e" filled="false" stroked="true" strokeweight="1.5pt" strokecolor="#000000">
                <v:path arrowok="t"/>
              </v:shape>
            </v:group>
            <v:group style="position:absolute;left:11509;top:1164;width:2;height:9362" coordorigin="11509,1164" coordsize="2,9362">
              <v:shape style="position:absolute;left:11509;top:1164;width:2;height:9362" coordorigin="11509,1164" coordsize="0,9362" path="m11509,1164l11509,10525e" filled="false" stroked="true" strokeweight=".72pt" strokecolor="#000000">
                <v:path arrowok="t"/>
              </v:shape>
            </v:group>
            <v:group style="position:absolute;left:11502;top:10540;width:30;height:2" coordorigin="11502,10540" coordsize="30,2">
              <v:shape style="position:absolute;left:11502;top:10540;width:30;height:2" coordorigin="11502,10540" coordsize="30,0" path="m11502,10540l11532,10540e" filled="false" stroked="true" strokeweight="1.5pt" strokecolor="#000000">
                <v:path arrowok="t"/>
              </v:shape>
            </v:group>
            <v:group style="position:absolute;left:11532;top:10540;width:1246;height:2" coordorigin="11532,10540" coordsize="1246,2">
              <v:shape style="position:absolute;left:11532;top:10540;width:1246;height:2" coordorigin="11532,10540" coordsize="1246,0" path="m11532,10540l12777,10540e" filled="false" stroked="true" strokeweight="1.5pt" strokecolor="#000000">
                <v:path arrowok="t"/>
              </v:shape>
            </v:group>
            <v:group style="position:absolute;left:12784;top:1164;width:2;height:9362" coordorigin="12784,1164" coordsize="2,9362">
              <v:shape style="position:absolute;left:12784;top:1164;width:2;height:9362" coordorigin="12784,1164" coordsize="0,9362" path="m12784,1164l12784,10525e" filled="false" stroked="true" strokeweight=".72pt" strokecolor="#000000">
                <v:path arrowok="t"/>
              </v:shape>
            </v:group>
            <v:group style="position:absolute;left:12777;top:10540;width:30;height:2" coordorigin="12777,10540" coordsize="30,2">
              <v:shape style="position:absolute;left:12777;top:10540;width:30;height:2" coordorigin="12777,10540" coordsize="30,0" path="m12777,10540l12807,10540e" filled="false" stroked="true" strokeweight="1.5pt" strokecolor="#000000">
                <v:path arrowok="t"/>
              </v:shape>
            </v:group>
            <v:group style="position:absolute;left:12807;top:10540;width:1245;height:2" coordorigin="12807,10540" coordsize="1245,2">
              <v:shape style="position:absolute;left:12807;top:10540;width:1245;height:2" coordorigin="12807,10540" coordsize="1245,0" path="m12807,10540l14052,10540e" filled="false" stroked="true" strokeweight="1.5pt" strokecolor="#000000">
                <v:path arrowok="t"/>
              </v:shape>
            </v:group>
            <v:group style="position:absolute;left:14059;top:1164;width:2;height:9362" coordorigin="14059,1164" coordsize="2,9362">
              <v:shape style="position:absolute;left:14059;top:1164;width:2;height:9362" coordorigin="14059,1164" coordsize="0,9362" path="m14059,1164l14059,10525e" filled="false" stroked="true" strokeweight=".72pt" strokecolor="#000000">
                <v:path arrowok="t"/>
              </v:shape>
            </v:group>
            <v:group style="position:absolute;left:14052;top:10540;width:30;height:2" coordorigin="14052,10540" coordsize="30,2">
              <v:shape style="position:absolute;left:14052;top:10540;width:30;height:2" coordorigin="14052,10540" coordsize="30,0" path="m14052,10540l14082,10540e" filled="false" stroked="true" strokeweight="1.5pt" strokecolor="#000000">
                <v:path arrowok="t"/>
              </v:shape>
            </v:group>
            <v:group style="position:absolute;left:14082;top:10540;width:1330;height:2" coordorigin="14082,10540" coordsize="1330,2">
              <v:shape style="position:absolute;left:14082;top:10540;width:1330;height:2" coordorigin="14082,10540" coordsize="1330,0" path="m14082,10540l15412,10540e" filled="false" stroked="true" strokeweight="1.5pt" strokecolor="#000000">
                <v:path arrowok="t"/>
              </v:shape>
            </v:group>
            <v:group style="position:absolute;left:15427;top:1134;width:2;height:9422" coordorigin="15427,1134" coordsize="2,9422">
              <v:shape style="position:absolute;left:15427;top:1134;width:2;height:9422" coordorigin="15427,1134" coordsize="0,9422" path="m15427,1134l15427,10555e" filled="false" stroked="true" strokeweight="1.5pt" strokecolor="#000000">
                <v:path arrowok="t"/>
              </v:shape>
            </v:group>
            <w10:wrap type="none"/>
          </v:group>
        </w:pict>
      </w:r>
      <w:r>
        <w:rPr>
          <w:rFonts w:ascii="宋体" w:hAnsi="宋体" w:cs="宋体" w:eastAsia="宋体" w:hint="default"/>
          <w:spacing w:val="-15"/>
          <w:sz w:val="18"/>
          <w:szCs w:val="18"/>
        </w:rPr>
        <w:t>本等除息、除权行为，收盘价格将作相应调整，下同），</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4"/>
          <w:sz w:val="18"/>
          <w:szCs w:val="18"/>
        </w:rPr>
        <w:t>其直接、间接所持公司股份的锁定期在原有锁定期限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的基础上自动延长</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 </w:t>
      </w:r>
      <w:r>
        <w:rPr>
          <w:rFonts w:ascii="宋体" w:hAnsi="宋体" w:cs="宋体" w:eastAsia="宋体" w:hint="default"/>
          <w:spacing w:val="-17"/>
          <w:sz w:val="18"/>
          <w:szCs w:val="18"/>
        </w:rPr>
        <w:t>个月；（</w:t>
      </w:r>
      <w:r>
        <w:rPr>
          <w:rFonts w:ascii="Times New Roman" w:hAnsi="Times New Roman" w:cs="Times New Roman" w:eastAsia="Times New Roman" w:hint="default"/>
          <w:spacing w:val="-17"/>
          <w:sz w:val="18"/>
          <w:szCs w:val="18"/>
        </w:rPr>
        <w:t>5</w:t>
      </w:r>
      <w:r>
        <w:rPr>
          <w:rFonts w:ascii="宋体" w:hAnsi="宋体" w:cs="宋体" w:eastAsia="宋体" w:hint="default"/>
          <w:spacing w:val="-17"/>
          <w:sz w:val="18"/>
          <w:szCs w:val="18"/>
        </w:rPr>
        <w:t>）上述第（</w:t>
      </w:r>
      <w:r>
        <w:rPr>
          <w:rFonts w:ascii="Times New Roman" w:hAnsi="Times New Roman" w:cs="Times New Roman" w:eastAsia="Times New Roman" w:hint="default"/>
          <w:spacing w:val="-17"/>
          <w:sz w:val="18"/>
          <w:szCs w:val="18"/>
        </w:rPr>
        <w:t>3</w:t>
      </w:r>
      <w:r>
        <w:rPr>
          <w:rFonts w:ascii="宋体" w:hAnsi="宋体" w:cs="宋体" w:eastAsia="宋体" w:hint="default"/>
          <w:spacing w:val="-17"/>
          <w:sz w:val="18"/>
          <w:szCs w:val="18"/>
        </w:rPr>
        <w:t>）和第（</w:t>
      </w:r>
      <w:r>
        <w:rPr>
          <w:rFonts w:ascii="Times New Roman" w:hAnsi="Times New Roman" w:cs="Times New Roman" w:eastAsia="Times New Roman" w:hint="default"/>
          <w:spacing w:val="-17"/>
          <w:sz w:val="18"/>
          <w:szCs w:val="18"/>
        </w:rPr>
        <w:t>4</w:t>
      </w:r>
      <w:r>
        <w:rPr>
          <w:rFonts w:ascii="Times New Roman" w:hAnsi="Times New Roman" w:cs="Times New Roman" w:eastAsia="Times New Roman" w:hint="default"/>
          <w:spacing w:val="-40"/>
          <w:sz w:val="18"/>
          <w:szCs w:val="18"/>
        </w:rPr>
        <w:t> </w:t>
      </w:r>
      <w:r>
        <w:rPr>
          <w:rFonts w:ascii="宋体" w:hAnsi="宋体" w:cs="宋体" w:eastAsia="宋体" w:hint="default"/>
          <w:spacing w:val="-4"/>
          <w:sz w:val="18"/>
          <w:szCs w:val="18"/>
        </w:rPr>
        <w:t>项股份锁定承诺不会因其在公司的职务变更、离职等</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4"/>
          <w:sz w:val="18"/>
          <w:szCs w:val="18"/>
        </w:rPr>
        <w:t>原因而放弃履行。</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、公司股东盈瑞世纪承诺：（</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w:t>
      </w:r>
      <w:r>
        <w:rPr>
          <w:rFonts w:ascii="宋体" w:hAnsi="宋体" w:cs="宋体" w:eastAsia="宋体" w:hint="default"/>
          <w:spacing w:val="-84"/>
          <w:sz w:val="18"/>
          <w:szCs w:val="18"/>
        </w:rPr>
        <w:t> </w:t>
      </w:r>
      <w:r>
        <w:rPr>
          <w:rFonts w:ascii="宋体" w:hAnsi="宋体" w:cs="宋体" w:eastAsia="宋体" w:hint="default"/>
          <w:sz w:val="18"/>
          <w:szCs w:val="18"/>
        </w:rPr>
        <w:t>自公司股票上市之日起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个月内，不转让或者委托 </w:t>
      </w:r>
      <w:r>
        <w:rPr>
          <w:rFonts w:ascii="宋体" w:hAnsi="宋体" w:cs="宋体" w:eastAsia="宋体" w:hint="default"/>
          <w:spacing w:val="-4"/>
          <w:sz w:val="18"/>
          <w:szCs w:val="18"/>
        </w:rPr>
        <w:t>他人管理其直接和间接持有的公司股份，也不由公司</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9"/>
          <w:sz w:val="18"/>
          <w:szCs w:val="18"/>
        </w:rPr>
        <w:t>回购该部分股份；（</w:t>
      </w:r>
      <w:r>
        <w:rPr>
          <w:rFonts w:ascii="Times New Roman" w:hAnsi="Times New Roman" w:cs="Times New Roman" w:eastAsia="Times New Roman" w:hint="default"/>
          <w:spacing w:val="-9"/>
          <w:sz w:val="18"/>
          <w:szCs w:val="18"/>
        </w:rPr>
        <w:t>2</w:t>
      </w:r>
      <w:r>
        <w:rPr>
          <w:rFonts w:ascii="宋体" w:hAnsi="宋体" w:cs="宋体" w:eastAsia="宋体" w:hint="default"/>
          <w:spacing w:val="-9"/>
          <w:sz w:val="18"/>
          <w:szCs w:val="18"/>
        </w:rPr>
        <w:t>）在股份锁定期限届满后</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年内</w:t>
      </w:r>
      <w:r>
        <w:rPr>
          <w:rFonts w:ascii="宋体" w:hAnsi="宋体" w:cs="宋体" w:eastAsia="宋体" w:hint="default"/>
          <w:spacing w:val="-82"/>
          <w:sz w:val="18"/>
          <w:szCs w:val="18"/>
        </w:rPr>
        <w:t> </w:t>
      </w:r>
      <w:r>
        <w:rPr>
          <w:rFonts w:ascii="宋体" w:hAnsi="宋体" w:cs="宋体" w:eastAsia="宋体" w:hint="default"/>
          <w:spacing w:val="-4"/>
          <w:sz w:val="18"/>
          <w:szCs w:val="18"/>
        </w:rPr>
        <w:t>减持的，每个会计年度减持数量不超过其在本次发行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前直接、间接所持公司股份总数的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，减持价格 不低于发行价。</w:t>
      </w:r>
      <w:r>
        <w:rPr>
          <w:rFonts w:ascii="Times New Roman" w:hAnsi="Times New Roman" w:cs="Times New Roman" w:eastAsia="Times New Roman" w:hint="default"/>
          <w:sz w:val="18"/>
          <w:szCs w:val="18"/>
        </w:rPr>
        <w:t>3</w:t>
      </w:r>
      <w:r>
        <w:rPr>
          <w:rFonts w:ascii="宋体" w:hAnsi="宋体" w:cs="宋体" w:eastAsia="宋体" w:hint="default"/>
          <w:sz w:val="18"/>
          <w:szCs w:val="18"/>
        </w:rPr>
        <w:t>、公司股东李琼承诺：自公司股票 上市之日起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个月内，不转让或者委托他人管理其 间接持有的公司股份，也不由公司回购该部分股份。 </w:t>
      </w:r>
      <w:r>
        <w:rPr>
          <w:rFonts w:ascii="Times New Roman" w:hAnsi="Times New Roman" w:cs="Times New Roman" w:eastAsia="Times New Roman" w:hint="default"/>
          <w:sz w:val="18"/>
          <w:szCs w:val="18"/>
        </w:rPr>
        <w:t>1</w:t>
      </w:r>
      <w:r>
        <w:rPr>
          <w:rFonts w:ascii="宋体" w:hAnsi="宋体" w:cs="宋体" w:eastAsia="宋体" w:hint="default"/>
          <w:sz w:val="18"/>
          <w:szCs w:val="18"/>
        </w:rPr>
        <w:t>、自本承诺函出具之日，本人不存在持有、控制其 他境内或境外上市公司发行在外股份总额</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 情况。</w:t>
      </w:r>
      <w:r>
        <w:rPr>
          <w:rFonts w:ascii="Times New Roman" w:hAnsi="Times New Roman" w:cs="Times New Roman" w:eastAsia="Times New Roman" w:hint="default"/>
          <w:sz w:val="18"/>
          <w:szCs w:val="18"/>
        </w:rPr>
        <w:t>2</w:t>
      </w:r>
      <w:r>
        <w:rPr>
          <w:rFonts w:ascii="宋体" w:hAnsi="宋体" w:cs="宋体" w:eastAsia="宋体" w:hint="default"/>
          <w:sz w:val="18"/>
          <w:szCs w:val="18"/>
        </w:rPr>
        <w:t>、自本承诺函出具之日，本人近五年内未受 到任何与证券市场有关的重大行政处罚、刑事处罚， 亦未涉及任何与经济纠纷有关的重大民事诉讼或仲 裁案件。</w:t>
      </w:r>
      <w:r>
        <w:rPr>
          <w:rFonts w:ascii="Times New Roman" w:hAnsi="Times New Roman" w:cs="Times New Roman" w:eastAsia="Times New Roman" w:hint="default"/>
          <w:sz w:val="18"/>
          <w:szCs w:val="18"/>
        </w:rPr>
        <w:t>3</w:t>
      </w:r>
      <w:r>
        <w:rPr>
          <w:rFonts w:ascii="宋体" w:hAnsi="宋体" w:cs="宋体" w:eastAsia="宋体" w:hint="default"/>
          <w:sz w:val="18"/>
          <w:szCs w:val="18"/>
        </w:rPr>
        <w:t>、自本承诺函出具之日，除本次交易（本 </w:t>
      </w:r>
      <w:r>
        <w:rPr>
          <w:rFonts w:ascii="宋体" w:hAnsi="宋体" w:cs="宋体" w:eastAsia="宋体" w:hint="default"/>
          <w:spacing w:val="-4"/>
          <w:sz w:val="18"/>
          <w:szCs w:val="18"/>
        </w:rPr>
        <w:t>次股份分割过户）之外本人尚无在未来十二个月内增</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持昆仑万维股份的计划。</w:t>
      </w:r>
      <w:r>
        <w:rPr>
          <w:rFonts w:ascii="Times New Roman" w:hAnsi="Times New Roman" w:cs="Times New Roman" w:eastAsia="Times New Roman" w:hint="default"/>
          <w:sz w:val="18"/>
          <w:szCs w:val="18"/>
        </w:rPr>
        <w:t>4</w:t>
      </w:r>
      <w:r>
        <w:rPr>
          <w:rFonts w:ascii="宋体" w:hAnsi="宋体" w:cs="宋体" w:eastAsia="宋体" w:hint="default"/>
          <w:sz w:val="18"/>
          <w:szCs w:val="18"/>
        </w:rPr>
        <w:t>、本次权益变动完成后， 本人将继续履行周亚辉先生原先对持有本人股份所 作的股份锁定承诺。</w:t>
      </w:r>
      <w:r>
        <w:rPr>
          <w:rFonts w:ascii="Times New Roman" w:hAnsi="Times New Roman" w:cs="Times New Roman" w:eastAsia="Times New Roman" w:hint="default"/>
          <w:sz w:val="18"/>
          <w:szCs w:val="18"/>
        </w:rPr>
        <w:t>5</w:t>
      </w:r>
      <w:r>
        <w:rPr>
          <w:rFonts w:ascii="宋体" w:hAnsi="宋体" w:cs="宋体" w:eastAsia="宋体" w:hint="default"/>
          <w:sz w:val="18"/>
          <w:szCs w:val="18"/>
        </w:rPr>
        <w:t>、本次权益变动完成后，本人 </w:t>
      </w:r>
      <w:r>
        <w:rPr>
          <w:rFonts w:ascii="宋体" w:hAnsi="宋体" w:cs="宋体" w:eastAsia="宋体" w:hint="default"/>
          <w:spacing w:val="-8"/>
          <w:sz w:val="18"/>
          <w:szCs w:val="18"/>
        </w:rPr>
        <w:t>暂无下列计划：（</w:t>
      </w:r>
      <w:r>
        <w:rPr>
          <w:rFonts w:ascii="Times New Roman" w:hAnsi="Times New Roman" w:cs="Times New Roman" w:eastAsia="Times New Roman" w:hint="default"/>
          <w:spacing w:val="-8"/>
          <w:sz w:val="18"/>
          <w:szCs w:val="18"/>
        </w:rPr>
        <w:t>1</w:t>
      </w:r>
      <w:r>
        <w:rPr>
          <w:rFonts w:ascii="宋体" w:hAnsi="宋体" w:cs="宋体" w:eastAsia="宋体" w:hint="default"/>
          <w:spacing w:val="-8"/>
          <w:sz w:val="18"/>
          <w:szCs w:val="18"/>
        </w:rPr>
        <w:t>）暂无改变上市公司主营业务或者</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8"/>
          <w:sz w:val="18"/>
          <w:szCs w:val="18"/>
        </w:rPr>
        <w:t>对上市公司主营业务作出重大调整的计划；（</w:t>
      </w:r>
      <w:r>
        <w:rPr>
          <w:rFonts w:ascii="Times New Roman" w:hAnsi="Times New Roman" w:cs="Times New Roman" w:eastAsia="Times New Roman" w:hint="default"/>
          <w:spacing w:val="-8"/>
          <w:sz w:val="18"/>
          <w:szCs w:val="18"/>
        </w:rPr>
        <w:t>2</w:t>
      </w:r>
      <w:r>
        <w:rPr>
          <w:rFonts w:ascii="宋体" w:hAnsi="宋体" w:cs="宋体" w:eastAsia="宋体" w:hint="default"/>
          <w:spacing w:val="-8"/>
          <w:sz w:val="18"/>
          <w:szCs w:val="18"/>
        </w:rPr>
        <w:t>）暂无</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在未来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个月内对昆仑万维的资产和业务进行重大 出售、购买、合并、与他人合资或合作的具体计划；</w:t>
      </w:r>
    </w:p>
    <w:p>
      <w:pPr>
        <w:spacing w:line="300" w:lineRule="auto" w:before="26"/>
        <w:ind w:left="6141" w:right="5356" w:firstLine="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）暂无改变上市公司现任董事会或高级管理人员 </w:t>
      </w:r>
      <w:r>
        <w:rPr>
          <w:rFonts w:ascii="宋体" w:hAnsi="宋体" w:cs="宋体" w:eastAsia="宋体" w:hint="default"/>
          <w:spacing w:val="-8"/>
          <w:sz w:val="18"/>
          <w:szCs w:val="18"/>
        </w:rPr>
        <w:t>的组成的相关计划；（</w:t>
      </w:r>
      <w:r>
        <w:rPr>
          <w:rFonts w:ascii="Times New Roman" w:hAnsi="Times New Roman" w:cs="Times New Roman" w:eastAsia="Times New Roman" w:hint="default"/>
          <w:spacing w:val="-8"/>
          <w:sz w:val="18"/>
          <w:szCs w:val="18"/>
        </w:rPr>
        <w:t>4</w:t>
      </w:r>
      <w:r>
        <w:rPr>
          <w:rFonts w:ascii="宋体" w:hAnsi="宋体" w:cs="宋体" w:eastAsia="宋体" w:hint="default"/>
          <w:spacing w:val="-8"/>
          <w:sz w:val="18"/>
          <w:szCs w:val="18"/>
        </w:rPr>
        <w:t>）暂无对公司章程条款进行修</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8"/>
          <w:sz w:val="18"/>
          <w:szCs w:val="18"/>
        </w:rPr>
        <w:t>改的计划；（</w:t>
      </w:r>
      <w:r>
        <w:rPr>
          <w:rFonts w:ascii="Times New Roman" w:hAnsi="Times New Roman" w:cs="Times New Roman" w:eastAsia="Times New Roman" w:hint="default"/>
          <w:spacing w:val="-8"/>
          <w:sz w:val="18"/>
          <w:szCs w:val="18"/>
        </w:rPr>
        <w:t>5</w:t>
      </w:r>
      <w:r>
        <w:rPr>
          <w:rFonts w:ascii="宋体" w:hAnsi="宋体" w:cs="宋体" w:eastAsia="宋体" w:hint="default"/>
          <w:spacing w:val="-8"/>
          <w:sz w:val="18"/>
          <w:szCs w:val="18"/>
        </w:rPr>
        <w:t>）暂无对上市公司现有员工聘用作重大</w:t>
      </w:r>
    </w:p>
    <w:p>
      <w:pPr>
        <w:spacing w:after="0" w:line="300" w:lineRule="auto"/>
        <w:jc w:val="both"/>
        <w:rPr>
          <w:rFonts w:ascii="宋体" w:hAnsi="宋体" w:cs="宋体" w:eastAsia="宋体" w:hint="default"/>
          <w:sz w:val="18"/>
          <w:szCs w:val="18"/>
        </w:rPr>
        <w:sectPr>
          <w:pgSz w:w="16840" w:h="11910" w:orient="landscape"/>
          <w:pgMar w:header="867" w:footer="979" w:top="1060" w:bottom="1160" w:left="1280" w:right="0"/>
        </w:sectPr>
      </w:pPr>
    </w:p>
    <w:p>
      <w:pPr>
        <w:spacing w:line="240" w:lineRule="auto" w:before="4"/>
        <w:rPr>
          <w:rFonts w:ascii="Times New Roman" w:hAnsi="Times New Roman" w:cs="Times New Roman" w:eastAsia="Times New Roman" w:hint="default"/>
          <w:sz w:val="3"/>
          <w:szCs w:val="3"/>
        </w:rPr>
      </w:pPr>
    </w:p>
    <w:p>
      <w:pPr>
        <w:spacing w:line="20" w:lineRule="exact"/>
        <w:ind w:left="12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Times New Roman" w:hAnsi="Times New Roman" w:cs="Times New Roman" w:eastAsia="Times New Roman" w:hint="default"/>
          <w:sz w:val="2"/>
          <w:szCs w:val="2"/>
        </w:rPr>
      </w:r>
    </w:p>
    <w:tbl>
      <w:tblPr>
        <w:tblW w:w="0" w:type="auto"/>
        <w:jc w:val="left"/>
        <w:tblInd w:w="116" w:type="dxa"/>
        <w:tblLayout w:type="fixed"/>
        <w:tblCellMar>
          <w:top w:w="0" w:type="dxa"/>
          <w:left w:w="0" w:type="dxa"/>
          <w:bottom w:w="0" w:type="dxa"/>
          <w:right w:w="0" w:type="dxa"/>
        </w:tblCellMar>
        <w:tblLook w:val="01E0"/>
      </w:tblPr>
      <w:tblGrid>
        <w:gridCol w:w="2582"/>
        <w:gridCol w:w="1981"/>
        <w:gridCol w:w="1418"/>
        <w:gridCol w:w="4115"/>
        <w:gridCol w:w="1276"/>
        <w:gridCol w:w="1275"/>
        <w:gridCol w:w="1367"/>
      </w:tblGrid>
      <w:tr>
        <w:trPr>
          <w:trHeight w:val="332" w:hRule="exact"/>
        </w:trPr>
        <w:tc>
          <w:tcPr>
            <w:tcW w:w="2582" w:type="dxa"/>
            <w:vMerge w:val="restart"/>
            <w:tcBorders>
              <w:top w:val="single" w:sz="12" w:space="0" w:color="000000"/>
              <w:left w:val="single" w:sz="12" w:space="0" w:color="000000"/>
              <w:right w:val="single" w:sz="6" w:space="0" w:color="000000"/>
            </w:tcBorders>
            <w:shd w:val="clear" w:color="auto" w:fill="D2D2D2"/>
          </w:tcPr>
          <w:p>
            <w:pPr/>
          </w:p>
        </w:tc>
        <w:tc>
          <w:tcPr>
            <w:tcW w:w="1981" w:type="dxa"/>
            <w:vMerge w:val="restart"/>
            <w:tcBorders>
              <w:top w:val="single" w:sz="12" w:space="0" w:color="000000"/>
              <w:left w:val="single" w:sz="6" w:space="0" w:color="000000"/>
              <w:right w:val="single" w:sz="6" w:space="0" w:color="000000"/>
            </w:tcBorders>
          </w:tcPr>
          <w:p>
            <w:pPr/>
          </w:p>
        </w:tc>
        <w:tc>
          <w:tcPr>
            <w:tcW w:w="1418" w:type="dxa"/>
            <w:vMerge w:val="restart"/>
            <w:tcBorders>
              <w:top w:val="single" w:sz="12" w:space="0" w:color="000000"/>
              <w:left w:val="single" w:sz="6" w:space="0" w:color="000000"/>
              <w:right w:val="single" w:sz="6" w:space="0" w:color="000000"/>
            </w:tcBorders>
          </w:tcPr>
          <w:p>
            <w:pPr/>
          </w:p>
        </w:tc>
        <w:tc>
          <w:tcPr>
            <w:tcW w:w="4115" w:type="dxa"/>
            <w:tcBorders>
              <w:top w:val="single" w:sz="12" w:space="0" w:color="000000"/>
              <w:left w:val="single" w:sz="6" w:space="0" w:color="000000"/>
              <w:bottom w:val="nil" w:sz="6" w:space="0" w:color="auto"/>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变动的计划</w:t>
            </w:r>
            <w:r>
              <w:rPr>
                <w:rFonts w:ascii="宋体" w:hAnsi="宋体" w:cs="宋体" w:eastAsia="宋体" w:hint="default"/>
                <w:spacing w:val="-131"/>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pacing w:val="-41"/>
                <w:sz w:val="18"/>
                <w:szCs w:val="18"/>
              </w:rPr>
              <w:t>）</w:t>
            </w:r>
            <w:r>
              <w:rPr>
                <w:rFonts w:ascii="宋体" w:hAnsi="宋体" w:cs="宋体" w:eastAsia="宋体" w:hint="default"/>
                <w:sz w:val="18"/>
                <w:szCs w:val="18"/>
              </w:rPr>
              <w:t>暂无对上市公司分红政策作重大变</w:t>
            </w:r>
          </w:p>
        </w:tc>
        <w:tc>
          <w:tcPr>
            <w:tcW w:w="1276" w:type="dxa"/>
            <w:vMerge w:val="restart"/>
            <w:tcBorders>
              <w:top w:val="single" w:sz="12" w:space="0" w:color="000000"/>
              <w:left w:val="single" w:sz="6" w:space="0" w:color="000000"/>
              <w:right w:val="single" w:sz="6" w:space="0" w:color="000000"/>
            </w:tcBorders>
          </w:tcPr>
          <w:p>
            <w:pPr/>
          </w:p>
        </w:tc>
        <w:tc>
          <w:tcPr>
            <w:tcW w:w="1275" w:type="dxa"/>
            <w:vMerge w:val="restart"/>
            <w:tcBorders>
              <w:top w:val="single" w:sz="12" w:space="0" w:color="000000"/>
              <w:left w:val="single" w:sz="6" w:space="0" w:color="000000"/>
              <w:right w:val="single" w:sz="6" w:space="0" w:color="000000"/>
            </w:tcBorders>
          </w:tcPr>
          <w:p>
            <w:pPr/>
          </w:p>
        </w:tc>
        <w:tc>
          <w:tcPr>
            <w:tcW w:w="1367" w:type="dxa"/>
            <w:vMerge w:val="restart"/>
            <w:tcBorders>
              <w:top w:val="single" w:sz="12" w:space="0" w:color="000000"/>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化调整的计划</w:t>
            </w:r>
            <w:r>
              <w:rPr>
                <w:rFonts w:ascii="宋体" w:hAnsi="宋体" w:cs="宋体" w:eastAsia="宋体" w:hint="default"/>
                <w:spacing w:val="-131"/>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7</w:t>
            </w:r>
            <w:r>
              <w:rPr>
                <w:rFonts w:ascii="宋体" w:hAnsi="宋体" w:cs="宋体" w:eastAsia="宋体" w:hint="default"/>
                <w:spacing w:val="-41"/>
                <w:sz w:val="18"/>
                <w:szCs w:val="18"/>
              </w:rPr>
              <w:t>）</w:t>
            </w:r>
            <w:r>
              <w:rPr>
                <w:rFonts w:ascii="宋体" w:hAnsi="宋体" w:cs="宋体" w:eastAsia="宋体" w:hint="default"/>
                <w:sz w:val="18"/>
                <w:szCs w:val="18"/>
              </w:rPr>
              <w:t>暂无其他对上市公司有重大影响</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7"/>
              <w:jc w:val="center"/>
              <w:rPr>
                <w:rFonts w:ascii="宋体" w:hAnsi="宋体" w:cs="宋体" w:eastAsia="宋体" w:hint="default"/>
                <w:sz w:val="18"/>
                <w:szCs w:val="18"/>
              </w:rPr>
            </w:pPr>
            <w:r>
              <w:rPr>
                <w:rFonts w:ascii="宋体" w:hAnsi="宋体" w:cs="宋体" w:eastAsia="宋体" w:hint="default"/>
                <w:sz w:val="18"/>
                <w:szCs w:val="18"/>
              </w:rPr>
              <w:t>的后续计划。</w:t>
            </w:r>
            <w:r>
              <w:rPr>
                <w:rFonts w:ascii="Times New Roman" w:hAnsi="Times New Roman" w:cs="Times New Roman" w:eastAsia="Times New Roman" w:hint="default"/>
                <w:sz w:val="18"/>
                <w:szCs w:val="18"/>
              </w:rPr>
              <w:t>6</w:t>
            </w:r>
            <w:r>
              <w:rPr>
                <w:rFonts w:ascii="宋体" w:hAnsi="宋体" w:cs="宋体" w:eastAsia="宋体" w:hint="default"/>
                <w:sz w:val="18"/>
                <w:szCs w:val="18"/>
              </w:rPr>
              <w:t>、为保持上市公司的独立性，维护上</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市公司及其他股东的合法权益</w:t>
            </w:r>
            <w:r>
              <w:rPr>
                <w:rFonts w:ascii="宋体" w:hAnsi="宋体" w:cs="宋体" w:eastAsia="宋体" w:hint="default"/>
                <w:spacing w:val="-28"/>
                <w:sz w:val="18"/>
                <w:szCs w:val="18"/>
              </w:rPr>
              <w:t>，</w:t>
            </w:r>
            <w:r>
              <w:rPr>
                <w:rFonts w:ascii="宋体" w:hAnsi="宋体" w:cs="宋体" w:eastAsia="宋体" w:hint="default"/>
                <w:sz w:val="18"/>
                <w:szCs w:val="18"/>
              </w:rPr>
              <w:t>本人确认</w:t>
            </w:r>
            <w:r>
              <w:rPr>
                <w:rFonts w:ascii="宋体" w:hAnsi="宋体" w:cs="宋体" w:eastAsia="宋体" w:hint="default"/>
                <w:spacing w:val="-118"/>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pacing w:val="-27"/>
                <w:sz w:val="18"/>
                <w:szCs w:val="18"/>
              </w:rPr>
              <w:t>）</w:t>
            </w:r>
            <w:r>
              <w:rPr>
                <w:rFonts w:ascii="宋体" w:hAnsi="宋体" w:cs="宋体" w:eastAsia="宋体" w:hint="default"/>
                <w:sz w:val="18"/>
                <w:szCs w:val="18"/>
              </w:rPr>
              <w:t>本人</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07"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99"/>
              <w:jc w:val="center"/>
              <w:rPr>
                <w:rFonts w:ascii="宋体" w:hAnsi="宋体" w:cs="宋体" w:eastAsia="宋体" w:hint="default"/>
                <w:sz w:val="18"/>
                <w:szCs w:val="18"/>
              </w:rPr>
            </w:pPr>
            <w:r>
              <w:rPr>
                <w:rFonts w:ascii="宋体" w:hAnsi="宋体" w:cs="宋体" w:eastAsia="宋体" w:hint="default"/>
                <w:sz w:val="18"/>
                <w:szCs w:val="18"/>
              </w:rPr>
              <w:t>控制的企业目前不存在经营与上市公司目前经营业</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99"/>
              <w:jc w:val="center"/>
              <w:rPr>
                <w:rFonts w:ascii="宋体" w:hAnsi="宋体" w:cs="宋体" w:eastAsia="宋体" w:hint="default"/>
                <w:sz w:val="18"/>
                <w:szCs w:val="18"/>
              </w:rPr>
            </w:pPr>
            <w:r>
              <w:rPr>
                <w:rFonts w:ascii="宋体" w:hAnsi="宋体" w:cs="宋体" w:eastAsia="宋体" w:hint="default"/>
                <w:sz w:val="18"/>
                <w:szCs w:val="18"/>
              </w:rPr>
              <w:t>务以及拟向上市公司注入的相关资产相同业务的情</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7"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形</w:t>
            </w:r>
            <w:r>
              <w:rPr>
                <w:rFonts w:ascii="宋体" w:hAnsi="宋体" w:cs="宋体" w:eastAsia="宋体" w:hint="default"/>
                <w:spacing w:val="-28"/>
                <w:sz w:val="18"/>
                <w:szCs w:val="18"/>
              </w:rPr>
              <w:t>，</w:t>
            </w:r>
            <w:r>
              <w:rPr>
                <w:rFonts w:ascii="宋体" w:hAnsi="宋体" w:cs="宋体" w:eastAsia="宋体" w:hint="default"/>
                <w:sz w:val="18"/>
                <w:szCs w:val="18"/>
              </w:rPr>
              <w:t>双方之间不存在潜在同业竞争</w:t>
            </w:r>
            <w:r>
              <w:rPr>
                <w:rFonts w:ascii="宋体" w:hAnsi="宋体" w:cs="宋体" w:eastAsia="宋体" w:hint="default"/>
                <w:spacing w:val="-118"/>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pacing w:val="-27"/>
                <w:sz w:val="18"/>
                <w:szCs w:val="18"/>
              </w:rPr>
              <w:t>）</w:t>
            </w:r>
            <w:r>
              <w:rPr>
                <w:rFonts w:ascii="宋体" w:hAnsi="宋体" w:cs="宋体" w:eastAsia="宋体" w:hint="default"/>
                <w:sz w:val="18"/>
                <w:szCs w:val="18"/>
              </w:rPr>
              <w:t>本人不会投</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07"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99"/>
              <w:jc w:val="center"/>
              <w:rPr>
                <w:rFonts w:ascii="宋体" w:hAnsi="宋体" w:cs="宋体" w:eastAsia="宋体" w:hint="default"/>
                <w:sz w:val="18"/>
                <w:szCs w:val="18"/>
              </w:rPr>
            </w:pPr>
            <w:r>
              <w:rPr>
                <w:rFonts w:ascii="宋体" w:hAnsi="宋体" w:cs="宋体" w:eastAsia="宋体" w:hint="default"/>
                <w:sz w:val="18"/>
                <w:szCs w:val="18"/>
              </w:rPr>
              <w:t>资或新设任何与上市公司及其下属公司主要经营业</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97"/>
              <w:jc w:val="center"/>
              <w:rPr>
                <w:rFonts w:ascii="宋体" w:hAnsi="宋体" w:cs="宋体" w:eastAsia="宋体" w:hint="default"/>
                <w:sz w:val="18"/>
                <w:szCs w:val="18"/>
              </w:rPr>
            </w:pPr>
            <w:r>
              <w:rPr>
                <w:rFonts w:ascii="宋体" w:hAnsi="宋体" w:cs="宋体" w:eastAsia="宋体" w:hint="default"/>
                <w:sz w:val="18"/>
                <w:szCs w:val="18"/>
              </w:rPr>
              <w:t>务构成同业竞争或潜在同业竞争关系的其他企业；</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7"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9"/>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）本人控制的企业获得的商业机会与上市公司及</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07"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99"/>
              <w:jc w:val="center"/>
              <w:rPr>
                <w:rFonts w:ascii="宋体" w:hAnsi="宋体" w:cs="宋体" w:eastAsia="宋体" w:hint="default"/>
                <w:sz w:val="18"/>
                <w:szCs w:val="18"/>
              </w:rPr>
            </w:pPr>
            <w:r>
              <w:rPr>
                <w:rFonts w:ascii="宋体" w:hAnsi="宋体" w:cs="宋体" w:eastAsia="宋体" w:hint="default"/>
                <w:sz w:val="18"/>
                <w:szCs w:val="18"/>
              </w:rPr>
              <w:t>其下属公司主营业务发生同业竞争或可能发生同业</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pacing w:val="-4"/>
                <w:sz w:val="18"/>
                <w:szCs w:val="18"/>
              </w:rPr>
              <w:t>竞争的，本人将立即通知上市公司，并尽力将该商业</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机会给予上市公司</w:t>
            </w:r>
            <w:r>
              <w:rPr>
                <w:rFonts w:ascii="宋体" w:hAnsi="宋体" w:cs="宋体" w:eastAsia="宋体" w:hint="default"/>
                <w:spacing w:val="-81"/>
                <w:sz w:val="18"/>
                <w:szCs w:val="18"/>
              </w:rPr>
              <w:t>，</w:t>
            </w:r>
            <w:r>
              <w:rPr>
                <w:rFonts w:ascii="宋体" w:hAnsi="宋体" w:cs="宋体" w:eastAsia="宋体" w:hint="default"/>
                <w:sz w:val="18"/>
                <w:szCs w:val="18"/>
              </w:rPr>
              <w:t>以避免</w:t>
            </w:r>
            <w:r>
              <w:rPr>
                <w:rFonts w:ascii="宋体" w:hAnsi="宋体" w:cs="宋体" w:eastAsia="宋体" w:hint="default"/>
                <w:spacing w:val="-2"/>
                <w:sz w:val="18"/>
                <w:szCs w:val="18"/>
              </w:rPr>
              <w:t>与</w:t>
            </w:r>
            <w:r>
              <w:rPr>
                <w:rFonts w:ascii="宋体" w:hAnsi="宋体" w:cs="宋体" w:eastAsia="宋体" w:hint="default"/>
                <w:sz w:val="18"/>
                <w:szCs w:val="18"/>
              </w:rPr>
              <w:t>上市公司及下属公司形</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成同业竞争或潜在同业竞争</w:t>
            </w:r>
            <w:r>
              <w:rPr>
                <w:rFonts w:ascii="宋体" w:hAnsi="宋体" w:cs="宋体" w:eastAsia="宋体" w:hint="default"/>
                <w:spacing w:val="-82"/>
                <w:sz w:val="18"/>
                <w:szCs w:val="18"/>
              </w:rPr>
              <w:t>，</w:t>
            </w:r>
            <w:r>
              <w:rPr>
                <w:rFonts w:ascii="宋体" w:hAnsi="宋体" w:cs="宋体" w:eastAsia="宋体" w:hint="default"/>
                <w:sz w:val="18"/>
                <w:szCs w:val="18"/>
              </w:rPr>
              <w:t>以确保上市公司及上市</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7"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公司其他股东利益不受损害</w:t>
            </w:r>
            <w:r>
              <w:rPr>
                <w:rFonts w:ascii="宋体" w:hAnsi="宋体" w:cs="宋体" w:eastAsia="宋体" w:hint="default"/>
                <w:spacing w:val="-131"/>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pacing w:val="-41"/>
                <w:sz w:val="18"/>
                <w:szCs w:val="18"/>
              </w:rPr>
              <w:t>）</w:t>
            </w:r>
            <w:r>
              <w:rPr>
                <w:rFonts w:ascii="宋体" w:hAnsi="宋体" w:cs="宋体" w:eastAsia="宋体" w:hint="default"/>
                <w:sz w:val="18"/>
                <w:szCs w:val="18"/>
              </w:rPr>
              <w:t>如本人违反上述本</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条承诺</w:t>
            </w:r>
            <w:r>
              <w:rPr>
                <w:rFonts w:ascii="宋体" w:hAnsi="宋体" w:cs="宋体" w:eastAsia="宋体" w:hint="default"/>
                <w:spacing w:val="1"/>
                <w:sz w:val="18"/>
                <w:szCs w:val="18"/>
              </w:rPr>
              <w:t>给</w:t>
            </w:r>
            <w:r>
              <w:rPr>
                <w:rFonts w:ascii="宋体" w:hAnsi="宋体" w:cs="宋体" w:eastAsia="宋体" w:hint="default"/>
                <w:sz w:val="18"/>
                <w:szCs w:val="18"/>
              </w:rPr>
              <w:t>上市公司造成损失的</w:t>
            </w:r>
            <w:r>
              <w:rPr>
                <w:rFonts w:ascii="宋体" w:hAnsi="宋体" w:cs="宋体" w:eastAsia="宋体" w:hint="default"/>
                <w:spacing w:val="-81"/>
                <w:sz w:val="18"/>
                <w:szCs w:val="18"/>
              </w:rPr>
              <w:t>，</w:t>
            </w:r>
            <w:r>
              <w:rPr>
                <w:rFonts w:ascii="宋体" w:hAnsi="宋体" w:cs="宋体" w:eastAsia="宋体" w:hint="default"/>
                <w:sz w:val="18"/>
                <w:szCs w:val="18"/>
              </w:rPr>
              <w:t>本人</w:t>
            </w:r>
            <w:r>
              <w:rPr>
                <w:rFonts w:ascii="宋体" w:hAnsi="宋体" w:cs="宋体" w:eastAsia="宋体" w:hint="default"/>
                <w:spacing w:val="-2"/>
                <w:sz w:val="18"/>
                <w:szCs w:val="18"/>
              </w:rPr>
              <w:t>将</w:t>
            </w:r>
            <w:r>
              <w:rPr>
                <w:rFonts w:ascii="宋体" w:hAnsi="宋体" w:cs="宋体" w:eastAsia="宋体" w:hint="default"/>
                <w:sz w:val="18"/>
                <w:szCs w:val="18"/>
              </w:rPr>
              <w:t>赔偿上市</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公司由此遭受的损失</w:t>
            </w:r>
            <w:r>
              <w:rPr>
                <w:rFonts w:ascii="宋体" w:hAnsi="宋体" w:cs="宋体" w:eastAsia="宋体" w:hint="default"/>
                <w:spacing w:val="-131"/>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pacing w:val="-41"/>
                <w:sz w:val="18"/>
                <w:szCs w:val="18"/>
              </w:rPr>
              <w:t>）</w:t>
            </w:r>
            <w:r>
              <w:rPr>
                <w:rFonts w:ascii="宋体" w:hAnsi="宋体" w:cs="宋体" w:eastAsia="宋体" w:hint="default"/>
                <w:sz w:val="18"/>
                <w:szCs w:val="18"/>
              </w:rPr>
              <w:t>本人本第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条</w:t>
            </w:r>
            <w:r>
              <w:rPr>
                <w:rFonts w:ascii="宋体" w:hAnsi="宋体" w:cs="宋体" w:eastAsia="宋体" w:hint="default"/>
                <w:spacing w:val="1"/>
                <w:sz w:val="18"/>
                <w:szCs w:val="18"/>
              </w:rPr>
              <w:t>承</w:t>
            </w:r>
            <w:r>
              <w:rPr>
                <w:rFonts w:ascii="宋体" w:hAnsi="宋体" w:cs="宋体" w:eastAsia="宋体" w:hint="default"/>
                <w:sz w:val="18"/>
                <w:szCs w:val="18"/>
              </w:rPr>
              <w:t>诺在本人</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7"/>
              <w:jc w:val="center"/>
              <w:rPr>
                <w:rFonts w:ascii="宋体" w:hAnsi="宋体" w:cs="宋体" w:eastAsia="宋体" w:hint="default"/>
                <w:sz w:val="18"/>
                <w:szCs w:val="18"/>
              </w:rPr>
            </w:pPr>
            <w:r>
              <w:rPr>
                <w:rFonts w:ascii="宋体" w:hAnsi="宋体" w:cs="宋体" w:eastAsia="宋体" w:hint="default"/>
                <w:sz w:val="18"/>
                <w:szCs w:val="18"/>
              </w:rPr>
              <w:t>作为上市公司股东期间持续有效。</w:t>
            </w:r>
            <w:r>
              <w:rPr>
                <w:rFonts w:ascii="Times New Roman" w:hAnsi="Times New Roman" w:cs="Times New Roman" w:eastAsia="Times New Roman" w:hint="default"/>
                <w:sz w:val="18"/>
                <w:szCs w:val="18"/>
              </w:rPr>
              <w:t>7</w:t>
            </w:r>
            <w:r>
              <w:rPr>
                <w:rFonts w:ascii="宋体" w:hAnsi="宋体" w:cs="宋体" w:eastAsia="宋体" w:hint="default"/>
                <w:sz w:val="18"/>
                <w:szCs w:val="18"/>
              </w:rPr>
              <w:t>、为规范和减少</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25"/>
              <w:jc w:val="center"/>
              <w:rPr>
                <w:rFonts w:ascii="宋体" w:hAnsi="宋体" w:cs="宋体" w:eastAsia="宋体" w:hint="default"/>
                <w:sz w:val="18"/>
                <w:szCs w:val="18"/>
              </w:rPr>
            </w:pPr>
            <w:r>
              <w:rPr>
                <w:rFonts w:ascii="宋体" w:hAnsi="宋体" w:cs="宋体" w:eastAsia="宋体" w:hint="default"/>
                <w:sz w:val="18"/>
                <w:szCs w:val="18"/>
              </w:rPr>
              <w:t>与上市公司可能发生的关联交易</w:t>
            </w:r>
            <w:r>
              <w:rPr>
                <w:rFonts w:ascii="宋体" w:hAnsi="宋体" w:cs="宋体" w:eastAsia="宋体" w:hint="default"/>
                <w:spacing w:val="-28"/>
                <w:sz w:val="18"/>
                <w:szCs w:val="18"/>
              </w:rPr>
              <w:t>，</w:t>
            </w:r>
            <w:r>
              <w:rPr>
                <w:rFonts w:ascii="宋体" w:hAnsi="宋体" w:cs="宋体" w:eastAsia="宋体" w:hint="default"/>
                <w:sz w:val="18"/>
                <w:szCs w:val="18"/>
              </w:rPr>
              <w:t>本人确认</w:t>
            </w:r>
            <w:r>
              <w:rPr>
                <w:rFonts w:ascii="宋体" w:hAnsi="宋体" w:cs="宋体" w:eastAsia="宋体" w:hint="default"/>
                <w:spacing w:val="-118"/>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pacing w:val="-27"/>
                <w:sz w:val="18"/>
                <w:szCs w:val="18"/>
              </w:rPr>
              <w:t>）本</w:t>
            </w:r>
            <w:r>
              <w:rPr>
                <w:rFonts w:ascii="宋体" w:hAnsi="宋体" w:cs="宋体" w:eastAsia="宋体" w:hint="default"/>
                <w:sz w:val="18"/>
                <w:szCs w:val="18"/>
              </w:rPr>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07"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pacing w:val="-4"/>
                <w:sz w:val="18"/>
                <w:szCs w:val="18"/>
              </w:rPr>
              <w:t>次权益变动之前，本人及本人控制的企业（如有）与</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7"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上市公司之间不存在任何的关联交易</w:t>
            </w:r>
            <w:r>
              <w:rPr>
                <w:rFonts w:ascii="宋体" w:hAnsi="宋体" w:cs="宋体" w:eastAsia="宋体" w:hint="default"/>
                <w:spacing w:val="-131"/>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pacing w:val="-41"/>
                <w:sz w:val="18"/>
                <w:szCs w:val="18"/>
              </w:rPr>
              <w:t>）</w:t>
            </w:r>
            <w:r>
              <w:rPr>
                <w:rFonts w:ascii="宋体" w:hAnsi="宋体" w:cs="宋体" w:eastAsia="宋体" w:hint="default"/>
                <w:sz w:val="18"/>
                <w:szCs w:val="18"/>
              </w:rPr>
              <w:t>本次权益</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07"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变动完成后</w:t>
            </w:r>
            <w:r>
              <w:rPr>
                <w:rFonts w:ascii="宋体" w:hAnsi="宋体" w:cs="宋体" w:eastAsia="宋体" w:hint="default"/>
                <w:spacing w:val="-81"/>
                <w:sz w:val="18"/>
                <w:szCs w:val="18"/>
              </w:rPr>
              <w:t>，</w:t>
            </w:r>
            <w:r>
              <w:rPr>
                <w:rFonts w:ascii="宋体" w:hAnsi="宋体" w:cs="宋体" w:eastAsia="宋体" w:hint="default"/>
                <w:spacing w:val="-2"/>
                <w:sz w:val="18"/>
                <w:szCs w:val="18"/>
              </w:rPr>
              <w:t>本</w:t>
            </w:r>
            <w:r>
              <w:rPr>
                <w:rFonts w:ascii="宋体" w:hAnsi="宋体" w:cs="宋体" w:eastAsia="宋体" w:hint="default"/>
                <w:sz w:val="18"/>
                <w:szCs w:val="18"/>
              </w:rPr>
              <w:t>人及本人控制的企业将尽可能避免和</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减少与上市公司的关联交易</w:t>
            </w:r>
            <w:r>
              <w:rPr>
                <w:rFonts w:ascii="宋体" w:hAnsi="宋体" w:cs="宋体" w:eastAsia="宋体" w:hint="default"/>
                <w:spacing w:val="-82"/>
                <w:sz w:val="18"/>
                <w:szCs w:val="18"/>
              </w:rPr>
              <w:t>，</w:t>
            </w:r>
            <w:r>
              <w:rPr>
                <w:rFonts w:ascii="宋体" w:hAnsi="宋体" w:cs="宋体" w:eastAsia="宋体" w:hint="default"/>
                <w:sz w:val="18"/>
                <w:szCs w:val="18"/>
              </w:rPr>
              <w:t>对于无法避免或有合理</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理由存在的关联交易</w:t>
            </w:r>
            <w:r>
              <w:rPr>
                <w:rFonts w:ascii="宋体" w:hAnsi="宋体" w:cs="宋体" w:eastAsia="宋体" w:hint="default"/>
                <w:spacing w:val="-81"/>
                <w:sz w:val="18"/>
                <w:szCs w:val="18"/>
              </w:rPr>
              <w:t>，</w:t>
            </w:r>
            <w:r>
              <w:rPr>
                <w:rFonts w:ascii="宋体" w:hAnsi="宋体" w:cs="宋体" w:eastAsia="宋体" w:hint="default"/>
                <w:sz w:val="18"/>
                <w:szCs w:val="18"/>
              </w:rPr>
              <w:t>本人</w:t>
            </w:r>
            <w:r>
              <w:rPr>
                <w:rFonts w:ascii="宋体" w:hAnsi="宋体" w:cs="宋体" w:eastAsia="宋体" w:hint="default"/>
                <w:spacing w:val="-2"/>
                <w:sz w:val="18"/>
                <w:szCs w:val="18"/>
              </w:rPr>
              <w:t>及</w:t>
            </w:r>
            <w:r>
              <w:rPr>
                <w:rFonts w:ascii="宋体" w:hAnsi="宋体" w:cs="宋体" w:eastAsia="宋体" w:hint="default"/>
                <w:sz w:val="18"/>
                <w:szCs w:val="18"/>
              </w:rPr>
              <w:t>本人控制的企业将与上</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pacing w:val="-4"/>
                <w:sz w:val="18"/>
                <w:szCs w:val="18"/>
              </w:rPr>
              <w:t>市公司依法签订协议，履行合法程序，并将按照有关</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pacing w:val="-4"/>
                <w:sz w:val="18"/>
                <w:szCs w:val="18"/>
              </w:rPr>
              <w:t>法律、法规、其他规范性文件以及上市公司章程等的</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规定</w:t>
            </w:r>
            <w:r>
              <w:rPr>
                <w:rFonts w:ascii="宋体" w:hAnsi="宋体" w:cs="宋体" w:eastAsia="宋体" w:hint="default"/>
                <w:spacing w:val="-81"/>
                <w:sz w:val="18"/>
                <w:szCs w:val="18"/>
              </w:rPr>
              <w:t>，</w:t>
            </w:r>
            <w:r>
              <w:rPr>
                <w:rFonts w:ascii="宋体" w:hAnsi="宋体" w:cs="宋体" w:eastAsia="宋体" w:hint="default"/>
                <w:sz w:val="18"/>
                <w:szCs w:val="18"/>
              </w:rPr>
              <w:t>依法履</w:t>
            </w:r>
            <w:r>
              <w:rPr>
                <w:rFonts w:ascii="宋体" w:hAnsi="宋体" w:cs="宋体" w:eastAsia="宋体" w:hint="default"/>
                <w:spacing w:val="-2"/>
                <w:sz w:val="18"/>
                <w:szCs w:val="18"/>
              </w:rPr>
              <w:t>行</w:t>
            </w:r>
            <w:r>
              <w:rPr>
                <w:rFonts w:ascii="宋体" w:hAnsi="宋体" w:cs="宋体" w:eastAsia="宋体" w:hint="default"/>
                <w:sz w:val="18"/>
                <w:szCs w:val="18"/>
              </w:rPr>
              <w:t>相关内部决策批准程序并及时履行信</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pacing w:val="-4"/>
                <w:sz w:val="18"/>
                <w:szCs w:val="18"/>
              </w:rPr>
              <w:t>息披露义务，保证关联交易定价公允、合理，交易条</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12" w:hRule="exact"/>
        </w:trPr>
        <w:tc>
          <w:tcPr>
            <w:tcW w:w="2582" w:type="dxa"/>
            <w:vMerge/>
            <w:tcBorders>
              <w:left w:val="single" w:sz="12" w:space="0" w:color="000000"/>
              <w:right w:val="single" w:sz="6" w:space="0" w:color="000000"/>
            </w:tcBorders>
            <w:shd w:val="clear" w:color="auto" w:fill="D2D2D2"/>
          </w:tcPr>
          <w:p>
            <w:pPr/>
          </w:p>
        </w:tc>
        <w:tc>
          <w:tcPr>
            <w:tcW w:w="1981" w:type="dxa"/>
            <w:vMerge/>
            <w:tcBorders>
              <w:left w:val="single" w:sz="6" w:space="0" w:color="000000"/>
              <w:right w:val="single" w:sz="6" w:space="0" w:color="000000"/>
            </w:tcBorders>
          </w:tcPr>
          <w:p>
            <w:pPr/>
          </w:p>
        </w:tc>
        <w:tc>
          <w:tcPr>
            <w:tcW w:w="1418" w:type="dxa"/>
            <w:vMerge/>
            <w:tcBorders>
              <w:left w:val="single" w:sz="6" w:space="0" w:color="000000"/>
              <w:right w:val="single" w:sz="6" w:space="0" w:color="000000"/>
            </w:tcBorders>
          </w:tcPr>
          <w:p>
            <w:pPr/>
          </w:p>
        </w:tc>
        <w:tc>
          <w:tcPr>
            <w:tcW w:w="411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件公平</w:t>
            </w:r>
            <w:r>
              <w:rPr>
                <w:rFonts w:ascii="宋体" w:hAnsi="宋体" w:cs="宋体" w:eastAsia="宋体" w:hint="default"/>
                <w:spacing w:val="-81"/>
                <w:sz w:val="18"/>
                <w:szCs w:val="18"/>
              </w:rPr>
              <w:t>，</w:t>
            </w:r>
            <w:r>
              <w:rPr>
                <w:rFonts w:ascii="宋体" w:hAnsi="宋体" w:cs="宋体" w:eastAsia="宋体" w:hint="default"/>
                <w:sz w:val="18"/>
                <w:szCs w:val="18"/>
              </w:rPr>
              <w:t>保证</w:t>
            </w:r>
            <w:r>
              <w:rPr>
                <w:rFonts w:ascii="宋体" w:hAnsi="宋体" w:cs="宋体" w:eastAsia="宋体" w:hint="default"/>
                <w:spacing w:val="-2"/>
                <w:sz w:val="18"/>
                <w:szCs w:val="18"/>
              </w:rPr>
              <w:t>不</w:t>
            </w:r>
            <w:r>
              <w:rPr>
                <w:rFonts w:ascii="宋体" w:hAnsi="宋体" w:cs="宋体" w:eastAsia="宋体" w:hint="default"/>
                <w:sz w:val="18"/>
                <w:szCs w:val="18"/>
              </w:rPr>
              <w:t>利用关联交易非法转移上市公司的资</w:t>
            </w:r>
          </w:p>
        </w:tc>
        <w:tc>
          <w:tcPr>
            <w:tcW w:w="1276" w:type="dxa"/>
            <w:vMerge/>
            <w:tcBorders>
              <w:left w:val="single" w:sz="6" w:space="0" w:color="000000"/>
              <w:right w:val="single" w:sz="6" w:space="0" w:color="000000"/>
            </w:tcBorders>
          </w:tcPr>
          <w:p>
            <w:pPr/>
          </w:p>
        </w:tc>
        <w:tc>
          <w:tcPr>
            <w:tcW w:w="1275" w:type="dxa"/>
            <w:vMerge/>
            <w:tcBorders>
              <w:left w:val="single" w:sz="6" w:space="0" w:color="000000"/>
              <w:right w:val="single" w:sz="6" w:space="0" w:color="000000"/>
            </w:tcBorders>
          </w:tcPr>
          <w:p>
            <w:pPr/>
          </w:p>
        </w:tc>
        <w:tc>
          <w:tcPr>
            <w:tcW w:w="1367" w:type="dxa"/>
            <w:vMerge/>
            <w:tcBorders>
              <w:left w:val="single" w:sz="6" w:space="0" w:color="000000"/>
              <w:right w:val="single" w:sz="12" w:space="0" w:color="000000"/>
            </w:tcBorders>
          </w:tcPr>
          <w:p>
            <w:pPr/>
          </w:p>
        </w:tc>
      </w:tr>
      <w:tr>
        <w:trPr>
          <w:trHeight w:val="327" w:hRule="exact"/>
        </w:trPr>
        <w:tc>
          <w:tcPr>
            <w:tcW w:w="2582" w:type="dxa"/>
            <w:vMerge/>
            <w:tcBorders>
              <w:left w:val="single" w:sz="12" w:space="0" w:color="000000"/>
              <w:bottom w:val="single" w:sz="12" w:space="0" w:color="000000"/>
              <w:right w:val="single" w:sz="6" w:space="0" w:color="000000"/>
            </w:tcBorders>
            <w:shd w:val="clear" w:color="auto" w:fill="D2D2D2"/>
          </w:tcPr>
          <w:p>
            <w:pPr/>
          </w:p>
        </w:tc>
        <w:tc>
          <w:tcPr>
            <w:tcW w:w="1981" w:type="dxa"/>
            <w:vMerge/>
            <w:tcBorders>
              <w:left w:val="single" w:sz="6" w:space="0" w:color="000000"/>
              <w:bottom w:val="single" w:sz="12" w:space="0" w:color="000000"/>
              <w:right w:val="single" w:sz="6" w:space="0" w:color="000000"/>
            </w:tcBorders>
          </w:tcPr>
          <w:p>
            <w:pPr/>
          </w:p>
        </w:tc>
        <w:tc>
          <w:tcPr>
            <w:tcW w:w="1418" w:type="dxa"/>
            <w:vMerge/>
            <w:tcBorders>
              <w:left w:val="single" w:sz="6" w:space="0" w:color="000000"/>
              <w:bottom w:val="single" w:sz="12" w:space="0" w:color="000000"/>
              <w:right w:val="single" w:sz="6" w:space="0" w:color="000000"/>
            </w:tcBorders>
          </w:tcPr>
          <w:p>
            <w:pPr/>
          </w:p>
        </w:tc>
        <w:tc>
          <w:tcPr>
            <w:tcW w:w="4115"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pacing w:val="-4"/>
                <w:sz w:val="18"/>
                <w:szCs w:val="18"/>
              </w:rPr>
              <w:t>金、利润，亦不利用该类交易从事任何损害上市公司</w:t>
            </w:r>
          </w:p>
        </w:tc>
        <w:tc>
          <w:tcPr>
            <w:tcW w:w="1276" w:type="dxa"/>
            <w:vMerge/>
            <w:tcBorders>
              <w:left w:val="single" w:sz="6" w:space="0" w:color="000000"/>
              <w:bottom w:val="single" w:sz="12" w:space="0" w:color="000000"/>
              <w:right w:val="single" w:sz="6" w:space="0" w:color="000000"/>
            </w:tcBorders>
          </w:tcPr>
          <w:p>
            <w:pPr/>
          </w:p>
        </w:tc>
        <w:tc>
          <w:tcPr>
            <w:tcW w:w="1275" w:type="dxa"/>
            <w:vMerge/>
            <w:tcBorders>
              <w:left w:val="single" w:sz="6" w:space="0" w:color="000000"/>
              <w:bottom w:val="single" w:sz="12" w:space="0" w:color="000000"/>
              <w:right w:val="single" w:sz="6" w:space="0" w:color="000000"/>
            </w:tcBorders>
          </w:tcPr>
          <w:p>
            <w:pPr/>
          </w:p>
        </w:tc>
        <w:tc>
          <w:tcPr>
            <w:tcW w:w="1367" w:type="dxa"/>
            <w:vMerge/>
            <w:tcBorders>
              <w:left w:val="single" w:sz="6" w:space="0" w:color="000000"/>
              <w:bottom w:val="single" w:sz="12" w:space="0" w:color="000000"/>
              <w:right w:val="single" w:sz="12" w:space="0" w:color="000000"/>
            </w:tcBorders>
          </w:tcPr>
          <w:p>
            <w:pPr/>
          </w:p>
        </w:tc>
      </w:tr>
    </w:tbl>
    <w:p>
      <w:pPr>
        <w:spacing w:after="0"/>
        <w:sectPr>
          <w:pgSz w:w="16840" w:h="11910" w:orient="landscape"/>
          <w:pgMar w:header="867" w:footer="979" w:top="1060" w:bottom="1160" w:left="1280" w:right="0"/>
        </w:sectPr>
      </w:pPr>
    </w:p>
    <w:p>
      <w:pPr>
        <w:spacing w:line="307" w:lineRule="auto" w:before="107"/>
        <w:ind w:left="6141" w:right="5254" w:firstLine="0"/>
        <w:jc w:val="left"/>
        <w:rPr>
          <w:rFonts w:ascii="宋体" w:hAnsi="宋体" w:cs="宋体" w:eastAsia="宋体" w:hint="default"/>
          <w:sz w:val="18"/>
          <w:szCs w:val="18"/>
        </w:rPr>
      </w:pPr>
      <w:r>
        <w:rPr/>
        <w:pict>
          <v:group style="position:absolute;margin-left:69.839996pt;margin-top:55.260006pt;width:702.25pt;height:473.25pt;mso-position-horizontal-relative:page;mso-position-vertical-relative:page;z-index:-1136392" coordorigin="1397,1105" coordsize="14045,9465">
            <v:group style="position:absolute;left:1410;top:1112;width:14020;height:2" coordorigin="1410,1112" coordsize="14020,2">
              <v:shape style="position:absolute;left:1410;top:1112;width:14020;height:2" coordorigin="1410,1112" coordsize="14020,0" path="m1410,1112l15430,1112e" filled="false" stroked="true" strokeweight=".72pt" strokecolor="#000000">
                <v:path arrowok="t"/>
              </v:shape>
            </v:group>
            <v:group style="position:absolute;left:1427;top:1164;width:2560;height:9362" coordorigin="1427,1164" coordsize="2560,9362">
              <v:shape style="position:absolute;left:1427;top:1164;width:2560;height:9362" coordorigin="1427,1164" coordsize="2560,9362" path="m1427,10525l3987,10525,3987,1164,1427,1164,1427,10525xe" filled="true" fillcolor="#d2d2d2" stroked="false">
                <v:path arrowok="t"/>
                <v:fill type="solid"/>
              </v:shape>
            </v:group>
            <v:group style="position:absolute;left:11516;top:1164;width:1262;height:9362" coordorigin="11516,1164" coordsize="1262,9362">
              <v:shape style="position:absolute;left:11516;top:1164;width:1262;height:9362" coordorigin="11516,1164" coordsize="1262,9362" path="m11516,10525l12777,10525,12777,1164,11516,1164,11516,10525xe" filled="true" fillcolor="#ffffff" stroked="false">
                <v:path arrowok="t"/>
                <v:fill type="solid"/>
              </v:shape>
            </v:group>
            <v:group style="position:absolute;left:1427;top:1134;width:2560;height:30" coordorigin="1427,1134" coordsize="2560,30">
              <v:shape style="position:absolute;left:1427;top:1134;width:2560;height:30" coordorigin="1427,1134" coordsize="2560,30" path="m1427,1164l3987,1164,3987,1134,1427,1134,1427,1164xe" filled="true" fillcolor="#000000" stroked="false">
                <v:path arrowok="t"/>
                <v:fill type="solid"/>
              </v:shape>
            </v:group>
            <v:group style="position:absolute;left:3987;top:1149;width:30;height:2" coordorigin="3987,1149" coordsize="30,2">
              <v:shape style="position:absolute;left:3987;top:1149;width:30;height:2" coordorigin="3987,1149" coordsize="30,0" path="m3987,1149l4017,1149e" filled="false" stroked="true" strokeweight="1.5pt" strokecolor="#000000">
                <v:path arrowok="t"/>
              </v:shape>
            </v:group>
            <v:group style="position:absolute;left:4017;top:1149;width:1952;height:2" coordorigin="4017,1149" coordsize="1952,2">
              <v:shape style="position:absolute;left:4017;top:1149;width:1952;height:2" coordorigin="4017,1149" coordsize="1952,0" path="m4017,1149l5968,1149e" filled="false" stroked="true" strokeweight="1.5pt" strokecolor="#000000">
                <v:path arrowok="t"/>
              </v:shape>
            </v:group>
            <v:group style="position:absolute;left:5968;top:1149;width:30;height:2" coordorigin="5968,1149" coordsize="30,2">
              <v:shape style="position:absolute;left:5968;top:1149;width:30;height:2" coordorigin="5968,1149" coordsize="30,0" path="m5968,1149l5998,1149e" filled="false" stroked="true" strokeweight="1.5pt" strokecolor="#000000">
                <v:path arrowok="t"/>
              </v:shape>
            </v:group>
            <v:group style="position:absolute;left:5998;top:1149;width:1389;height:2" coordorigin="5998,1149" coordsize="1389,2">
              <v:shape style="position:absolute;left:5998;top:1149;width:1389;height:2" coordorigin="5998,1149" coordsize="1389,0" path="m5998,1149l7386,1149e" filled="false" stroked="true" strokeweight="1.5pt" strokecolor="#000000">
                <v:path arrowok="t"/>
              </v:shape>
            </v:group>
            <v:group style="position:absolute;left:7386;top:1149;width:30;height:2" coordorigin="7386,1149" coordsize="30,2">
              <v:shape style="position:absolute;left:7386;top:1149;width:30;height:2" coordorigin="7386,1149" coordsize="30,0" path="m7386,1149l7416,1149e" filled="false" stroked="true" strokeweight="1.5pt" strokecolor="#000000">
                <v:path arrowok="t"/>
              </v:shape>
            </v:group>
            <v:group style="position:absolute;left:7416;top:1149;width:4086;height:2" coordorigin="7416,1149" coordsize="4086,2">
              <v:shape style="position:absolute;left:7416;top:1149;width:4086;height:2" coordorigin="7416,1149" coordsize="4086,0" path="m7416,1149l11502,1149e" filled="false" stroked="true" strokeweight="1.5pt" strokecolor="#000000">
                <v:path arrowok="t"/>
              </v:shape>
            </v:group>
            <v:group style="position:absolute;left:11502;top:1149;width:30;height:2" coordorigin="11502,1149" coordsize="30,2">
              <v:shape style="position:absolute;left:11502;top:1149;width:30;height:2" coordorigin="11502,1149" coordsize="30,0" path="m11502,1149l11532,1149e" filled="false" stroked="true" strokeweight="1.5pt" strokecolor="#000000">
                <v:path arrowok="t"/>
              </v:shape>
            </v:group>
            <v:group style="position:absolute;left:11532;top:1134;width:1246;height:30" coordorigin="11532,1134" coordsize="1246,30">
              <v:shape style="position:absolute;left:11532;top:1134;width:1246;height:30" coordorigin="11532,1134" coordsize="1246,30" path="m11532,1164l12777,1164,12777,1134,11532,1134,11532,1164xe" filled="true" fillcolor="#000000" stroked="false">
                <v:path arrowok="t"/>
                <v:fill type="solid"/>
              </v:shape>
            </v:group>
            <v:group style="position:absolute;left:12777;top:1149;width:30;height:2" coordorigin="12777,1149" coordsize="30,2">
              <v:shape style="position:absolute;left:12777;top:1149;width:30;height:2" coordorigin="12777,1149" coordsize="30,0" path="m12777,1149l12807,1149e" filled="false" stroked="true" strokeweight="1.5pt" strokecolor="#000000">
                <v:path arrowok="t"/>
              </v:shape>
            </v:group>
            <v:group style="position:absolute;left:12807;top:1149;width:1245;height:2" coordorigin="12807,1149" coordsize="1245,2">
              <v:shape style="position:absolute;left:12807;top:1149;width:1245;height:2" coordorigin="12807,1149" coordsize="1245,0" path="m12807,1149l14052,1149e" filled="false" stroked="true" strokeweight="1.5pt" strokecolor="#000000">
                <v:path arrowok="t"/>
              </v:shape>
            </v:group>
            <v:group style="position:absolute;left:14052;top:1149;width:30;height:2" coordorigin="14052,1149" coordsize="30,2">
              <v:shape style="position:absolute;left:14052;top:1149;width:30;height:2" coordorigin="14052,1149" coordsize="30,0" path="m14052,1149l14082,1149e" filled="false" stroked="true" strokeweight="1.5pt" strokecolor="#000000">
                <v:path arrowok="t"/>
              </v:shape>
            </v:group>
            <v:group style="position:absolute;left:14082;top:1149;width:1330;height:2" coordorigin="14082,1149" coordsize="1330,2">
              <v:shape style="position:absolute;left:14082;top:1149;width:1330;height:2" coordorigin="14082,1149" coordsize="1330,0" path="m14082,1149l15412,1149e" filled="false" stroked="true" strokeweight="1.5pt" strokecolor="#000000">
                <v:path arrowok="t"/>
              </v:shape>
            </v:group>
            <v:group style="position:absolute;left:1412;top:1134;width:2;height:9422" coordorigin="1412,1134" coordsize="2,9422">
              <v:shape style="position:absolute;left:1412;top:1134;width:2;height:9422" coordorigin="1412,1134" coordsize="0,9422" path="m1412,1134l1412,10555e" filled="false" stroked="true" strokeweight="1.5pt" strokecolor="#000000">
                <v:path arrowok="t"/>
              </v:shape>
            </v:group>
            <v:group style="position:absolute;left:1427;top:10540;width:2560;height:2" coordorigin="1427,10540" coordsize="2560,2">
              <v:shape style="position:absolute;left:1427;top:10540;width:2560;height:2" coordorigin="1427,10540" coordsize="2560,0" path="m1427,10540l3987,10540e" filled="false" stroked="true" strokeweight="1.5pt" strokecolor="#000000">
                <v:path arrowok="t"/>
              </v:shape>
            </v:group>
            <v:group style="position:absolute;left:3994;top:1164;width:2;height:9362" coordorigin="3994,1164" coordsize="2,9362">
              <v:shape style="position:absolute;left:3994;top:1164;width:2;height:9362" coordorigin="3994,1164" coordsize="0,9362" path="m3994,1164l3994,10525e" filled="false" stroked="true" strokeweight=".72pt" strokecolor="#000000">
                <v:path arrowok="t"/>
              </v:shape>
            </v:group>
            <v:group style="position:absolute;left:3987;top:10540;width:30;height:2" coordorigin="3987,10540" coordsize="30,2">
              <v:shape style="position:absolute;left:3987;top:10540;width:30;height:2" coordorigin="3987,10540" coordsize="30,0" path="m3987,10540l4017,10540e" filled="false" stroked="true" strokeweight="1.5pt" strokecolor="#000000">
                <v:path arrowok="t"/>
              </v:shape>
            </v:group>
            <v:group style="position:absolute;left:4017;top:10540;width:1952;height:2" coordorigin="4017,10540" coordsize="1952,2">
              <v:shape style="position:absolute;left:4017;top:10540;width:1952;height:2" coordorigin="4017,10540" coordsize="1952,0" path="m4017,10540l5968,10540e" filled="false" stroked="true" strokeweight="1.5pt" strokecolor="#000000">
                <v:path arrowok="t"/>
              </v:shape>
            </v:group>
            <v:group style="position:absolute;left:5975;top:1164;width:2;height:9362" coordorigin="5975,1164" coordsize="2,9362">
              <v:shape style="position:absolute;left:5975;top:1164;width:2;height:9362" coordorigin="5975,1164" coordsize="0,9362" path="m5975,1164l5975,10525e" filled="false" stroked="true" strokeweight=".72pt" strokecolor="#000000">
                <v:path arrowok="t"/>
              </v:shape>
            </v:group>
            <v:group style="position:absolute;left:5968;top:10540;width:30;height:2" coordorigin="5968,10540" coordsize="30,2">
              <v:shape style="position:absolute;left:5968;top:10540;width:30;height:2" coordorigin="5968,10540" coordsize="30,0" path="m5968,10540l5998,10540e" filled="false" stroked="true" strokeweight="1.5pt" strokecolor="#000000">
                <v:path arrowok="t"/>
              </v:shape>
            </v:group>
            <v:group style="position:absolute;left:5998;top:10540;width:1389;height:2" coordorigin="5998,10540" coordsize="1389,2">
              <v:shape style="position:absolute;left:5998;top:10540;width:1389;height:2" coordorigin="5998,10540" coordsize="1389,0" path="m5998,10540l7386,10540e" filled="false" stroked="true" strokeweight="1.5pt" strokecolor="#000000">
                <v:path arrowok="t"/>
              </v:shape>
            </v:group>
            <v:group style="position:absolute;left:7394;top:1164;width:2;height:9362" coordorigin="7394,1164" coordsize="2,9362">
              <v:shape style="position:absolute;left:7394;top:1164;width:2;height:9362" coordorigin="7394,1164" coordsize="0,9362" path="m7394,1164l7394,10525e" filled="false" stroked="true" strokeweight=".72pt" strokecolor="#000000">
                <v:path arrowok="t"/>
              </v:shape>
            </v:group>
            <v:group style="position:absolute;left:7386;top:10540;width:30;height:2" coordorigin="7386,10540" coordsize="30,2">
              <v:shape style="position:absolute;left:7386;top:10540;width:30;height:2" coordorigin="7386,10540" coordsize="30,0" path="m7386,10540l7416,10540e" filled="false" stroked="true" strokeweight="1.5pt" strokecolor="#000000">
                <v:path arrowok="t"/>
              </v:shape>
            </v:group>
            <v:group style="position:absolute;left:7416;top:10540;width:4086;height:2" coordorigin="7416,10540" coordsize="4086,2">
              <v:shape style="position:absolute;left:7416;top:10540;width:4086;height:2" coordorigin="7416,10540" coordsize="4086,0" path="m7416,10540l11502,10540e" filled="false" stroked="true" strokeweight="1.5pt" strokecolor="#000000">
                <v:path arrowok="t"/>
              </v:shape>
            </v:group>
            <v:group style="position:absolute;left:11509;top:1164;width:2;height:9362" coordorigin="11509,1164" coordsize="2,9362">
              <v:shape style="position:absolute;left:11509;top:1164;width:2;height:9362" coordorigin="11509,1164" coordsize="0,9362" path="m11509,1164l11509,10525e" filled="false" stroked="true" strokeweight=".72pt" strokecolor="#000000">
                <v:path arrowok="t"/>
              </v:shape>
            </v:group>
            <v:group style="position:absolute;left:11502;top:10540;width:30;height:2" coordorigin="11502,10540" coordsize="30,2">
              <v:shape style="position:absolute;left:11502;top:10540;width:30;height:2" coordorigin="11502,10540" coordsize="30,0" path="m11502,10540l11532,10540e" filled="false" stroked="true" strokeweight="1.5pt" strokecolor="#000000">
                <v:path arrowok="t"/>
              </v:shape>
            </v:group>
            <v:group style="position:absolute;left:11532;top:10540;width:1246;height:2" coordorigin="11532,10540" coordsize="1246,2">
              <v:shape style="position:absolute;left:11532;top:10540;width:1246;height:2" coordorigin="11532,10540" coordsize="1246,0" path="m11532,10540l12777,10540e" filled="false" stroked="true" strokeweight="1.5pt" strokecolor="#000000">
                <v:path arrowok="t"/>
              </v:shape>
            </v:group>
            <v:group style="position:absolute;left:12784;top:1164;width:2;height:9362" coordorigin="12784,1164" coordsize="2,9362">
              <v:shape style="position:absolute;left:12784;top:1164;width:2;height:9362" coordorigin="12784,1164" coordsize="0,9362" path="m12784,1164l12784,10525e" filled="false" stroked="true" strokeweight=".72pt" strokecolor="#000000">
                <v:path arrowok="t"/>
              </v:shape>
            </v:group>
            <v:group style="position:absolute;left:12777;top:10540;width:30;height:2" coordorigin="12777,10540" coordsize="30,2">
              <v:shape style="position:absolute;left:12777;top:10540;width:30;height:2" coordorigin="12777,10540" coordsize="30,0" path="m12777,10540l12807,10540e" filled="false" stroked="true" strokeweight="1.5pt" strokecolor="#000000">
                <v:path arrowok="t"/>
              </v:shape>
            </v:group>
            <v:group style="position:absolute;left:12807;top:10540;width:1245;height:2" coordorigin="12807,10540" coordsize="1245,2">
              <v:shape style="position:absolute;left:12807;top:10540;width:1245;height:2" coordorigin="12807,10540" coordsize="1245,0" path="m12807,10540l14052,10540e" filled="false" stroked="true" strokeweight="1.5pt" strokecolor="#000000">
                <v:path arrowok="t"/>
              </v:shape>
            </v:group>
            <v:group style="position:absolute;left:14059;top:1164;width:2;height:9362" coordorigin="14059,1164" coordsize="2,9362">
              <v:shape style="position:absolute;left:14059;top:1164;width:2;height:9362" coordorigin="14059,1164" coordsize="0,9362" path="m14059,1164l14059,10525e" filled="false" stroked="true" strokeweight=".72pt" strokecolor="#000000">
                <v:path arrowok="t"/>
              </v:shape>
            </v:group>
            <v:group style="position:absolute;left:14052;top:10540;width:30;height:2" coordorigin="14052,10540" coordsize="30,2">
              <v:shape style="position:absolute;left:14052;top:10540;width:30;height:2" coordorigin="14052,10540" coordsize="30,0" path="m14052,10540l14082,10540e" filled="false" stroked="true" strokeweight="1.5pt" strokecolor="#000000">
                <v:path arrowok="t"/>
              </v:shape>
            </v:group>
            <v:group style="position:absolute;left:14082;top:10540;width:1330;height:2" coordorigin="14082,10540" coordsize="1330,2">
              <v:shape style="position:absolute;left:14082;top:10540;width:1330;height:2" coordorigin="14082,10540" coordsize="1330,0" path="m14082,10540l15412,10540e" filled="false" stroked="true" strokeweight="1.5pt" strokecolor="#000000">
                <v:path arrowok="t"/>
              </v:shape>
            </v:group>
            <v:group style="position:absolute;left:15427;top:1134;width:2;height:9422" coordorigin="15427,1134" coordsize="2,9422">
              <v:shape style="position:absolute;left:15427;top:1134;width:2;height:9422" coordorigin="15427,1134" coordsize="0,9422" path="m15427,1134l15427,10555e" filled="false" stroked="true" strokeweight="1.5pt" strokecolor="#000000">
                <v:path arrowok="t"/>
              </v:shape>
            </v:group>
            <w10:wrap type="none"/>
          </v:group>
        </w:pict>
      </w:r>
      <w:r>
        <w:rPr>
          <w:rFonts w:ascii="宋体" w:hAnsi="宋体" w:cs="宋体" w:eastAsia="宋体" w:hint="default"/>
          <w:spacing w:val="-8"/>
          <w:sz w:val="18"/>
          <w:szCs w:val="18"/>
        </w:rPr>
        <w:t>及其他股东合法权益的行为；（</w:t>
      </w:r>
      <w:r>
        <w:rPr>
          <w:rFonts w:ascii="Times New Roman" w:hAnsi="Times New Roman" w:cs="Times New Roman" w:eastAsia="Times New Roman" w:hint="default"/>
          <w:spacing w:val="-8"/>
          <w:sz w:val="18"/>
          <w:szCs w:val="18"/>
        </w:rPr>
        <w:t>3</w:t>
      </w:r>
      <w:r>
        <w:rPr>
          <w:rFonts w:ascii="宋体" w:hAnsi="宋体" w:cs="宋体" w:eastAsia="宋体" w:hint="default"/>
          <w:spacing w:val="-8"/>
          <w:sz w:val="18"/>
          <w:szCs w:val="18"/>
        </w:rPr>
        <w:t>）如本人违反上述本</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pacing w:val="-4"/>
          <w:sz w:val="18"/>
          <w:szCs w:val="18"/>
        </w:rPr>
        <w:t>条承诺给上市公司造成损失的，本人将赔偿上市</w:t>
      </w:r>
      <w:r>
        <w:rPr>
          <w:rFonts w:ascii="宋体" w:hAnsi="宋体" w:cs="宋体" w:eastAsia="宋体" w:hint="default"/>
          <w:sz w:val="18"/>
          <w:szCs w:val="18"/>
        </w:rPr>
        <w:t> 公司由此遭受的损失。</w:t>
      </w:r>
      <w:r>
        <w:rPr>
          <w:rFonts w:ascii="Times New Roman" w:hAnsi="Times New Roman" w:cs="Times New Roman" w:eastAsia="Times New Roman" w:hint="default"/>
          <w:sz w:val="18"/>
          <w:szCs w:val="18"/>
        </w:rPr>
        <w:t>8</w:t>
      </w:r>
      <w:r>
        <w:rPr>
          <w:rFonts w:ascii="宋体" w:hAnsi="宋体" w:cs="宋体" w:eastAsia="宋体" w:hint="default"/>
          <w:sz w:val="18"/>
          <w:szCs w:val="18"/>
        </w:rPr>
        <w:t>、本次权益变动之日前六个 月内，本人没有买卖上市公司挂牌交易股份的情况， </w:t>
      </w:r>
      <w:r>
        <w:rPr>
          <w:rFonts w:ascii="宋体" w:hAnsi="宋体" w:cs="宋体" w:eastAsia="宋体" w:hint="default"/>
          <w:spacing w:val="-4"/>
          <w:sz w:val="18"/>
          <w:szCs w:val="18"/>
        </w:rPr>
        <w:t>本人直系亲属在本次权益变动之日前六个月内，不存</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在买卖昆仑万维股票的情况。</w:t>
      </w:r>
      <w:r>
        <w:rPr>
          <w:rFonts w:ascii="Times New Roman" w:hAnsi="Times New Roman" w:cs="Times New Roman" w:eastAsia="Times New Roman" w:hint="default"/>
          <w:sz w:val="18"/>
          <w:szCs w:val="18"/>
        </w:rPr>
        <w:t>9</w:t>
      </w:r>
      <w:r>
        <w:rPr>
          <w:rFonts w:ascii="宋体" w:hAnsi="宋体" w:cs="宋体" w:eastAsia="宋体" w:hint="default"/>
          <w:sz w:val="18"/>
          <w:szCs w:val="18"/>
        </w:rPr>
        <w:t>、本人不存在《上市 </w:t>
      </w:r>
      <w:r>
        <w:rPr>
          <w:rFonts w:ascii="宋体" w:hAnsi="宋体" w:cs="宋体" w:eastAsia="宋体" w:hint="default"/>
          <w:spacing w:val="-4"/>
          <w:sz w:val="18"/>
          <w:szCs w:val="18"/>
        </w:rPr>
        <w:t>公司收购管理办法》（中国证券监督管理委员会令第</w:t>
      </w:r>
      <w:r>
        <w:rPr>
          <w:rFonts w:ascii="宋体" w:hAnsi="宋体" w:cs="宋体" w:eastAsia="宋体" w:hint="default"/>
          <w:sz w:val="18"/>
          <w:szCs w:val="18"/>
        </w:rPr>
        <w:t> </w:t>
      </w:r>
      <w:r>
        <w:rPr>
          <w:rFonts w:ascii="Times New Roman" w:hAnsi="Times New Roman" w:cs="Times New Roman" w:eastAsia="Times New Roman" w:hint="default"/>
          <w:sz w:val="18"/>
          <w:szCs w:val="18"/>
        </w:rPr>
        <w:t>108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号）第六条规定的情形，</w:t>
      </w:r>
      <w:r>
        <w:rPr>
          <w:rFonts w:ascii="Times New Roman" w:hAnsi="Times New Roman" w:cs="Times New Roman" w:eastAsia="Times New Roman" w:hint="default"/>
          <w:sz w:val="18"/>
          <w:szCs w:val="18"/>
        </w:rPr>
        <w:t>“</w:t>
      </w:r>
      <w:r>
        <w:rPr>
          <w:rFonts w:ascii="宋体" w:hAnsi="宋体" w:cs="宋体" w:eastAsia="宋体" w:hint="default"/>
          <w:sz w:val="18"/>
          <w:szCs w:val="18"/>
        </w:rPr>
        <w:t>（一）收购人负有数 </w:t>
      </w:r>
      <w:r>
        <w:rPr>
          <w:rFonts w:ascii="宋体" w:hAnsi="宋体" w:cs="宋体" w:eastAsia="宋体" w:hint="default"/>
          <w:spacing w:val="-6"/>
          <w:sz w:val="18"/>
          <w:szCs w:val="18"/>
        </w:rPr>
        <w:t>额较大债务，到期未清偿，且处于持续</w:t>
      </w:r>
      <w:r>
        <w:rPr>
          <w:rFonts w:ascii="宋体" w:hAnsi="宋体" w:cs="宋体" w:eastAsia="宋体" w:hint="default"/>
          <w:spacing w:val="15"/>
          <w:sz w:val="18"/>
          <w:szCs w:val="18"/>
        </w:rPr>
        <w:t> </w:t>
      </w:r>
      <w:r>
        <w:rPr>
          <w:rFonts w:ascii="宋体" w:hAnsi="宋体" w:cs="宋体" w:eastAsia="宋体" w:hint="default"/>
          <w:sz w:val="18"/>
          <w:szCs w:val="18"/>
        </w:rPr>
        <w:t>状态；（二）</w:t>
      </w:r>
      <w:r>
        <w:rPr>
          <w:rFonts w:ascii="宋体" w:hAnsi="宋体" w:cs="宋体" w:eastAsia="宋体" w:hint="default"/>
          <w:sz w:val="18"/>
          <w:szCs w:val="18"/>
        </w:rPr>
        <w:t> 收购人最近 </w:t>
      </w:r>
      <w:r>
        <w:rPr>
          <w:rFonts w:ascii="Times New Roman" w:hAnsi="Times New Roman" w:cs="Times New Roman" w:eastAsia="Times New Roman" w:hint="default"/>
          <w:sz w:val="18"/>
          <w:szCs w:val="18"/>
        </w:rPr>
        <w:t>3 </w:t>
      </w:r>
      <w:r>
        <w:rPr>
          <w:rFonts w:ascii="宋体" w:hAnsi="宋体" w:cs="宋体" w:eastAsia="宋体" w:hint="default"/>
          <w:sz w:val="18"/>
          <w:szCs w:val="18"/>
        </w:rPr>
        <w:t>年有重大违法行为或者涉嫌有重大违 法 行为； （三）收购人最近 </w:t>
      </w:r>
      <w:r>
        <w:rPr>
          <w:rFonts w:ascii="Times New Roman" w:hAnsi="Times New Roman" w:cs="Times New Roman" w:eastAsia="Times New Roman" w:hint="default"/>
          <w:sz w:val="18"/>
          <w:szCs w:val="18"/>
        </w:rPr>
        <w:t>3 </w:t>
      </w:r>
      <w:r>
        <w:rPr>
          <w:rFonts w:ascii="宋体" w:hAnsi="宋体" w:cs="宋体" w:eastAsia="宋体" w:hint="default"/>
          <w:sz w:val="18"/>
          <w:szCs w:val="18"/>
        </w:rPr>
        <w:t>年有严重的证券市 场失信行为； （四）收购人为自然人的，存在《公 司法》第一百四十六条 规定情形；</w:t>
      </w:r>
      <w:r>
        <w:rPr>
          <w:rFonts w:ascii="宋体" w:hAnsi="宋体" w:cs="宋体" w:eastAsia="宋体" w:hint="default"/>
          <w:spacing w:val="-43"/>
          <w:sz w:val="18"/>
          <w:szCs w:val="18"/>
        </w:rPr>
        <w:t> </w:t>
      </w:r>
      <w:r>
        <w:rPr>
          <w:rFonts w:ascii="宋体" w:hAnsi="宋体" w:cs="宋体" w:eastAsia="宋体" w:hint="default"/>
          <w:spacing w:val="-5"/>
          <w:sz w:val="18"/>
          <w:szCs w:val="18"/>
        </w:rPr>
        <w:t>（五）法律、行</w:t>
      </w:r>
      <w:r>
        <w:rPr>
          <w:rFonts w:ascii="宋体" w:hAnsi="宋体" w:cs="宋体" w:eastAsia="宋体" w:hint="default"/>
          <w:sz w:val="18"/>
          <w:szCs w:val="18"/>
        </w:rPr>
        <w:t> 政法规规定以及中国证监会认定的不得收购 上市公 </w:t>
      </w:r>
      <w:r>
        <w:rPr>
          <w:rFonts w:ascii="宋体" w:hAnsi="宋体" w:cs="宋体" w:eastAsia="宋体" w:hint="default"/>
          <w:spacing w:val="-4"/>
          <w:sz w:val="18"/>
          <w:szCs w:val="18"/>
        </w:rPr>
        <w:t>司的其他情形。</w:t>
      </w:r>
      <w:r>
        <w:rPr>
          <w:rFonts w:ascii="Times New Roman" w:hAnsi="Times New Roman" w:cs="Times New Roman" w:eastAsia="Times New Roman" w:hint="default"/>
          <w:spacing w:val="-4"/>
          <w:sz w:val="18"/>
          <w:szCs w:val="18"/>
        </w:rPr>
        <w:t>4</w:t>
      </w:r>
      <w:r>
        <w:rPr>
          <w:rFonts w:ascii="宋体" w:hAnsi="宋体" w:cs="宋体" w:eastAsia="宋体" w:hint="default"/>
          <w:spacing w:val="-4"/>
          <w:sz w:val="18"/>
          <w:szCs w:val="18"/>
        </w:rPr>
        <w:t>、本公司股东王立伟承诺：（</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）自</w:t>
      </w:r>
      <w:r>
        <w:rPr>
          <w:rFonts w:ascii="宋体" w:hAnsi="宋体" w:cs="宋体" w:eastAsia="宋体" w:hint="default"/>
          <w:spacing w:val="-84"/>
          <w:sz w:val="18"/>
          <w:szCs w:val="18"/>
        </w:rPr>
        <w:t> </w:t>
      </w:r>
      <w:r>
        <w:rPr>
          <w:rFonts w:ascii="宋体" w:hAnsi="宋体" w:cs="宋体" w:eastAsia="宋体" w:hint="default"/>
          <w:sz w:val="18"/>
          <w:szCs w:val="18"/>
        </w:rPr>
        <w:t>公司股票上市之日起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个月内，不转让或者委托他 </w:t>
      </w:r>
      <w:r>
        <w:rPr>
          <w:rFonts w:ascii="宋体" w:hAnsi="宋体" w:cs="宋体" w:eastAsia="宋体" w:hint="default"/>
          <w:spacing w:val="-4"/>
          <w:sz w:val="18"/>
          <w:szCs w:val="18"/>
        </w:rPr>
        <w:t>人管理其直接和间接持有的公司股份，也不由公司回</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8"/>
          <w:sz w:val="18"/>
          <w:szCs w:val="18"/>
        </w:rPr>
        <w:t>购该部分股份；（</w:t>
      </w:r>
      <w:r>
        <w:rPr>
          <w:rFonts w:ascii="Times New Roman" w:hAnsi="Times New Roman" w:cs="Times New Roman" w:eastAsia="Times New Roman" w:hint="default"/>
          <w:spacing w:val="-8"/>
          <w:sz w:val="18"/>
          <w:szCs w:val="18"/>
        </w:rPr>
        <w:t>2</w:t>
      </w:r>
      <w:r>
        <w:rPr>
          <w:rFonts w:ascii="宋体" w:hAnsi="宋体" w:cs="宋体" w:eastAsia="宋体" w:hint="default"/>
          <w:spacing w:val="-8"/>
          <w:sz w:val="18"/>
          <w:szCs w:val="18"/>
        </w:rPr>
        <w:t>）在其任职期间每年转让的股份不</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超过其直接或间接持有公司股份总数的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，在离 职后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个月内不转让其直接或者间接持有的公司股</w:t>
      </w:r>
    </w:p>
    <w:p>
      <w:pPr>
        <w:spacing w:before="7"/>
        <w:ind w:left="6121" w:right="5339" w:firstLine="0"/>
        <w:jc w:val="center"/>
        <w:rPr>
          <w:rFonts w:ascii="宋体" w:hAnsi="宋体" w:cs="宋体" w:eastAsia="宋体" w:hint="default"/>
          <w:sz w:val="18"/>
          <w:szCs w:val="18"/>
        </w:rPr>
      </w:pPr>
      <w:r>
        <w:rPr>
          <w:rFonts w:ascii="宋体" w:hAnsi="宋体" w:cs="宋体" w:eastAsia="宋体" w:hint="default"/>
          <w:spacing w:val="-4"/>
          <w:sz w:val="18"/>
          <w:szCs w:val="18"/>
        </w:rPr>
        <w:t>份；在公司股票上市之日起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6"/>
          <w:sz w:val="18"/>
          <w:szCs w:val="18"/>
        </w:rPr>
        <w:t> </w:t>
      </w:r>
      <w:r>
        <w:rPr>
          <w:rFonts w:ascii="宋体" w:hAnsi="宋体" w:cs="宋体" w:eastAsia="宋体" w:hint="default"/>
          <w:spacing w:val="-5"/>
          <w:sz w:val="18"/>
          <w:szCs w:val="18"/>
        </w:rPr>
        <w:t>个月内申报离职的，自</w:t>
      </w:r>
    </w:p>
    <w:p>
      <w:pPr>
        <w:spacing w:before="63"/>
        <w:ind w:left="6113" w:right="5339" w:firstLine="0"/>
        <w:jc w:val="center"/>
        <w:rPr>
          <w:rFonts w:ascii="宋体" w:hAnsi="宋体" w:cs="宋体" w:eastAsia="宋体" w:hint="default"/>
          <w:sz w:val="18"/>
          <w:szCs w:val="18"/>
        </w:rPr>
      </w:pPr>
      <w:r>
        <w:rPr>
          <w:rFonts w:ascii="宋体" w:hAnsi="宋体" w:cs="宋体" w:eastAsia="宋体" w:hint="default"/>
          <w:sz w:val="18"/>
          <w:szCs w:val="18"/>
        </w:rPr>
        <w:t>申报离职之日起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个月内不转让其直接或间接持有</w:t>
      </w:r>
    </w:p>
    <w:p>
      <w:pPr>
        <w:spacing w:before="63"/>
        <w:ind w:left="6023" w:right="5339" w:firstLine="0"/>
        <w:jc w:val="center"/>
        <w:rPr>
          <w:rFonts w:ascii="宋体" w:hAnsi="宋体" w:cs="宋体" w:eastAsia="宋体" w:hint="default"/>
          <w:sz w:val="18"/>
          <w:szCs w:val="18"/>
        </w:rPr>
      </w:pPr>
      <w:r>
        <w:rPr>
          <w:rFonts w:ascii="宋体" w:hAnsi="宋体" w:cs="宋体" w:eastAsia="宋体" w:hint="default"/>
          <w:sz w:val="18"/>
          <w:szCs w:val="18"/>
        </w:rPr>
        <w:t>的公司股份；在公司股票上市之日起第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个月至第</w:t>
      </w:r>
    </w:p>
    <w:p>
      <w:pPr>
        <w:spacing w:line="304" w:lineRule="auto" w:before="63"/>
        <w:ind w:left="6141" w:right="534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个月之间申报离职的，自申报离职之日起</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个月 </w:t>
      </w:r>
      <w:r>
        <w:rPr>
          <w:rFonts w:ascii="宋体" w:hAnsi="宋体" w:cs="宋体" w:eastAsia="宋体" w:hint="default"/>
          <w:spacing w:val="-8"/>
          <w:sz w:val="18"/>
          <w:szCs w:val="18"/>
        </w:rPr>
        <w:t>内不转让其直接或间接持有的公司股份；（</w:t>
      </w:r>
      <w:r>
        <w:rPr>
          <w:rFonts w:ascii="Times New Roman" w:hAnsi="Times New Roman" w:cs="Times New Roman" w:eastAsia="Times New Roman" w:hint="default"/>
          <w:spacing w:val="-8"/>
          <w:sz w:val="18"/>
          <w:szCs w:val="18"/>
        </w:rPr>
        <w:t>3</w:t>
      </w:r>
      <w:r>
        <w:rPr>
          <w:rFonts w:ascii="宋体" w:hAnsi="宋体" w:cs="宋体" w:eastAsia="宋体" w:hint="default"/>
          <w:spacing w:val="-8"/>
          <w:sz w:val="18"/>
          <w:szCs w:val="18"/>
        </w:rPr>
        <w:t>）在股份</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锁定期限届满后</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6"/>
          <w:sz w:val="18"/>
          <w:szCs w:val="18"/>
        </w:rPr>
        <w:t>年内减持的，每个会计年度减持数</w:t>
      </w:r>
      <w:r>
        <w:rPr>
          <w:rFonts w:ascii="宋体" w:hAnsi="宋体" w:cs="宋体" w:eastAsia="宋体" w:hint="default"/>
          <w:sz w:val="18"/>
          <w:szCs w:val="18"/>
        </w:rPr>
        <w:t> </w:t>
      </w:r>
      <w:r>
        <w:rPr>
          <w:rFonts w:ascii="宋体" w:hAnsi="宋体" w:cs="宋体" w:eastAsia="宋体" w:hint="default"/>
          <w:spacing w:val="-4"/>
          <w:sz w:val="18"/>
          <w:szCs w:val="18"/>
        </w:rPr>
        <w:t>量不超过其在本次发行前直接、间接所持公司股份总</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数的</w:t>
      </w:r>
      <w:r>
        <w:rPr>
          <w:rFonts w:ascii="宋体" w:hAnsi="宋体" w:cs="宋体" w:eastAsia="宋体" w:hint="default"/>
          <w:spacing w:val="-40"/>
          <w:sz w:val="18"/>
          <w:szCs w:val="18"/>
        </w:rPr>
        <w:t> </w:t>
      </w:r>
      <w:r>
        <w:rPr>
          <w:rFonts w:ascii="Times New Roman" w:hAnsi="Times New Roman" w:cs="Times New Roman" w:eastAsia="Times New Roman" w:hint="default"/>
          <w:spacing w:val="-5"/>
          <w:sz w:val="18"/>
          <w:szCs w:val="18"/>
        </w:rPr>
        <w:t>25%</w:t>
      </w:r>
      <w:r>
        <w:rPr>
          <w:rFonts w:ascii="宋体" w:hAnsi="宋体" w:cs="宋体" w:eastAsia="宋体" w:hint="default"/>
          <w:spacing w:val="-5"/>
          <w:sz w:val="18"/>
          <w:szCs w:val="18"/>
        </w:rPr>
        <w:t>，减持价格不低于发行价；（</w:t>
      </w:r>
      <w:r>
        <w:rPr>
          <w:rFonts w:ascii="Times New Roman" w:hAnsi="Times New Roman" w:cs="Times New Roman" w:eastAsia="Times New Roman" w:hint="default"/>
          <w:spacing w:val="-5"/>
          <w:sz w:val="18"/>
          <w:szCs w:val="18"/>
        </w:rPr>
        <w:t>4</w:t>
      </w:r>
      <w:r>
        <w:rPr>
          <w:rFonts w:ascii="宋体" w:hAnsi="宋体" w:cs="宋体" w:eastAsia="宋体" w:hint="default"/>
          <w:spacing w:val="-5"/>
          <w:sz w:val="18"/>
          <w:szCs w:val="18"/>
        </w:rPr>
        <w:t>）若公司上</w:t>
      </w:r>
      <w:r>
        <w:rPr>
          <w:rFonts w:ascii="宋体" w:hAnsi="宋体" w:cs="宋体" w:eastAsia="宋体" w:hint="default"/>
          <w:spacing w:val="-77"/>
          <w:sz w:val="18"/>
          <w:szCs w:val="18"/>
        </w:rPr>
        <w:t> </w:t>
      </w:r>
      <w:r>
        <w:rPr>
          <w:rFonts w:ascii="宋体" w:hAnsi="宋体" w:cs="宋体" w:eastAsia="宋体" w:hint="default"/>
          <w:sz w:val="18"/>
          <w:szCs w:val="18"/>
        </w:rPr>
        <w:t>市后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个月内股票价格连续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个交易日的收盘价均</w:t>
      </w:r>
    </w:p>
    <w:p>
      <w:pPr>
        <w:spacing w:before="9"/>
        <w:ind w:left="6121" w:right="5339" w:firstLine="0"/>
        <w:jc w:val="center"/>
        <w:rPr>
          <w:rFonts w:ascii="宋体" w:hAnsi="宋体" w:cs="宋体" w:eastAsia="宋体" w:hint="default"/>
          <w:sz w:val="18"/>
          <w:szCs w:val="18"/>
        </w:rPr>
      </w:pPr>
      <w:r>
        <w:rPr>
          <w:rFonts w:ascii="宋体" w:hAnsi="宋体" w:cs="宋体" w:eastAsia="宋体" w:hint="default"/>
          <w:sz w:val="18"/>
          <w:szCs w:val="18"/>
        </w:rPr>
        <w:t>低于发行价</w:t>
      </w:r>
      <w:r>
        <w:rPr>
          <w:rFonts w:ascii="宋体" w:hAnsi="宋体" w:cs="宋体" w:eastAsia="宋体" w:hint="default"/>
          <w:spacing w:val="-81"/>
          <w:sz w:val="18"/>
          <w:szCs w:val="18"/>
        </w:rPr>
        <w:t>，</w:t>
      </w:r>
      <w:r>
        <w:rPr>
          <w:rFonts w:ascii="宋体" w:hAnsi="宋体" w:cs="宋体" w:eastAsia="宋体" w:hint="default"/>
          <w:spacing w:val="-2"/>
          <w:sz w:val="18"/>
          <w:szCs w:val="18"/>
        </w:rPr>
        <w:t>或</w:t>
      </w:r>
      <w:r>
        <w:rPr>
          <w:rFonts w:ascii="宋体" w:hAnsi="宋体" w:cs="宋体" w:eastAsia="宋体" w:hint="default"/>
          <w:sz w:val="18"/>
          <w:szCs w:val="18"/>
        </w:rPr>
        <w:t>者上市后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个</w:t>
      </w:r>
      <w:r>
        <w:rPr>
          <w:rFonts w:ascii="宋体" w:hAnsi="宋体" w:cs="宋体" w:eastAsia="宋体" w:hint="default"/>
          <w:sz w:val="18"/>
          <w:szCs w:val="18"/>
        </w:rPr>
        <w:t>月期末收盘价低于发行</w:t>
      </w:r>
    </w:p>
    <w:p>
      <w:pPr>
        <w:spacing w:after="0"/>
        <w:jc w:val="center"/>
        <w:rPr>
          <w:rFonts w:ascii="宋体" w:hAnsi="宋体" w:cs="宋体" w:eastAsia="宋体" w:hint="default"/>
          <w:sz w:val="18"/>
          <w:szCs w:val="18"/>
        </w:rPr>
        <w:sectPr>
          <w:pgSz w:w="16840" w:h="11910" w:orient="landscape"/>
          <w:pgMar w:header="867" w:footer="979" w:top="1060" w:bottom="1160" w:left="1280" w:right="0"/>
        </w:sectPr>
      </w:pPr>
    </w:p>
    <w:p>
      <w:pPr>
        <w:spacing w:line="240" w:lineRule="auto" w:before="4"/>
        <w:rPr>
          <w:rFonts w:ascii="Times New Roman" w:hAnsi="Times New Roman" w:cs="Times New Roman" w:eastAsia="Times New Roman" w:hint="default"/>
          <w:sz w:val="3"/>
          <w:szCs w:val="3"/>
        </w:rPr>
      </w:pPr>
      <w:r>
        <w:rPr/>
        <w:pict>
          <v:shape style="position:absolute;margin-left:69.839996pt;margin-top:57.450008pt;width:702.65pt;height:475.8pt;mso-position-horizontal-relative:page;mso-position-vertical-relative:page;z-index:16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82"/>
                    <w:gridCol w:w="1981"/>
                    <w:gridCol w:w="1418"/>
                    <w:gridCol w:w="4115"/>
                    <w:gridCol w:w="1276"/>
                    <w:gridCol w:w="1275"/>
                    <w:gridCol w:w="1375"/>
                  </w:tblGrid>
                  <w:tr>
                    <w:trPr>
                      <w:trHeight w:val="1310" w:hRule="exact"/>
                    </w:trPr>
                    <w:tc>
                      <w:tcPr>
                        <w:tcW w:w="2582" w:type="dxa"/>
                        <w:vMerge w:val="restart"/>
                        <w:tcBorders>
                          <w:top w:val="single" w:sz="12" w:space="0" w:color="000000"/>
                          <w:left w:val="single" w:sz="12" w:space="0" w:color="000000"/>
                          <w:right w:val="single" w:sz="6" w:space="0" w:color="000000"/>
                        </w:tcBorders>
                        <w:shd w:val="clear" w:color="auto" w:fill="D2D2D2"/>
                      </w:tcPr>
                      <w:p>
                        <w:pPr/>
                      </w:p>
                    </w:tc>
                    <w:tc>
                      <w:tcPr>
                        <w:tcW w:w="1981" w:type="dxa"/>
                        <w:tcBorders>
                          <w:top w:val="single" w:sz="12" w:space="0" w:color="000000"/>
                          <w:left w:val="single" w:sz="6" w:space="0" w:color="000000"/>
                          <w:bottom w:val="single" w:sz="6" w:space="0" w:color="000000"/>
                          <w:right w:val="single" w:sz="6" w:space="0" w:color="000000"/>
                        </w:tcBorders>
                      </w:tcPr>
                      <w:p>
                        <w:pPr/>
                      </w:p>
                    </w:tc>
                    <w:tc>
                      <w:tcPr>
                        <w:tcW w:w="1418" w:type="dxa"/>
                        <w:tcBorders>
                          <w:top w:val="single" w:sz="12" w:space="0" w:color="000000"/>
                          <w:left w:val="single" w:sz="6" w:space="0" w:color="000000"/>
                          <w:bottom w:val="single" w:sz="6" w:space="0" w:color="000000"/>
                          <w:right w:val="single" w:sz="6" w:space="0" w:color="000000"/>
                        </w:tcBorders>
                      </w:tcPr>
                      <w:p>
                        <w:pPr/>
                      </w:p>
                    </w:tc>
                    <w:tc>
                      <w:tcPr>
                        <w:tcW w:w="4115" w:type="dxa"/>
                        <w:tcBorders>
                          <w:top w:val="single" w:sz="12" w:space="0" w:color="000000"/>
                          <w:left w:val="single" w:sz="6" w:space="0" w:color="000000"/>
                          <w:bottom w:val="single" w:sz="6" w:space="0" w:color="000000"/>
                          <w:right w:val="single" w:sz="6" w:space="0" w:color="000000"/>
                        </w:tcBorders>
                      </w:tcPr>
                      <w:p>
                        <w:pPr>
                          <w:pStyle w:val="TableParagraph"/>
                          <w:spacing w:line="307" w:lineRule="auto" w:before="10"/>
                          <w:ind w:left="20" w:right="20"/>
                          <w:jc w:val="left"/>
                          <w:rPr>
                            <w:rFonts w:ascii="宋体" w:hAnsi="宋体" w:cs="宋体" w:eastAsia="宋体" w:hint="default"/>
                            <w:sz w:val="18"/>
                            <w:szCs w:val="18"/>
                          </w:rPr>
                        </w:pPr>
                        <w:r>
                          <w:rPr>
                            <w:rFonts w:ascii="宋体" w:hAnsi="宋体" w:cs="宋体" w:eastAsia="宋体" w:hint="default"/>
                            <w:spacing w:val="-4"/>
                            <w:sz w:val="18"/>
                            <w:szCs w:val="18"/>
                          </w:rPr>
                          <w:t>价，其直接、间接所持公司股份的锁定期在原有锁定</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期限的基础上自动延长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pacing w:val="-7"/>
                            <w:sz w:val="18"/>
                            <w:szCs w:val="18"/>
                          </w:rPr>
                          <w:t>个月；（</w:t>
                        </w:r>
                        <w:r>
                          <w:rPr>
                            <w:rFonts w:ascii="Times New Roman" w:hAnsi="Times New Roman" w:cs="Times New Roman" w:eastAsia="Times New Roman" w:hint="default"/>
                            <w:spacing w:val="-7"/>
                            <w:sz w:val="18"/>
                            <w:szCs w:val="18"/>
                          </w:rPr>
                          <w:t>5</w:t>
                        </w:r>
                        <w:r>
                          <w:rPr>
                            <w:rFonts w:ascii="宋体" w:hAnsi="宋体" w:cs="宋体" w:eastAsia="宋体" w:hint="default"/>
                            <w:spacing w:val="-7"/>
                            <w:sz w:val="18"/>
                            <w:szCs w:val="18"/>
                          </w:rPr>
                          <w:t>）上述第（</w:t>
                        </w:r>
                        <w:r>
                          <w:rPr>
                            <w:rFonts w:ascii="Times New Roman" w:hAnsi="Times New Roman" w:cs="Times New Roman" w:eastAsia="Times New Roman" w:hint="default"/>
                            <w:spacing w:val="-7"/>
                            <w:sz w:val="18"/>
                            <w:szCs w:val="18"/>
                          </w:rPr>
                          <w:t>3</w:t>
                        </w:r>
                        <w:r>
                          <w:rPr>
                            <w:rFonts w:ascii="宋体" w:hAnsi="宋体" w:cs="宋体" w:eastAsia="宋体" w:hint="default"/>
                            <w:spacing w:val="-7"/>
                            <w:sz w:val="18"/>
                            <w:szCs w:val="18"/>
                          </w:rPr>
                          <w:t>）和</w:t>
                        </w:r>
                        <w:r>
                          <w:rPr>
                            <w:rFonts w:ascii="宋体" w:hAnsi="宋体" w:cs="宋体" w:eastAsia="宋体" w:hint="default"/>
                            <w:sz w:val="18"/>
                            <w:szCs w:val="18"/>
                          </w:rPr>
                          <w:t> </w:t>
                        </w:r>
                        <w:r>
                          <w:rPr>
                            <w:rFonts w:ascii="宋体" w:hAnsi="宋体" w:cs="宋体" w:eastAsia="宋体" w:hint="default"/>
                            <w:spacing w:val="-4"/>
                            <w:sz w:val="18"/>
                            <w:szCs w:val="18"/>
                          </w:rPr>
                          <w:t>第（</w:t>
                        </w:r>
                        <w:r>
                          <w:rPr>
                            <w:rFonts w:ascii="Times New Roman" w:hAnsi="Times New Roman" w:cs="Times New Roman" w:eastAsia="Times New Roman" w:hint="default"/>
                            <w:spacing w:val="-4"/>
                            <w:sz w:val="18"/>
                            <w:szCs w:val="18"/>
                          </w:rPr>
                          <w:t>4</w:t>
                        </w:r>
                        <w:r>
                          <w:rPr>
                            <w:rFonts w:ascii="宋体" w:hAnsi="宋体" w:cs="宋体" w:eastAsia="宋体" w:hint="default"/>
                            <w:spacing w:val="-4"/>
                            <w:sz w:val="18"/>
                            <w:szCs w:val="18"/>
                          </w:rPr>
                          <w:t>）项股份锁定承诺不会因其在公司的职务变更</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离职等原因而放弃履行。</w:t>
                        </w:r>
                      </w:p>
                    </w:tc>
                    <w:tc>
                      <w:tcPr>
                        <w:tcW w:w="12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127" w:right="0"/>
                          <w:jc w:val="left"/>
                          <w:rPr>
                            <w:rFonts w:ascii="宋体" w:hAnsi="宋体" w:cs="宋体" w:eastAsia="宋体" w:hint="default"/>
                            <w:sz w:val="18"/>
                            <w:szCs w:val="18"/>
                          </w:rPr>
                        </w:pPr>
                        <w:r>
                          <w:rPr>
                            <w:rFonts w:ascii="宋体" w:hAnsi="宋体" w:cs="宋体" w:eastAsia="宋体" w:hint="default"/>
                            <w:sz w:val="18"/>
                            <w:szCs w:val="18"/>
                          </w:rPr>
                          <w:t>、</w:t>
                        </w:r>
                      </w:p>
                    </w:tc>
                    <w:tc>
                      <w:tcPr>
                        <w:tcW w:w="1275" w:type="dxa"/>
                        <w:tcBorders>
                          <w:top w:val="single" w:sz="12" w:space="0" w:color="000000"/>
                          <w:left w:val="single" w:sz="6" w:space="0" w:color="000000"/>
                          <w:bottom w:val="single" w:sz="6" w:space="0" w:color="000000"/>
                          <w:right w:val="single" w:sz="6" w:space="0" w:color="000000"/>
                        </w:tcBorders>
                      </w:tcPr>
                      <w:p>
                        <w:pPr/>
                      </w:p>
                    </w:tc>
                    <w:tc>
                      <w:tcPr>
                        <w:tcW w:w="1375" w:type="dxa"/>
                        <w:tcBorders>
                          <w:top w:val="single" w:sz="12" w:space="0" w:color="000000"/>
                          <w:left w:val="single" w:sz="6" w:space="0" w:color="000000"/>
                          <w:bottom w:val="single" w:sz="6" w:space="0" w:color="000000"/>
                          <w:right w:val="single" w:sz="12" w:space="0" w:color="000000"/>
                        </w:tcBorders>
                      </w:tcPr>
                      <w:p>
                        <w:pPr/>
                      </w:p>
                    </w:tc>
                  </w:tr>
                  <w:tr>
                    <w:trPr>
                      <w:trHeight w:val="8176" w:hRule="exact"/>
                    </w:trPr>
                    <w:tc>
                      <w:tcPr>
                        <w:tcW w:w="2582" w:type="dxa"/>
                        <w:vMerge/>
                        <w:tcBorders>
                          <w:left w:val="single" w:sz="12" w:space="0" w:color="000000"/>
                          <w:bottom w:val="single" w:sz="12" w:space="0" w:color="000000"/>
                          <w:right w:val="single" w:sz="6" w:space="0" w:color="000000"/>
                        </w:tcBorders>
                        <w:shd w:val="clear" w:color="auto" w:fill="D2D2D2"/>
                      </w:tcPr>
                      <w:p>
                        <w:pPr/>
                      </w:p>
                    </w:tc>
                    <w:tc>
                      <w:tcPr>
                        <w:tcW w:w="198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6"/>
                            <w:szCs w:val="26"/>
                          </w:rPr>
                        </w:pPr>
                      </w:p>
                      <w:p>
                        <w:pPr>
                          <w:pStyle w:val="TableParagraph"/>
                          <w:spacing w:line="309" w:lineRule="auto"/>
                          <w:ind w:left="20" w:right="45"/>
                          <w:jc w:val="left"/>
                          <w:rPr>
                            <w:rFonts w:ascii="宋体" w:hAnsi="宋体" w:cs="宋体" w:eastAsia="宋体" w:hint="default"/>
                            <w:sz w:val="18"/>
                            <w:szCs w:val="18"/>
                          </w:rPr>
                        </w:pPr>
                        <w:r>
                          <w:rPr>
                            <w:rFonts w:ascii="宋体" w:hAnsi="宋体" w:cs="宋体" w:eastAsia="宋体" w:hint="default"/>
                            <w:sz w:val="18"/>
                            <w:szCs w:val="18"/>
                          </w:rPr>
                          <w:t>新余盈瑞世纪软件研发 中心（有限合伙）</w:t>
                        </w:r>
                        <w:r>
                          <w:rPr>
                            <w:rFonts w:ascii="Times New Roman" w:hAnsi="Times New Roman" w:cs="Times New Roman" w:eastAsia="Times New Roman" w:hint="default"/>
                            <w:sz w:val="18"/>
                            <w:szCs w:val="18"/>
                          </w:rPr>
                          <w:t>;</w:t>
                        </w:r>
                        <w:r>
                          <w:rPr>
                            <w:rFonts w:ascii="宋体" w:hAnsi="宋体" w:cs="宋体" w:eastAsia="宋体" w:hint="default"/>
                            <w:sz w:val="18"/>
                            <w:szCs w:val="18"/>
                          </w:rPr>
                          <w:t>李琼</w:t>
                        </w:r>
                        <w:r>
                          <w:rPr>
                            <w:rFonts w:ascii="Times New Roman" w:hAnsi="Times New Roman" w:cs="Times New Roman" w:eastAsia="Times New Roman" w:hint="default"/>
                            <w:sz w:val="18"/>
                            <w:szCs w:val="18"/>
                          </w:rPr>
                          <w:t>; </w:t>
                        </w:r>
                        <w:r>
                          <w:rPr>
                            <w:rFonts w:ascii="宋体" w:hAnsi="宋体" w:cs="宋体" w:eastAsia="宋体" w:hint="default"/>
                            <w:sz w:val="18"/>
                            <w:szCs w:val="18"/>
                          </w:rPr>
                          <w:t>王立伟</w:t>
                        </w:r>
                        <w:r>
                          <w:rPr>
                            <w:rFonts w:ascii="Times New Roman" w:hAnsi="Times New Roman" w:cs="Times New Roman" w:eastAsia="Times New Roman" w:hint="default"/>
                            <w:sz w:val="18"/>
                            <w:szCs w:val="18"/>
                          </w:rPr>
                          <w:t>;</w:t>
                        </w:r>
                        <w:r>
                          <w:rPr>
                            <w:rFonts w:ascii="宋体" w:hAnsi="宋体" w:cs="宋体" w:eastAsia="宋体" w:hint="default"/>
                            <w:sz w:val="18"/>
                            <w:szCs w:val="18"/>
                          </w:rPr>
                          <w:t>周亚辉</w:t>
                        </w:r>
                      </w:p>
                    </w:tc>
                    <w:tc>
                      <w:tcPr>
                        <w:tcW w:w="141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股份减持承诺</w:t>
                        </w:r>
                      </w:p>
                    </w:tc>
                    <w:tc>
                      <w:tcPr>
                        <w:tcW w:w="4115" w:type="dxa"/>
                        <w:tcBorders>
                          <w:top w:val="single" w:sz="6" w:space="0" w:color="000000"/>
                          <w:left w:val="single" w:sz="6" w:space="0" w:color="000000"/>
                          <w:bottom w:val="single" w:sz="12" w:space="0" w:color="000000"/>
                          <w:right w:val="single" w:sz="6" w:space="0" w:color="000000"/>
                        </w:tcBorders>
                      </w:tcPr>
                      <w:p>
                        <w:pPr>
                          <w:pStyle w:val="TableParagraph"/>
                          <w:spacing w:line="307" w:lineRule="auto" w:before="52"/>
                          <w:ind w:left="20" w:right="18"/>
                          <w:jc w:val="left"/>
                          <w:rPr>
                            <w:rFonts w:ascii="宋体" w:hAnsi="宋体" w:cs="宋体" w:eastAsia="宋体" w:hint="default"/>
                            <w:sz w:val="18"/>
                            <w:szCs w:val="18"/>
                          </w:rPr>
                        </w:pPr>
                        <w:r>
                          <w:rPr>
                            <w:rFonts w:ascii="宋体" w:hAnsi="宋体" w:cs="宋体" w:eastAsia="宋体" w:hint="default"/>
                            <w:spacing w:val="-4"/>
                            <w:sz w:val="18"/>
                            <w:szCs w:val="18"/>
                          </w:rPr>
                          <w:t>公司控股股东、实际控制人周亚辉的股份锁定期限参</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w w:val="100"/>
                            <w:sz w:val="18"/>
                            <w:szCs w:val="18"/>
                          </w:rPr>
                          <w:t>见</w:t>
                        </w:r>
                        <w:r>
                          <w:rPr>
                            <w:rFonts w:ascii="Times New Roman" w:hAnsi="Times New Roman" w:cs="Times New Roman" w:eastAsia="Times New Roman" w:hint="default"/>
                            <w:spacing w:val="-7"/>
                            <w:w w:val="100"/>
                            <w:sz w:val="18"/>
                            <w:szCs w:val="18"/>
                          </w:rPr>
                          <w:t>“</w:t>
                        </w:r>
                        <w:r>
                          <w:rPr>
                            <w:rFonts w:ascii="宋体" w:hAnsi="宋体" w:cs="宋体" w:eastAsia="宋体" w:hint="default"/>
                            <w:spacing w:val="-7"/>
                            <w:w w:val="100"/>
                            <w:sz w:val="18"/>
                            <w:szCs w:val="18"/>
                          </w:rPr>
                          <w:t>股份锁定承诺</w:t>
                        </w:r>
                        <w:r>
                          <w:rPr>
                            <w:rFonts w:ascii="Times New Roman" w:hAnsi="Times New Roman" w:cs="Times New Roman" w:eastAsia="Times New Roman" w:hint="default"/>
                            <w:spacing w:val="-7"/>
                            <w:w w:val="100"/>
                            <w:sz w:val="18"/>
                            <w:szCs w:val="18"/>
                          </w:rPr>
                          <w:t>”</w:t>
                        </w:r>
                        <w:r>
                          <w:rPr>
                            <w:rFonts w:ascii="宋体" w:hAnsi="宋体" w:cs="宋体" w:eastAsia="宋体" w:hint="default"/>
                            <w:spacing w:val="-7"/>
                            <w:w w:val="100"/>
                            <w:sz w:val="18"/>
                            <w:szCs w:val="18"/>
                          </w:rPr>
                          <w:t>。周亚辉承诺：（</w:t>
                        </w:r>
                        <w:r>
                          <w:rPr>
                            <w:rFonts w:ascii="Times New Roman" w:hAnsi="Times New Roman" w:cs="Times New Roman" w:eastAsia="Times New Roman" w:hint="default"/>
                            <w:spacing w:val="-7"/>
                            <w:w w:val="100"/>
                            <w:sz w:val="18"/>
                            <w:szCs w:val="18"/>
                          </w:rPr>
                          <w:t>1</w:t>
                        </w:r>
                        <w:r>
                          <w:rPr>
                            <w:rFonts w:ascii="宋体" w:hAnsi="宋体" w:cs="宋体" w:eastAsia="宋体" w:hint="default"/>
                            <w:spacing w:val="-7"/>
                            <w:w w:val="100"/>
                            <w:sz w:val="18"/>
                            <w:szCs w:val="18"/>
                          </w:rPr>
                          <w:t>）在上述股份锁</w:t>
                        </w:r>
                        <w:r>
                          <w:rPr>
                            <w:rFonts w:ascii="宋体" w:hAnsi="宋体" w:cs="宋体" w:eastAsia="宋体" w:hint="default"/>
                            <w:spacing w:val="-70"/>
                            <w:w w:val="100"/>
                            <w:sz w:val="18"/>
                            <w:szCs w:val="18"/>
                          </w:rPr>
                          <w:t> </w:t>
                        </w:r>
                        <w:r>
                          <w:rPr>
                            <w:rFonts w:ascii="宋体" w:hAnsi="宋体" w:cs="宋体" w:eastAsia="宋体" w:hint="default"/>
                            <w:spacing w:val="-70"/>
                            <w:w w:val="100"/>
                            <w:sz w:val="18"/>
                            <w:szCs w:val="18"/>
                          </w:rPr>
                        </w:r>
                        <w:r>
                          <w:rPr>
                            <w:rFonts w:ascii="宋体" w:hAnsi="宋体" w:cs="宋体" w:eastAsia="宋体" w:hint="default"/>
                            <w:sz w:val="18"/>
                            <w:szCs w:val="18"/>
                          </w:rPr>
                          <w:t>定期限届满后</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5"/>
                            <w:sz w:val="18"/>
                            <w:szCs w:val="18"/>
                          </w:rPr>
                          <w:t> </w:t>
                        </w:r>
                        <w:r>
                          <w:rPr>
                            <w:rFonts w:ascii="宋体" w:hAnsi="宋体" w:cs="宋体" w:eastAsia="宋体" w:hint="default"/>
                            <w:spacing w:val="-6"/>
                            <w:sz w:val="18"/>
                            <w:szCs w:val="18"/>
                          </w:rPr>
                          <w:t>年内减持的，每个会计年度减持数量</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4"/>
                            <w:sz w:val="18"/>
                            <w:szCs w:val="18"/>
                          </w:rPr>
                          <w:t>不超过其在本次发行前直接、间接所持公司股份总数</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，减持价格不低于发行价（若公司在上市后 </w:t>
                        </w:r>
                        <w:r>
                          <w:rPr>
                            <w:rFonts w:ascii="宋体" w:hAnsi="宋体" w:cs="宋体" w:eastAsia="宋体" w:hint="default"/>
                            <w:spacing w:val="-4"/>
                            <w:sz w:val="18"/>
                            <w:szCs w:val="18"/>
                          </w:rPr>
                          <w:t>至其减持期间发生派发股利、送红股、转增股本等除</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息、除权行为，其减持公司股份的数量和减持价格下</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8"/>
                            <w:sz w:val="18"/>
                            <w:szCs w:val="18"/>
                          </w:rPr>
                          <w:t>限将作相应调整，下同）；（</w:t>
                        </w:r>
                        <w:r>
                          <w:rPr>
                            <w:rFonts w:ascii="Times New Roman" w:hAnsi="Times New Roman" w:cs="Times New Roman" w:eastAsia="Times New Roman" w:hint="default"/>
                            <w:spacing w:val="-8"/>
                            <w:sz w:val="18"/>
                            <w:szCs w:val="18"/>
                          </w:rPr>
                          <w:t>2</w:t>
                        </w:r>
                        <w:r>
                          <w:rPr>
                            <w:rFonts w:ascii="宋体" w:hAnsi="宋体" w:cs="宋体" w:eastAsia="宋体" w:hint="default"/>
                            <w:spacing w:val="-8"/>
                            <w:sz w:val="18"/>
                            <w:szCs w:val="18"/>
                          </w:rPr>
                          <w:t>）鉴于其在本次发行前</w:t>
                        </w:r>
                        <w:r>
                          <w:rPr>
                            <w:rFonts w:ascii="宋体" w:hAnsi="宋体" w:cs="宋体" w:eastAsia="宋体" w:hint="default"/>
                            <w:spacing w:val="-78"/>
                            <w:sz w:val="18"/>
                            <w:szCs w:val="18"/>
                          </w:rPr>
                          <w:t> </w:t>
                        </w:r>
                        <w:r>
                          <w:rPr>
                            <w:rFonts w:ascii="宋体" w:hAnsi="宋体" w:cs="宋体" w:eastAsia="宋体" w:hint="default"/>
                            <w:sz w:val="18"/>
                            <w:szCs w:val="18"/>
                          </w:rPr>
                          <w:t>持有公司股份的比例超过</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，在满足上述减持条件 </w:t>
                        </w:r>
                        <w:r>
                          <w:rPr>
                            <w:rFonts w:ascii="宋体" w:hAnsi="宋体" w:cs="宋体" w:eastAsia="宋体" w:hint="default"/>
                            <w:spacing w:val="-4"/>
                            <w:sz w:val="18"/>
                            <w:szCs w:val="18"/>
                          </w:rPr>
                          <w:t>的情况下，将通过合法合规的方式减持，并通过公司</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在减持前</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个交易日予以公告。公司公开发行前持股</w:t>
                        </w:r>
                        <w:r>
                          <w:rPr>
                            <w:rFonts w:ascii="宋体" w:hAnsi="宋体" w:cs="宋体" w:eastAsia="宋体" w:hint="default"/>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以上的股东盈瑞世纪的股份锁定期限参见</w:t>
                        </w:r>
                        <w:r>
                          <w:rPr>
                            <w:rFonts w:ascii="Times New Roman" w:hAnsi="Times New Roman" w:cs="Times New Roman" w:eastAsia="Times New Roman" w:hint="default"/>
                            <w:sz w:val="18"/>
                            <w:szCs w:val="18"/>
                          </w:rPr>
                          <w:t>“</w:t>
                        </w:r>
                        <w:r>
                          <w:rPr>
                            <w:rFonts w:ascii="宋体" w:hAnsi="宋体" w:cs="宋体" w:eastAsia="宋体" w:hint="default"/>
                            <w:sz w:val="18"/>
                            <w:szCs w:val="18"/>
                          </w:rPr>
                          <w:t>股份 </w:t>
                        </w:r>
                        <w:r>
                          <w:rPr>
                            <w:rFonts w:ascii="宋体" w:hAnsi="宋体" w:cs="宋体" w:eastAsia="宋体" w:hint="default"/>
                            <w:spacing w:val="-4"/>
                            <w:w w:val="100"/>
                            <w:sz w:val="18"/>
                            <w:szCs w:val="18"/>
                          </w:rPr>
                          <w:t>锁定承诺</w:t>
                        </w:r>
                        <w:r>
                          <w:rPr>
                            <w:rFonts w:ascii="Times New Roman" w:hAnsi="Times New Roman" w:cs="Times New Roman" w:eastAsia="Times New Roman" w:hint="default"/>
                            <w:spacing w:val="-4"/>
                            <w:w w:val="100"/>
                            <w:sz w:val="18"/>
                            <w:szCs w:val="18"/>
                          </w:rPr>
                          <w:t>”</w:t>
                        </w:r>
                        <w:r>
                          <w:rPr>
                            <w:rFonts w:ascii="宋体" w:hAnsi="宋体" w:cs="宋体" w:eastAsia="宋体" w:hint="default"/>
                            <w:spacing w:val="-4"/>
                            <w:w w:val="100"/>
                            <w:sz w:val="18"/>
                            <w:szCs w:val="18"/>
                          </w:rPr>
                          <w:t>。盈瑞世纪承诺：（</w:t>
                        </w:r>
                        <w:r>
                          <w:rPr>
                            <w:rFonts w:ascii="Times New Roman" w:hAnsi="Times New Roman" w:cs="Times New Roman" w:eastAsia="Times New Roman" w:hint="default"/>
                            <w:spacing w:val="-4"/>
                            <w:w w:val="100"/>
                            <w:sz w:val="18"/>
                            <w:szCs w:val="18"/>
                          </w:rPr>
                          <w:t>1</w:t>
                        </w:r>
                        <w:r>
                          <w:rPr>
                            <w:rFonts w:ascii="宋体" w:hAnsi="宋体" w:cs="宋体" w:eastAsia="宋体" w:hint="default"/>
                            <w:spacing w:val="-4"/>
                            <w:w w:val="100"/>
                            <w:sz w:val="18"/>
                            <w:szCs w:val="18"/>
                          </w:rPr>
                          <w:t>）在上述股份锁定期</w:t>
                        </w:r>
                        <w:r>
                          <w:rPr>
                            <w:rFonts w:ascii="宋体" w:hAnsi="宋体" w:cs="宋体" w:eastAsia="宋体" w:hint="default"/>
                            <w:spacing w:val="-85"/>
                            <w:w w:val="100"/>
                            <w:sz w:val="18"/>
                            <w:szCs w:val="18"/>
                          </w:rPr>
                          <w:t> </w:t>
                        </w:r>
                        <w:r>
                          <w:rPr>
                            <w:rFonts w:ascii="宋体" w:hAnsi="宋体" w:cs="宋体" w:eastAsia="宋体" w:hint="default"/>
                            <w:sz w:val="18"/>
                            <w:szCs w:val="18"/>
                          </w:rPr>
                          <w:t>限届满后</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年内减持的，每个会计年度减持数量不超</w:t>
                        </w:r>
                        <w:r>
                          <w:rPr>
                            <w:rFonts w:ascii="宋体" w:hAnsi="宋体" w:cs="宋体" w:eastAsia="宋体" w:hint="default"/>
                            <w:sz w:val="18"/>
                            <w:szCs w:val="18"/>
                          </w:rPr>
                          <w:t> 过其在本次发行前直接、间接所持公司股份总数的 </w:t>
                        </w:r>
                        <w:r>
                          <w:rPr>
                            <w:rFonts w:ascii="Times New Roman" w:hAnsi="Times New Roman" w:cs="Times New Roman" w:eastAsia="Times New Roman" w:hint="default"/>
                            <w:spacing w:val="-6"/>
                            <w:sz w:val="18"/>
                            <w:szCs w:val="18"/>
                          </w:rPr>
                          <w:t>20%</w:t>
                        </w:r>
                        <w:r>
                          <w:rPr>
                            <w:rFonts w:ascii="宋体" w:hAnsi="宋体" w:cs="宋体" w:eastAsia="宋体" w:hint="default"/>
                            <w:spacing w:val="-6"/>
                            <w:sz w:val="18"/>
                            <w:szCs w:val="18"/>
                          </w:rPr>
                          <w:t>，减持价格不低于发行价；（</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）鉴于其在本次发</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行前持有公司股份的比例超过</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，在满足上述减持 </w:t>
                        </w:r>
                        <w:r>
                          <w:rPr>
                            <w:rFonts w:ascii="宋体" w:hAnsi="宋体" w:cs="宋体" w:eastAsia="宋体" w:hint="default"/>
                            <w:spacing w:val="-4"/>
                            <w:sz w:val="18"/>
                            <w:szCs w:val="18"/>
                          </w:rPr>
                          <w:t>条件的情况下，将通过合法合规的方式减持，并通过</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公司在减持前</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pacing w:val="-6"/>
                            <w:sz w:val="18"/>
                            <w:szCs w:val="18"/>
                          </w:rPr>
                          <w:t>个交易日予以公告。公司公开发行前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持股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以上的股东王立伟的股份锁定期限参见</w:t>
                        </w:r>
                        <w:r>
                          <w:rPr>
                            <w:rFonts w:ascii="Times New Roman" w:hAnsi="Times New Roman" w:cs="Times New Roman" w:eastAsia="Times New Roman" w:hint="default"/>
                            <w:sz w:val="18"/>
                            <w:szCs w:val="18"/>
                          </w:rPr>
                          <w:t>“</w:t>
                        </w:r>
                        <w:r>
                          <w:rPr>
                            <w:rFonts w:ascii="宋体" w:hAnsi="宋体" w:cs="宋体" w:eastAsia="宋体" w:hint="default"/>
                            <w:sz w:val="18"/>
                            <w:szCs w:val="18"/>
                          </w:rPr>
                          <w:t>股 </w:t>
                        </w:r>
                        <w:r>
                          <w:rPr>
                            <w:rFonts w:ascii="宋体" w:hAnsi="宋体" w:cs="宋体" w:eastAsia="宋体" w:hint="default"/>
                            <w:spacing w:val="-4"/>
                            <w:w w:val="100"/>
                            <w:sz w:val="18"/>
                            <w:szCs w:val="18"/>
                          </w:rPr>
                          <w:t>份锁定承诺</w:t>
                        </w:r>
                        <w:r>
                          <w:rPr>
                            <w:rFonts w:ascii="Times New Roman" w:hAnsi="Times New Roman" w:cs="Times New Roman" w:eastAsia="Times New Roman" w:hint="default"/>
                            <w:spacing w:val="-4"/>
                            <w:w w:val="100"/>
                            <w:sz w:val="18"/>
                            <w:szCs w:val="18"/>
                          </w:rPr>
                          <w:t>”</w:t>
                        </w:r>
                        <w:r>
                          <w:rPr>
                            <w:rFonts w:ascii="宋体" w:hAnsi="宋体" w:cs="宋体" w:eastAsia="宋体" w:hint="default"/>
                            <w:spacing w:val="-4"/>
                            <w:w w:val="100"/>
                            <w:sz w:val="18"/>
                            <w:szCs w:val="18"/>
                          </w:rPr>
                          <w:t>。王立伟承诺：（</w:t>
                        </w:r>
                        <w:r>
                          <w:rPr>
                            <w:rFonts w:ascii="Times New Roman" w:hAnsi="Times New Roman" w:cs="Times New Roman" w:eastAsia="Times New Roman" w:hint="default"/>
                            <w:spacing w:val="-4"/>
                            <w:w w:val="100"/>
                            <w:sz w:val="18"/>
                            <w:szCs w:val="18"/>
                          </w:rPr>
                          <w:t>1</w:t>
                        </w:r>
                        <w:r>
                          <w:rPr>
                            <w:rFonts w:ascii="宋体" w:hAnsi="宋体" w:cs="宋体" w:eastAsia="宋体" w:hint="default"/>
                            <w:spacing w:val="-4"/>
                            <w:w w:val="100"/>
                            <w:sz w:val="18"/>
                            <w:szCs w:val="18"/>
                          </w:rPr>
                          <w:t>）在上述股份锁定期</w:t>
                        </w:r>
                        <w:r>
                          <w:rPr>
                            <w:rFonts w:ascii="宋体" w:hAnsi="宋体" w:cs="宋体" w:eastAsia="宋体" w:hint="default"/>
                            <w:spacing w:val="-85"/>
                            <w:w w:val="100"/>
                            <w:sz w:val="18"/>
                            <w:szCs w:val="18"/>
                          </w:rPr>
                          <w:t> </w:t>
                        </w:r>
                        <w:r>
                          <w:rPr>
                            <w:rFonts w:ascii="宋体" w:hAnsi="宋体" w:cs="宋体" w:eastAsia="宋体" w:hint="default"/>
                            <w:sz w:val="18"/>
                            <w:szCs w:val="18"/>
                          </w:rPr>
                          <w:t>限届满后</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年内减持的，每个会计年度减持数量不超</w:t>
                        </w:r>
                        <w:r>
                          <w:rPr>
                            <w:rFonts w:ascii="宋体" w:hAnsi="宋体" w:cs="宋体" w:eastAsia="宋体" w:hint="default"/>
                            <w:sz w:val="18"/>
                            <w:szCs w:val="18"/>
                          </w:rPr>
                          <w:t> 过其在本次发行前直接、间接所持公司股份总数的 </w:t>
                        </w:r>
                        <w:r>
                          <w:rPr>
                            <w:rFonts w:ascii="Times New Roman" w:hAnsi="Times New Roman" w:cs="Times New Roman" w:eastAsia="Times New Roman" w:hint="default"/>
                            <w:spacing w:val="-6"/>
                            <w:sz w:val="18"/>
                            <w:szCs w:val="18"/>
                          </w:rPr>
                          <w:t>25%</w:t>
                        </w:r>
                        <w:r>
                          <w:rPr>
                            <w:rFonts w:ascii="宋体" w:hAnsi="宋体" w:cs="宋体" w:eastAsia="宋体" w:hint="default"/>
                            <w:spacing w:val="-6"/>
                            <w:sz w:val="18"/>
                            <w:szCs w:val="18"/>
                          </w:rPr>
                          <w:t>，减持价格不低于发行价；（</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）鉴于其在本次发</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行前持有公司股份的比例超过</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，在满足上述减持 </w:t>
                        </w:r>
                        <w:r>
                          <w:rPr>
                            <w:rFonts w:ascii="宋体" w:hAnsi="宋体" w:cs="宋体" w:eastAsia="宋体" w:hint="default"/>
                            <w:spacing w:val="-4"/>
                            <w:sz w:val="18"/>
                            <w:szCs w:val="18"/>
                          </w:rPr>
                          <w:t>条件的情况下，将通过合法合规的方式减持，并通过</w:t>
                        </w:r>
                      </w:p>
                    </w:tc>
                    <w:tc>
                      <w:tcPr>
                        <w:tcW w:w="12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7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1"/>
                            <w:szCs w:val="21"/>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2019-12-31</w:t>
                        </w:r>
                      </w:p>
                    </w:tc>
                    <w:tc>
                      <w:tcPr>
                        <w:tcW w:w="137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正常履行中</w:t>
                        </w:r>
                      </w:p>
                    </w:tc>
                  </w:tr>
                </w:tbl>
                <w:p>
                  <w:pPr/>
                </w:p>
              </w:txbxContent>
            </v:textbox>
            <w10:wrap type="none"/>
          </v:shape>
        </w:pict>
      </w:r>
    </w:p>
    <w:p>
      <w:pPr>
        <w:spacing w:line="1346" w:lineRule="exact"/>
        <w:ind w:left="12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6"/>
          <w:sz w:val="20"/>
          <w:szCs w:val="20"/>
        </w:rPr>
        <w:pict>
          <v:group style="width:701.7pt;height:67.350pt;mso-position-horizontal-relative:char;mso-position-vertical-relative:line" coordorigin="0,0" coordsize="14034,1347">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style="position:absolute;left:10113;top:59;width:1262;height:1288" coordorigin="10113,59" coordsize="1262,1288">
              <v:shape style="position:absolute;left:10113;top:59;width:1262;height:1288" coordorigin="10113,59" coordsize="1262,1288" path="m10113,1347l11374,1347,11374,59,10113,59,10113,1347xe" filled="true" fillcolor="#ffffff" stroked="false">
                <v:path arrowok="t"/>
                <v:fill type="solid"/>
              </v:shape>
            </v:group>
          </v:group>
        </w:pict>
      </w:r>
      <w:r>
        <w:rPr>
          <w:rFonts w:ascii="Times New Roman" w:hAnsi="Times New Roman" w:cs="Times New Roman" w:eastAsia="Times New Roman" w:hint="default"/>
          <w:position w:val="-26"/>
          <w:sz w:val="20"/>
          <w:szCs w:val="20"/>
        </w:rPr>
      </w:r>
    </w:p>
    <w:p>
      <w:pPr>
        <w:spacing w:after="0" w:line="1346" w:lineRule="exact"/>
        <w:rPr>
          <w:rFonts w:ascii="Times New Roman" w:hAnsi="Times New Roman" w:cs="Times New Roman" w:eastAsia="Times New Roman" w:hint="default"/>
          <w:sz w:val="20"/>
          <w:szCs w:val="20"/>
        </w:rPr>
        <w:sectPr>
          <w:pgSz w:w="16840" w:h="11910" w:orient="landscape"/>
          <w:pgMar w:header="867" w:footer="979" w:top="1060" w:bottom="1280" w:left="1280" w:right="0"/>
        </w:sectPr>
      </w:pPr>
    </w:p>
    <w:p>
      <w:pPr>
        <w:spacing w:line="309" w:lineRule="auto" w:before="107"/>
        <w:ind w:left="6141" w:right="5357" w:firstLine="0"/>
        <w:jc w:val="both"/>
        <w:rPr>
          <w:rFonts w:ascii="宋体" w:hAnsi="宋体" w:cs="宋体" w:eastAsia="宋体" w:hint="default"/>
          <w:sz w:val="18"/>
          <w:szCs w:val="18"/>
        </w:rPr>
      </w:pPr>
      <w:r>
        <w:rPr>
          <w:rFonts w:ascii="宋体" w:hAnsi="宋体" w:cs="宋体" w:eastAsia="宋体" w:hint="default"/>
          <w:sz w:val="18"/>
          <w:szCs w:val="18"/>
        </w:rPr>
        <w:t>公司在减持前</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5"/>
          <w:sz w:val="18"/>
          <w:szCs w:val="18"/>
        </w:rPr>
        <w:t> </w:t>
      </w:r>
      <w:r>
        <w:rPr>
          <w:rFonts w:ascii="宋体" w:hAnsi="宋体" w:cs="宋体" w:eastAsia="宋体" w:hint="default"/>
          <w:spacing w:val="-6"/>
          <w:sz w:val="18"/>
          <w:szCs w:val="18"/>
        </w:rPr>
        <w:t>个交易日予以公告。公司股东李琼承</w:t>
      </w:r>
      <w:r>
        <w:rPr>
          <w:rFonts w:ascii="宋体" w:hAnsi="宋体" w:cs="宋体" w:eastAsia="宋体" w:hint="default"/>
          <w:sz w:val="18"/>
          <w:szCs w:val="18"/>
        </w:rPr>
        <w:t> 诺： 本次权益变动完成后，本人将继续履行周亚辉 先生原先对持有本人股份所作的股份锁定承诺。</w:t>
      </w:r>
    </w:p>
    <w:p>
      <w:pPr>
        <w:spacing w:after="0" w:line="309" w:lineRule="auto"/>
        <w:jc w:val="both"/>
        <w:rPr>
          <w:rFonts w:ascii="宋体" w:hAnsi="宋体" w:cs="宋体" w:eastAsia="宋体" w:hint="default"/>
          <w:sz w:val="18"/>
          <w:szCs w:val="18"/>
        </w:rPr>
        <w:sectPr>
          <w:pgSz w:w="16840" w:h="11910" w:orient="landscape"/>
          <w:pgMar w:header="867" w:footer="979" w:top="1060" w:bottom="1160" w:left="1280" w:right="0"/>
        </w:sectPr>
      </w:pPr>
    </w:p>
    <w:p>
      <w:pPr>
        <w:spacing w:line="240" w:lineRule="auto" w:before="0"/>
        <w:rPr>
          <w:rFonts w:ascii="宋体" w:hAnsi="宋体" w:cs="宋体" w:eastAsia="宋体" w:hint="default"/>
          <w:sz w:val="18"/>
          <w:szCs w:val="18"/>
        </w:rPr>
      </w:pPr>
      <w:r>
        <w:rPr/>
        <w:pict>
          <v:group style="position:absolute;margin-left:69.839996pt;margin-top:55.260006pt;width:702.25pt;height:478pt;mso-position-horizontal-relative:page;mso-position-vertical-relative:page;z-index:-1136296" coordorigin="1397,1105" coordsize="14045,9560">
            <v:group style="position:absolute;left:1410;top:1112;width:14020;height:2" coordorigin="1410,1112" coordsize="14020,2">
              <v:shape style="position:absolute;left:1410;top:1112;width:14020;height:2" coordorigin="1410,1112" coordsize="14020,0" path="m1410,1112l15430,1112e" filled="false" stroked="true" strokeweight=".72pt" strokecolor="#000000">
                <v:path arrowok="t"/>
              </v:shape>
            </v:group>
            <v:group style="position:absolute;left:1427;top:1164;width:2560;height:976" coordorigin="1427,1164" coordsize="2560,976">
              <v:shape style="position:absolute;left:1427;top:1164;width:2560;height:976" coordorigin="1427,1164" coordsize="2560,976" path="m1427,2140l3987,2140,3987,1164,1427,1164,1427,2140xe" filled="true" fillcolor="#d2d2d2" stroked="false">
                <v:path arrowok="t"/>
                <v:fill type="solid"/>
              </v:shape>
            </v:group>
            <v:group style="position:absolute;left:1427;top:1134;width:2560;height:30" coordorigin="1427,1134" coordsize="2560,30">
              <v:shape style="position:absolute;left:1427;top:1134;width:2560;height:30" coordorigin="1427,1134" coordsize="2560,30" path="m1427,1164l3987,1164,3987,1134,1427,1134,1427,1164xe" filled="true" fillcolor="#000000" stroked="false">
                <v:path arrowok="t"/>
                <v:fill type="solid"/>
              </v:shape>
            </v:group>
            <v:group style="position:absolute;left:3987;top:1149;width:30;height:2" coordorigin="3987,1149" coordsize="30,2">
              <v:shape style="position:absolute;left:3987;top:1149;width:30;height:2" coordorigin="3987,1149" coordsize="30,0" path="m3987,1149l4017,1149e" filled="false" stroked="true" strokeweight="1.5pt" strokecolor="#000000">
                <v:path arrowok="t"/>
              </v:shape>
            </v:group>
            <v:group style="position:absolute;left:4017;top:1149;width:1952;height:2" coordorigin="4017,1149" coordsize="1952,2">
              <v:shape style="position:absolute;left:4017;top:1149;width:1952;height:2" coordorigin="4017,1149" coordsize="1952,0" path="m4017,1149l5968,1149e" filled="false" stroked="true" strokeweight="1.5pt" strokecolor="#000000">
                <v:path arrowok="t"/>
              </v:shape>
            </v:group>
            <v:group style="position:absolute;left:5968;top:1149;width:30;height:2" coordorigin="5968,1149" coordsize="30,2">
              <v:shape style="position:absolute;left:5968;top:1149;width:30;height:2" coordorigin="5968,1149" coordsize="30,0" path="m5968,1149l5998,1149e" filled="false" stroked="true" strokeweight="1.5pt" strokecolor="#000000">
                <v:path arrowok="t"/>
              </v:shape>
            </v:group>
            <v:group style="position:absolute;left:5998;top:1149;width:1389;height:2" coordorigin="5998,1149" coordsize="1389,2">
              <v:shape style="position:absolute;left:5998;top:1149;width:1389;height:2" coordorigin="5998,1149" coordsize="1389,0" path="m5998,1149l7386,1149e" filled="false" stroked="true" strokeweight="1.5pt" strokecolor="#000000">
                <v:path arrowok="t"/>
              </v:shape>
            </v:group>
            <v:group style="position:absolute;left:7386;top:1149;width:30;height:2" coordorigin="7386,1149" coordsize="30,2">
              <v:shape style="position:absolute;left:7386;top:1149;width:30;height:2" coordorigin="7386,1149" coordsize="30,0" path="m7386,1149l7416,1149e" filled="false" stroked="true" strokeweight="1.5pt" strokecolor="#000000">
                <v:path arrowok="t"/>
              </v:shape>
            </v:group>
            <v:group style="position:absolute;left:7416;top:1149;width:4086;height:2" coordorigin="7416,1149" coordsize="4086,2">
              <v:shape style="position:absolute;left:7416;top:1149;width:4086;height:2" coordorigin="7416,1149" coordsize="4086,0" path="m7416,1149l11502,1149e" filled="false" stroked="true" strokeweight="1.5pt" strokecolor="#000000">
                <v:path arrowok="t"/>
              </v:shape>
            </v:group>
            <v:group style="position:absolute;left:11502;top:1149;width:30;height:2" coordorigin="11502,1149" coordsize="30,2">
              <v:shape style="position:absolute;left:11502;top:1149;width:30;height:2" coordorigin="11502,1149" coordsize="30,0" path="m11502,1149l11532,1149e" filled="false" stroked="true" strokeweight="1.5pt" strokecolor="#000000">
                <v:path arrowok="t"/>
              </v:shape>
            </v:group>
            <v:group style="position:absolute;left:11532;top:1149;width:1246;height:2" coordorigin="11532,1149" coordsize="1246,2">
              <v:shape style="position:absolute;left:11532;top:1149;width:1246;height:2" coordorigin="11532,1149" coordsize="1246,0" path="m11532,1149l12777,1149e" filled="false" stroked="true" strokeweight="1.5pt" strokecolor="#000000">
                <v:path arrowok="t"/>
              </v:shape>
            </v:group>
            <v:group style="position:absolute;left:12777;top:1149;width:30;height:2" coordorigin="12777,1149" coordsize="30,2">
              <v:shape style="position:absolute;left:12777;top:1149;width:30;height:2" coordorigin="12777,1149" coordsize="30,0" path="m12777,1149l12807,1149e" filled="false" stroked="true" strokeweight="1.5pt" strokecolor="#000000">
                <v:path arrowok="t"/>
              </v:shape>
            </v:group>
            <v:group style="position:absolute;left:12807;top:1149;width:1245;height:2" coordorigin="12807,1149" coordsize="1245,2">
              <v:shape style="position:absolute;left:12807;top:1149;width:1245;height:2" coordorigin="12807,1149" coordsize="1245,0" path="m12807,1149l14052,1149e" filled="false" stroked="true" strokeweight="1.5pt" strokecolor="#000000">
                <v:path arrowok="t"/>
              </v:shape>
            </v:group>
            <v:group style="position:absolute;left:14052;top:1149;width:30;height:2" coordorigin="14052,1149" coordsize="30,2">
              <v:shape style="position:absolute;left:14052;top:1149;width:30;height:2" coordorigin="14052,1149" coordsize="30,0" path="m14052,1149l14082,1149e" filled="false" stroked="true" strokeweight="1.5pt" strokecolor="#000000">
                <v:path arrowok="t"/>
              </v:shape>
            </v:group>
            <v:group style="position:absolute;left:14082;top:1149;width:1330;height:2" coordorigin="14082,1149" coordsize="1330,2">
              <v:shape style="position:absolute;left:14082;top:1149;width:1330;height:2" coordorigin="14082,1149" coordsize="1330,0" path="m14082,1149l15412,1149e" filled="false" stroked="true" strokeweight="1.5pt" strokecolor="#000000">
                <v:path arrowok="t"/>
              </v:shape>
            </v:group>
            <v:group style="position:absolute;left:1427;top:2140;width:2560;height:8480" coordorigin="1427,2140" coordsize="2560,8480">
              <v:shape style="position:absolute;left:1427;top:2140;width:2560;height:8480" coordorigin="1427,2140" coordsize="2560,8480" path="m1427,10620l3987,10620,3987,2140,1427,2140,1427,10620xe" filled="true" fillcolor="#d2d2d2" stroked="false">
                <v:path arrowok="t"/>
                <v:fill type="solid"/>
              </v:shape>
            </v:group>
            <v:group style="position:absolute;left:11516;top:2156;width:1262;height:3880" coordorigin="11516,2156" coordsize="1262,3880">
              <v:shape style="position:absolute;left:11516;top:2156;width:1262;height:3880" coordorigin="11516,2156" coordsize="1262,3880" path="m11516,6036l12777,6036,12777,2156,11516,2156,11516,6036xe" filled="true" fillcolor="#ffffff" stroked="false">
                <v:path arrowok="t"/>
                <v:fill type="solid"/>
              </v:shape>
            </v:group>
            <v:group style="position:absolute;left:11516;top:6740;width:1262;height:3880" coordorigin="11516,6740" coordsize="1262,3880">
              <v:shape style="position:absolute;left:11516;top:6740;width:1262;height:3880" coordorigin="11516,6740" coordsize="1262,3880" path="m11516,10620l12777,10620,12777,6740,11516,6740,11516,10620xe" filled="true" fillcolor="#ffffff" stroked="false">
                <v:path arrowok="t"/>
                <v:fill type="solid"/>
              </v:shape>
            </v:group>
            <v:group style="position:absolute;left:4001;top:2147;width:1967;height:2" coordorigin="4001,2147" coordsize="1967,2">
              <v:shape style="position:absolute;left:4001;top:2147;width:1967;height:2" coordorigin="4001,2147" coordsize="1967,0" path="m4001,2147l5968,2147e" filled="false" stroked="true" strokeweight=".72pt" strokecolor="#000000">
                <v:path arrowok="t"/>
              </v:shape>
            </v:group>
            <v:group style="position:absolute;left:5982;top:2147;width:1404;height:2" coordorigin="5982,2147" coordsize="1404,2">
              <v:shape style="position:absolute;left:5982;top:2147;width:1404;height:2" coordorigin="5982,2147" coordsize="1404,0" path="m5982,2147l7386,2147e" filled="false" stroked="true" strokeweight=".72pt" strokecolor="#000000">
                <v:path arrowok="t"/>
              </v:shape>
            </v:group>
            <v:group style="position:absolute;left:7401;top:2147;width:4101;height:2" coordorigin="7401,2147" coordsize="4101,2">
              <v:shape style="position:absolute;left:7401;top:2147;width:4101;height:2" coordorigin="7401,2147" coordsize="4101,0" path="m7401,2147l11502,2147e" filled="false" stroked="true" strokeweight=".72pt" strokecolor="#000000">
                <v:path arrowok="t"/>
              </v:shape>
            </v:group>
            <v:group style="position:absolute;left:11516;top:2147;width:1262;height:2" coordorigin="11516,2147" coordsize="1262,2">
              <v:shape style="position:absolute;left:11516;top:2147;width:1262;height:2" coordorigin="11516,2147" coordsize="1262,0" path="m11516,2147l12777,2147e" filled="false" stroked="true" strokeweight=".72pt" strokecolor="#000000">
                <v:path arrowok="t"/>
              </v:shape>
            </v:group>
            <v:group style="position:absolute;left:12792;top:2147;width:1261;height:2" coordorigin="12792,2147" coordsize="1261,2">
              <v:shape style="position:absolute;left:12792;top:2147;width:1261;height:2" coordorigin="12792,2147" coordsize="1261,0" path="m12792,2147l14052,2147e" filled="false" stroked="true" strokeweight=".72pt" strokecolor="#000000">
                <v:path arrowok="t"/>
              </v:shape>
            </v:group>
            <v:group style="position:absolute;left:14066;top:2147;width:1346;height:2" coordorigin="14066,2147" coordsize="1346,2">
              <v:shape style="position:absolute;left:14066;top:2147;width:1346;height:2" coordorigin="14066,2147" coordsize="1346,0" path="m14066,2147l15412,2147e" filled="false" stroked="true" strokeweight=".72pt" strokecolor="#000000">
                <v:path arrowok="t"/>
              </v:shape>
            </v:group>
            <v:group style="position:absolute;left:1412;top:1134;width:2;height:9516" coordorigin="1412,1134" coordsize="2,9516">
              <v:shape style="position:absolute;left:1412;top:1134;width:2;height:9516" coordorigin="1412,1134" coordsize="0,9516" path="m1412,1134l1412,10650e" filled="false" stroked="true" strokeweight="1.5pt" strokecolor="#000000">
                <v:path arrowok="t"/>
              </v:shape>
            </v:group>
            <v:group style="position:absolute;left:1427;top:10635;width:2560;height:2" coordorigin="1427,10635" coordsize="2560,2">
              <v:shape style="position:absolute;left:1427;top:10635;width:2560;height:2" coordorigin="1427,10635" coordsize="2560,0" path="m1427,10635l3987,10635e" filled="false" stroked="true" strokeweight="1.5pt" strokecolor="#000000">
                <v:path arrowok="t"/>
              </v:shape>
            </v:group>
            <v:group style="position:absolute;left:3994;top:1164;width:2;height:9456" coordorigin="3994,1164" coordsize="2,9456">
              <v:shape style="position:absolute;left:3994;top:1164;width:2;height:9456" coordorigin="3994,1164" coordsize="0,9456" path="m3994,1164l3994,10620e" filled="false" stroked="true" strokeweight=".72pt" strokecolor="#000000">
                <v:path arrowok="t"/>
              </v:shape>
            </v:group>
            <v:group style="position:absolute;left:3987;top:10635;width:30;height:2" coordorigin="3987,10635" coordsize="30,2">
              <v:shape style="position:absolute;left:3987;top:10635;width:30;height:2" coordorigin="3987,10635" coordsize="30,0" path="m3987,10635l4017,10635e" filled="false" stroked="true" strokeweight="1.5pt" strokecolor="#000000">
                <v:path arrowok="t"/>
              </v:shape>
            </v:group>
            <v:group style="position:absolute;left:4017;top:10635;width:1952;height:2" coordorigin="4017,10635" coordsize="1952,2">
              <v:shape style="position:absolute;left:4017;top:10635;width:1952;height:2" coordorigin="4017,10635" coordsize="1952,0" path="m4017,10635l5968,10635e" filled="false" stroked="true" strokeweight="1.5pt" strokecolor="#000000">
                <v:path arrowok="t"/>
              </v:shape>
            </v:group>
            <v:group style="position:absolute;left:5975;top:1164;width:2;height:9456" coordorigin="5975,1164" coordsize="2,9456">
              <v:shape style="position:absolute;left:5975;top:1164;width:2;height:9456" coordorigin="5975,1164" coordsize="0,9456" path="m5975,1164l5975,10620e" filled="false" stroked="true" strokeweight=".72pt" strokecolor="#000000">
                <v:path arrowok="t"/>
              </v:shape>
            </v:group>
            <v:group style="position:absolute;left:5968;top:10635;width:30;height:2" coordorigin="5968,10635" coordsize="30,2">
              <v:shape style="position:absolute;left:5968;top:10635;width:30;height:2" coordorigin="5968,10635" coordsize="30,0" path="m5968,10635l5998,10635e" filled="false" stroked="true" strokeweight="1.5pt" strokecolor="#000000">
                <v:path arrowok="t"/>
              </v:shape>
            </v:group>
            <v:group style="position:absolute;left:5998;top:10635;width:1389;height:2" coordorigin="5998,10635" coordsize="1389,2">
              <v:shape style="position:absolute;left:5998;top:10635;width:1389;height:2" coordorigin="5998,10635" coordsize="1389,0" path="m5998,10635l7386,10635e" filled="false" stroked="true" strokeweight="1.5pt" strokecolor="#000000">
                <v:path arrowok="t"/>
              </v:shape>
            </v:group>
            <v:group style="position:absolute;left:7394;top:1164;width:2;height:9456" coordorigin="7394,1164" coordsize="2,9456">
              <v:shape style="position:absolute;left:7394;top:1164;width:2;height:9456" coordorigin="7394,1164" coordsize="0,9456" path="m7394,1164l7394,10620e" filled="false" stroked="true" strokeweight=".72pt" strokecolor="#000000">
                <v:path arrowok="t"/>
              </v:shape>
            </v:group>
            <v:group style="position:absolute;left:7386;top:10635;width:30;height:2" coordorigin="7386,10635" coordsize="30,2">
              <v:shape style="position:absolute;left:7386;top:10635;width:30;height:2" coordorigin="7386,10635" coordsize="30,0" path="m7386,10635l7416,10635e" filled="false" stroked="true" strokeweight="1.5pt" strokecolor="#000000">
                <v:path arrowok="t"/>
              </v:shape>
            </v:group>
            <v:group style="position:absolute;left:7416;top:10635;width:4086;height:2" coordorigin="7416,10635" coordsize="4086,2">
              <v:shape style="position:absolute;left:7416;top:10635;width:4086;height:2" coordorigin="7416,10635" coordsize="4086,0" path="m7416,10635l11502,10635e" filled="false" stroked="true" strokeweight="1.5pt" strokecolor="#000000">
                <v:path arrowok="t"/>
              </v:shape>
            </v:group>
            <v:group style="position:absolute;left:11509;top:1164;width:2;height:9456" coordorigin="11509,1164" coordsize="2,9456">
              <v:shape style="position:absolute;left:11509;top:1164;width:2;height:9456" coordorigin="11509,1164" coordsize="0,9456" path="m11509,1164l11509,10620e" filled="false" stroked="true" strokeweight=".72pt" strokecolor="#000000">
                <v:path arrowok="t"/>
              </v:shape>
            </v:group>
            <v:group style="position:absolute;left:11502;top:10635;width:30;height:2" coordorigin="11502,10635" coordsize="30,2">
              <v:shape style="position:absolute;left:11502;top:10635;width:30;height:2" coordorigin="11502,10635" coordsize="30,0" path="m11502,10635l11532,10635e" filled="false" stroked="true" strokeweight="1.5pt" strokecolor="#000000">
                <v:path arrowok="t"/>
              </v:shape>
            </v:group>
            <v:group style="position:absolute;left:11532;top:10635;width:1246;height:2" coordorigin="11532,10635" coordsize="1246,2">
              <v:shape style="position:absolute;left:11532;top:10635;width:1246;height:2" coordorigin="11532,10635" coordsize="1246,0" path="m11532,10635l12777,10635e" filled="false" stroked="true" strokeweight="1.5pt" strokecolor="#000000">
                <v:path arrowok="t"/>
              </v:shape>
            </v:group>
            <v:group style="position:absolute;left:12784;top:1164;width:2;height:9456" coordorigin="12784,1164" coordsize="2,9456">
              <v:shape style="position:absolute;left:12784;top:1164;width:2;height:9456" coordorigin="12784,1164" coordsize="0,9456" path="m12784,1164l12784,10620e" filled="false" stroked="true" strokeweight=".72pt" strokecolor="#000000">
                <v:path arrowok="t"/>
              </v:shape>
            </v:group>
            <v:group style="position:absolute;left:12777;top:10635;width:30;height:2" coordorigin="12777,10635" coordsize="30,2">
              <v:shape style="position:absolute;left:12777;top:10635;width:30;height:2" coordorigin="12777,10635" coordsize="30,0" path="m12777,10635l12807,10635e" filled="false" stroked="true" strokeweight="1.5pt" strokecolor="#000000">
                <v:path arrowok="t"/>
              </v:shape>
            </v:group>
            <v:group style="position:absolute;left:12807;top:10635;width:1245;height:2" coordorigin="12807,10635" coordsize="1245,2">
              <v:shape style="position:absolute;left:12807;top:10635;width:1245;height:2" coordorigin="12807,10635" coordsize="1245,0" path="m12807,10635l14052,10635e" filled="false" stroked="true" strokeweight="1.5pt" strokecolor="#000000">
                <v:path arrowok="t"/>
              </v:shape>
            </v:group>
            <v:group style="position:absolute;left:14059;top:1164;width:2;height:9456" coordorigin="14059,1164" coordsize="2,9456">
              <v:shape style="position:absolute;left:14059;top:1164;width:2;height:9456" coordorigin="14059,1164" coordsize="0,9456" path="m14059,1164l14059,10620e" filled="false" stroked="true" strokeweight=".72pt" strokecolor="#000000">
                <v:path arrowok="t"/>
              </v:shape>
            </v:group>
            <v:group style="position:absolute;left:14052;top:10635;width:30;height:2" coordorigin="14052,10635" coordsize="30,2">
              <v:shape style="position:absolute;left:14052;top:10635;width:30;height:2" coordorigin="14052,10635" coordsize="30,0" path="m14052,10635l14082,10635e" filled="false" stroked="true" strokeweight="1.5pt" strokecolor="#000000">
                <v:path arrowok="t"/>
              </v:shape>
            </v:group>
            <v:group style="position:absolute;left:14082;top:10635;width:1330;height:2" coordorigin="14082,10635" coordsize="1330,2">
              <v:shape style="position:absolute;left:14082;top:10635;width:1330;height:2" coordorigin="14082,10635" coordsize="1330,0" path="m14082,10635l15412,10635e" filled="false" stroked="true" strokeweight="1.5pt" strokecolor="#000000">
                <v:path arrowok="t"/>
              </v:shape>
            </v:group>
            <v:group style="position:absolute;left:15427;top:1134;width:2;height:9516" coordorigin="15427,1134" coordsize="2,9516">
              <v:shape style="position:absolute;left:15427;top:1134;width:2;height:9516" coordorigin="15427,1134" coordsize="0,9516" path="m15427,1134l15427,10650e" filled="false" stroked="true" strokeweight="1.5pt" strokecolor="#000000">
                <v:path arrowok="t"/>
              </v:shape>
            </v:group>
            <w10:wrap type="none"/>
          </v:group>
        </w:pic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3"/>
          <w:szCs w:val="23"/>
        </w:rPr>
      </w:pPr>
    </w:p>
    <w:p>
      <w:pPr>
        <w:spacing w:line="300" w:lineRule="auto" w:before="0"/>
        <w:ind w:left="2741" w:right="-8" w:firstLine="0"/>
        <w:jc w:val="left"/>
        <w:rPr>
          <w:rFonts w:ascii="宋体" w:hAnsi="宋体" w:cs="宋体" w:eastAsia="宋体" w:hint="default"/>
          <w:sz w:val="18"/>
          <w:szCs w:val="18"/>
        </w:rPr>
      </w:pPr>
      <w:r>
        <w:rPr>
          <w:rFonts w:ascii="宋体" w:hAnsi="宋体" w:cs="宋体" w:eastAsia="宋体" w:hint="default"/>
          <w:sz w:val="18"/>
          <w:szCs w:val="18"/>
        </w:rPr>
        <w:t>周亚辉</w:t>
      </w:r>
      <w:r>
        <w:rPr>
          <w:rFonts w:ascii="Times New Roman" w:hAnsi="Times New Roman" w:cs="Times New Roman" w:eastAsia="Times New Roman" w:hint="default"/>
          <w:sz w:val="18"/>
          <w:szCs w:val="18"/>
        </w:rPr>
        <w:t>;</w:t>
      </w:r>
      <w:r>
        <w:rPr>
          <w:rFonts w:ascii="宋体" w:hAnsi="宋体" w:cs="宋体" w:eastAsia="宋体" w:hint="default"/>
          <w:sz w:val="18"/>
          <w:szCs w:val="18"/>
        </w:rPr>
        <w:t>赵保卿</w:t>
      </w:r>
      <w:r>
        <w:rPr>
          <w:rFonts w:ascii="Times New Roman" w:hAnsi="Times New Roman" w:cs="Times New Roman" w:eastAsia="Times New Roman" w:hint="default"/>
          <w:sz w:val="18"/>
          <w:szCs w:val="18"/>
        </w:rPr>
        <w:t>;</w:t>
      </w:r>
      <w:r>
        <w:rPr>
          <w:rFonts w:ascii="宋体" w:hAnsi="宋体" w:cs="宋体" w:eastAsia="宋体" w:hint="default"/>
          <w:sz w:val="18"/>
          <w:szCs w:val="18"/>
        </w:rPr>
        <w:t>张霆</w:t>
      </w:r>
      <w:r>
        <w:rPr>
          <w:rFonts w:ascii="Times New Roman" w:hAnsi="Times New Roman" w:cs="Times New Roman" w:eastAsia="Times New Roman" w:hint="default"/>
          <w:sz w:val="18"/>
          <w:szCs w:val="18"/>
        </w:rPr>
        <w:t>;</w:t>
      </w:r>
      <w:r>
        <w:rPr>
          <w:rFonts w:ascii="宋体" w:hAnsi="宋体" w:cs="宋体" w:eastAsia="宋体" w:hint="default"/>
          <w:sz w:val="18"/>
          <w:szCs w:val="18"/>
        </w:rPr>
        <w:t>于 明俭</w:t>
      </w:r>
      <w:r>
        <w:rPr>
          <w:rFonts w:ascii="Times New Roman" w:hAnsi="Times New Roman" w:cs="Times New Roman" w:eastAsia="Times New Roman" w:hint="default"/>
          <w:sz w:val="18"/>
          <w:szCs w:val="18"/>
        </w:rPr>
        <w:t>;</w:t>
      </w:r>
      <w:r>
        <w:rPr>
          <w:rFonts w:ascii="宋体" w:hAnsi="宋体" w:cs="宋体" w:eastAsia="宋体" w:hint="default"/>
          <w:sz w:val="18"/>
          <w:szCs w:val="18"/>
        </w:rPr>
        <w:t>徐珊</w:t>
      </w:r>
      <w:r>
        <w:rPr>
          <w:rFonts w:ascii="Times New Roman" w:hAnsi="Times New Roman" w:cs="Times New Roman" w:eastAsia="Times New Roman" w:hint="default"/>
          <w:sz w:val="18"/>
          <w:szCs w:val="18"/>
        </w:rPr>
        <w:t>;</w:t>
      </w:r>
      <w:r>
        <w:rPr>
          <w:rFonts w:ascii="宋体" w:hAnsi="宋体" w:cs="宋体" w:eastAsia="宋体" w:hint="default"/>
          <w:sz w:val="18"/>
          <w:szCs w:val="18"/>
        </w:rPr>
        <w:t>吴绩伟</w:t>
      </w:r>
      <w:r>
        <w:rPr>
          <w:rFonts w:ascii="Times New Roman" w:hAnsi="Times New Roman" w:cs="Times New Roman" w:eastAsia="Times New Roman" w:hint="default"/>
          <w:sz w:val="18"/>
          <w:szCs w:val="18"/>
        </w:rPr>
        <w:t>;</w:t>
      </w:r>
      <w:r>
        <w:rPr>
          <w:rFonts w:ascii="宋体" w:hAnsi="宋体" w:cs="宋体" w:eastAsia="宋体" w:hint="default"/>
          <w:sz w:val="18"/>
          <w:szCs w:val="18"/>
        </w:rPr>
        <w:t>王立 伟</w:t>
      </w:r>
      <w:r>
        <w:rPr>
          <w:rFonts w:ascii="Times New Roman" w:hAnsi="Times New Roman" w:cs="Times New Roman" w:eastAsia="Times New Roman" w:hint="default"/>
          <w:sz w:val="18"/>
          <w:szCs w:val="18"/>
        </w:rPr>
        <w:t>;</w:t>
      </w:r>
      <w:r>
        <w:rPr>
          <w:rFonts w:ascii="宋体" w:hAnsi="宋体" w:cs="宋体" w:eastAsia="宋体" w:hint="default"/>
          <w:sz w:val="18"/>
          <w:szCs w:val="18"/>
        </w:rPr>
        <w:t>罗建北</w:t>
      </w:r>
      <w:r>
        <w:rPr>
          <w:rFonts w:ascii="Times New Roman" w:hAnsi="Times New Roman" w:cs="Times New Roman" w:eastAsia="Times New Roman" w:hint="default"/>
          <w:sz w:val="18"/>
          <w:szCs w:val="18"/>
        </w:rPr>
        <w:t>;</w:t>
      </w:r>
      <w:r>
        <w:rPr>
          <w:rFonts w:ascii="宋体" w:hAnsi="宋体" w:cs="宋体" w:eastAsia="宋体" w:hint="default"/>
          <w:sz w:val="18"/>
          <w:szCs w:val="18"/>
        </w:rPr>
        <w:t>李凤玲</w:t>
      </w:r>
      <w:r>
        <w:rPr>
          <w:rFonts w:ascii="Times New Roman" w:hAnsi="Times New Roman" w:cs="Times New Roman" w:eastAsia="Times New Roman" w:hint="default"/>
          <w:sz w:val="18"/>
          <w:szCs w:val="18"/>
        </w:rPr>
        <w:t>;</w:t>
      </w:r>
      <w:r>
        <w:rPr>
          <w:rFonts w:ascii="宋体" w:hAnsi="宋体" w:cs="宋体" w:eastAsia="宋体" w:hint="default"/>
          <w:sz w:val="18"/>
          <w:szCs w:val="18"/>
        </w:rPr>
        <w:t>黄国 强</w:t>
      </w:r>
      <w:r>
        <w:rPr>
          <w:rFonts w:ascii="Times New Roman" w:hAnsi="Times New Roman" w:cs="Times New Roman" w:eastAsia="Times New Roman" w:hint="default"/>
          <w:sz w:val="18"/>
          <w:szCs w:val="18"/>
        </w:rPr>
        <w:t>;</w:t>
      </w:r>
      <w:r>
        <w:rPr>
          <w:rFonts w:ascii="宋体" w:hAnsi="宋体" w:cs="宋体" w:eastAsia="宋体" w:hint="default"/>
          <w:sz w:val="18"/>
          <w:szCs w:val="18"/>
        </w:rPr>
        <w:t>花伟</w:t>
      </w:r>
      <w:r>
        <w:rPr>
          <w:rFonts w:ascii="Times New Roman" w:hAnsi="Times New Roman" w:cs="Times New Roman" w:eastAsia="Times New Roman" w:hint="default"/>
          <w:sz w:val="18"/>
          <w:szCs w:val="18"/>
        </w:rPr>
        <w:t>;</w:t>
      </w:r>
      <w:r>
        <w:rPr>
          <w:rFonts w:ascii="宋体" w:hAnsi="宋体" w:cs="宋体" w:eastAsia="宋体" w:hint="default"/>
          <w:sz w:val="18"/>
          <w:szCs w:val="18"/>
        </w:rPr>
        <w:t>方汉</w:t>
      </w:r>
      <w:r>
        <w:rPr>
          <w:rFonts w:ascii="Times New Roman" w:hAnsi="Times New Roman" w:cs="Times New Roman" w:eastAsia="Times New Roman" w:hint="default"/>
          <w:sz w:val="18"/>
          <w:szCs w:val="18"/>
        </w:rPr>
        <w:t>;</w:t>
      </w:r>
      <w:r>
        <w:rPr>
          <w:rFonts w:ascii="宋体" w:hAnsi="宋体" w:cs="宋体" w:eastAsia="宋体" w:hint="default"/>
          <w:sz w:val="18"/>
          <w:szCs w:val="18"/>
        </w:rPr>
        <w:t>陈向阳</w:t>
      </w:r>
      <w:r>
        <w:rPr>
          <w:rFonts w:ascii="Times New Roman" w:hAnsi="Times New Roman" w:cs="Times New Roman" w:eastAsia="Times New Roman" w:hint="default"/>
          <w:sz w:val="18"/>
          <w:szCs w:val="18"/>
        </w:rPr>
        <w:t>;</w:t>
      </w:r>
      <w:r>
        <w:rPr>
          <w:rFonts w:ascii="宋体" w:hAnsi="宋体" w:cs="宋体" w:eastAsia="宋体" w:hint="default"/>
          <w:sz w:val="18"/>
          <w:szCs w:val="18"/>
        </w:rPr>
        <w:t>陈 </w:t>
      </w:r>
      <w:r>
        <w:rPr>
          <w:rFonts w:ascii="宋体" w:hAnsi="宋体" w:cs="宋体" w:eastAsia="宋体" w:hint="default"/>
          <w:spacing w:val="-1"/>
          <w:sz w:val="18"/>
          <w:szCs w:val="18"/>
        </w:rPr>
        <w:t>浩</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李振春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北京昆仑万维</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科技股份有限公司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陈玮</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7"/>
          <w:szCs w:val="17"/>
        </w:rPr>
      </w:pPr>
    </w:p>
    <w:p>
      <w:pPr>
        <w:spacing w:line="300" w:lineRule="auto" w:before="0"/>
        <w:ind w:left="42" w:right="-1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IPO</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稳定股价承 诺</w:t>
      </w:r>
    </w:p>
    <w:p>
      <w:pPr>
        <w:spacing w:line="307" w:lineRule="auto" w:before="119"/>
        <w:ind w:left="142" w:right="1180" w:firstLine="0"/>
        <w:jc w:val="left"/>
        <w:rPr>
          <w:rFonts w:ascii="宋体" w:hAnsi="宋体" w:cs="宋体" w:eastAsia="宋体" w:hint="default"/>
          <w:sz w:val="18"/>
          <w:szCs w:val="18"/>
        </w:rPr>
      </w:pPr>
      <w:r>
        <w:rPr>
          <w:spacing w:val="-4"/>
        </w:rPr>
        <w:br w:type="column"/>
      </w:r>
      <w:r>
        <w:rPr>
          <w:rFonts w:ascii="宋体" w:hAnsi="宋体" w:cs="宋体" w:eastAsia="宋体" w:hint="default"/>
          <w:spacing w:val="-4"/>
          <w:sz w:val="18"/>
          <w:szCs w:val="18"/>
        </w:rPr>
        <w:t>为稳定公司股价、切实保护中小投资者合法权益之目</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4"/>
          <w:sz w:val="18"/>
          <w:szCs w:val="18"/>
        </w:rPr>
        <w:t>的，公司上市后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pacing w:val="-4"/>
          <w:sz w:val="18"/>
          <w:szCs w:val="18"/>
        </w:rPr>
        <w:t>年内，如公司股票收盘价格（如发</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生公司派发股利、送红股、转增股本等除息、除权行</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为，股票收盘价格将做相应调整，下同）连续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 </w:t>
      </w:r>
      <w:r>
        <w:rPr>
          <w:rFonts w:ascii="宋体" w:hAnsi="宋体" w:cs="宋体" w:eastAsia="宋体" w:hint="default"/>
          <w:spacing w:val="-4"/>
          <w:sz w:val="18"/>
          <w:szCs w:val="18"/>
        </w:rPr>
        <w:t>交易日低于最近一期经审计的每股净资产时（以下简</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8"/>
          <w:w w:val="99"/>
          <w:sz w:val="18"/>
          <w:szCs w:val="18"/>
        </w:rPr>
        <w:t>称</w:t>
      </w:r>
      <w:r>
        <w:rPr>
          <w:rFonts w:ascii="Times New Roman" w:hAnsi="Times New Roman" w:cs="Times New Roman" w:eastAsia="Times New Roman" w:hint="default"/>
          <w:spacing w:val="-8"/>
          <w:w w:val="99"/>
          <w:sz w:val="18"/>
          <w:szCs w:val="18"/>
        </w:rPr>
        <w:t>"</w:t>
      </w:r>
      <w:r>
        <w:rPr>
          <w:rFonts w:ascii="宋体" w:hAnsi="宋体" w:cs="宋体" w:eastAsia="宋体" w:hint="default"/>
          <w:spacing w:val="-8"/>
          <w:w w:val="99"/>
          <w:sz w:val="18"/>
          <w:szCs w:val="18"/>
        </w:rPr>
        <w:t>启动条件</w:t>
      </w:r>
      <w:r>
        <w:rPr>
          <w:rFonts w:ascii="Times New Roman" w:hAnsi="Times New Roman" w:cs="Times New Roman" w:eastAsia="Times New Roman" w:hint="default"/>
          <w:spacing w:val="-8"/>
          <w:w w:val="99"/>
          <w:sz w:val="18"/>
          <w:szCs w:val="18"/>
        </w:rPr>
        <w:t>"</w:t>
      </w:r>
      <w:r>
        <w:rPr>
          <w:rFonts w:ascii="宋体" w:hAnsi="宋体" w:cs="宋体" w:eastAsia="宋体" w:hint="default"/>
          <w:spacing w:val="-8"/>
          <w:w w:val="99"/>
          <w:sz w:val="18"/>
          <w:szCs w:val="18"/>
        </w:rPr>
        <w:t>），公司控股股东、</w:t>
      </w:r>
      <w:r>
        <w:rPr>
          <w:rFonts w:ascii="宋体" w:hAnsi="宋体" w:cs="宋体" w:eastAsia="宋体" w:hint="default"/>
          <w:spacing w:val="-77"/>
          <w:w w:val="99"/>
          <w:sz w:val="18"/>
          <w:szCs w:val="18"/>
        </w:rPr>
        <w:t> </w:t>
      </w:r>
      <w:r>
        <w:rPr>
          <w:rFonts w:ascii="宋体" w:hAnsi="宋体" w:cs="宋体" w:eastAsia="宋体" w:hint="default"/>
          <w:spacing w:val="-77"/>
          <w:w w:val="99"/>
          <w:sz w:val="18"/>
          <w:szCs w:val="18"/>
        </w:rPr>
      </w:r>
      <w:r>
        <w:rPr>
          <w:rFonts w:ascii="宋体" w:hAnsi="宋体" w:cs="宋体" w:eastAsia="宋体" w:hint="default"/>
          <w:spacing w:val="-3"/>
          <w:sz w:val="18"/>
          <w:szCs w:val="18"/>
        </w:rPr>
        <w:t>监事、高级管理人员（前述主体合称为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各方</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）将启</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4"/>
          <w:sz w:val="18"/>
          <w:szCs w:val="18"/>
        </w:rPr>
        <w:t>动《北京昆仑万维科技股份有限公司发行上市后稳定</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11"/>
          <w:w w:val="99"/>
          <w:sz w:val="18"/>
          <w:szCs w:val="18"/>
        </w:rPr>
        <w:t>股价的预案》（以下简称</w:t>
      </w:r>
      <w:r>
        <w:rPr>
          <w:rFonts w:ascii="Times New Roman" w:hAnsi="Times New Roman" w:cs="Times New Roman" w:eastAsia="Times New Roman" w:hint="default"/>
          <w:spacing w:val="-11"/>
          <w:w w:val="99"/>
          <w:sz w:val="18"/>
          <w:szCs w:val="18"/>
        </w:rPr>
        <w:t>"</w:t>
      </w:r>
      <w:r>
        <w:rPr>
          <w:rFonts w:ascii="宋体" w:hAnsi="宋体" w:cs="宋体" w:eastAsia="宋体" w:hint="default"/>
          <w:spacing w:val="-11"/>
          <w:w w:val="99"/>
          <w:sz w:val="18"/>
          <w:szCs w:val="18"/>
        </w:rPr>
        <w:t>本预案</w:t>
      </w:r>
      <w:r>
        <w:rPr>
          <w:rFonts w:ascii="Times New Roman" w:hAnsi="Times New Roman" w:cs="Times New Roman" w:eastAsia="Times New Roman" w:hint="default"/>
          <w:spacing w:val="-11"/>
          <w:w w:val="99"/>
          <w:sz w:val="18"/>
          <w:szCs w:val="18"/>
        </w:rPr>
        <w:t>"</w:t>
      </w:r>
      <w:r>
        <w:rPr>
          <w:rFonts w:ascii="宋体" w:hAnsi="宋体" w:cs="宋体" w:eastAsia="宋体" w:hint="default"/>
          <w:spacing w:val="-11"/>
          <w:w w:val="99"/>
          <w:sz w:val="18"/>
          <w:szCs w:val="18"/>
        </w:rPr>
        <w:t>）。（一）股价稳定</w:t>
      </w:r>
      <w:r>
        <w:rPr>
          <w:rFonts w:ascii="宋体" w:hAnsi="宋体" w:cs="宋体" w:eastAsia="宋体" w:hint="default"/>
          <w:spacing w:val="-87"/>
          <w:w w:val="99"/>
          <w:sz w:val="18"/>
          <w:szCs w:val="18"/>
        </w:rPr>
        <w:t> </w:t>
      </w:r>
      <w:r>
        <w:rPr>
          <w:rFonts w:ascii="宋体" w:hAnsi="宋体" w:cs="宋体" w:eastAsia="宋体" w:hint="default"/>
          <w:spacing w:val="-87"/>
          <w:w w:val="99"/>
          <w:sz w:val="18"/>
          <w:szCs w:val="18"/>
        </w:rPr>
      </w:r>
      <w:r>
        <w:rPr>
          <w:rFonts w:ascii="宋体" w:hAnsi="宋体" w:cs="宋体" w:eastAsia="宋体" w:hint="default"/>
          <w:sz w:val="18"/>
          <w:szCs w:val="18"/>
        </w:rPr>
        <w:t>措施的实施顺序 如启动条件被触发，各方将按照如 下实施顺序启动股价稳定措施：</w:t>
      </w:r>
      <w:r>
        <w:rPr>
          <w:rFonts w:ascii="Times New Roman" w:hAnsi="Times New Roman" w:cs="Times New Roman" w:eastAsia="Times New Roman" w:hint="default"/>
          <w:sz w:val="18"/>
          <w:szCs w:val="18"/>
        </w:rPr>
        <w:t>1</w:t>
      </w:r>
      <w:r>
        <w:rPr>
          <w:rFonts w:ascii="宋体" w:hAnsi="宋体" w:cs="宋体" w:eastAsia="宋体" w:hint="default"/>
          <w:sz w:val="18"/>
          <w:szCs w:val="18"/>
        </w:rPr>
        <w:t>、在符合《上市公 </w:t>
      </w:r>
      <w:r>
        <w:rPr>
          <w:rFonts w:ascii="宋体" w:hAnsi="宋体" w:cs="宋体" w:eastAsia="宋体" w:hint="default"/>
          <w:spacing w:val="-8"/>
          <w:sz w:val="18"/>
          <w:szCs w:val="18"/>
        </w:rPr>
        <w:t>司回购社会公众股份管理办法（试行）》等相关法律、</w:t>
      </w:r>
    </w:p>
    <w:p>
      <w:pPr>
        <w:spacing w:line="186" w:lineRule="exact" w:before="26"/>
        <w:ind w:left="142" w:right="1180" w:firstLine="0"/>
        <w:jc w:val="left"/>
        <w:rPr>
          <w:rFonts w:ascii="宋体" w:hAnsi="宋体" w:cs="宋体" w:eastAsia="宋体" w:hint="default"/>
          <w:sz w:val="18"/>
          <w:szCs w:val="18"/>
        </w:rPr>
      </w:pPr>
      <w:r>
        <w:rPr/>
        <w:pict>
          <v:shape style="position:absolute;margin-left:497.506012pt;margin-top:-188.428299pt;width:141.4pt;height:194pt;mso-position-horizontal-relative:page;mso-position-vertical-relative:paragraph;z-index:-1136320"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5"/>
                      <w:szCs w:val="1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实际控制人及董事、</w:t>
                  </w:r>
                </w:p>
              </w:txbxContent>
            </v:textbox>
            <w10:wrap type="none"/>
          </v:shape>
        </w:pict>
      </w:r>
      <w:r>
        <w:rPr>
          <w:rFonts w:ascii="宋体" w:hAnsi="宋体" w:cs="宋体" w:eastAsia="宋体" w:hint="default"/>
          <w:spacing w:val="-4"/>
          <w:sz w:val="18"/>
          <w:szCs w:val="18"/>
        </w:rPr>
        <w:t>法规、规范性文件规定，不导致公司股权分布不符合</w:t>
      </w:r>
    </w:p>
    <w:p>
      <w:pPr>
        <w:spacing w:line="163" w:lineRule="exact" w:before="0"/>
        <w:ind w:left="0" w:right="0" w:firstLine="0"/>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21</w:t>
      </w:r>
    </w:p>
    <w:p>
      <w:pPr>
        <w:spacing w:line="149" w:lineRule="exact" w:before="0"/>
        <w:ind w:left="142" w:right="1180" w:firstLine="0"/>
        <w:jc w:val="left"/>
        <w:rPr>
          <w:rFonts w:ascii="宋体" w:hAnsi="宋体" w:cs="宋体" w:eastAsia="宋体" w:hint="default"/>
          <w:sz w:val="18"/>
          <w:szCs w:val="18"/>
        </w:rPr>
      </w:pPr>
      <w:r>
        <w:rPr>
          <w:rFonts w:ascii="宋体" w:hAnsi="宋体" w:cs="宋体" w:eastAsia="宋体" w:hint="default"/>
          <w:sz w:val="18"/>
          <w:szCs w:val="18"/>
        </w:rPr>
        <w:t>上市条件</w:t>
      </w:r>
      <w:r>
        <w:rPr>
          <w:rFonts w:ascii="宋体" w:hAnsi="宋体" w:cs="宋体" w:eastAsia="宋体" w:hint="default"/>
          <w:spacing w:val="-81"/>
          <w:sz w:val="18"/>
          <w:szCs w:val="18"/>
        </w:rPr>
        <w:t>，</w:t>
      </w:r>
      <w:r>
        <w:rPr>
          <w:rFonts w:ascii="宋体" w:hAnsi="宋体" w:cs="宋体" w:eastAsia="宋体" w:hint="default"/>
          <w:sz w:val="18"/>
          <w:szCs w:val="18"/>
        </w:rPr>
        <w:t>且</w:t>
      </w:r>
      <w:r>
        <w:rPr>
          <w:rFonts w:ascii="宋体" w:hAnsi="宋体" w:cs="宋体" w:eastAsia="宋体" w:hint="default"/>
          <w:spacing w:val="-2"/>
          <w:sz w:val="18"/>
          <w:szCs w:val="18"/>
        </w:rPr>
        <w:t>经</w:t>
      </w:r>
      <w:r>
        <w:rPr>
          <w:rFonts w:ascii="宋体" w:hAnsi="宋体" w:cs="宋体" w:eastAsia="宋体" w:hint="default"/>
          <w:sz w:val="18"/>
          <w:szCs w:val="18"/>
        </w:rPr>
        <w:t>出席股东大会的股东所持表决权的三</w:t>
      </w:r>
    </w:p>
    <w:p>
      <w:pPr>
        <w:spacing w:line="156" w:lineRule="exact" w:before="0"/>
        <w:ind w:left="0" w:right="1037" w:firstLine="0"/>
        <w:jc w:val="right"/>
        <w:rPr>
          <w:rFonts w:ascii="宋体" w:hAnsi="宋体" w:cs="宋体" w:eastAsia="宋体" w:hint="default"/>
          <w:sz w:val="18"/>
          <w:szCs w:val="18"/>
        </w:rPr>
      </w:pPr>
      <w:r>
        <w:rPr>
          <w:rFonts w:ascii="宋体" w:hAnsi="宋体" w:cs="宋体" w:eastAsia="宋体" w:hint="default"/>
          <w:sz w:val="18"/>
          <w:szCs w:val="18"/>
        </w:rPr>
        <w:t>日</w:t>
      </w:r>
    </w:p>
    <w:p>
      <w:pPr>
        <w:spacing w:line="205" w:lineRule="exact" w:before="0"/>
        <w:ind w:left="142" w:right="1180" w:firstLine="0"/>
        <w:jc w:val="left"/>
        <w:rPr>
          <w:rFonts w:ascii="宋体" w:hAnsi="宋体" w:cs="宋体" w:eastAsia="宋体" w:hint="default"/>
          <w:sz w:val="18"/>
          <w:szCs w:val="18"/>
        </w:rPr>
      </w:pPr>
      <w:r>
        <w:rPr>
          <w:rFonts w:ascii="宋体" w:hAnsi="宋体" w:cs="宋体" w:eastAsia="宋体" w:hint="default"/>
          <w:sz w:val="18"/>
          <w:szCs w:val="18"/>
        </w:rPr>
        <w:t>分之二及以上同意实施股份回购的前提下</w:t>
      </w:r>
      <w:r>
        <w:rPr>
          <w:rFonts w:ascii="宋体" w:hAnsi="宋体" w:cs="宋体" w:eastAsia="宋体" w:hint="default"/>
          <w:spacing w:val="-82"/>
          <w:sz w:val="18"/>
          <w:szCs w:val="18"/>
        </w:rPr>
        <w:t>，</w:t>
      </w:r>
      <w:r>
        <w:rPr>
          <w:rFonts w:ascii="宋体" w:hAnsi="宋体" w:cs="宋体" w:eastAsia="宋体" w:hint="default"/>
          <w:sz w:val="18"/>
          <w:szCs w:val="18"/>
        </w:rPr>
        <w:t>由公司依</w:t>
      </w:r>
    </w:p>
    <w:p>
      <w:pPr>
        <w:spacing w:line="314" w:lineRule="auto" w:before="76"/>
        <w:ind w:left="142" w:right="1193" w:firstLine="0"/>
        <w:jc w:val="both"/>
        <w:rPr>
          <w:rFonts w:ascii="宋体" w:hAnsi="宋体" w:cs="宋体" w:eastAsia="宋体" w:hint="default"/>
          <w:sz w:val="18"/>
          <w:szCs w:val="18"/>
        </w:rPr>
      </w:pPr>
      <w:r>
        <w:rPr>
          <w:rFonts w:ascii="宋体" w:hAnsi="宋体" w:cs="宋体" w:eastAsia="宋体" w:hint="default"/>
          <w:spacing w:val="-8"/>
          <w:sz w:val="18"/>
          <w:szCs w:val="18"/>
        </w:rPr>
        <w:t>据本预案回购公司股份。</w:t>
      </w:r>
      <w:r>
        <w:rPr>
          <w:rFonts w:ascii="Times New Roman" w:hAnsi="Times New Roman" w:cs="Times New Roman" w:eastAsia="Times New Roman" w:hint="default"/>
          <w:spacing w:val="-8"/>
          <w:sz w:val="18"/>
          <w:szCs w:val="18"/>
        </w:rPr>
        <w:t>2</w:t>
      </w:r>
      <w:r>
        <w:rPr>
          <w:rFonts w:ascii="宋体" w:hAnsi="宋体" w:cs="宋体" w:eastAsia="宋体" w:hint="default"/>
          <w:spacing w:val="-8"/>
          <w:sz w:val="18"/>
          <w:szCs w:val="18"/>
        </w:rPr>
        <w:t>、在符合《证券法》、《上</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4"/>
          <w:sz w:val="18"/>
          <w:szCs w:val="18"/>
        </w:rPr>
        <w:t>市公司收购管理办法》等相关法律、法规、规范性文</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4"/>
          <w:sz w:val="18"/>
          <w:szCs w:val="18"/>
        </w:rPr>
        <w:t>件规定，且不会导致公司股权分布不符合上市条件的</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4"/>
          <w:sz w:val="18"/>
          <w:szCs w:val="18"/>
        </w:rPr>
        <w:t>前提下，发生下述任一情形，由公司控股股东、实际</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4"/>
          <w:sz w:val="18"/>
          <w:szCs w:val="18"/>
        </w:rPr>
        <w:t>控制人增持公司股份：（</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）公司无法实施股份回购；</w:t>
      </w:r>
    </w:p>
    <w:p>
      <w:pPr>
        <w:spacing w:line="300" w:lineRule="auto" w:before="1"/>
        <w:ind w:left="142" w:right="1192" w:firstLine="0"/>
        <w:jc w:val="both"/>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）股份回购未获得股东大会批准；（</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）已经股东</w:t>
      </w:r>
      <w:r>
        <w:rPr>
          <w:rFonts w:ascii="宋体" w:hAnsi="宋体" w:cs="宋体" w:eastAsia="宋体" w:hint="default"/>
          <w:spacing w:val="-84"/>
          <w:sz w:val="18"/>
          <w:szCs w:val="18"/>
        </w:rPr>
        <w:t> </w:t>
      </w:r>
      <w:r>
        <w:rPr>
          <w:rFonts w:ascii="宋体" w:hAnsi="宋体" w:cs="宋体" w:eastAsia="宋体" w:hint="default"/>
          <w:spacing w:val="-8"/>
          <w:sz w:val="18"/>
          <w:szCs w:val="18"/>
        </w:rPr>
        <w:t>大会批准的股份回购方案无法实施；（</w:t>
      </w:r>
      <w:r>
        <w:rPr>
          <w:rFonts w:ascii="Times New Roman" w:hAnsi="Times New Roman" w:cs="Times New Roman" w:eastAsia="Times New Roman" w:hint="default"/>
          <w:spacing w:val="-8"/>
          <w:sz w:val="18"/>
          <w:szCs w:val="18"/>
        </w:rPr>
        <w:t>4</w:t>
      </w:r>
      <w:r>
        <w:rPr>
          <w:rFonts w:ascii="宋体" w:hAnsi="宋体" w:cs="宋体" w:eastAsia="宋体" w:hint="default"/>
          <w:spacing w:val="-8"/>
          <w:sz w:val="18"/>
          <w:szCs w:val="18"/>
        </w:rPr>
        <w:t>）公司股份回</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购实施完毕后仍未使得公司股票连续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个交易日收 盘算术平均价格高于最近一期经审计的每股净资产；</w:t>
      </w:r>
    </w:p>
    <w:p>
      <w:pPr>
        <w:spacing w:line="300" w:lineRule="auto" w:before="31"/>
        <w:ind w:left="142" w:right="1180" w:firstLine="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5</w:t>
      </w:r>
      <w:r>
        <w:rPr>
          <w:rFonts w:ascii="宋体" w:hAnsi="宋体" w:cs="宋体" w:eastAsia="宋体" w:hint="default"/>
          <w:spacing w:val="-4"/>
          <w:sz w:val="18"/>
          <w:szCs w:val="18"/>
        </w:rPr>
        <w:t>）公司股份回购实施完毕后启动条件再次被触发。</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Times New Roman" w:hAnsi="Times New Roman" w:cs="Times New Roman" w:eastAsia="Times New Roman" w:hint="default"/>
          <w:spacing w:val="-8"/>
          <w:sz w:val="18"/>
          <w:szCs w:val="18"/>
        </w:rPr>
        <w:t>3</w:t>
      </w:r>
      <w:r>
        <w:rPr>
          <w:rFonts w:ascii="宋体" w:hAnsi="宋体" w:cs="宋体" w:eastAsia="宋体" w:hint="default"/>
          <w:spacing w:val="-8"/>
          <w:sz w:val="18"/>
          <w:szCs w:val="18"/>
        </w:rPr>
        <w:t>、在符合《证券法》、《上市公司收购管理办法》等</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4"/>
          <w:sz w:val="18"/>
          <w:szCs w:val="18"/>
        </w:rPr>
        <w:t>相关法律、法规、规范性文件规定，且不会导致公司</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tabs>
          <w:tab w:pos="1291" w:val="left" w:leader="none"/>
        </w:tabs>
        <w:spacing w:before="150"/>
        <w:ind w:left="16"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2018-01-21</w:t>
        <w:tab/>
      </w:r>
      <w:r>
        <w:rPr>
          <w:rFonts w:ascii="宋体" w:hAnsi="宋体" w:cs="宋体" w:eastAsia="宋体" w:hint="default"/>
          <w:sz w:val="18"/>
          <w:szCs w:val="18"/>
        </w:rPr>
        <w:t>正常履行中</w:t>
      </w:r>
    </w:p>
    <w:p>
      <w:pPr>
        <w:spacing w:after="0"/>
        <w:jc w:val="left"/>
        <w:rPr>
          <w:rFonts w:ascii="宋体" w:hAnsi="宋体" w:cs="宋体" w:eastAsia="宋体" w:hint="default"/>
          <w:sz w:val="18"/>
          <w:szCs w:val="18"/>
        </w:rPr>
        <w:sectPr>
          <w:type w:val="continuous"/>
          <w:pgSz w:w="16840" w:h="11910" w:orient="landscape"/>
          <w:pgMar w:top="1060" w:bottom="1160" w:left="1280" w:right="0"/>
          <w:cols w:num="4" w:equalWidth="0">
            <w:col w:w="4642" w:space="40"/>
            <w:col w:w="1278" w:space="40"/>
            <w:col w:w="5477" w:space="40"/>
            <w:col w:w="4043"/>
          </w:cols>
        </w:sectPr>
      </w:pPr>
    </w:p>
    <w:p>
      <w:pPr>
        <w:spacing w:line="319" w:lineRule="auto" w:before="107"/>
        <w:ind w:left="6141" w:right="5275" w:firstLine="0"/>
        <w:jc w:val="both"/>
        <w:rPr>
          <w:rFonts w:ascii="宋体" w:hAnsi="宋体" w:cs="宋体" w:eastAsia="宋体" w:hint="default"/>
          <w:sz w:val="18"/>
          <w:szCs w:val="18"/>
        </w:rPr>
      </w:pPr>
      <w:r>
        <w:rPr/>
        <w:pict>
          <v:shape style="position:absolute;margin-left:551.5pt;margin-top:58.200008pt;width:87.4pt;height:468.1pt;mso-position-horizontal-relative:page;mso-position-vertical-relative:page;z-index:-1136272"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16"/>
                      <w:szCs w:val="16"/>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董事、</w:t>
                  </w:r>
                </w:p>
              </w:txbxContent>
            </v:textbox>
            <w10:wrap type="none"/>
          </v:shape>
        </w:pict>
      </w:r>
      <w:r>
        <w:rPr/>
        <w:pict>
          <v:group style="position:absolute;margin-left:69.839996pt;margin-top:55.260006pt;width:702.25pt;height:473.25pt;mso-position-horizontal-relative:page;mso-position-vertical-relative:page;z-index:-1136248" coordorigin="1397,1105" coordsize="14045,9465">
            <v:group style="position:absolute;left:1410;top:1112;width:14020;height:2" coordorigin="1410,1112" coordsize="14020,2">
              <v:shape style="position:absolute;left:1410;top:1112;width:14020;height:2" coordorigin="1410,1112" coordsize="14020,0" path="m1410,1112l15430,1112e" filled="false" stroked="true" strokeweight=".72pt" strokecolor="#000000">
                <v:path arrowok="t"/>
              </v:shape>
            </v:group>
            <v:group style="position:absolute;left:1427;top:1164;width:2560;height:9362" coordorigin="1427,1164" coordsize="2560,9362">
              <v:shape style="position:absolute;left:1427;top:1164;width:2560;height:9362" coordorigin="1427,1164" coordsize="2560,9362" path="m1427,10525l3987,10525,3987,1164,1427,1164,1427,10525xe" filled="true" fillcolor="#d2d2d2" stroked="false">
                <v:path arrowok="t"/>
                <v:fill type="solid"/>
              </v:shape>
            </v:group>
            <v:group style="position:absolute;left:11516;top:1164;width:1262;height:9362" coordorigin="11516,1164" coordsize="1262,9362">
              <v:shape style="position:absolute;left:11516;top:1164;width:1262;height:9362" coordorigin="11516,1164" coordsize="1262,9362" path="m11516,10525l12777,10525,12777,1164,11516,1164,11516,10525xe" filled="true" fillcolor="#ffffff" stroked="false">
                <v:path arrowok="t"/>
                <v:fill type="solid"/>
              </v:shape>
            </v:group>
            <v:group style="position:absolute;left:1427;top:1134;width:2560;height:30" coordorigin="1427,1134" coordsize="2560,30">
              <v:shape style="position:absolute;left:1427;top:1134;width:2560;height:30" coordorigin="1427,1134" coordsize="2560,30" path="m1427,1164l3987,1164,3987,1134,1427,1134,1427,1164xe" filled="true" fillcolor="#000000" stroked="false">
                <v:path arrowok="t"/>
                <v:fill type="solid"/>
              </v:shape>
            </v:group>
            <v:group style="position:absolute;left:3987;top:1149;width:30;height:2" coordorigin="3987,1149" coordsize="30,2">
              <v:shape style="position:absolute;left:3987;top:1149;width:30;height:2" coordorigin="3987,1149" coordsize="30,0" path="m3987,1149l4017,1149e" filled="false" stroked="true" strokeweight="1.5pt" strokecolor="#000000">
                <v:path arrowok="t"/>
              </v:shape>
            </v:group>
            <v:group style="position:absolute;left:4017;top:1149;width:1952;height:2" coordorigin="4017,1149" coordsize="1952,2">
              <v:shape style="position:absolute;left:4017;top:1149;width:1952;height:2" coordorigin="4017,1149" coordsize="1952,0" path="m4017,1149l5968,1149e" filled="false" stroked="true" strokeweight="1.5pt" strokecolor="#000000">
                <v:path arrowok="t"/>
              </v:shape>
            </v:group>
            <v:group style="position:absolute;left:5968;top:1149;width:30;height:2" coordorigin="5968,1149" coordsize="30,2">
              <v:shape style="position:absolute;left:5968;top:1149;width:30;height:2" coordorigin="5968,1149" coordsize="30,0" path="m5968,1149l5998,1149e" filled="false" stroked="true" strokeweight="1.5pt" strokecolor="#000000">
                <v:path arrowok="t"/>
              </v:shape>
            </v:group>
            <v:group style="position:absolute;left:5998;top:1149;width:1389;height:2" coordorigin="5998,1149" coordsize="1389,2">
              <v:shape style="position:absolute;left:5998;top:1149;width:1389;height:2" coordorigin="5998,1149" coordsize="1389,0" path="m5998,1149l7386,1149e" filled="false" stroked="true" strokeweight="1.5pt" strokecolor="#000000">
                <v:path arrowok="t"/>
              </v:shape>
            </v:group>
            <v:group style="position:absolute;left:7386;top:1149;width:30;height:2" coordorigin="7386,1149" coordsize="30,2">
              <v:shape style="position:absolute;left:7386;top:1149;width:30;height:2" coordorigin="7386,1149" coordsize="30,0" path="m7386,1149l7416,1149e" filled="false" stroked="true" strokeweight="1.5pt" strokecolor="#000000">
                <v:path arrowok="t"/>
              </v:shape>
            </v:group>
            <v:group style="position:absolute;left:7416;top:1149;width:4086;height:2" coordorigin="7416,1149" coordsize="4086,2">
              <v:shape style="position:absolute;left:7416;top:1149;width:4086;height:2" coordorigin="7416,1149" coordsize="4086,0" path="m7416,1149l11502,1149e" filled="false" stroked="true" strokeweight="1.5pt" strokecolor="#000000">
                <v:path arrowok="t"/>
              </v:shape>
            </v:group>
            <v:group style="position:absolute;left:11502;top:1149;width:30;height:2" coordorigin="11502,1149" coordsize="30,2">
              <v:shape style="position:absolute;left:11502;top:1149;width:30;height:2" coordorigin="11502,1149" coordsize="30,0" path="m11502,1149l11532,1149e" filled="false" stroked="true" strokeweight="1.5pt" strokecolor="#000000">
                <v:path arrowok="t"/>
              </v:shape>
            </v:group>
            <v:group style="position:absolute;left:11532;top:1134;width:1246;height:30" coordorigin="11532,1134" coordsize="1246,30">
              <v:shape style="position:absolute;left:11532;top:1134;width:1246;height:30" coordorigin="11532,1134" coordsize="1246,30" path="m11532,1164l12777,1164,12777,1134,11532,1134,11532,1164xe" filled="true" fillcolor="#000000" stroked="false">
                <v:path arrowok="t"/>
                <v:fill type="solid"/>
              </v:shape>
            </v:group>
            <v:group style="position:absolute;left:12777;top:1149;width:30;height:2" coordorigin="12777,1149" coordsize="30,2">
              <v:shape style="position:absolute;left:12777;top:1149;width:30;height:2" coordorigin="12777,1149" coordsize="30,0" path="m12777,1149l12807,1149e" filled="false" stroked="true" strokeweight="1.5pt" strokecolor="#000000">
                <v:path arrowok="t"/>
              </v:shape>
            </v:group>
            <v:group style="position:absolute;left:12807;top:1149;width:1245;height:2" coordorigin="12807,1149" coordsize="1245,2">
              <v:shape style="position:absolute;left:12807;top:1149;width:1245;height:2" coordorigin="12807,1149" coordsize="1245,0" path="m12807,1149l14052,1149e" filled="false" stroked="true" strokeweight="1.5pt" strokecolor="#000000">
                <v:path arrowok="t"/>
              </v:shape>
            </v:group>
            <v:group style="position:absolute;left:14052;top:1149;width:30;height:2" coordorigin="14052,1149" coordsize="30,2">
              <v:shape style="position:absolute;left:14052;top:1149;width:30;height:2" coordorigin="14052,1149" coordsize="30,0" path="m14052,1149l14082,1149e" filled="false" stroked="true" strokeweight="1.5pt" strokecolor="#000000">
                <v:path arrowok="t"/>
              </v:shape>
            </v:group>
            <v:group style="position:absolute;left:14082;top:1149;width:1330;height:2" coordorigin="14082,1149" coordsize="1330,2">
              <v:shape style="position:absolute;left:14082;top:1149;width:1330;height:2" coordorigin="14082,1149" coordsize="1330,0" path="m14082,1149l15412,1149e" filled="false" stroked="true" strokeweight="1.5pt" strokecolor="#000000">
                <v:path arrowok="t"/>
              </v:shape>
            </v:group>
            <v:group style="position:absolute;left:1412;top:1134;width:2;height:9422" coordorigin="1412,1134" coordsize="2,9422">
              <v:shape style="position:absolute;left:1412;top:1134;width:2;height:9422" coordorigin="1412,1134" coordsize="0,9422" path="m1412,1134l1412,10555e" filled="false" stroked="true" strokeweight="1.5pt" strokecolor="#000000">
                <v:path arrowok="t"/>
              </v:shape>
            </v:group>
            <v:group style="position:absolute;left:1427;top:10540;width:2560;height:2" coordorigin="1427,10540" coordsize="2560,2">
              <v:shape style="position:absolute;left:1427;top:10540;width:2560;height:2" coordorigin="1427,10540" coordsize="2560,0" path="m1427,10540l3987,10540e" filled="false" stroked="true" strokeweight="1.5pt" strokecolor="#000000">
                <v:path arrowok="t"/>
              </v:shape>
            </v:group>
            <v:group style="position:absolute;left:3994;top:1164;width:2;height:9362" coordorigin="3994,1164" coordsize="2,9362">
              <v:shape style="position:absolute;left:3994;top:1164;width:2;height:9362" coordorigin="3994,1164" coordsize="0,9362" path="m3994,1164l3994,10525e" filled="false" stroked="true" strokeweight=".72pt" strokecolor="#000000">
                <v:path arrowok="t"/>
              </v:shape>
            </v:group>
            <v:group style="position:absolute;left:3987;top:10540;width:30;height:2" coordorigin="3987,10540" coordsize="30,2">
              <v:shape style="position:absolute;left:3987;top:10540;width:30;height:2" coordorigin="3987,10540" coordsize="30,0" path="m3987,10540l4017,10540e" filled="false" stroked="true" strokeweight="1.5pt" strokecolor="#000000">
                <v:path arrowok="t"/>
              </v:shape>
            </v:group>
            <v:group style="position:absolute;left:4017;top:10540;width:1952;height:2" coordorigin="4017,10540" coordsize="1952,2">
              <v:shape style="position:absolute;left:4017;top:10540;width:1952;height:2" coordorigin="4017,10540" coordsize="1952,0" path="m4017,10540l5968,10540e" filled="false" stroked="true" strokeweight="1.5pt" strokecolor="#000000">
                <v:path arrowok="t"/>
              </v:shape>
            </v:group>
            <v:group style="position:absolute;left:5975;top:1164;width:2;height:9362" coordorigin="5975,1164" coordsize="2,9362">
              <v:shape style="position:absolute;left:5975;top:1164;width:2;height:9362" coordorigin="5975,1164" coordsize="0,9362" path="m5975,1164l5975,10525e" filled="false" stroked="true" strokeweight=".72pt" strokecolor="#000000">
                <v:path arrowok="t"/>
              </v:shape>
            </v:group>
            <v:group style="position:absolute;left:5968;top:10540;width:30;height:2" coordorigin="5968,10540" coordsize="30,2">
              <v:shape style="position:absolute;left:5968;top:10540;width:30;height:2" coordorigin="5968,10540" coordsize="30,0" path="m5968,10540l5998,10540e" filled="false" stroked="true" strokeweight="1.5pt" strokecolor="#000000">
                <v:path arrowok="t"/>
              </v:shape>
            </v:group>
            <v:group style="position:absolute;left:5998;top:10540;width:1389;height:2" coordorigin="5998,10540" coordsize="1389,2">
              <v:shape style="position:absolute;left:5998;top:10540;width:1389;height:2" coordorigin="5998,10540" coordsize="1389,0" path="m5998,10540l7386,10540e" filled="false" stroked="true" strokeweight="1.5pt" strokecolor="#000000">
                <v:path arrowok="t"/>
              </v:shape>
            </v:group>
            <v:group style="position:absolute;left:7394;top:1164;width:2;height:9362" coordorigin="7394,1164" coordsize="2,9362">
              <v:shape style="position:absolute;left:7394;top:1164;width:2;height:9362" coordorigin="7394,1164" coordsize="0,9362" path="m7394,1164l7394,10525e" filled="false" stroked="true" strokeweight=".72pt" strokecolor="#000000">
                <v:path arrowok="t"/>
              </v:shape>
            </v:group>
            <v:group style="position:absolute;left:7386;top:10540;width:30;height:2" coordorigin="7386,10540" coordsize="30,2">
              <v:shape style="position:absolute;left:7386;top:10540;width:30;height:2" coordorigin="7386,10540" coordsize="30,0" path="m7386,10540l7416,10540e" filled="false" stroked="true" strokeweight="1.5pt" strokecolor="#000000">
                <v:path arrowok="t"/>
              </v:shape>
            </v:group>
            <v:group style="position:absolute;left:7416;top:10540;width:4086;height:2" coordorigin="7416,10540" coordsize="4086,2">
              <v:shape style="position:absolute;left:7416;top:10540;width:4086;height:2" coordorigin="7416,10540" coordsize="4086,0" path="m7416,10540l11502,10540e" filled="false" stroked="true" strokeweight="1.5pt" strokecolor="#000000">
                <v:path arrowok="t"/>
              </v:shape>
            </v:group>
            <v:group style="position:absolute;left:11509;top:1164;width:2;height:9362" coordorigin="11509,1164" coordsize="2,9362">
              <v:shape style="position:absolute;left:11509;top:1164;width:2;height:9362" coordorigin="11509,1164" coordsize="0,9362" path="m11509,1164l11509,10525e" filled="false" stroked="true" strokeweight=".72pt" strokecolor="#000000">
                <v:path arrowok="t"/>
              </v:shape>
            </v:group>
            <v:group style="position:absolute;left:11502;top:10540;width:30;height:2" coordorigin="11502,10540" coordsize="30,2">
              <v:shape style="position:absolute;left:11502;top:10540;width:30;height:2" coordorigin="11502,10540" coordsize="30,0" path="m11502,10540l11532,10540e" filled="false" stroked="true" strokeweight="1.5pt" strokecolor="#000000">
                <v:path arrowok="t"/>
              </v:shape>
            </v:group>
            <v:group style="position:absolute;left:11532;top:10540;width:1246;height:2" coordorigin="11532,10540" coordsize="1246,2">
              <v:shape style="position:absolute;left:11532;top:10540;width:1246;height:2" coordorigin="11532,10540" coordsize="1246,0" path="m11532,10540l12777,10540e" filled="false" stroked="true" strokeweight="1.5pt" strokecolor="#000000">
                <v:path arrowok="t"/>
              </v:shape>
            </v:group>
            <v:group style="position:absolute;left:12784;top:1164;width:2;height:9362" coordorigin="12784,1164" coordsize="2,9362">
              <v:shape style="position:absolute;left:12784;top:1164;width:2;height:9362" coordorigin="12784,1164" coordsize="0,9362" path="m12784,1164l12784,10525e" filled="false" stroked="true" strokeweight=".72pt" strokecolor="#000000">
                <v:path arrowok="t"/>
              </v:shape>
            </v:group>
            <v:group style="position:absolute;left:12777;top:10540;width:30;height:2" coordorigin="12777,10540" coordsize="30,2">
              <v:shape style="position:absolute;left:12777;top:10540;width:30;height:2" coordorigin="12777,10540" coordsize="30,0" path="m12777,10540l12807,10540e" filled="false" stroked="true" strokeweight="1.5pt" strokecolor="#000000">
                <v:path arrowok="t"/>
              </v:shape>
            </v:group>
            <v:group style="position:absolute;left:12807;top:10540;width:1245;height:2" coordorigin="12807,10540" coordsize="1245,2">
              <v:shape style="position:absolute;left:12807;top:10540;width:1245;height:2" coordorigin="12807,10540" coordsize="1245,0" path="m12807,10540l14052,10540e" filled="false" stroked="true" strokeweight="1.5pt" strokecolor="#000000">
                <v:path arrowok="t"/>
              </v:shape>
            </v:group>
            <v:group style="position:absolute;left:14059;top:1164;width:2;height:9362" coordorigin="14059,1164" coordsize="2,9362">
              <v:shape style="position:absolute;left:14059;top:1164;width:2;height:9362" coordorigin="14059,1164" coordsize="0,9362" path="m14059,1164l14059,10525e" filled="false" stroked="true" strokeweight=".72pt" strokecolor="#000000">
                <v:path arrowok="t"/>
              </v:shape>
            </v:group>
            <v:group style="position:absolute;left:14052;top:10540;width:30;height:2" coordorigin="14052,10540" coordsize="30,2">
              <v:shape style="position:absolute;left:14052;top:10540;width:30;height:2" coordorigin="14052,10540" coordsize="30,0" path="m14052,10540l14082,10540e" filled="false" stroked="true" strokeweight="1.5pt" strokecolor="#000000">
                <v:path arrowok="t"/>
              </v:shape>
            </v:group>
            <v:group style="position:absolute;left:14082;top:10540;width:1330;height:2" coordorigin="14082,10540" coordsize="1330,2">
              <v:shape style="position:absolute;left:14082;top:10540;width:1330;height:2" coordorigin="14082,10540" coordsize="1330,0" path="m14082,10540l15412,10540e" filled="false" stroked="true" strokeweight="1.5pt" strokecolor="#000000">
                <v:path arrowok="t"/>
              </v:shape>
            </v:group>
            <v:group style="position:absolute;left:15427;top:1134;width:2;height:9422" coordorigin="15427,1134" coordsize="2,9422">
              <v:shape style="position:absolute;left:15427;top:1134;width:2;height:9422" coordorigin="15427,1134" coordsize="0,9422" path="m15427,1134l15427,10555e" filled="false" stroked="true" strokeweight="1.5pt" strokecolor="#000000">
                <v:path arrowok="t"/>
              </v:shape>
            </v:group>
            <w10:wrap type="none"/>
          </v:group>
        </w:pict>
      </w:r>
      <w:r>
        <w:rPr>
          <w:rFonts w:ascii="宋体" w:hAnsi="宋体" w:cs="宋体" w:eastAsia="宋体" w:hint="default"/>
          <w:spacing w:val="-4"/>
          <w:sz w:val="18"/>
          <w:szCs w:val="18"/>
        </w:rPr>
        <w:t>股权分布不符合上市条件的前提下，发生下述任一情</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4"/>
          <w:sz w:val="18"/>
          <w:szCs w:val="18"/>
        </w:rPr>
        <w:t>形，由公司非独立董事、监事和高级管理人员增持公</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司股份：（</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）控股股东、实际控制人无法实施增持；</w:t>
      </w:r>
    </w:p>
    <w:p>
      <w:pPr>
        <w:spacing w:line="309" w:lineRule="auto" w:before="0"/>
        <w:ind w:left="6141" w:right="5263"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）控股股东、实际控制人已承诺的增持计划无法 </w:t>
      </w:r>
      <w:r>
        <w:rPr>
          <w:rFonts w:ascii="宋体" w:hAnsi="宋体" w:cs="宋体" w:eastAsia="宋体" w:hint="default"/>
          <w:spacing w:val="-8"/>
          <w:sz w:val="18"/>
          <w:szCs w:val="18"/>
        </w:rPr>
        <w:t>实施；（</w:t>
      </w:r>
      <w:r>
        <w:rPr>
          <w:rFonts w:ascii="Times New Roman" w:hAnsi="Times New Roman" w:cs="Times New Roman" w:eastAsia="Times New Roman" w:hint="default"/>
          <w:spacing w:val="-8"/>
          <w:sz w:val="18"/>
          <w:szCs w:val="18"/>
        </w:rPr>
        <w:t>3</w:t>
      </w:r>
      <w:r>
        <w:rPr>
          <w:rFonts w:ascii="宋体" w:hAnsi="宋体" w:cs="宋体" w:eastAsia="宋体" w:hint="default"/>
          <w:spacing w:val="-8"/>
          <w:sz w:val="18"/>
          <w:szCs w:val="18"/>
        </w:rPr>
        <w:t>）控股股东、实际控制人的增持计划实施完</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毕后仍未使得公司股票连续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个交易日收盘算术平 </w:t>
      </w:r>
      <w:r>
        <w:rPr>
          <w:rFonts w:ascii="宋体" w:hAnsi="宋体" w:cs="宋体" w:eastAsia="宋体" w:hint="default"/>
          <w:spacing w:val="-8"/>
          <w:sz w:val="18"/>
          <w:szCs w:val="18"/>
        </w:rPr>
        <w:t>均价格高于最近一期经审计的每股净资产；（</w:t>
      </w:r>
      <w:r>
        <w:rPr>
          <w:rFonts w:ascii="Times New Roman" w:hAnsi="Times New Roman" w:cs="Times New Roman" w:eastAsia="Times New Roman" w:hint="default"/>
          <w:spacing w:val="-8"/>
          <w:sz w:val="18"/>
          <w:szCs w:val="18"/>
        </w:rPr>
        <w:t>4</w:t>
      </w:r>
      <w:r>
        <w:rPr>
          <w:rFonts w:ascii="宋体" w:hAnsi="宋体" w:cs="宋体" w:eastAsia="宋体" w:hint="default"/>
          <w:spacing w:val="-8"/>
          <w:sz w:val="18"/>
          <w:szCs w:val="18"/>
        </w:rPr>
        <w:t>）控股</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4"/>
          <w:sz w:val="18"/>
          <w:szCs w:val="18"/>
        </w:rPr>
        <w:t>股东、实际控制人的增持计划实施完毕后启动条件再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15"/>
          <w:sz w:val="18"/>
          <w:szCs w:val="18"/>
        </w:rPr>
        <w:t>次被触发。</w:t>
      </w:r>
      <w:r>
        <w:rPr>
          <w:rFonts w:ascii="Times New Roman" w:hAnsi="Times New Roman" w:cs="Times New Roman" w:eastAsia="Times New Roman" w:hint="default"/>
          <w:spacing w:val="-15"/>
          <w:sz w:val="18"/>
          <w:szCs w:val="18"/>
        </w:rPr>
        <w:t>4</w:t>
      </w:r>
      <w:r>
        <w:rPr>
          <w:rFonts w:ascii="宋体" w:hAnsi="宋体" w:cs="宋体" w:eastAsia="宋体" w:hint="default"/>
          <w:spacing w:val="-15"/>
          <w:sz w:val="18"/>
          <w:szCs w:val="18"/>
        </w:rPr>
        <w:t>、在符合《证券法》、《公司法》、《关于</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4"/>
          <w:sz w:val="18"/>
          <w:szCs w:val="18"/>
        </w:rPr>
        <w:t>在上市公司建立独立董事制度的指导意见》等相关法</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律、法规、规范性文件规定的前提下，由独立董事依</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4"/>
          <w:sz w:val="18"/>
          <w:szCs w:val="18"/>
        </w:rPr>
        <w:t>据本预案履行稳定公司股价义务：（</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）非独立董事、</w:t>
      </w:r>
      <w:r>
        <w:rPr>
          <w:rFonts w:ascii="宋体" w:hAnsi="宋体" w:cs="宋体" w:eastAsia="宋体" w:hint="default"/>
          <w:spacing w:val="-84"/>
          <w:sz w:val="18"/>
          <w:szCs w:val="18"/>
        </w:rPr>
        <w:t> </w:t>
      </w:r>
      <w:r>
        <w:rPr>
          <w:rFonts w:ascii="宋体" w:hAnsi="宋体" w:cs="宋体" w:eastAsia="宋体" w:hint="default"/>
          <w:spacing w:val="-12"/>
          <w:sz w:val="18"/>
          <w:szCs w:val="18"/>
        </w:rPr>
        <w:t>监事和高级管理人员无法实施增持；（</w:t>
      </w:r>
      <w:r>
        <w:rPr>
          <w:rFonts w:ascii="Times New Roman" w:hAnsi="Times New Roman" w:cs="Times New Roman" w:eastAsia="Times New Roman" w:hint="default"/>
          <w:spacing w:val="-12"/>
          <w:sz w:val="18"/>
          <w:szCs w:val="18"/>
        </w:rPr>
        <w:t>2</w:t>
      </w:r>
      <w:r>
        <w:rPr>
          <w:rFonts w:ascii="宋体" w:hAnsi="宋体" w:cs="宋体" w:eastAsia="宋体" w:hint="default"/>
          <w:spacing w:val="-12"/>
          <w:sz w:val="18"/>
          <w:szCs w:val="18"/>
        </w:rPr>
        <w:t>）非独立</w:t>
      </w:r>
      <w:r>
        <w:rPr>
          <w:rFonts w:ascii="宋体" w:hAnsi="宋体" w:cs="宋体" w:eastAsia="宋体" w:hint="default"/>
          <w:sz w:val="18"/>
          <w:szCs w:val="18"/>
        </w:rPr>
        <w:t> </w:t>
      </w:r>
      <w:r>
        <w:rPr>
          <w:rFonts w:ascii="宋体" w:hAnsi="宋体" w:cs="宋体" w:eastAsia="宋体" w:hint="default"/>
          <w:spacing w:val="-4"/>
          <w:sz w:val="18"/>
          <w:szCs w:val="18"/>
        </w:rPr>
        <w:t>监事和高级管理人员已承诺增持计划无法实施；（</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w:t>
      </w:r>
      <w:r>
        <w:rPr>
          <w:rFonts w:ascii="宋体" w:hAnsi="宋体" w:cs="宋体" w:eastAsia="宋体" w:hint="default"/>
          <w:spacing w:val="-84"/>
          <w:sz w:val="18"/>
          <w:szCs w:val="18"/>
        </w:rPr>
        <w:t> </w:t>
      </w:r>
      <w:r>
        <w:rPr>
          <w:rFonts w:ascii="宋体" w:hAnsi="宋体" w:cs="宋体" w:eastAsia="宋体" w:hint="default"/>
          <w:spacing w:val="-4"/>
          <w:sz w:val="18"/>
          <w:szCs w:val="18"/>
        </w:rPr>
        <w:t>非独立董事、监事和高级管理人员增持计划实施完毕</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后仍未使得公司股票连续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个交易日收盘算术平均 </w:t>
      </w:r>
      <w:r>
        <w:rPr>
          <w:rFonts w:ascii="宋体" w:hAnsi="宋体" w:cs="宋体" w:eastAsia="宋体" w:hint="default"/>
          <w:spacing w:val="-8"/>
          <w:sz w:val="18"/>
          <w:szCs w:val="18"/>
        </w:rPr>
        <w:t>价格高于最近一期经审计的每股净资产；（</w:t>
      </w:r>
      <w:r>
        <w:rPr>
          <w:rFonts w:ascii="Times New Roman" w:hAnsi="Times New Roman" w:cs="Times New Roman" w:eastAsia="Times New Roman" w:hint="default"/>
          <w:spacing w:val="-8"/>
          <w:sz w:val="18"/>
          <w:szCs w:val="18"/>
        </w:rPr>
        <w:t>4</w:t>
      </w:r>
      <w:r>
        <w:rPr>
          <w:rFonts w:ascii="宋体" w:hAnsi="宋体" w:cs="宋体" w:eastAsia="宋体" w:hint="default"/>
          <w:spacing w:val="-8"/>
          <w:sz w:val="18"/>
          <w:szCs w:val="18"/>
        </w:rPr>
        <w:t>）非独立</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4"/>
          <w:sz w:val="18"/>
          <w:szCs w:val="18"/>
        </w:rPr>
        <w:t>董事、监事和高级管理人员的增持计划实施完毕后启</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动条件再次被触发。</w:t>
      </w:r>
      <w:r>
        <w:rPr>
          <w:rFonts w:ascii="Times New Roman" w:hAnsi="Times New Roman" w:cs="Times New Roman" w:eastAsia="Times New Roman" w:hint="default"/>
          <w:sz w:val="18"/>
          <w:szCs w:val="18"/>
        </w:rPr>
        <w:t>5</w:t>
      </w:r>
      <w:r>
        <w:rPr>
          <w:rFonts w:ascii="宋体" w:hAnsi="宋体" w:cs="宋体" w:eastAsia="宋体" w:hint="default"/>
          <w:sz w:val="18"/>
          <w:szCs w:val="18"/>
        </w:rPr>
        <w:t>、如上述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项股价稳定措施 </w:t>
      </w:r>
      <w:r>
        <w:rPr>
          <w:rFonts w:ascii="宋体" w:hAnsi="宋体" w:cs="宋体" w:eastAsia="宋体" w:hint="default"/>
          <w:spacing w:val="-4"/>
          <w:sz w:val="18"/>
          <w:szCs w:val="18"/>
        </w:rPr>
        <w:t>均无法实施或未实施的，将通过消减公司开支、降低</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高级管理人员薪酬等方式提升公司业绩，稳定公司股</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4"/>
          <w:sz w:val="18"/>
          <w:szCs w:val="18"/>
        </w:rPr>
        <w:t>价。在上述股价稳定措施依次实施后，如果启动条件</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再次被触发的，将再按照上述实施顺序启动股价稳定</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措施。如公司在上市后三年内新聘任董事、监事和高</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级管理人员的，公司将确保该等人员承诺按照本预案</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的要求采取股价稳定措施。控股股东、实际控制人以</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及董事、监事和高级管理人员在持有公司股权和担任</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4"/>
          <w:sz w:val="18"/>
          <w:szCs w:val="18"/>
        </w:rPr>
        <w:t>公司董事、监事或高级管理人员期间，如启动条件触</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发，将通过投赞同票的方式促使公司履行已作出的承</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4"/>
          <w:sz w:val="18"/>
          <w:szCs w:val="18"/>
        </w:rPr>
        <w:t>诺。（二）股价稳定措施之公司回购股份的具体操作</w:t>
      </w:r>
    </w:p>
    <w:p>
      <w:pPr>
        <w:spacing w:after="0" w:line="309" w:lineRule="auto"/>
        <w:jc w:val="left"/>
        <w:rPr>
          <w:rFonts w:ascii="宋体" w:hAnsi="宋体" w:cs="宋体" w:eastAsia="宋体" w:hint="default"/>
          <w:sz w:val="18"/>
          <w:szCs w:val="18"/>
        </w:rPr>
        <w:sectPr>
          <w:pgSz w:w="16840" w:h="11910" w:orient="landscape"/>
          <w:pgMar w:header="867" w:footer="979" w:top="1060" w:bottom="1160" w:left="1280" w:right="0"/>
        </w:sectPr>
      </w:pPr>
    </w:p>
    <w:p>
      <w:pPr>
        <w:spacing w:line="240" w:lineRule="auto" w:before="4"/>
        <w:rPr>
          <w:rFonts w:ascii="Times New Roman" w:hAnsi="Times New Roman" w:cs="Times New Roman" w:eastAsia="Times New Roman" w:hint="default"/>
          <w:sz w:val="3"/>
          <w:szCs w:val="3"/>
        </w:rPr>
      </w:pPr>
    </w:p>
    <w:p>
      <w:pPr>
        <w:spacing w:line="20" w:lineRule="exact"/>
        <w:ind w:left="12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Times New Roman" w:hAnsi="Times New Roman" w:cs="Times New Roman" w:eastAsia="Times New Roman" w:hint="default"/>
          <w:sz w:val="2"/>
          <w:szCs w:val="2"/>
        </w:rPr>
      </w:r>
    </w:p>
    <w:tbl>
      <w:tblPr>
        <w:tblW w:w="0" w:type="auto"/>
        <w:jc w:val="left"/>
        <w:tblInd w:w="116" w:type="dxa"/>
        <w:tblLayout w:type="fixed"/>
        <w:tblCellMar>
          <w:top w:w="0" w:type="dxa"/>
          <w:left w:w="0" w:type="dxa"/>
          <w:bottom w:w="0" w:type="dxa"/>
          <w:right w:w="0" w:type="dxa"/>
        </w:tblCellMar>
        <w:tblLook w:val="01E0"/>
      </w:tblPr>
      <w:tblGrid>
        <w:gridCol w:w="2582"/>
        <w:gridCol w:w="1981"/>
        <w:gridCol w:w="1418"/>
        <w:gridCol w:w="4115"/>
        <w:gridCol w:w="1276"/>
        <w:gridCol w:w="1275"/>
        <w:gridCol w:w="1367"/>
      </w:tblGrid>
      <w:tr>
        <w:trPr>
          <w:trHeight w:val="6927" w:hRule="exact"/>
        </w:trPr>
        <w:tc>
          <w:tcPr>
            <w:tcW w:w="2582" w:type="dxa"/>
            <w:vMerge w:val="restart"/>
            <w:tcBorders>
              <w:top w:val="single" w:sz="12" w:space="0" w:color="000000"/>
              <w:left w:val="single" w:sz="12" w:space="0" w:color="000000"/>
              <w:right w:val="single" w:sz="6" w:space="0" w:color="000000"/>
            </w:tcBorders>
            <w:shd w:val="clear" w:color="auto" w:fill="D2D2D2"/>
          </w:tcPr>
          <w:p>
            <w:pPr/>
          </w:p>
        </w:tc>
        <w:tc>
          <w:tcPr>
            <w:tcW w:w="1981" w:type="dxa"/>
            <w:tcBorders>
              <w:top w:val="single" w:sz="12" w:space="0" w:color="000000"/>
              <w:left w:val="single" w:sz="6" w:space="0" w:color="000000"/>
              <w:bottom w:val="single" w:sz="6" w:space="0" w:color="000000"/>
              <w:right w:val="single" w:sz="6" w:space="0" w:color="000000"/>
            </w:tcBorders>
          </w:tcPr>
          <w:p>
            <w:pPr/>
          </w:p>
        </w:tc>
        <w:tc>
          <w:tcPr>
            <w:tcW w:w="1418" w:type="dxa"/>
            <w:tcBorders>
              <w:top w:val="single" w:sz="12" w:space="0" w:color="000000"/>
              <w:left w:val="single" w:sz="6" w:space="0" w:color="000000"/>
              <w:bottom w:val="single" w:sz="6" w:space="0" w:color="000000"/>
              <w:right w:val="single" w:sz="6" w:space="0" w:color="000000"/>
            </w:tcBorders>
          </w:tcPr>
          <w:p>
            <w:pPr/>
          </w:p>
        </w:tc>
        <w:tc>
          <w:tcPr>
            <w:tcW w:w="4115" w:type="dxa"/>
            <w:tcBorders>
              <w:top w:val="single" w:sz="12" w:space="0" w:color="000000"/>
              <w:left w:val="single" w:sz="6" w:space="0" w:color="000000"/>
              <w:bottom w:val="single" w:sz="6" w:space="0" w:color="000000"/>
              <w:right w:val="single" w:sz="6" w:space="0" w:color="000000"/>
            </w:tcBorders>
          </w:tcPr>
          <w:p>
            <w:pPr>
              <w:pStyle w:val="TableParagraph"/>
              <w:spacing w:line="312" w:lineRule="auto" w:before="10"/>
              <w:ind w:left="20" w:right="18"/>
              <w:jc w:val="left"/>
              <w:rPr>
                <w:rFonts w:ascii="宋体" w:hAnsi="宋体" w:cs="宋体" w:eastAsia="宋体" w:hint="default"/>
                <w:sz w:val="18"/>
                <w:szCs w:val="18"/>
              </w:rPr>
            </w:pPr>
            <w:r>
              <w:rPr>
                <w:rFonts w:ascii="宋体" w:hAnsi="宋体" w:cs="宋体" w:eastAsia="宋体" w:hint="default"/>
                <w:sz w:val="18"/>
                <w:szCs w:val="18"/>
              </w:rPr>
              <w:t>在符合《上市公司回购社会公众股份管理办法（试 </w:t>
            </w:r>
            <w:r>
              <w:rPr>
                <w:rFonts w:ascii="宋体" w:hAnsi="宋体" w:cs="宋体" w:eastAsia="宋体" w:hint="default"/>
                <w:spacing w:val="-4"/>
                <w:sz w:val="18"/>
                <w:szCs w:val="18"/>
              </w:rPr>
              <w:t>行）》等相关法律、法规、规范性文件规定且不导致</w:t>
            </w:r>
            <w:r>
              <w:rPr>
                <w:rFonts w:ascii="宋体" w:hAnsi="宋体" w:cs="宋体" w:eastAsia="宋体" w:hint="default"/>
                <w:sz w:val="18"/>
                <w:szCs w:val="18"/>
              </w:rPr>
              <w:t> </w:t>
            </w:r>
            <w:r>
              <w:rPr>
                <w:rFonts w:ascii="宋体" w:hAnsi="宋体" w:cs="宋体" w:eastAsia="宋体" w:hint="default"/>
                <w:spacing w:val="-4"/>
                <w:sz w:val="18"/>
                <w:szCs w:val="18"/>
              </w:rPr>
              <w:t>公司股权分布不符合上市条件的前提下，公司将在启</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动条件被触发之日起的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日内由公司董事会做出实 </w:t>
            </w:r>
            <w:r>
              <w:rPr>
                <w:rFonts w:ascii="宋体" w:hAnsi="宋体" w:cs="宋体" w:eastAsia="宋体" w:hint="default"/>
                <w:spacing w:val="-4"/>
                <w:sz w:val="18"/>
                <w:szCs w:val="18"/>
              </w:rPr>
              <w:t>施回购股份或不实施回购股份的决议，并在决议作出</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后的</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6"/>
                <w:sz w:val="18"/>
                <w:szCs w:val="18"/>
              </w:rPr>
              <w:t> </w:t>
            </w:r>
            <w:r>
              <w:rPr>
                <w:rFonts w:ascii="宋体" w:hAnsi="宋体" w:cs="宋体" w:eastAsia="宋体" w:hint="default"/>
                <w:spacing w:val="-5"/>
                <w:sz w:val="18"/>
                <w:szCs w:val="18"/>
              </w:rPr>
              <w:t>个交易日内公告回购股份的预案（应包括拟回</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购的数量范围、价格区间、完成时间等信息）或不回</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购股份的合理理由。公司将在董事会决议作出之日起</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日内将同意或不同意股份回购的预案提交股东 </w:t>
            </w:r>
            <w:r>
              <w:rPr>
                <w:rFonts w:ascii="宋体" w:hAnsi="宋体" w:cs="宋体" w:eastAsia="宋体" w:hint="default"/>
                <w:spacing w:val="-4"/>
                <w:sz w:val="18"/>
                <w:szCs w:val="18"/>
              </w:rPr>
              <w:t>大会审议。经出席股东大会股东所持表决权的三分之</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4"/>
                <w:sz w:val="18"/>
                <w:szCs w:val="18"/>
              </w:rPr>
              <w:t>二及以上同意实施回购的，公司将依法履行公告、备</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案、通知债权人等法定程序，实施股份回购。公司回</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8"/>
                <w:sz w:val="18"/>
                <w:szCs w:val="18"/>
              </w:rPr>
              <w:t>购股份的具体安排如下：（</w:t>
            </w:r>
            <w:r>
              <w:rPr>
                <w:rFonts w:ascii="Times New Roman" w:hAnsi="Times New Roman" w:cs="Times New Roman" w:eastAsia="Times New Roman" w:hint="default"/>
                <w:spacing w:val="-8"/>
                <w:sz w:val="18"/>
                <w:szCs w:val="18"/>
              </w:rPr>
              <w:t>1</w:t>
            </w:r>
            <w:r>
              <w:rPr>
                <w:rFonts w:ascii="宋体" w:hAnsi="宋体" w:cs="宋体" w:eastAsia="宋体" w:hint="default"/>
                <w:spacing w:val="-8"/>
                <w:sz w:val="18"/>
                <w:szCs w:val="18"/>
              </w:rPr>
              <w:t>）公司用于回购股份的资</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金总额累计不超过公司首次公开发行新股所募集资 </w:t>
            </w:r>
            <w:r>
              <w:rPr>
                <w:rFonts w:ascii="宋体" w:hAnsi="宋体" w:cs="宋体" w:eastAsia="宋体" w:hint="default"/>
                <w:spacing w:val="-8"/>
                <w:sz w:val="18"/>
                <w:szCs w:val="18"/>
              </w:rPr>
              <w:t>金的总额；（</w:t>
            </w:r>
            <w:r>
              <w:rPr>
                <w:rFonts w:ascii="Times New Roman" w:hAnsi="Times New Roman" w:cs="Times New Roman" w:eastAsia="Times New Roman" w:hint="default"/>
                <w:spacing w:val="-8"/>
                <w:sz w:val="18"/>
                <w:szCs w:val="18"/>
              </w:rPr>
              <w:t>2</w:t>
            </w:r>
            <w:r>
              <w:rPr>
                <w:rFonts w:ascii="宋体" w:hAnsi="宋体" w:cs="宋体" w:eastAsia="宋体" w:hint="default"/>
                <w:spacing w:val="-8"/>
                <w:sz w:val="18"/>
                <w:szCs w:val="18"/>
              </w:rPr>
              <w:t>）公司单次用于回购股份的资金不得低</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于</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4"/>
                <w:sz w:val="18"/>
                <w:szCs w:val="18"/>
              </w:rPr>
              <w:t> </w:t>
            </w:r>
            <w:r>
              <w:rPr>
                <w:rFonts w:ascii="宋体" w:hAnsi="宋体" w:cs="宋体" w:eastAsia="宋体" w:hint="default"/>
                <w:spacing w:val="-7"/>
                <w:sz w:val="18"/>
                <w:szCs w:val="18"/>
              </w:rPr>
              <w:t>万元；（</w:t>
            </w:r>
            <w:r>
              <w:rPr>
                <w:rFonts w:ascii="Times New Roman" w:hAnsi="Times New Roman" w:cs="Times New Roman" w:eastAsia="Times New Roman" w:hint="default"/>
                <w:spacing w:val="-7"/>
                <w:sz w:val="18"/>
                <w:szCs w:val="18"/>
              </w:rPr>
              <w:t>3</w:t>
            </w:r>
            <w:r>
              <w:rPr>
                <w:rFonts w:ascii="宋体" w:hAnsi="宋体" w:cs="宋体" w:eastAsia="宋体" w:hint="default"/>
                <w:spacing w:val="-7"/>
                <w:sz w:val="18"/>
                <w:szCs w:val="18"/>
              </w:rPr>
              <w:t>）公司单次回购股份不超过公司总</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股本的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，如上述第（</w:t>
            </w:r>
            <w:r>
              <w:rPr>
                <w:rFonts w:ascii="Times New Roman" w:hAnsi="Times New Roman" w:cs="Times New Roman" w:eastAsia="Times New Roman" w:hint="default"/>
                <w:sz w:val="18"/>
                <w:szCs w:val="18"/>
              </w:rPr>
              <w:t>2</w:t>
            </w:r>
            <w:r>
              <w:rPr>
                <w:rFonts w:ascii="宋体" w:hAnsi="宋体" w:cs="宋体" w:eastAsia="宋体" w:hint="default"/>
                <w:sz w:val="18"/>
                <w:szCs w:val="18"/>
              </w:rPr>
              <w:t>）项与本项冲突的，按照 </w:t>
            </w:r>
            <w:r>
              <w:rPr>
                <w:rFonts w:ascii="宋体" w:hAnsi="宋体" w:cs="宋体" w:eastAsia="宋体" w:hint="default"/>
                <w:spacing w:val="-4"/>
                <w:sz w:val="18"/>
                <w:szCs w:val="18"/>
              </w:rPr>
              <w:t>本项执行。上述回购将在履行完毕法律法规规定的程</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序后</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8"/>
                <w:sz w:val="18"/>
                <w:szCs w:val="18"/>
              </w:rPr>
              <w:t> </w:t>
            </w:r>
            <w:r>
              <w:rPr>
                <w:rFonts w:ascii="宋体" w:hAnsi="宋体" w:cs="宋体" w:eastAsia="宋体" w:hint="default"/>
                <w:spacing w:val="-5"/>
                <w:sz w:val="18"/>
                <w:szCs w:val="18"/>
              </w:rPr>
              <w:t>日内实施完毕。若公司董事会公告回购股份预</w:t>
            </w:r>
          </w:p>
          <w:p>
            <w:pPr>
              <w:pStyle w:val="TableParagraph"/>
              <w:spacing w:line="309" w:lineRule="auto" w:before="3"/>
              <w:ind w:left="20" w:right="18"/>
              <w:jc w:val="both"/>
              <w:rPr>
                <w:rFonts w:ascii="宋体" w:hAnsi="宋体" w:cs="宋体" w:eastAsia="宋体" w:hint="default"/>
                <w:sz w:val="18"/>
                <w:szCs w:val="18"/>
              </w:rPr>
            </w:pPr>
            <w:r>
              <w:rPr>
                <w:rFonts w:ascii="宋体" w:hAnsi="宋体" w:cs="宋体" w:eastAsia="宋体" w:hint="default"/>
                <w:sz w:val="18"/>
                <w:szCs w:val="18"/>
              </w:rPr>
              <w:t>案后至回购实施完毕前，公司股票收盘价格连续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pacing w:val="-4"/>
                <w:sz w:val="18"/>
                <w:szCs w:val="18"/>
              </w:rPr>
              <w:t>个交易日超过最近一期经审计的每股净资产，则可终</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9"/>
                <w:sz w:val="18"/>
                <w:szCs w:val="18"/>
              </w:rPr>
              <w:t>止实施回购计划。（三）</w:t>
            </w:r>
          </w:p>
        </w:tc>
        <w:tc>
          <w:tcPr>
            <w:tcW w:w="1276" w:type="dxa"/>
            <w:tcBorders>
              <w:top w:val="single" w:sz="12" w:space="0" w:color="000000"/>
              <w:left w:val="single" w:sz="6" w:space="0" w:color="000000"/>
              <w:bottom w:val="single" w:sz="6" w:space="0" w:color="000000"/>
              <w:right w:val="single" w:sz="6" w:space="0" w:color="000000"/>
            </w:tcBorders>
          </w:tcPr>
          <w:p>
            <w:pPr/>
          </w:p>
        </w:tc>
        <w:tc>
          <w:tcPr>
            <w:tcW w:w="1275" w:type="dxa"/>
            <w:tcBorders>
              <w:top w:val="single" w:sz="12" w:space="0" w:color="000000"/>
              <w:left w:val="single" w:sz="6" w:space="0" w:color="000000"/>
              <w:bottom w:val="single" w:sz="6" w:space="0" w:color="000000"/>
              <w:right w:val="single" w:sz="6" w:space="0" w:color="000000"/>
            </w:tcBorders>
          </w:tcPr>
          <w:p>
            <w:pPr/>
          </w:p>
        </w:tc>
        <w:tc>
          <w:tcPr>
            <w:tcW w:w="1367" w:type="dxa"/>
            <w:tcBorders>
              <w:top w:val="single" w:sz="12" w:space="0" w:color="000000"/>
              <w:left w:val="single" w:sz="6" w:space="0" w:color="000000"/>
              <w:bottom w:val="single" w:sz="6" w:space="0" w:color="000000"/>
              <w:right w:val="single" w:sz="12" w:space="0" w:color="000000"/>
            </w:tcBorders>
          </w:tcPr>
          <w:p>
            <w:pPr/>
          </w:p>
        </w:tc>
      </w:tr>
      <w:tr>
        <w:trPr>
          <w:trHeight w:val="1655" w:hRule="exact"/>
        </w:trPr>
        <w:tc>
          <w:tcPr>
            <w:tcW w:w="2582" w:type="dxa"/>
            <w:vMerge/>
            <w:tcBorders>
              <w:left w:val="single" w:sz="12" w:space="0" w:color="000000"/>
              <w:bottom w:val="single" w:sz="6" w:space="0" w:color="000000"/>
              <w:right w:val="single" w:sz="6" w:space="0" w:color="000000"/>
            </w:tcBorders>
            <w:shd w:val="clear" w:color="auto" w:fill="D2D2D2"/>
          </w:tcPr>
          <w:p>
            <w:pPr/>
          </w:p>
        </w:tc>
        <w:tc>
          <w:tcPr>
            <w:tcW w:w="1981" w:type="dxa"/>
            <w:tcBorders>
              <w:top w:val="single" w:sz="6" w:space="0" w:color="000000"/>
              <w:left w:val="single" w:sz="6" w:space="0" w:color="000000"/>
              <w:bottom w:val="single" w:sz="6" w:space="0" w:color="000000"/>
              <w:right w:val="single" w:sz="6" w:space="0" w:color="000000"/>
            </w:tcBorders>
          </w:tcPr>
          <w:p>
            <w:pPr>
              <w:pStyle w:val="TableParagraph"/>
              <w:spacing w:line="304" w:lineRule="auto" w:before="53"/>
              <w:ind w:left="20" w:right="95"/>
              <w:jc w:val="both"/>
              <w:rPr>
                <w:rFonts w:ascii="宋体" w:hAnsi="宋体" w:cs="宋体" w:eastAsia="宋体" w:hint="default"/>
                <w:sz w:val="18"/>
                <w:szCs w:val="18"/>
              </w:rPr>
            </w:pPr>
            <w:r>
              <w:rPr>
                <w:rFonts w:ascii="宋体" w:hAnsi="宋体" w:cs="宋体" w:eastAsia="宋体" w:hint="default"/>
                <w:sz w:val="18"/>
                <w:szCs w:val="18"/>
              </w:rPr>
              <w:t>邦信资产管理有限公司</w:t>
            </w:r>
            <w:r>
              <w:rPr>
                <w:rFonts w:ascii="Times New Roman" w:hAnsi="Times New Roman" w:cs="Times New Roman" w:eastAsia="Times New Roman" w:hint="default"/>
                <w:sz w:val="18"/>
                <w:szCs w:val="18"/>
              </w:rPr>
              <w:t>; </w:t>
            </w:r>
            <w:r>
              <w:rPr>
                <w:rFonts w:ascii="宋体" w:hAnsi="宋体" w:cs="宋体" w:eastAsia="宋体" w:hint="default"/>
                <w:sz w:val="18"/>
                <w:szCs w:val="18"/>
              </w:rPr>
              <w:t>财通基金管理有限公司</w:t>
            </w:r>
            <w:r>
              <w:rPr>
                <w:rFonts w:ascii="Times New Roman" w:hAnsi="Times New Roman" w:cs="Times New Roman" w:eastAsia="Times New Roman" w:hint="default"/>
                <w:sz w:val="18"/>
                <w:szCs w:val="18"/>
              </w:rPr>
              <w:t>; </w:t>
            </w:r>
            <w:r>
              <w:rPr>
                <w:rFonts w:ascii="宋体" w:hAnsi="宋体" w:cs="宋体" w:eastAsia="宋体" w:hint="default"/>
                <w:sz w:val="18"/>
                <w:szCs w:val="18"/>
              </w:rPr>
              <w:t>深圳天风天成资产管理 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中融基金管理 有限公司</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股份限售承诺</w:t>
            </w:r>
          </w:p>
        </w:tc>
        <w:tc>
          <w:tcPr>
            <w:tcW w:w="4115"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20" w:right="19"/>
              <w:jc w:val="left"/>
              <w:rPr>
                <w:rFonts w:ascii="宋体" w:hAnsi="宋体" w:cs="宋体" w:eastAsia="宋体" w:hint="default"/>
                <w:sz w:val="18"/>
                <w:szCs w:val="18"/>
              </w:rPr>
            </w:pPr>
            <w:r>
              <w:rPr>
                <w:rFonts w:ascii="宋体" w:hAnsi="宋体" w:cs="宋体" w:eastAsia="宋体" w:hint="default"/>
                <w:spacing w:val="-4"/>
                <w:sz w:val="18"/>
                <w:szCs w:val="18"/>
              </w:rPr>
              <w:t>公司股东深圳天风天成资产管理有限公司、邦信资产</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管理有限公司、中融基金管理有限公司、财通基金管</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理有限公司承诺本次认购的股份自发行结束之日起 十二个月内不得转让，限售期从新增股份上市首日</w:t>
            </w:r>
          </w:p>
          <w:p>
            <w:pPr>
              <w:pStyle w:val="TableParagraph"/>
              <w:spacing w:line="240" w:lineRule="auto" w:before="20"/>
              <w:ind w:left="2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日）起算。</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7"/>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2018-04-06</w:t>
            </w:r>
          </w:p>
        </w:tc>
        <w:tc>
          <w:tcPr>
            <w:tcW w:w="13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正常履行中</w:t>
            </w:r>
          </w:p>
        </w:tc>
      </w:tr>
      <w:tr>
        <w:trPr>
          <w:trHeight w:val="408" w:hRule="exact"/>
        </w:trPr>
        <w:tc>
          <w:tcPr>
            <w:tcW w:w="2582"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1981" w:type="dxa"/>
            <w:tcBorders>
              <w:top w:val="single" w:sz="6" w:space="0" w:color="000000"/>
              <w:left w:val="single" w:sz="6" w:space="0" w:color="000000"/>
              <w:bottom w:val="single" w:sz="6" w:space="0" w:color="000000"/>
              <w:right w:val="single" w:sz="6" w:space="0" w:color="000000"/>
            </w:tcBorders>
          </w:tcPr>
          <w:p>
            <w:pPr/>
          </w:p>
        </w:tc>
        <w:tc>
          <w:tcPr>
            <w:tcW w:w="1418" w:type="dxa"/>
            <w:tcBorders>
              <w:top w:val="single" w:sz="6" w:space="0" w:color="000000"/>
              <w:left w:val="single" w:sz="6" w:space="0" w:color="000000"/>
              <w:bottom w:val="single" w:sz="6" w:space="0" w:color="000000"/>
              <w:right w:val="single" w:sz="6" w:space="0" w:color="000000"/>
            </w:tcBorders>
          </w:tcPr>
          <w:p>
            <w:pPr/>
          </w:p>
        </w:tc>
        <w:tc>
          <w:tcPr>
            <w:tcW w:w="4115"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5" w:type="dxa"/>
            <w:tcBorders>
              <w:top w:val="single" w:sz="6" w:space="0" w:color="000000"/>
              <w:left w:val="single" w:sz="6" w:space="0" w:color="000000"/>
              <w:bottom w:val="single" w:sz="6" w:space="0" w:color="000000"/>
              <w:right w:val="single" w:sz="6" w:space="0" w:color="000000"/>
            </w:tcBorders>
          </w:tcPr>
          <w:p>
            <w:pPr/>
          </w:p>
        </w:tc>
        <w:tc>
          <w:tcPr>
            <w:tcW w:w="1367" w:type="dxa"/>
            <w:tcBorders>
              <w:top w:val="single" w:sz="6" w:space="0" w:color="000000"/>
              <w:left w:val="single" w:sz="6" w:space="0" w:color="000000"/>
              <w:bottom w:val="single" w:sz="6" w:space="0" w:color="000000"/>
              <w:right w:val="single" w:sz="12" w:space="0" w:color="000000"/>
            </w:tcBorders>
          </w:tcPr>
          <w:p>
            <w:pPr/>
          </w:p>
        </w:tc>
      </w:tr>
      <w:tr>
        <w:trPr>
          <w:trHeight w:val="415" w:hRule="exact"/>
        </w:trPr>
        <w:tc>
          <w:tcPr>
            <w:tcW w:w="2582"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其他对公司中小股东所作承诺</w:t>
            </w:r>
          </w:p>
        </w:tc>
        <w:tc>
          <w:tcPr>
            <w:tcW w:w="198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141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411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1"/>
              <w:ind w:left="20" w:right="0"/>
              <w:jc w:val="left"/>
              <w:rPr>
                <w:rFonts w:ascii="宋体" w:hAnsi="宋体" w:cs="宋体" w:eastAsia="宋体" w:hint="default"/>
                <w:sz w:val="18"/>
                <w:szCs w:val="18"/>
              </w:rPr>
            </w:pPr>
            <w:r>
              <w:rPr>
                <w:rFonts w:ascii="宋体" w:hAnsi="宋体" w:cs="宋体" w:eastAsia="宋体" w:hint="default"/>
                <w:sz w:val="18"/>
                <w:szCs w:val="18"/>
              </w:rPr>
              <w:t>为充分保护公司及公众股东的合法权益，公司控股</w:t>
            </w:r>
          </w:p>
        </w:tc>
        <w:tc>
          <w:tcPr>
            <w:tcW w:w="12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1"/>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08</w:t>
            </w:r>
          </w:p>
        </w:tc>
        <w:tc>
          <w:tcPr>
            <w:tcW w:w="127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1"/>
              <w:ind w:left="20" w:right="0"/>
              <w:jc w:val="left"/>
              <w:rPr>
                <w:rFonts w:ascii="宋体" w:hAnsi="宋体" w:cs="宋体" w:eastAsia="宋体" w:hint="default"/>
                <w:sz w:val="18"/>
                <w:szCs w:val="18"/>
              </w:rPr>
            </w:pPr>
            <w:r>
              <w:rPr>
                <w:rFonts w:ascii="宋体" w:hAnsi="宋体" w:cs="宋体" w:eastAsia="宋体" w:hint="default"/>
                <w:sz w:val="18"/>
                <w:szCs w:val="18"/>
              </w:rPr>
              <w:t>如昆仑万维因</w:t>
            </w:r>
          </w:p>
        </w:tc>
        <w:tc>
          <w:tcPr>
            <w:tcW w:w="136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正常履行中</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160" w:left="1280" w:right="0"/>
        </w:sectPr>
      </w:pPr>
    </w:p>
    <w:p>
      <w:pPr>
        <w:spacing w:line="240" w:lineRule="auto" w:before="0"/>
        <w:rPr>
          <w:rFonts w:ascii="Times New Roman" w:hAnsi="Times New Roman" w:cs="Times New Roman" w:eastAsia="Times New Roman" w:hint="default"/>
          <w:sz w:val="20"/>
          <w:szCs w:val="20"/>
        </w:rPr>
      </w:pPr>
      <w:r>
        <w:rPr/>
        <w:pict>
          <v:shape style="position:absolute;margin-left:69.839996pt;margin-top:56.700008pt;width:703pt;height:331.3pt;mso-position-horizontal-relative:page;mso-position-vertical-relative:page;z-index:17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82"/>
                    <w:gridCol w:w="1981"/>
                    <w:gridCol w:w="1418"/>
                    <w:gridCol w:w="4115"/>
                    <w:gridCol w:w="1276"/>
                    <w:gridCol w:w="1275"/>
                    <w:gridCol w:w="1367"/>
                  </w:tblGrid>
                  <w:tr>
                    <w:trPr>
                      <w:trHeight w:val="4743" w:hRule="exact"/>
                    </w:trPr>
                    <w:tc>
                      <w:tcPr>
                        <w:tcW w:w="2582" w:type="dxa"/>
                        <w:tcBorders>
                          <w:top w:val="single" w:sz="12" w:space="0" w:color="000000"/>
                          <w:left w:val="single" w:sz="12" w:space="0" w:color="000000"/>
                          <w:bottom w:val="single" w:sz="6" w:space="0" w:color="000000"/>
                          <w:right w:val="single" w:sz="6" w:space="0" w:color="000000"/>
                        </w:tcBorders>
                        <w:shd w:val="clear" w:color="auto" w:fill="D2D2D2"/>
                      </w:tcPr>
                      <w:p>
                        <w:pPr/>
                      </w:p>
                    </w:tc>
                    <w:tc>
                      <w:tcPr>
                        <w:tcW w:w="1981" w:type="dxa"/>
                        <w:tcBorders>
                          <w:top w:val="single" w:sz="12" w:space="0" w:color="000000"/>
                          <w:left w:val="single" w:sz="6" w:space="0" w:color="000000"/>
                          <w:bottom w:val="single" w:sz="6" w:space="0" w:color="000000"/>
                          <w:right w:val="single" w:sz="6" w:space="0" w:color="000000"/>
                        </w:tcBorders>
                      </w:tcPr>
                      <w:p>
                        <w:pPr/>
                      </w:p>
                    </w:tc>
                    <w:tc>
                      <w:tcPr>
                        <w:tcW w:w="1418" w:type="dxa"/>
                        <w:tcBorders>
                          <w:top w:val="single" w:sz="12" w:space="0" w:color="000000"/>
                          <w:left w:val="single" w:sz="6" w:space="0" w:color="000000"/>
                          <w:bottom w:val="single" w:sz="6" w:space="0" w:color="000000"/>
                          <w:right w:val="single" w:sz="6" w:space="0" w:color="000000"/>
                        </w:tcBorders>
                      </w:tcPr>
                      <w:p>
                        <w:pPr/>
                      </w:p>
                    </w:tc>
                    <w:tc>
                      <w:tcPr>
                        <w:tcW w:w="4115" w:type="dxa"/>
                        <w:tcBorders>
                          <w:top w:val="single" w:sz="12" w:space="0" w:color="000000"/>
                          <w:left w:val="single" w:sz="6" w:space="0" w:color="000000"/>
                          <w:bottom w:val="single" w:sz="6" w:space="0" w:color="000000"/>
                          <w:right w:val="single" w:sz="6" w:space="0" w:color="000000"/>
                        </w:tcBorders>
                      </w:tcPr>
                      <w:p>
                        <w:pPr>
                          <w:pStyle w:val="TableParagraph"/>
                          <w:spacing w:line="314" w:lineRule="auto" w:before="10"/>
                          <w:ind w:left="20" w:right="19"/>
                          <w:jc w:val="left"/>
                          <w:rPr>
                            <w:rFonts w:ascii="Times New Roman" w:hAnsi="Times New Roman" w:cs="Times New Roman" w:eastAsia="Times New Roman" w:hint="default"/>
                            <w:sz w:val="18"/>
                            <w:szCs w:val="18"/>
                          </w:rPr>
                        </w:pPr>
                        <w:r>
                          <w:rPr>
                            <w:rFonts w:ascii="宋体" w:hAnsi="宋体" w:cs="宋体" w:eastAsia="宋体" w:hint="default"/>
                            <w:sz w:val="18"/>
                            <w:szCs w:val="18"/>
                          </w:rPr>
                          <w:t>东、实际控制人周亚辉已经出具承诺：</w:t>
                        </w:r>
                        <w:r>
                          <w:rPr>
                            <w:rFonts w:ascii="Times New Roman" w:hAnsi="Times New Roman" w:cs="Times New Roman" w:eastAsia="Times New Roman" w:hint="default"/>
                            <w:sz w:val="18"/>
                            <w:szCs w:val="18"/>
                          </w:rPr>
                          <w:t>"</w:t>
                        </w:r>
                        <w:r>
                          <w:rPr>
                            <w:rFonts w:ascii="宋体" w:hAnsi="宋体" w:cs="宋体" w:eastAsia="宋体" w:hint="default"/>
                            <w:sz w:val="18"/>
                            <w:szCs w:val="18"/>
                          </w:rPr>
                          <w:t>若昆仑万维 </w:t>
                        </w:r>
                        <w:r>
                          <w:rPr>
                            <w:rFonts w:ascii="宋体" w:hAnsi="宋体" w:cs="宋体" w:eastAsia="宋体" w:hint="default"/>
                            <w:spacing w:val="-4"/>
                            <w:sz w:val="18"/>
                            <w:szCs w:val="18"/>
                          </w:rPr>
                          <w:t>因明河社出版有限公司、完美世界（北京）软件有限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公司起诉北京火谷网络科技有限责任公司、发行人 </w:t>
                        </w:r>
                        <w:r>
                          <w:rPr>
                            <w:rFonts w:ascii="宋体" w:hAnsi="宋体" w:cs="宋体" w:eastAsia="宋体" w:hint="default"/>
                            <w:spacing w:val="-4"/>
                            <w:sz w:val="18"/>
                            <w:szCs w:val="18"/>
                          </w:rPr>
                          <w:t>昆仑在线及昆仑乐享的民事诉讼遭受损失，且昆仑万</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维就此向北京火谷网络科技有限责任公司进行全额 </w:t>
                        </w:r>
                        <w:r>
                          <w:rPr>
                            <w:rFonts w:ascii="宋体" w:hAnsi="宋体" w:cs="宋体" w:eastAsia="宋体" w:hint="default"/>
                            <w:spacing w:val="-4"/>
                            <w:sz w:val="18"/>
                            <w:szCs w:val="18"/>
                          </w:rPr>
                          <w:t>追偿后，北京火谷网络科技有限责任公司拒不履行相</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4"/>
                            <w:sz w:val="18"/>
                            <w:szCs w:val="18"/>
                          </w:rPr>
                          <w:t>关责任时，本人将在北京火谷网络科技有限责任公司</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拒绝履行后的 </w:t>
                        </w:r>
                        <w:r>
                          <w:rPr>
                            <w:rFonts w:ascii="Times New Roman" w:hAnsi="Times New Roman" w:cs="Times New Roman" w:eastAsia="Times New Roman" w:hint="default"/>
                            <w:sz w:val="18"/>
                            <w:szCs w:val="18"/>
                          </w:rPr>
                          <w:t>30 </w:t>
                        </w:r>
                        <w:r>
                          <w:rPr>
                            <w:rFonts w:ascii="宋体" w:hAnsi="宋体" w:cs="宋体" w:eastAsia="宋体" w:hint="default"/>
                            <w:sz w:val="18"/>
                            <w:szCs w:val="18"/>
                          </w:rPr>
                          <w:t>个工作日内承担昆仑万维因上述 诉讼遭受的全部损失，且在承担后不向昆仑万维追 偿。</w:t>
                        </w:r>
                        <w:r>
                          <w:rPr>
                            <w:rFonts w:ascii="Times New Roman" w:hAnsi="Times New Roman" w:cs="Times New Roman" w:eastAsia="Times New Roman" w:hint="default"/>
                            <w:sz w:val="18"/>
                            <w:szCs w:val="18"/>
                          </w:rPr>
                          <w:t>"</w:t>
                        </w:r>
                      </w:p>
                    </w:tc>
                    <w:tc>
                      <w:tcPr>
                        <w:tcW w:w="12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
                          <w:ind w:left="20" w:right="0"/>
                          <w:jc w:val="left"/>
                          <w:rPr>
                            <w:rFonts w:ascii="宋体" w:hAnsi="宋体" w:cs="宋体" w:eastAsia="宋体" w:hint="default"/>
                            <w:sz w:val="18"/>
                            <w:szCs w:val="18"/>
                          </w:rPr>
                        </w:pPr>
                        <w:r>
                          <w:rPr>
                            <w:rFonts w:ascii="宋体" w:hAnsi="宋体" w:cs="宋体" w:eastAsia="宋体" w:hint="default"/>
                            <w:sz w:val="18"/>
                            <w:szCs w:val="18"/>
                          </w:rPr>
                          <w:t>日</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left="-135" w:right="0"/>
                          <w:jc w:val="left"/>
                          <w:rPr>
                            <w:rFonts w:ascii="宋体" w:hAnsi="宋体" w:cs="宋体" w:eastAsia="宋体" w:hint="default"/>
                            <w:sz w:val="18"/>
                            <w:szCs w:val="18"/>
                          </w:rPr>
                        </w:pPr>
                        <w:r>
                          <w:rPr>
                            <w:rFonts w:ascii="宋体" w:hAnsi="宋体" w:cs="宋体" w:eastAsia="宋体" w:hint="default"/>
                            <w:sz w:val="18"/>
                            <w:szCs w:val="18"/>
                          </w:rPr>
                          <w:t>、</w:t>
                        </w:r>
                      </w:p>
                    </w:tc>
                    <w:tc>
                      <w:tcPr>
                        <w:tcW w:w="1275"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20" w:right="-21"/>
                          <w:jc w:val="left"/>
                          <w:rPr>
                            <w:rFonts w:ascii="宋体" w:hAnsi="宋体" w:cs="宋体" w:eastAsia="宋体" w:hint="default"/>
                            <w:sz w:val="18"/>
                            <w:szCs w:val="18"/>
                          </w:rPr>
                        </w:pPr>
                        <w:r>
                          <w:rPr>
                            <w:rFonts w:ascii="宋体" w:hAnsi="宋体" w:cs="宋体" w:eastAsia="宋体" w:hint="default"/>
                            <w:sz w:val="18"/>
                            <w:szCs w:val="18"/>
                          </w:rPr>
                          <w:t>该诉讼遭受损 </w:t>
                        </w:r>
                        <w:r>
                          <w:rPr>
                            <w:rFonts w:ascii="宋体" w:hAnsi="宋体" w:cs="宋体" w:eastAsia="宋体" w:hint="default"/>
                            <w:spacing w:val="-6"/>
                            <w:sz w:val="18"/>
                            <w:szCs w:val="18"/>
                          </w:rPr>
                          <w:t>失，且昆仑万维</w:t>
                        </w:r>
                        <w:r>
                          <w:rPr>
                            <w:rFonts w:ascii="宋体" w:hAnsi="宋体" w:cs="宋体" w:eastAsia="宋体" w:hint="default"/>
                            <w:sz w:val="18"/>
                            <w:szCs w:val="18"/>
                          </w:rPr>
                          <w:t> 就此向北京火 谷网络科技有 限责任公司进 行全额追偿后， 北京火谷网络 科技有限责任 公司拒不履行 </w:t>
                        </w:r>
                        <w:r>
                          <w:rPr>
                            <w:rFonts w:ascii="宋体" w:hAnsi="宋体" w:cs="宋体" w:eastAsia="宋体" w:hint="default"/>
                            <w:spacing w:val="-6"/>
                            <w:sz w:val="18"/>
                            <w:szCs w:val="18"/>
                          </w:rPr>
                          <w:t>相关责任时，本</w:t>
                        </w:r>
                        <w:r>
                          <w:rPr>
                            <w:rFonts w:ascii="宋体" w:hAnsi="宋体" w:cs="宋体" w:eastAsia="宋体" w:hint="default"/>
                            <w:sz w:val="18"/>
                            <w:szCs w:val="18"/>
                          </w:rPr>
                          <w:t> 人将在北京火 谷网络科技有 限责任公司拒 绝履行后的 </w:t>
                        </w:r>
                        <w:r>
                          <w:rPr>
                            <w:rFonts w:ascii="Times New Roman" w:hAnsi="Times New Roman" w:cs="Times New Roman" w:eastAsia="Times New Roman" w:hint="default"/>
                            <w:sz w:val="18"/>
                            <w:szCs w:val="18"/>
                          </w:rPr>
                          <w:t>30 </w:t>
                        </w:r>
                        <w:r>
                          <w:rPr>
                            <w:rFonts w:ascii="宋体" w:hAnsi="宋体" w:cs="宋体" w:eastAsia="宋体" w:hint="default"/>
                            <w:sz w:val="18"/>
                            <w:szCs w:val="18"/>
                          </w:rPr>
                          <w:t>个工作日内</w:t>
                        </w:r>
                      </w:p>
                    </w:tc>
                    <w:tc>
                      <w:tcPr>
                        <w:tcW w:w="1367" w:type="dxa"/>
                        <w:tcBorders>
                          <w:top w:val="single" w:sz="12" w:space="0" w:color="000000"/>
                          <w:left w:val="single" w:sz="6" w:space="0" w:color="000000"/>
                          <w:bottom w:val="single" w:sz="6" w:space="0" w:color="000000"/>
                          <w:right w:val="single" w:sz="12" w:space="0" w:color="000000"/>
                        </w:tcBorders>
                      </w:tcPr>
                      <w:p>
                        <w:pPr/>
                      </w:p>
                    </w:tc>
                  </w:tr>
                  <w:tr>
                    <w:trPr>
                      <w:trHeight w:val="406" w:hRule="exact"/>
                    </w:trPr>
                    <w:tc>
                      <w:tcPr>
                        <w:tcW w:w="2582"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1981" w:type="dxa"/>
                        <w:tcBorders>
                          <w:top w:val="single" w:sz="6" w:space="0" w:color="000000"/>
                          <w:left w:val="single" w:sz="9" w:space="0" w:color="D2D2D2"/>
                          <w:bottom w:val="single" w:sz="6" w:space="0" w:color="000000"/>
                          <w:right w:val="single" w:sz="14" w:space="0" w:color="D2D2D2"/>
                        </w:tcBorders>
                      </w:tcPr>
                      <w:p>
                        <w:pPr>
                          <w:pStyle w:val="TableParagraph"/>
                          <w:spacing w:line="240" w:lineRule="auto" w:before="52"/>
                          <w:ind w:left="16"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418" w:type="dxa"/>
                        <w:tcBorders>
                          <w:top w:val="single" w:sz="6" w:space="0" w:color="000000"/>
                          <w:left w:val="single" w:sz="6" w:space="0" w:color="000000"/>
                          <w:bottom w:val="single" w:sz="6" w:space="0" w:color="000000"/>
                          <w:right w:val="single" w:sz="6" w:space="0" w:color="000000"/>
                        </w:tcBorders>
                        <w:shd w:val="clear" w:color="auto" w:fill="D2D2D2"/>
                      </w:tcPr>
                      <w:p>
                        <w:pPr/>
                      </w:p>
                    </w:tc>
                    <w:tc>
                      <w:tcPr>
                        <w:tcW w:w="4115" w:type="dxa"/>
                        <w:tcBorders>
                          <w:top w:val="single" w:sz="6" w:space="0" w:color="000000"/>
                          <w:left w:val="single" w:sz="6" w:space="0" w:color="000000"/>
                          <w:bottom w:val="single" w:sz="6" w:space="0" w:color="000000"/>
                          <w:right w:val="single" w:sz="6" w:space="0" w:color="000000"/>
                        </w:tcBorders>
                        <w:shd w:val="clear" w:color="auto" w:fill="D2D2D2"/>
                      </w:tcPr>
                      <w:p>
                        <w:pPr/>
                      </w:p>
                    </w:tc>
                    <w:tc>
                      <w:tcPr>
                        <w:tcW w:w="1276" w:type="dxa"/>
                        <w:tcBorders>
                          <w:top w:val="single" w:sz="6" w:space="0" w:color="000000"/>
                          <w:left w:val="single" w:sz="6" w:space="0" w:color="000000"/>
                          <w:bottom w:val="single" w:sz="6" w:space="0" w:color="000000"/>
                          <w:right w:val="single" w:sz="6" w:space="0" w:color="000000"/>
                        </w:tcBorders>
                        <w:shd w:val="clear" w:color="auto" w:fill="D2D2D2"/>
                      </w:tcPr>
                      <w:p>
                        <w:pPr/>
                      </w:p>
                    </w:tc>
                    <w:tc>
                      <w:tcPr>
                        <w:tcW w:w="1275" w:type="dxa"/>
                        <w:tcBorders>
                          <w:top w:val="single" w:sz="6" w:space="0" w:color="000000"/>
                          <w:left w:val="single" w:sz="6" w:space="0" w:color="000000"/>
                          <w:bottom w:val="single" w:sz="6" w:space="0" w:color="000000"/>
                          <w:right w:val="single" w:sz="6" w:space="0" w:color="000000"/>
                        </w:tcBorders>
                        <w:shd w:val="clear" w:color="auto" w:fill="D2D2D2"/>
                      </w:tcPr>
                      <w:p>
                        <w:pPr/>
                      </w:p>
                    </w:tc>
                    <w:tc>
                      <w:tcPr>
                        <w:tcW w:w="1367" w:type="dxa"/>
                        <w:tcBorders>
                          <w:top w:val="single" w:sz="6" w:space="0" w:color="000000"/>
                          <w:left w:val="single" w:sz="6" w:space="0" w:color="000000"/>
                          <w:bottom w:val="single" w:sz="6" w:space="0" w:color="000000"/>
                          <w:right w:val="single" w:sz="12" w:space="0" w:color="000000"/>
                        </w:tcBorders>
                        <w:shd w:val="clear" w:color="auto" w:fill="D2D2D2"/>
                      </w:tcPr>
                      <w:p>
                        <w:pPr/>
                      </w:p>
                    </w:tc>
                  </w:tr>
                  <w:tr>
                    <w:trPr>
                      <w:trHeight w:val="1033" w:hRule="exact"/>
                    </w:trPr>
                    <w:tc>
                      <w:tcPr>
                        <w:tcW w:w="2582"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6" w:lineRule="auto" w:before="52"/>
                          <w:ind w:left="13" w:right="24"/>
                          <w:jc w:val="both"/>
                          <w:rPr>
                            <w:rFonts w:ascii="宋体" w:hAnsi="宋体" w:cs="宋体" w:eastAsia="宋体" w:hint="default"/>
                            <w:sz w:val="18"/>
                            <w:szCs w:val="18"/>
                          </w:rPr>
                        </w:pPr>
                        <w:r>
                          <w:rPr>
                            <w:rFonts w:ascii="宋体" w:hAnsi="宋体" w:cs="宋体" w:eastAsia="宋体" w:hint="default"/>
                            <w:sz w:val="18"/>
                            <w:szCs w:val="18"/>
                          </w:rPr>
                          <w:t>如承诺超期未履行完毕的，应当 详细说明未完成履行的具体原因 及下一步的工作计划</w:t>
                        </w:r>
                      </w:p>
                    </w:tc>
                    <w:tc>
                      <w:tcPr>
                        <w:tcW w:w="11433" w:type="dxa"/>
                        <w:gridSpan w:val="6"/>
                        <w:tcBorders>
                          <w:top w:val="single" w:sz="6" w:space="0" w:color="000000"/>
                          <w:left w:val="single" w:sz="9" w:space="0" w:color="D2D2D2"/>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14" w:hRule="exact"/>
                    </w:trPr>
                    <w:tc>
                      <w:tcPr>
                        <w:tcW w:w="2582" w:type="dxa"/>
                        <w:tcBorders>
                          <w:top w:val="single" w:sz="6" w:space="0" w:color="000000"/>
                          <w:left w:val="single" w:sz="12" w:space="0" w:color="000000"/>
                          <w:bottom w:val="single" w:sz="12" w:space="0" w:color="000000"/>
                          <w:right w:val="single" w:sz="6" w:space="0" w:color="000000"/>
                        </w:tcBorders>
                        <w:shd w:val="clear" w:color="auto" w:fill="D2D2D2"/>
                      </w:tcPr>
                      <w:p>
                        <w:pPr/>
                      </w:p>
                    </w:tc>
                    <w:tc>
                      <w:tcPr>
                        <w:tcW w:w="11433" w:type="dxa"/>
                        <w:gridSpan w:val="6"/>
                        <w:tcBorders>
                          <w:top w:val="single" w:sz="6" w:space="0" w:color="000000"/>
                          <w:left w:val="single" w:sz="6" w:space="0" w:color="000000"/>
                          <w:bottom w:val="single" w:sz="12" w:space="0" w:color="000000"/>
                          <w:right w:val="single" w:sz="12" w:space="0" w:color="000000"/>
                        </w:tcBorders>
                        <w:shd w:val="clear" w:color="auto" w:fill="D2D2D2"/>
                      </w:tcPr>
                      <w:p>
                        <w:pPr/>
                      </w:p>
                    </w:tc>
                  </w:tr>
                </w:tbl>
                <w:p>
                  <w:pPr/>
                </w:p>
              </w:txbxContent>
            </v:textbox>
            <w10:wrap type="none"/>
          </v:shape>
        </w:pict>
      </w:r>
    </w:p>
    <w:p>
      <w:pPr>
        <w:spacing w:line="240" w:lineRule="auto" w:before="7"/>
        <w:rPr>
          <w:rFonts w:ascii="Times New Roman" w:hAnsi="Times New Roman" w:cs="Times New Roman" w:eastAsia="Times New Roman" w:hint="default"/>
          <w:sz w:val="10"/>
          <w:szCs w:val="10"/>
        </w:rPr>
      </w:pPr>
    </w:p>
    <w:p>
      <w:pPr>
        <w:spacing w:line="4368" w:lineRule="exact"/>
        <w:ind w:left="1023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6"/>
          <w:sz w:val="20"/>
          <w:szCs w:val="20"/>
        </w:rPr>
        <w:pict>
          <v:group style="width:63.1pt;height:218.45pt;mso-position-horizontal-relative:char;mso-position-vertical-relative:line" coordorigin="0,0" coordsize="1262,4369">
            <v:group style="position:absolute;left:0;top:0;width:1262;height:4369" coordorigin="0,0" coordsize="1262,4369">
              <v:shape style="position:absolute;left:0;top:0;width:1262;height:4369" coordorigin="0,0" coordsize="1262,4369" path="m0,4369l1261,4369,1261,0,0,0,0,4369xe" filled="true" fillcolor="#ffffff" stroked="false">
                <v:path arrowok="t"/>
                <v:fill type="solid"/>
              </v:shape>
            </v:group>
          </v:group>
        </w:pict>
      </w:r>
      <w:r>
        <w:rPr>
          <w:rFonts w:ascii="Times New Roman" w:hAnsi="Times New Roman" w:cs="Times New Roman" w:eastAsia="Times New Roman" w:hint="default"/>
          <w:position w:val="-86"/>
          <w:sz w:val="20"/>
          <w:szCs w:val="20"/>
        </w:rPr>
      </w:r>
    </w:p>
    <w:p>
      <w:pPr>
        <w:spacing w:after="0" w:line="4368" w:lineRule="exact"/>
        <w:rPr>
          <w:rFonts w:ascii="Times New Roman" w:hAnsi="Times New Roman" w:cs="Times New Roman" w:eastAsia="Times New Roman" w:hint="default"/>
          <w:sz w:val="20"/>
          <w:szCs w:val="20"/>
        </w:rPr>
        <w:sectPr>
          <w:pgSz w:w="16840" w:h="11910" w:orient="landscape"/>
          <w:pgMar w:header="867" w:footer="979" w:top="1160" w:bottom="1160" w:left="1280" w:right="0"/>
        </w:sectPr>
      </w:pPr>
    </w:p>
    <w:p>
      <w:pPr>
        <w:spacing w:line="240" w:lineRule="auto" w:before="7"/>
        <w:rPr>
          <w:rFonts w:ascii="Times New Roman" w:hAnsi="Times New Roman" w:cs="Times New Roman" w:eastAsia="Times New Roman" w:hint="default"/>
          <w:sz w:val="23"/>
          <w:szCs w:val="23"/>
        </w:rPr>
      </w:pPr>
    </w:p>
    <w:p>
      <w:pPr>
        <w:pStyle w:val="Heading6"/>
        <w:spacing w:line="259" w:lineRule="auto" w:before="35"/>
        <w:ind w:left="1133" w:right="998"/>
        <w:jc w:val="left"/>
        <w:rPr>
          <w:b w:val="0"/>
          <w:bCs w:val="0"/>
        </w:rPr>
      </w:pPr>
      <w:bookmarkStart w:name="2、公司资产或项目存在盈利预测，且报告期仍处在盈利预测期间，公司就资产或项目达到" w:id="67"/>
      <w:bookmarkEnd w:id="67"/>
      <w:r>
        <w:rPr>
          <w:b w:val="0"/>
          <w:bCs w:val="0"/>
        </w:rPr>
      </w: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74"/>
        </w:rPr>
        <w:t> </w:t>
      </w:r>
      <w:r>
        <w:rPr>
          <w:spacing w:val="-74"/>
        </w:rPr>
      </w:r>
      <w:r>
        <w:rPr/>
        <w:t>其原因做出说明</w:t>
      </w:r>
      <w:r>
        <w:rPr>
          <w:b w:val="0"/>
          <w:bCs w:val="0"/>
        </w:rPr>
      </w:r>
    </w:p>
    <w:p>
      <w:pPr>
        <w:spacing w:line="240" w:lineRule="auto" w:before="7"/>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3"/>
          <w:szCs w:val="23"/>
        </w:rPr>
      </w:pPr>
    </w:p>
    <w:p>
      <w:pPr>
        <w:pStyle w:val="Heading4"/>
        <w:spacing w:line="240" w:lineRule="auto"/>
        <w:ind w:right="998"/>
        <w:jc w:val="left"/>
        <w:rPr>
          <w:b w:val="0"/>
          <w:bCs w:val="0"/>
        </w:rPr>
      </w:pPr>
      <w:bookmarkStart w:name="三、控股股东及其关联方对上市公司的非经营性占用资金情况" w:id="68"/>
      <w:bookmarkEnd w:id="68"/>
      <w:r>
        <w:rPr>
          <w:b w:val="0"/>
          <w:bCs w:val="0"/>
        </w:rPr>
      </w:r>
      <w:r>
        <w:rPr/>
        <w:t>三、控股股东及其关联方对上市公司的非经营性占用资金情况</w:t>
      </w:r>
      <w:r>
        <w:rPr>
          <w:b w:val="0"/>
          <w:bCs w:val="0"/>
        </w:rPr>
      </w:r>
    </w:p>
    <w:p>
      <w:pPr>
        <w:spacing w:line="240" w:lineRule="auto" w:before="3"/>
        <w:rPr>
          <w:rFonts w:ascii="宋体" w:hAnsi="宋体" w:cs="宋体" w:eastAsia="宋体" w:hint="default"/>
          <w:b/>
          <w:bCs/>
          <w:sz w:val="23"/>
          <w:szCs w:val="23"/>
        </w:rPr>
      </w:pPr>
    </w:p>
    <w:p>
      <w:pPr>
        <w:spacing w:before="44"/>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3"/>
        <w:rPr>
          <w:rFonts w:ascii="宋体" w:hAnsi="宋体" w:cs="宋体" w:eastAsia="宋体" w:hint="default"/>
          <w:sz w:val="7"/>
          <w:szCs w:val="7"/>
        </w:rPr>
      </w:pPr>
    </w:p>
    <w:tbl>
      <w:tblPr>
        <w:tblW w:w="0" w:type="auto"/>
        <w:jc w:val="left"/>
        <w:tblInd w:w="1159" w:type="dxa"/>
        <w:tblLayout w:type="fixed"/>
        <w:tblCellMar>
          <w:top w:w="0" w:type="dxa"/>
          <w:left w:w="0" w:type="dxa"/>
          <w:bottom w:w="0" w:type="dxa"/>
          <w:right w:w="0" w:type="dxa"/>
        </w:tblCellMar>
        <w:tblLook w:val="01E0"/>
      </w:tblPr>
      <w:tblGrid>
        <w:gridCol w:w="948"/>
        <w:gridCol w:w="956"/>
        <w:gridCol w:w="946"/>
        <w:gridCol w:w="968"/>
        <w:gridCol w:w="958"/>
        <w:gridCol w:w="956"/>
        <w:gridCol w:w="958"/>
        <w:gridCol w:w="957"/>
        <w:gridCol w:w="958"/>
        <w:gridCol w:w="961"/>
      </w:tblGrid>
      <w:tr>
        <w:trPr>
          <w:trHeight w:val="727" w:hRule="exact"/>
        </w:trPr>
        <w:tc>
          <w:tcPr>
            <w:tcW w:w="948"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316" w:lineRule="auto" w:before="51"/>
              <w:ind w:left="96" w:right="107"/>
              <w:jc w:val="left"/>
              <w:rPr>
                <w:rFonts w:ascii="宋体" w:hAnsi="宋体" w:cs="宋体" w:eastAsia="宋体" w:hint="default"/>
                <w:sz w:val="18"/>
                <w:szCs w:val="18"/>
              </w:rPr>
            </w:pPr>
            <w:r>
              <w:rPr>
                <w:rFonts w:ascii="宋体" w:hAnsi="宋体" w:cs="宋体" w:eastAsia="宋体" w:hint="default"/>
                <w:sz w:val="18"/>
                <w:szCs w:val="18"/>
              </w:rPr>
              <w:t>股东或关 联人名称</w:t>
            </w:r>
          </w:p>
        </w:tc>
        <w:tc>
          <w:tcPr>
            <w:tcW w:w="95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占用时间</w:t>
            </w:r>
          </w:p>
        </w:tc>
        <w:tc>
          <w:tcPr>
            <w:tcW w:w="94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发生原因</w:t>
            </w:r>
          </w:p>
        </w:tc>
        <w:tc>
          <w:tcPr>
            <w:tcW w:w="96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95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111" w:right="19" w:hanging="90"/>
              <w:jc w:val="left"/>
              <w:rPr>
                <w:rFonts w:ascii="宋体" w:hAnsi="宋体" w:cs="宋体" w:eastAsia="宋体" w:hint="default"/>
                <w:sz w:val="18"/>
                <w:szCs w:val="18"/>
              </w:rPr>
            </w:pPr>
            <w:r>
              <w:rPr>
                <w:rFonts w:ascii="宋体" w:hAnsi="宋体" w:cs="宋体" w:eastAsia="宋体" w:hint="default"/>
                <w:sz w:val="18"/>
                <w:szCs w:val="18"/>
              </w:rPr>
              <w:t>报告期新增 占用金额</w:t>
            </w:r>
          </w:p>
        </w:tc>
        <w:tc>
          <w:tcPr>
            <w:tcW w:w="95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200" w:right="19" w:hanging="180"/>
              <w:jc w:val="left"/>
              <w:rPr>
                <w:rFonts w:ascii="宋体" w:hAnsi="宋体" w:cs="宋体" w:eastAsia="宋体" w:hint="default"/>
                <w:sz w:val="18"/>
                <w:szCs w:val="18"/>
              </w:rPr>
            </w:pPr>
            <w:r>
              <w:rPr>
                <w:rFonts w:ascii="宋体" w:hAnsi="宋体" w:cs="宋体" w:eastAsia="宋体" w:hint="default"/>
                <w:sz w:val="18"/>
                <w:szCs w:val="18"/>
              </w:rPr>
              <w:t>报告期偿还 总金额</w:t>
            </w:r>
          </w:p>
        </w:tc>
        <w:tc>
          <w:tcPr>
            <w:tcW w:w="95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95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380" w:right="21" w:hanging="361"/>
              <w:jc w:val="left"/>
              <w:rPr>
                <w:rFonts w:ascii="宋体" w:hAnsi="宋体" w:cs="宋体" w:eastAsia="宋体" w:hint="default"/>
                <w:sz w:val="18"/>
                <w:szCs w:val="18"/>
              </w:rPr>
            </w:pPr>
            <w:r>
              <w:rPr>
                <w:rFonts w:ascii="宋体" w:hAnsi="宋体" w:cs="宋体" w:eastAsia="宋体" w:hint="default"/>
                <w:sz w:val="18"/>
                <w:szCs w:val="18"/>
              </w:rPr>
              <w:t>预计偿还方 式</w:t>
            </w:r>
          </w:p>
        </w:tc>
        <w:tc>
          <w:tcPr>
            <w:tcW w:w="95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381" w:right="19" w:hanging="360"/>
              <w:jc w:val="left"/>
              <w:rPr>
                <w:rFonts w:ascii="宋体" w:hAnsi="宋体" w:cs="宋体" w:eastAsia="宋体" w:hint="default"/>
                <w:sz w:val="18"/>
                <w:szCs w:val="18"/>
              </w:rPr>
            </w:pPr>
            <w:r>
              <w:rPr>
                <w:rFonts w:ascii="宋体" w:hAnsi="宋体" w:cs="宋体" w:eastAsia="宋体" w:hint="default"/>
                <w:sz w:val="18"/>
                <w:szCs w:val="18"/>
              </w:rPr>
              <w:t>预计偿还金 额</w:t>
            </w:r>
          </w:p>
        </w:tc>
        <w:tc>
          <w:tcPr>
            <w:tcW w:w="961"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316" w:lineRule="auto" w:before="51"/>
              <w:ind w:left="22" w:right="13"/>
              <w:jc w:val="left"/>
              <w:rPr>
                <w:rFonts w:ascii="宋体" w:hAnsi="宋体" w:cs="宋体" w:eastAsia="宋体" w:hint="default"/>
                <w:sz w:val="18"/>
                <w:szCs w:val="18"/>
              </w:rPr>
            </w:pPr>
            <w:r>
              <w:rPr>
                <w:rFonts w:ascii="宋体" w:hAnsi="宋体" w:cs="宋体" w:eastAsia="宋体" w:hint="default"/>
                <w:sz w:val="18"/>
                <w:szCs w:val="18"/>
              </w:rPr>
              <w:t>预计偿还时 间（月份）</w:t>
            </w:r>
          </w:p>
        </w:tc>
      </w:tr>
      <w:tr>
        <w:trPr>
          <w:trHeight w:val="1343" w:hRule="exact"/>
        </w:trPr>
        <w:tc>
          <w:tcPr>
            <w:tcW w:w="948" w:type="dxa"/>
            <w:tcBorders>
              <w:top w:val="single" w:sz="6" w:space="0" w:color="000000"/>
              <w:left w:val="single" w:sz="12" w:space="0" w:color="000000"/>
              <w:bottom w:val="single" w:sz="6" w:space="0" w:color="000000"/>
              <w:right w:val="single" w:sz="6" w:space="0" w:color="000000"/>
            </w:tcBorders>
          </w:tcPr>
          <w:p>
            <w:pPr>
              <w:pStyle w:val="TableParagraph"/>
              <w:spacing w:line="362" w:lineRule="auto" w:before="91"/>
              <w:ind w:left="7" w:right="65"/>
              <w:jc w:val="left"/>
              <w:rPr>
                <w:rFonts w:ascii="Times New Roman" w:hAnsi="Times New Roman" w:cs="Times New Roman" w:eastAsia="Times New Roman" w:hint="default"/>
                <w:sz w:val="18"/>
                <w:szCs w:val="18"/>
              </w:rPr>
            </w:pPr>
            <w:r>
              <w:rPr>
                <w:rFonts w:ascii="Times New Roman"/>
                <w:sz w:val="18"/>
              </w:rPr>
              <w:t>Everyone happy entertainme nt</w:t>
            </w:r>
            <w:r>
              <w:rPr>
                <w:rFonts w:ascii="Times New Roman"/>
                <w:spacing w:val="-1"/>
                <w:sz w:val="18"/>
              </w:rPr>
              <w:t> </w:t>
            </w:r>
            <w:r>
              <w:rPr>
                <w:rFonts w:ascii="Times New Roman"/>
                <w:sz w:val="18"/>
              </w:rPr>
              <w:t>limited</w:t>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w:t>
            </w:r>
          </w:p>
        </w:tc>
        <w:tc>
          <w:tcPr>
            <w:tcW w:w="9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代付款项</w:t>
            </w:r>
          </w:p>
        </w:tc>
        <w:tc>
          <w:tcPr>
            <w:tcW w:w="9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1,029.84</w:t>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1,029.84</w:t>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957" w:type="dxa"/>
            <w:tcBorders>
              <w:top w:val="single" w:sz="6" w:space="0" w:color="000000"/>
              <w:left w:val="single" w:sz="6" w:space="0" w:color="000000"/>
              <w:bottom w:val="single" w:sz="6" w:space="0" w:color="000000"/>
              <w:right w:val="single" w:sz="6" w:space="0" w:color="000000"/>
            </w:tcBorders>
          </w:tcPr>
          <w:p>
            <w:pP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961" w:type="dxa"/>
            <w:tcBorders>
              <w:top w:val="single" w:sz="6" w:space="0" w:color="000000"/>
              <w:left w:val="single" w:sz="6" w:space="0" w:color="000000"/>
              <w:bottom w:val="single" w:sz="6" w:space="0" w:color="000000"/>
              <w:right w:val="single" w:sz="12" w:space="0" w:color="000000"/>
            </w:tcBorders>
          </w:tcPr>
          <w:p>
            <w:pPr/>
          </w:p>
        </w:tc>
      </w:tr>
      <w:tr>
        <w:trPr>
          <w:trHeight w:val="407" w:hRule="exact"/>
        </w:trPr>
        <w:tc>
          <w:tcPr>
            <w:tcW w:w="2850" w:type="dxa"/>
            <w:gridSpan w:val="3"/>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7"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68"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1,029.84</w:t>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1,029.84</w:t>
            </w:r>
          </w:p>
        </w:tc>
        <w:tc>
          <w:tcPr>
            <w:tcW w:w="958" w:type="dxa"/>
            <w:tcBorders>
              <w:top w:val="single" w:sz="6" w:space="0" w:color="000000"/>
              <w:left w:val="single" w:sz="6" w:space="0" w:color="000000"/>
              <w:bottom w:val="single" w:sz="6" w:space="0" w:color="000000"/>
              <w:right w:val="single" w:sz="9"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0</w:t>
            </w:r>
          </w:p>
        </w:tc>
        <w:tc>
          <w:tcPr>
            <w:tcW w:w="95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961"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w:t>
            </w:r>
          </w:p>
        </w:tc>
      </w:tr>
      <w:tr>
        <w:trPr>
          <w:trHeight w:val="719" w:hRule="exact"/>
        </w:trPr>
        <w:tc>
          <w:tcPr>
            <w:tcW w:w="2850" w:type="dxa"/>
            <w:gridSpan w:val="3"/>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9" w:lineRule="auto" w:before="51"/>
              <w:ind w:left="7" w:right="118"/>
              <w:jc w:val="left"/>
              <w:rPr>
                <w:rFonts w:ascii="宋体" w:hAnsi="宋体" w:cs="宋体" w:eastAsia="宋体" w:hint="default"/>
                <w:sz w:val="18"/>
                <w:szCs w:val="18"/>
              </w:rPr>
            </w:pPr>
            <w:r>
              <w:rPr>
                <w:rFonts w:ascii="宋体" w:hAnsi="宋体" w:cs="宋体" w:eastAsia="宋体" w:hint="default"/>
                <w:sz w:val="18"/>
                <w:szCs w:val="18"/>
              </w:rPr>
              <w:t>期末合计值占最近一期经审计净资 产的比例</w:t>
            </w:r>
          </w:p>
        </w:tc>
        <w:tc>
          <w:tcPr>
            <w:tcW w:w="6714" w:type="dxa"/>
            <w:gridSpan w:val="7"/>
            <w:tcBorders>
              <w:top w:val="single" w:sz="6" w:space="0" w:color="000000"/>
              <w:left w:val="single" w:sz="9" w:space="0" w:color="D2D2D2"/>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0.00%</w:t>
            </w:r>
          </w:p>
        </w:tc>
      </w:tr>
      <w:tr>
        <w:trPr>
          <w:trHeight w:val="407" w:hRule="exact"/>
        </w:trPr>
        <w:tc>
          <w:tcPr>
            <w:tcW w:w="2850" w:type="dxa"/>
            <w:gridSpan w:val="3"/>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7" w:right="0"/>
              <w:jc w:val="left"/>
              <w:rPr>
                <w:rFonts w:ascii="宋体" w:hAnsi="宋体" w:cs="宋体" w:eastAsia="宋体" w:hint="default"/>
                <w:sz w:val="18"/>
                <w:szCs w:val="18"/>
              </w:rPr>
            </w:pPr>
            <w:r>
              <w:rPr>
                <w:rFonts w:ascii="宋体" w:hAnsi="宋体" w:cs="宋体" w:eastAsia="宋体" w:hint="default"/>
                <w:sz w:val="18"/>
                <w:szCs w:val="18"/>
              </w:rPr>
              <w:t>相关决策程序</w:t>
            </w:r>
          </w:p>
        </w:tc>
        <w:tc>
          <w:tcPr>
            <w:tcW w:w="6714" w:type="dxa"/>
            <w:gridSpan w:val="7"/>
            <w:tcBorders>
              <w:top w:val="single" w:sz="6" w:space="0" w:color="000000"/>
              <w:left w:val="single" w:sz="9" w:space="0" w:color="D2D2D2"/>
              <w:bottom w:val="single" w:sz="6" w:space="0" w:color="000000"/>
              <w:right w:val="single" w:sz="12" w:space="0" w:color="000000"/>
            </w:tcBorders>
          </w:tcPr>
          <w:p>
            <w:pPr>
              <w:pStyle w:val="TableParagraph"/>
              <w:spacing w:line="240" w:lineRule="auto" w:before="52"/>
              <w:ind w:left="27"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343" w:hRule="exact"/>
        </w:trPr>
        <w:tc>
          <w:tcPr>
            <w:tcW w:w="2850" w:type="dxa"/>
            <w:gridSpan w:val="3"/>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9" w:lineRule="auto" w:before="52"/>
              <w:ind w:left="7" w:right="8"/>
              <w:jc w:val="left"/>
              <w:rPr>
                <w:rFonts w:ascii="宋体" w:hAnsi="宋体" w:cs="宋体" w:eastAsia="宋体" w:hint="default"/>
                <w:sz w:val="18"/>
                <w:szCs w:val="18"/>
              </w:rPr>
            </w:pPr>
            <w:r>
              <w:rPr>
                <w:rFonts w:ascii="宋体" w:hAnsi="宋体" w:cs="宋体" w:eastAsia="宋体" w:hint="default"/>
                <w:sz w:val="18"/>
                <w:szCs w:val="18"/>
              </w:rPr>
              <w:t>当期新增大股东及其附属企业非经 </w:t>
            </w:r>
            <w:r>
              <w:rPr>
                <w:rFonts w:ascii="宋体" w:hAnsi="宋体" w:cs="宋体" w:eastAsia="宋体" w:hint="default"/>
                <w:spacing w:val="-5"/>
                <w:sz w:val="18"/>
                <w:szCs w:val="18"/>
              </w:rPr>
              <w:t>营性资金占用情况的原因、责任人追</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究及董事会拟定采取措施的情况说 明</w:t>
            </w:r>
          </w:p>
        </w:tc>
        <w:tc>
          <w:tcPr>
            <w:tcW w:w="6714" w:type="dxa"/>
            <w:gridSpan w:val="7"/>
            <w:tcBorders>
              <w:top w:val="single" w:sz="6" w:space="0" w:color="000000"/>
              <w:left w:val="single" w:sz="9" w:space="0" w:color="D2D2D2"/>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032" w:hRule="exact"/>
        </w:trPr>
        <w:tc>
          <w:tcPr>
            <w:tcW w:w="2850" w:type="dxa"/>
            <w:gridSpan w:val="3"/>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6" w:lineRule="auto" w:before="52"/>
              <w:ind w:left="7" w:right="8"/>
              <w:jc w:val="left"/>
              <w:rPr>
                <w:rFonts w:ascii="宋体" w:hAnsi="宋体" w:cs="宋体" w:eastAsia="宋体" w:hint="default"/>
                <w:sz w:val="18"/>
                <w:szCs w:val="18"/>
              </w:rPr>
            </w:pPr>
            <w:r>
              <w:rPr>
                <w:rFonts w:ascii="宋体" w:hAnsi="宋体" w:cs="宋体" w:eastAsia="宋体" w:hint="default"/>
                <w:sz w:val="18"/>
                <w:szCs w:val="18"/>
              </w:rPr>
              <w:t>未能按计划清偿非经营性资金占用 </w:t>
            </w:r>
            <w:r>
              <w:rPr>
                <w:rFonts w:ascii="宋体" w:hAnsi="宋体" w:cs="宋体" w:eastAsia="宋体" w:hint="default"/>
                <w:spacing w:val="-5"/>
                <w:sz w:val="18"/>
                <w:szCs w:val="18"/>
              </w:rPr>
              <w:t>的原因、责任追究情况及董事会拟定</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采取的措施说明</w:t>
            </w:r>
          </w:p>
        </w:tc>
        <w:tc>
          <w:tcPr>
            <w:tcW w:w="6714" w:type="dxa"/>
            <w:gridSpan w:val="7"/>
            <w:tcBorders>
              <w:top w:val="single" w:sz="6" w:space="0" w:color="000000"/>
              <w:left w:val="single" w:sz="9" w:space="0" w:color="D2D2D2"/>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7"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9" w:hRule="exact"/>
        </w:trPr>
        <w:tc>
          <w:tcPr>
            <w:tcW w:w="2850" w:type="dxa"/>
            <w:gridSpan w:val="3"/>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6" w:lineRule="auto" w:before="51"/>
              <w:ind w:left="7" w:right="119"/>
              <w:jc w:val="left"/>
              <w:rPr>
                <w:rFonts w:ascii="宋体" w:hAnsi="宋体" w:cs="宋体" w:eastAsia="宋体" w:hint="default"/>
                <w:sz w:val="18"/>
                <w:szCs w:val="18"/>
              </w:rPr>
            </w:pPr>
            <w:r>
              <w:rPr>
                <w:rFonts w:ascii="宋体" w:hAnsi="宋体" w:cs="宋体" w:eastAsia="宋体" w:hint="default"/>
                <w:sz w:val="18"/>
                <w:szCs w:val="18"/>
              </w:rPr>
              <w:t>注册会计师对资金占用的专项审核 意见的披露日期</w:t>
            </w:r>
          </w:p>
        </w:tc>
        <w:tc>
          <w:tcPr>
            <w:tcW w:w="6714" w:type="dxa"/>
            <w:gridSpan w:val="7"/>
            <w:tcBorders>
              <w:top w:val="single" w:sz="6" w:space="0" w:color="000000"/>
              <w:left w:val="single" w:sz="9" w:space="0" w:color="D2D2D2"/>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727" w:hRule="exact"/>
        </w:trPr>
        <w:tc>
          <w:tcPr>
            <w:tcW w:w="2850" w:type="dxa"/>
            <w:gridSpan w:val="3"/>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319" w:lineRule="auto" w:before="51"/>
              <w:ind w:left="7" w:right="118"/>
              <w:jc w:val="left"/>
              <w:rPr>
                <w:rFonts w:ascii="宋体" w:hAnsi="宋体" w:cs="宋体" w:eastAsia="宋体" w:hint="default"/>
                <w:sz w:val="18"/>
                <w:szCs w:val="18"/>
              </w:rPr>
            </w:pPr>
            <w:r>
              <w:rPr>
                <w:rFonts w:ascii="宋体" w:hAnsi="宋体" w:cs="宋体" w:eastAsia="宋体" w:hint="default"/>
                <w:sz w:val="18"/>
                <w:szCs w:val="18"/>
              </w:rPr>
              <w:t>注册会计师对资金占用的专项审核 意见的披露索引</w:t>
            </w:r>
          </w:p>
        </w:tc>
        <w:tc>
          <w:tcPr>
            <w:tcW w:w="6714" w:type="dxa"/>
            <w:gridSpan w:val="7"/>
            <w:tcBorders>
              <w:top w:val="single" w:sz="6" w:space="0" w:color="000000"/>
              <w:left w:val="single" w:sz="9" w:space="0" w:color="D2D2D2"/>
              <w:bottom w:val="single" w:sz="12"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sz w:val="18"/>
                <w:szCs w:val="18"/>
              </w:rPr>
              <w:t>见巨潮资讯网（</w:t>
            </w:r>
            <w:hyperlink r:id="rId11">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）上披露的报告</w:t>
            </w:r>
          </w:p>
        </w:tc>
      </w:tr>
    </w:tbl>
    <w:p>
      <w:pPr>
        <w:spacing w:line="240" w:lineRule="auto" w:before="2"/>
        <w:rPr>
          <w:rFonts w:ascii="宋体" w:hAnsi="宋体" w:cs="宋体" w:eastAsia="宋体" w:hint="default"/>
          <w:sz w:val="18"/>
          <w:szCs w:val="18"/>
        </w:rPr>
      </w:pPr>
    </w:p>
    <w:p>
      <w:pPr>
        <w:pStyle w:val="Heading4"/>
        <w:spacing w:line="240" w:lineRule="auto" w:before="26"/>
        <w:ind w:left="1134" w:right="998"/>
        <w:jc w:val="left"/>
        <w:rPr>
          <w:b w:val="0"/>
          <w:bCs w:val="0"/>
        </w:rPr>
      </w:pPr>
      <w:bookmarkStart w:name="四、董事会对最近一期“非标准审计报告”相关情况的说明" w:id="69"/>
      <w:bookmarkEnd w:id="69"/>
      <w:r>
        <w:rPr>
          <w:b w:val="0"/>
          <w:bCs w:val="0"/>
        </w:rPr>
      </w:r>
      <w:r>
        <w:rPr/>
        <w:t>四、董事会对最近一期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相关情况的说明</w:t>
      </w:r>
      <w:r>
        <w:rPr>
          <w:b w:val="0"/>
          <w:bCs w:val="0"/>
        </w:rPr>
      </w:r>
    </w:p>
    <w:p>
      <w:pPr>
        <w:spacing w:line="240" w:lineRule="auto" w:before="2"/>
        <w:rPr>
          <w:rFonts w:ascii="宋体" w:hAnsi="宋体" w:cs="宋体" w:eastAsia="宋体" w:hint="default"/>
          <w:b/>
          <w:bCs/>
          <w:sz w:val="25"/>
          <w:szCs w:val="25"/>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4"/>
        <w:spacing w:line="240" w:lineRule="auto"/>
        <w:ind w:right="998"/>
        <w:jc w:val="left"/>
        <w:rPr>
          <w:b w:val="0"/>
          <w:bCs w:val="0"/>
        </w:rPr>
      </w:pPr>
      <w:bookmarkStart w:name="五、董事会、监事会、独立董事（如有）对会计师事务所本报告期“非标准审计报告”的说" w:id="70"/>
      <w:bookmarkEnd w:id="70"/>
      <w:r>
        <w:rPr>
          <w:b w:val="0"/>
          <w:bCs w:val="0"/>
        </w:rPr>
      </w: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4"/>
        <w:rPr>
          <w:rFonts w:ascii="宋体" w:hAnsi="宋体" w:cs="宋体" w:eastAsia="宋体" w:hint="default"/>
          <w:b/>
          <w:bCs/>
          <w:sz w:val="25"/>
          <w:szCs w:val="25"/>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4"/>
        <w:spacing w:line="240" w:lineRule="auto"/>
        <w:ind w:right="998"/>
        <w:jc w:val="left"/>
        <w:rPr>
          <w:b w:val="0"/>
          <w:bCs w:val="0"/>
        </w:rPr>
      </w:pPr>
      <w:bookmarkStart w:name="六、董事会关于报告期会计政策、会计估计变更或重大会计差错更正的说明" w:id="71"/>
      <w:bookmarkEnd w:id="71"/>
      <w:r>
        <w:rPr>
          <w:b w:val="0"/>
          <w:bCs w:val="0"/>
        </w:rPr>
      </w:r>
      <w:r>
        <w:rPr/>
        <w:t>六、董事会关于报告期会计政策、会计估计变更或重大会计差错更正的说明</w:t>
      </w:r>
      <w:r>
        <w:rPr>
          <w:b w:val="0"/>
          <w:bCs w:val="0"/>
        </w:rPr>
      </w:r>
    </w:p>
    <w:p>
      <w:pPr>
        <w:spacing w:line="240" w:lineRule="auto" w:before="9"/>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headerReference w:type="default" r:id="rId22"/>
          <w:footerReference w:type="default" r:id="rId23"/>
          <w:pgSz w:w="11910" w:h="16840"/>
          <w:pgMar w:header="877" w:footer="979" w:top="1100" w:bottom="1160" w:left="0" w:right="0"/>
          <w:pgNumType w:start="60"/>
        </w:sectPr>
      </w:pPr>
    </w:p>
    <w:p>
      <w:pPr>
        <w:spacing w:line="240" w:lineRule="auto" w:before="8"/>
        <w:rPr>
          <w:rFonts w:ascii="宋体" w:hAnsi="宋体" w:cs="宋体" w:eastAsia="宋体" w:hint="default"/>
          <w:sz w:val="26"/>
          <w:szCs w:val="26"/>
        </w:rPr>
      </w:pPr>
    </w:p>
    <w:p>
      <w:pPr>
        <w:pStyle w:val="BodyText"/>
        <w:spacing w:line="391" w:lineRule="auto" w:before="35"/>
        <w:ind w:right="998"/>
        <w:jc w:val="left"/>
      </w:pPr>
      <w:r>
        <w:rPr>
          <w:rFonts w:ascii="Times New Roman" w:hAnsi="Times New Roman" w:cs="Times New Roman" w:eastAsia="Times New Roman" w:hint="default"/>
        </w:rPr>
        <w:t>1</w:t>
      </w:r>
      <w:r>
        <w:rPr/>
        <w:t>、重要会计政策变更原因 </w:t>
      </w:r>
      <w:r>
        <w:rPr>
          <w:spacing w:val="-5"/>
        </w:rPr>
        <w:t>财政部于</w:t>
      </w:r>
      <w:r>
        <w:rPr>
          <w:rFonts w:ascii="Times New Roman" w:hAnsi="Times New Roman" w:cs="Times New Roman" w:eastAsia="Times New Roman" w:hint="default"/>
          <w:spacing w:val="-5"/>
        </w:rPr>
        <w:t>2017</w:t>
      </w:r>
      <w:r>
        <w:rPr>
          <w:spacing w:val="-5"/>
        </w:rPr>
        <w:t>年度发布了《企业会计准则第</w:t>
      </w:r>
      <w:r>
        <w:rPr>
          <w:rFonts w:ascii="Times New Roman" w:hAnsi="Times New Roman" w:cs="Times New Roman" w:eastAsia="Times New Roman" w:hint="default"/>
          <w:spacing w:val="-5"/>
        </w:rPr>
        <w:t>42</w:t>
      </w:r>
      <w:r>
        <w:rPr>
          <w:spacing w:val="-5"/>
        </w:rPr>
        <w:t>号</w:t>
      </w:r>
      <w:r>
        <w:rPr>
          <w:rFonts w:ascii="Times New Roman" w:hAnsi="Times New Roman" w:cs="Times New Roman" w:eastAsia="Times New Roman" w:hint="default"/>
          <w:spacing w:val="-5"/>
        </w:rPr>
        <w:t>——</w:t>
      </w:r>
      <w:r>
        <w:rPr>
          <w:spacing w:val="-5"/>
        </w:rPr>
        <w:t>持有待售的非流动资产、处置组和终止经营》，自</w:t>
      </w:r>
      <w:r>
        <w:rPr>
          <w:rFonts w:ascii="Times New Roman" w:hAnsi="Times New Roman" w:cs="Times New Roman" w:eastAsia="Times New Roman" w:hint="default"/>
          <w:spacing w:val="-5"/>
        </w:rPr>
        <w:t>2017</w:t>
      </w:r>
      <w:r>
        <w:rPr>
          <w:rFonts w:ascii="Times New Roman" w:hAnsi="Times New Roman" w:cs="Times New Roman" w:eastAsia="Times New Roman" w:hint="default"/>
          <w:spacing w:val="-29"/>
        </w:rPr>
        <w:t> </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28</w:t>
      </w:r>
      <w:r>
        <w:rPr/>
        <w:t>日起施行，对于施行日存在的持有待售的非流动资产、处置组和终止经营，要求采用未来适用法 处理。 </w:t>
      </w:r>
      <w:r>
        <w:rPr>
          <w:spacing w:val="-1"/>
        </w:rPr>
        <w:t>财政部于</w:t>
      </w:r>
      <w:r>
        <w:rPr>
          <w:rFonts w:ascii="Times New Roman" w:hAnsi="Times New Roman" w:cs="Times New Roman" w:eastAsia="Times New Roman" w:hint="default"/>
          <w:spacing w:val="-1"/>
        </w:rPr>
        <w:t>2017</w:t>
      </w:r>
      <w:r>
        <w:rPr>
          <w:spacing w:val="-1"/>
        </w:rPr>
        <w:t>年度修订了《企业会计准则第</w:t>
      </w:r>
      <w:r>
        <w:rPr>
          <w:rFonts w:ascii="Times New Roman" w:hAnsi="Times New Roman" w:cs="Times New Roman" w:eastAsia="Times New Roman" w:hint="default"/>
          <w:spacing w:val="-1"/>
        </w:rPr>
        <w:t>16</w:t>
      </w:r>
      <w:r>
        <w:rPr>
          <w:spacing w:val="-1"/>
        </w:rPr>
        <w:t>号</w:t>
      </w:r>
      <w:r>
        <w:rPr>
          <w:rFonts w:ascii="Times New Roman" w:hAnsi="Times New Roman" w:cs="Times New Roman" w:eastAsia="Times New Roman" w:hint="default"/>
          <w:spacing w:val="-1"/>
        </w:rPr>
        <w:t>——</w:t>
      </w:r>
      <w:r>
        <w:rPr>
          <w:spacing w:val="-1"/>
        </w:rPr>
        <w:t>政府补助》，修订后的准则自</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12</w:t>
      </w:r>
      <w:r>
        <w:rPr>
          <w:spacing w:val="-1"/>
        </w:rPr>
        <w:t>日起施行，</w:t>
      </w:r>
      <w:r>
        <w:rPr>
          <w:spacing w:val="-81"/>
        </w:rPr>
        <w:t> </w:t>
      </w:r>
      <w:r>
        <w:rPr>
          <w:spacing w:val="-81"/>
        </w:rPr>
      </w:r>
      <w:r>
        <w:rPr/>
        <w:t>对于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日存在的政府补助，要求采用未来适用法处理；对于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日至施行日新增的政府补 助，也要求按照修订后的准则进行调整。 财政部于</w:t>
      </w:r>
      <w:r>
        <w:rPr>
          <w:rFonts w:ascii="Times New Roman" w:hAnsi="Times New Roman" w:cs="Times New Roman" w:eastAsia="Times New Roman" w:hint="default"/>
        </w:rPr>
        <w:t>2017</w:t>
      </w:r>
      <w:r>
        <w:rPr/>
        <w:t>年度发布了《财政部关于修订印发一般企业财务报表格式的通知》，对一般企业财务报表格 式进行了修订，适用于</w:t>
      </w:r>
      <w:r>
        <w:rPr>
          <w:rFonts w:ascii="Times New Roman" w:hAnsi="Times New Roman" w:cs="Times New Roman" w:eastAsia="Times New Roman" w:hint="default"/>
        </w:rPr>
        <w:t>2017</w:t>
      </w:r>
      <w:r>
        <w:rPr/>
        <w:t>年度及以后期间的财务报表。</w:t>
      </w:r>
    </w:p>
    <w:p>
      <w:pPr>
        <w:pStyle w:val="BodyText"/>
        <w:spacing w:line="240" w:lineRule="auto" w:before="30"/>
        <w:ind w:right="998"/>
        <w:jc w:val="left"/>
      </w:pPr>
      <w:r>
        <w:rPr>
          <w:rFonts w:ascii="Times New Roman" w:hAnsi="Times New Roman" w:cs="Times New Roman" w:eastAsia="Times New Roman" w:hint="default"/>
        </w:rPr>
        <w:t>2</w:t>
      </w:r>
      <w:r>
        <w:rPr/>
        <w:t>、会计政策变更对公司的影响</w:t>
      </w:r>
    </w:p>
    <w:p>
      <w:pPr>
        <w:spacing w:line="240" w:lineRule="auto" w:before="1"/>
        <w:rPr>
          <w:rFonts w:ascii="宋体" w:hAnsi="宋体" w:cs="宋体" w:eastAsia="宋体" w:hint="default"/>
          <w:sz w:val="9"/>
          <w:szCs w:val="9"/>
        </w:rPr>
      </w:pPr>
    </w:p>
    <w:tbl>
      <w:tblPr>
        <w:tblW w:w="0" w:type="auto"/>
        <w:jc w:val="left"/>
        <w:tblInd w:w="1102" w:type="dxa"/>
        <w:tblLayout w:type="fixed"/>
        <w:tblCellMar>
          <w:top w:w="0" w:type="dxa"/>
          <w:left w:w="0" w:type="dxa"/>
          <w:bottom w:w="0" w:type="dxa"/>
          <w:right w:w="0" w:type="dxa"/>
        </w:tblCellMar>
        <w:tblLook w:val="01E0"/>
      </w:tblPr>
      <w:tblGrid>
        <w:gridCol w:w="5370"/>
        <w:gridCol w:w="4299"/>
      </w:tblGrid>
      <w:tr>
        <w:trPr>
          <w:trHeight w:val="580" w:hRule="exact"/>
        </w:trPr>
        <w:tc>
          <w:tcPr>
            <w:tcW w:w="5370"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34"/>
              <w:ind w:left="1590" w:right="0"/>
              <w:jc w:val="left"/>
              <w:rPr>
                <w:rFonts w:ascii="宋体" w:hAnsi="宋体" w:cs="宋体" w:eastAsia="宋体" w:hint="default"/>
                <w:sz w:val="18"/>
                <w:szCs w:val="18"/>
              </w:rPr>
            </w:pPr>
            <w:r>
              <w:rPr>
                <w:rFonts w:ascii="宋体" w:hAnsi="宋体" w:cs="宋体" w:eastAsia="宋体" w:hint="default"/>
                <w:b/>
                <w:bCs/>
                <w:sz w:val="18"/>
                <w:szCs w:val="18"/>
              </w:rPr>
              <w:t>会计政策变更的内容和原因</w:t>
            </w:r>
            <w:r>
              <w:rPr>
                <w:rFonts w:ascii="宋体" w:hAnsi="宋体" w:cs="宋体" w:eastAsia="宋体" w:hint="default"/>
                <w:sz w:val="18"/>
                <w:szCs w:val="18"/>
              </w:rPr>
            </w:r>
          </w:p>
        </w:tc>
        <w:tc>
          <w:tcPr>
            <w:tcW w:w="4299"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134"/>
              <w:ind w:left="967" w:right="0"/>
              <w:jc w:val="left"/>
              <w:rPr>
                <w:rFonts w:ascii="宋体" w:hAnsi="宋体" w:cs="宋体" w:eastAsia="宋体" w:hint="default"/>
                <w:sz w:val="18"/>
                <w:szCs w:val="18"/>
              </w:rPr>
            </w:pPr>
            <w:r>
              <w:rPr>
                <w:rFonts w:ascii="宋体" w:hAnsi="宋体" w:cs="宋体" w:eastAsia="宋体" w:hint="default"/>
                <w:b/>
                <w:bCs/>
                <w:sz w:val="18"/>
                <w:szCs w:val="18"/>
              </w:rPr>
              <w:t>受影响的报表项目名称和金额</w:t>
            </w:r>
            <w:r>
              <w:rPr>
                <w:rFonts w:ascii="宋体" w:hAnsi="宋体" w:cs="宋体" w:eastAsia="宋体" w:hint="default"/>
                <w:sz w:val="18"/>
                <w:szCs w:val="18"/>
              </w:rPr>
            </w:r>
          </w:p>
        </w:tc>
      </w:tr>
      <w:tr>
        <w:trPr>
          <w:trHeight w:val="1056" w:hRule="exact"/>
        </w:trPr>
        <w:tc>
          <w:tcPr>
            <w:tcW w:w="537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5"/>
              <w:ind w:left="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）在利润表中列示</w:t>
            </w:r>
            <w:r>
              <w:rPr>
                <w:rFonts w:ascii="Times New Roman" w:hAnsi="Times New Roman" w:cs="Times New Roman" w:eastAsia="Times New Roman" w:hint="default"/>
                <w:sz w:val="18"/>
                <w:szCs w:val="18"/>
              </w:rPr>
              <w:t>“</w:t>
            </w:r>
            <w:r>
              <w:rPr>
                <w:rFonts w:ascii="宋体" w:hAnsi="宋体" w:cs="宋体" w:eastAsia="宋体" w:hint="default"/>
                <w:sz w:val="18"/>
                <w:szCs w:val="18"/>
              </w:rPr>
              <w:t>持续经营净利润</w:t>
            </w:r>
            <w:r>
              <w:rPr>
                <w:rFonts w:ascii="Times New Roman" w:hAnsi="Times New Roman" w:cs="Times New Roman" w:eastAsia="Times New Roman" w:hint="default"/>
                <w:sz w:val="18"/>
                <w:szCs w:val="18"/>
              </w:rPr>
              <w:t>”</w:t>
            </w:r>
            <w:r>
              <w:rPr>
                <w:rFonts w:ascii="宋体" w:hAnsi="宋体" w:cs="宋体" w:eastAsia="宋体" w:hint="default"/>
                <w:sz w:val="18"/>
                <w:szCs w:val="18"/>
              </w:rPr>
              <w:t>，比较数据相应调整。</w:t>
            </w:r>
          </w:p>
        </w:tc>
        <w:tc>
          <w:tcPr>
            <w:tcW w:w="4299" w:type="dxa"/>
            <w:tcBorders>
              <w:top w:val="single" w:sz="6" w:space="0" w:color="000000"/>
              <w:left w:val="single" w:sz="6" w:space="0" w:color="000000"/>
              <w:bottom w:val="single" w:sz="6" w:space="0" w:color="000000"/>
              <w:right w:val="single" w:sz="12" w:space="0" w:color="000000"/>
            </w:tcBorders>
          </w:tcPr>
          <w:p>
            <w:pPr>
              <w:pStyle w:val="TableParagraph"/>
              <w:spacing w:line="451" w:lineRule="auto" w:before="145"/>
              <w:ind w:left="2" w:right="-4"/>
              <w:jc w:val="left"/>
              <w:rPr>
                <w:rFonts w:ascii="宋体" w:hAnsi="宋体" w:cs="宋体" w:eastAsia="宋体" w:hint="default"/>
                <w:sz w:val="18"/>
                <w:szCs w:val="18"/>
              </w:rPr>
            </w:pPr>
            <w:r>
              <w:rPr>
                <w:rFonts w:ascii="宋体" w:hAnsi="宋体" w:cs="宋体" w:eastAsia="宋体" w:hint="default"/>
                <w:spacing w:val="-2"/>
                <w:sz w:val="18"/>
                <w:szCs w:val="18"/>
              </w:rPr>
              <w:t>本期列示持续经营净利润金额</w:t>
            </w:r>
            <w:r>
              <w:rPr>
                <w:rFonts w:ascii="Times New Roman" w:hAnsi="Times New Roman" w:cs="Times New Roman" w:eastAsia="Times New Roman" w:hint="default"/>
                <w:spacing w:val="-2"/>
                <w:sz w:val="18"/>
                <w:szCs w:val="18"/>
              </w:rPr>
              <w:t>1,418,686,409.55</w:t>
            </w:r>
            <w:r>
              <w:rPr>
                <w:rFonts w:ascii="宋体" w:hAnsi="宋体" w:cs="宋体" w:eastAsia="宋体" w:hint="default"/>
                <w:spacing w:val="-2"/>
                <w:sz w:val="18"/>
                <w:szCs w:val="18"/>
              </w:rPr>
              <w:t>元；上期</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持续经营净利润金额</w:t>
            </w:r>
            <w:r>
              <w:rPr>
                <w:rFonts w:ascii="Times New Roman" w:hAnsi="Times New Roman" w:cs="Times New Roman" w:eastAsia="Times New Roman" w:hint="default"/>
                <w:sz w:val="18"/>
                <w:szCs w:val="18"/>
              </w:rPr>
              <w:t>545,250,896.55</w:t>
            </w:r>
            <w:r>
              <w:rPr>
                <w:rFonts w:ascii="宋体" w:hAnsi="宋体" w:cs="宋体" w:eastAsia="宋体" w:hint="default"/>
                <w:sz w:val="18"/>
                <w:szCs w:val="18"/>
              </w:rPr>
              <w:t>元。</w:t>
            </w:r>
          </w:p>
        </w:tc>
      </w:tr>
      <w:tr>
        <w:trPr>
          <w:trHeight w:val="1052" w:hRule="exact"/>
        </w:trPr>
        <w:tc>
          <w:tcPr>
            <w:tcW w:w="5370" w:type="dxa"/>
            <w:tcBorders>
              <w:top w:val="single" w:sz="6" w:space="0" w:color="000000"/>
              <w:left w:val="single" w:sz="12" w:space="0" w:color="000000"/>
              <w:bottom w:val="single" w:sz="6" w:space="0" w:color="000000"/>
              <w:right w:val="single" w:sz="6" w:space="0" w:color="000000"/>
            </w:tcBorders>
          </w:tcPr>
          <w:p>
            <w:pPr>
              <w:pStyle w:val="TableParagraph"/>
              <w:spacing w:line="451" w:lineRule="auto" w:before="140"/>
              <w:ind w:left="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）与本公司日常活动相关的政府补助，计入其他收益，不再计入</w:t>
            </w:r>
            <w:r>
              <w:rPr>
                <w:rFonts w:ascii="宋体" w:hAnsi="宋体" w:cs="宋体" w:eastAsia="宋体" w:hint="default"/>
                <w:spacing w:val="-61"/>
                <w:sz w:val="18"/>
                <w:szCs w:val="18"/>
              </w:rPr>
              <w:t> </w:t>
            </w:r>
            <w:r>
              <w:rPr>
                <w:rFonts w:ascii="宋体" w:hAnsi="宋体" w:cs="宋体" w:eastAsia="宋体" w:hint="default"/>
                <w:sz w:val="18"/>
                <w:szCs w:val="18"/>
              </w:rPr>
              <w:t>营业外收入。比较数据不调整。</w:t>
            </w:r>
          </w:p>
        </w:tc>
        <w:tc>
          <w:tcPr>
            <w:tcW w:w="42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0"/>
              <w:ind w:left="2" w:right="0"/>
              <w:jc w:val="left"/>
              <w:rPr>
                <w:rFonts w:ascii="宋体" w:hAnsi="宋体" w:cs="宋体" w:eastAsia="宋体" w:hint="default"/>
                <w:sz w:val="18"/>
                <w:szCs w:val="18"/>
              </w:rPr>
            </w:pPr>
            <w:r>
              <w:rPr>
                <w:rFonts w:ascii="宋体" w:hAnsi="宋体" w:cs="宋体" w:eastAsia="宋体" w:hint="default"/>
                <w:sz w:val="18"/>
                <w:szCs w:val="18"/>
              </w:rPr>
              <w:t>其他收益：</w:t>
            </w:r>
            <w:r>
              <w:rPr>
                <w:rFonts w:ascii="Times New Roman" w:hAnsi="Times New Roman" w:cs="Times New Roman" w:eastAsia="Times New Roman" w:hint="default"/>
                <w:sz w:val="18"/>
                <w:szCs w:val="18"/>
              </w:rPr>
              <w:t>35,581,798.35</w:t>
            </w:r>
            <w:r>
              <w:rPr>
                <w:rFonts w:ascii="宋体" w:hAnsi="宋体" w:cs="宋体" w:eastAsia="宋体" w:hint="default"/>
                <w:sz w:val="18"/>
                <w:szCs w:val="18"/>
              </w:rPr>
              <w:t>元。</w:t>
            </w:r>
          </w:p>
        </w:tc>
      </w:tr>
      <w:tr>
        <w:trPr>
          <w:trHeight w:val="1527" w:hRule="exact"/>
        </w:trPr>
        <w:tc>
          <w:tcPr>
            <w:tcW w:w="5370" w:type="dxa"/>
            <w:tcBorders>
              <w:top w:val="single" w:sz="6" w:space="0" w:color="000000"/>
              <w:left w:val="single" w:sz="12" w:space="0" w:color="000000"/>
              <w:bottom w:val="single" w:sz="12" w:space="0" w:color="000000"/>
              <w:right w:val="single" w:sz="6" w:space="0" w:color="000000"/>
            </w:tcBorders>
          </w:tcPr>
          <w:p>
            <w:pPr>
              <w:pStyle w:val="TableParagraph"/>
              <w:spacing w:line="451" w:lineRule="auto" w:before="140"/>
              <w:ind w:left="1" w:right="-1"/>
              <w:jc w:val="both"/>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）在利润表中新增</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资产处置收益</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项目，将部分原列示为</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营业外</w:t>
            </w:r>
            <w:r>
              <w:rPr>
                <w:rFonts w:ascii="宋体" w:hAnsi="宋体" w:cs="宋体" w:eastAsia="宋体" w:hint="default"/>
                <w:spacing w:val="-85"/>
                <w:sz w:val="18"/>
                <w:szCs w:val="18"/>
              </w:rPr>
              <w:t> </w:t>
            </w:r>
            <w:r>
              <w:rPr>
                <w:rFonts w:ascii="宋体" w:hAnsi="宋体" w:cs="宋体" w:eastAsia="宋体" w:hint="default"/>
                <w:sz w:val="18"/>
                <w:szCs w:val="18"/>
              </w:rPr>
              <w:t>收入</w:t>
            </w:r>
            <w:r>
              <w:rPr>
                <w:rFonts w:ascii="Times New Roman" w:hAnsi="Times New Roman" w:cs="Times New Roman" w:eastAsia="Times New Roman" w:hint="default"/>
                <w:sz w:val="18"/>
                <w:szCs w:val="18"/>
              </w:rPr>
              <w:t>”</w:t>
            </w:r>
            <w:r>
              <w:rPr>
                <w:rFonts w:ascii="宋体" w:hAnsi="宋体" w:cs="宋体" w:eastAsia="宋体" w:hint="default"/>
                <w:sz w:val="18"/>
                <w:szCs w:val="18"/>
              </w:rPr>
              <w:t>的资产处置损益重分类至</w:t>
            </w:r>
            <w:r>
              <w:rPr>
                <w:rFonts w:ascii="Times New Roman" w:hAnsi="Times New Roman" w:cs="Times New Roman" w:eastAsia="Times New Roman" w:hint="default"/>
                <w:sz w:val="18"/>
                <w:szCs w:val="18"/>
              </w:rPr>
              <w:t>“</w:t>
            </w:r>
            <w:r>
              <w:rPr>
                <w:rFonts w:ascii="宋体" w:hAnsi="宋体" w:cs="宋体" w:eastAsia="宋体" w:hint="default"/>
                <w:sz w:val="18"/>
                <w:szCs w:val="18"/>
              </w:rPr>
              <w:t>资产处置收益</w:t>
            </w:r>
            <w:r>
              <w:rPr>
                <w:rFonts w:ascii="Times New Roman" w:hAnsi="Times New Roman" w:cs="Times New Roman" w:eastAsia="Times New Roman" w:hint="default"/>
                <w:sz w:val="18"/>
                <w:szCs w:val="18"/>
              </w:rPr>
              <w:t>”</w:t>
            </w:r>
            <w:r>
              <w:rPr>
                <w:rFonts w:ascii="宋体" w:hAnsi="宋体" w:cs="宋体" w:eastAsia="宋体" w:hint="default"/>
                <w:sz w:val="18"/>
                <w:szCs w:val="18"/>
              </w:rPr>
              <w:t>项目。比较数据相应</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z w:val="18"/>
                <w:szCs w:val="18"/>
              </w:rPr>
              <w:t>调整。</w:t>
            </w:r>
          </w:p>
        </w:tc>
        <w:tc>
          <w:tcPr>
            <w:tcW w:w="4299" w:type="dxa"/>
            <w:tcBorders>
              <w:top w:val="single" w:sz="6" w:space="0" w:color="000000"/>
              <w:left w:val="single" w:sz="6" w:space="0" w:color="000000"/>
              <w:bottom w:val="single" w:sz="12" w:space="0" w:color="000000"/>
              <w:right w:val="single" w:sz="12" w:space="0" w:color="000000"/>
            </w:tcBorders>
          </w:tcPr>
          <w:p>
            <w:pPr>
              <w:pStyle w:val="TableParagraph"/>
              <w:spacing w:line="451" w:lineRule="auto" w:before="140"/>
              <w:ind w:left="2" w:right="-5"/>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2017</w:t>
            </w:r>
            <w:r>
              <w:rPr>
                <w:rFonts w:ascii="宋体" w:hAnsi="宋体" w:cs="宋体" w:eastAsia="宋体" w:hint="default"/>
                <w:spacing w:val="-3"/>
                <w:sz w:val="18"/>
                <w:szCs w:val="18"/>
              </w:rPr>
              <w:t>年度计入资产处置收益</w:t>
            </w:r>
            <w:r>
              <w:rPr>
                <w:rFonts w:ascii="Times New Roman" w:hAnsi="Times New Roman" w:cs="Times New Roman" w:eastAsia="Times New Roman" w:hint="default"/>
                <w:spacing w:val="-3"/>
                <w:sz w:val="18"/>
                <w:szCs w:val="18"/>
              </w:rPr>
              <w:t>1,250,264.28</w:t>
            </w:r>
            <w:r>
              <w:rPr>
                <w:rFonts w:ascii="宋体" w:hAnsi="宋体" w:cs="宋体" w:eastAsia="宋体" w:hint="default"/>
                <w:spacing w:val="-3"/>
                <w:sz w:val="18"/>
                <w:szCs w:val="18"/>
              </w:rPr>
              <w:t>元；</w:t>
            </w:r>
            <w:r>
              <w:rPr>
                <w:rFonts w:ascii="Times New Roman" w:hAnsi="Times New Roman" w:cs="Times New Roman" w:eastAsia="Times New Roman" w:hint="default"/>
                <w:spacing w:val="-3"/>
                <w:sz w:val="18"/>
                <w:szCs w:val="18"/>
              </w:rPr>
              <w:t>2016</w:t>
            </w:r>
            <w:r>
              <w:rPr>
                <w:rFonts w:ascii="宋体" w:hAnsi="宋体" w:cs="宋体" w:eastAsia="宋体" w:hint="default"/>
                <w:spacing w:val="-3"/>
                <w:sz w:val="18"/>
                <w:szCs w:val="18"/>
              </w:rPr>
              <w:t>年度营</w:t>
            </w:r>
            <w:r>
              <w:rPr>
                <w:rFonts w:ascii="宋体" w:hAnsi="宋体" w:cs="宋体" w:eastAsia="宋体" w:hint="default"/>
                <w:spacing w:val="-77"/>
                <w:sz w:val="18"/>
                <w:szCs w:val="18"/>
              </w:rPr>
              <w:t> </w:t>
            </w:r>
            <w:r>
              <w:rPr>
                <w:rFonts w:ascii="宋体" w:hAnsi="宋体" w:cs="宋体" w:eastAsia="宋体" w:hint="default"/>
                <w:spacing w:val="3"/>
                <w:sz w:val="18"/>
                <w:szCs w:val="18"/>
              </w:rPr>
              <w:t>业外收入减少</w:t>
            </w:r>
            <w:r>
              <w:rPr>
                <w:rFonts w:ascii="Times New Roman" w:hAnsi="Times New Roman" w:cs="Times New Roman" w:eastAsia="Times New Roman" w:hint="default"/>
                <w:spacing w:val="3"/>
                <w:sz w:val="18"/>
                <w:szCs w:val="18"/>
              </w:rPr>
              <w:t>5,939.99</w:t>
            </w:r>
            <w:r>
              <w:rPr>
                <w:rFonts w:ascii="宋体" w:hAnsi="宋体" w:cs="宋体" w:eastAsia="宋体" w:hint="default"/>
                <w:spacing w:val="3"/>
                <w:sz w:val="18"/>
                <w:szCs w:val="18"/>
              </w:rPr>
              <w:t>元，营业外支出减少</w:t>
            </w:r>
            <w:r>
              <w:rPr>
                <w:rFonts w:ascii="Times New Roman" w:hAnsi="Times New Roman" w:cs="Times New Roman" w:eastAsia="Times New Roman" w:hint="default"/>
                <w:spacing w:val="3"/>
                <w:sz w:val="18"/>
                <w:szCs w:val="18"/>
              </w:rPr>
              <w:t>204,349.23</w:t>
            </w:r>
            <w:r>
              <w:rPr>
                <w:rFonts w:ascii="Times New Roman" w:hAnsi="Times New Roman" w:cs="Times New Roman" w:eastAsia="Times New Roman" w:hint="default"/>
                <w:spacing w:val="-14"/>
                <w:sz w:val="18"/>
                <w:szCs w:val="18"/>
              </w:rPr>
              <w:t> </w:t>
            </w:r>
            <w:r>
              <w:rPr>
                <w:rFonts w:ascii="Times New Roman" w:hAnsi="Times New Roman" w:cs="Times New Roman" w:eastAsia="Times New Roman" w:hint="default"/>
                <w:spacing w:val="-14"/>
                <w:sz w:val="18"/>
                <w:szCs w:val="18"/>
              </w:rPr>
            </w:r>
            <w:r>
              <w:rPr>
                <w:rFonts w:ascii="宋体" w:hAnsi="宋体" w:cs="宋体" w:eastAsia="宋体" w:hint="default"/>
                <w:sz w:val="18"/>
                <w:szCs w:val="18"/>
              </w:rPr>
              <w:t>元，资产处置收益增加</w:t>
            </w:r>
            <w:r>
              <w:rPr>
                <w:rFonts w:ascii="Times New Roman" w:hAnsi="Times New Roman" w:cs="Times New Roman" w:eastAsia="Times New Roman" w:hint="default"/>
                <w:sz w:val="18"/>
                <w:szCs w:val="18"/>
              </w:rPr>
              <w:t>-198,409.24</w:t>
            </w:r>
            <w:r>
              <w:rPr>
                <w:rFonts w:ascii="宋体" w:hAnsi="宋体" w:cs="宋体" w:eastAsia="宋体" w:hint="default"/>
                <w:sz w:val="18"/>
                <w:szCs w:val="18"/>
              </w:rPr>
              <w:t>元。</w:t>
            </w:r>
          </w:p>
        </w:tc>
      </w:tr>
    </w:tbl>
    <w:p>
      <w:pPr>
        <w:spacing w:line="240" w:lineRule="auto" w:before="2"/>
        <w:rPr>
          <w:rFonts w:ascii="宋体" w:hAnsi="宋体" w:cs="宋体" w:eastAsia="宋体" w:hint="default"/>
          <w:sz w:val="18"/>
          <w:szCs w:val="18"/>
        </w:rPr>
      </w:pPr>
    </w:p>
    <w:p>
      <w:pPr>
        <w:pStyle w:val="Heading4"/>
        <w:spacing w:line="240" w:lineRule="auto" w:before="26"/>
        <w:ind w:left="1134" w:right="998"/>
        <w:jc w:val="left"/>
        <w:rPr>
          <w:b w:val="0"/>
          <w:bCs w:val="0"/>
        </w:rPr>
      </w:pPr>
      <w:bookmarkStart w:name="七、与上年度财务报告相比，合并报表范围发生变化的情况说明" w:id="72"/>
      <w:bookmarkEnd w:id="72"/>
      <w:r>
        <w:rPr>
          <w:b w:val="0"/>
          <w:bCs w:val="0"/>
        </w:rPr>
      </w:r>
      <w:r>
        <w:rPr/>
        <w:t>七、与上年度财务报告相比，合并报表范围发生变化的情况说明</w:t>
      </w:r>
      <w:r>
        <w:rPr>
          <w:b w:val="0"/>
          <w:bCs w:val="0"/>
        </w:rPr>
      </w:r>
    </w:p>
    <w:p>
      <w:pPr>
        <w:spacing w:line="240" w:lineRule="auto" w:before="7"/>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pStyle w:val="BodyText"/>
        <w:spacing w:line="408" w:lineRule="auto" w:before="153"/>
        <w:ind w:right="1120" w:firstLine="420"/>
        <w:jc w:val="left"/>
      </w:pPr>
      <w:r>
        <w:rPr/>
        <w:t>公司本期纳入合并范围的公司共</w:t>
      </w:r>
      <w:r>
        <w:rPr>
          <w:rFonts w:ascii="宋体" w:hAnsi="宋体" w:cs="宋体" w:eastAsia="宋体" w:hint="default"/>
        </w:rPr>
        <w:t>30</w:t>
      </w:r>
      <w:r>
        <w:rPr/>
        <w:t>家，本期新设增加</w:t>
      </w:r>
      <w:r>
        <w:rPr>
          <w:rFonts w:ascii="宋体" w:hAnsi="宋体" w:cs="宋体" w:eastAsia="宋体" w:hint="default"/>
        </w:rPr>
        <w:t>4</w:t>
      </w:r>
      <w:r>
        <w:rPr/>
        <w:t>个子公司，分别为霍尔果斯昆仑点金科技网络 </w:t>
      </w:r>
      <w:r>
        <w:rPr>
          <w:spacing w:val="-2"/>
        </w:rPr>
        <w:t>有限公司、霍尔果斯昆诺天勤创业投资有限公司、新余市昆仑乐云网络小额贷款有限公司、</w:t>
      </w:r>
      <w:r>
        <w:rPr>
          <w:rFonts w:ascii="宋体" w:hAnsi="宋体" w:cs="宋体" w:eastAsia="宋体" w:hint="default"/>
          <w:spacing w:val="-2"/>
        </w:rPr>
        <w:t>Cayman</w:t>
      </w:r>
      <w:r>
        <w:rPr>
          <w:rFonts w:ascii="宋体" w:hAnsi="宋体" w:cs="宋体" w:eastAsia="宋体" w:hint="default"/>
          <w:spacing w:val="-40"/>
        </w:rPr>
        <w:t> </w:t>
      </w:r>
      <w:r>
        <w:rPr>
          <w:rFonts w:ascii="宋体" w:hAnsi="宋体" w:cs="宋体" w:eastAsia="宋体" w:hint="default"/>
        </w:rPr>
        <w:t>Kunlun</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rPr>
        <w:t>Group</w:t>
      </w:r>
      <w:r>
        <w:rPr>
          <w:rFonts w:ascii="MS Gothic" w:hAnsi="MS Gothic" w:cs="MS Gothic" w:eastAsia="MS Gothic" w:hint="default"/>
        </w:rPr>
        <w:t>｡</w:t>
      </w:r>
      <w:r>
        <w:rPr/>
        <w:t>非同一控制下的合并增加</w:t>
      </w:r>
      <w:r>
        <w:rPr>
          <w:rFonts w:ascii="宋体" w:hAnsi="宋体" w:cs="宋体" w:eastAsia="宋体" w:hint="default"/>
        </w:rPr>
        <w:t>6</w:t>
      </w:r>
      <w:r>
        <w:rPr/>
        <w:t>个子公司，分别为北京闲徕互娱网络科技有限公司、闲来互娱（海南） </w:t>
      </w:r>
      <w:r>
        <w:rPr>
          <w:spacing w:val="-1"/>
        </w:rPr>
        <w:t>网络科技有限公司、闲徕互娱（香港）网络科技有限公司、湖南闲徕互娱网络科技有限公司、深圳市天橙</w:t>
      </w:r>
      <w:r>
        <w:rPr>
          <w:spacing w:val="-83"/>
        </w:rPr>
        <w:t> </w:t>
      </w:r>
      <w:r>
        <w:rPr>
          <w:spacing w:val="-83"/>
        </w:rPr>
      </w:r>
      <w:r>
        <w:rPr/>
        <w:t>一品科技有限公司、成都杰蛙科技有限公司。</w:t>
      </w:r>
    </w:p>
    <w:p>
      <w:pPr>
        <w:spacing w:line="240" w:lineRule="auto" w:before="11"/>
        <w:rPr>
          <w:rFonts w:ascii="宋体" w:hAnsi="宋体" w:cs="宋体" w:eastAsia="宋体" w:hint="default"/>
          <w:sz w:val="18"/>
          <w:szCs w:val="18"/>
        </w:rPr>
      </w:pPr>
    </w:p>
    <w:p>
      <w:pPr>
        <w:pStyle w:val="Heading4"/>
        <w:spacing w:line="240" w:lineRule="auto"/>
        <w:ind w:left="1134" w:right="998"/>
        <w:jc w:val="left"/>
        <w:rPr>
          <w:b w:val="0"/>
          <w:bCs w:val="0"/>
        </w:rPr>
      </w:pPr>
      <w:bookmarkStart w:name="八、聘任、解聘会计师事务所情况" w:id="73"/>
      <w:bookmarkEnd w:id="73"/>
      <w:r>
        <w:rPr>
          <w:b w:val="0"/>
          <w:bCs w:val="0"/>
        </w:rPr>
      </w:r>
      <w:r>
        <w:rPr/>
        <w:t>八、聘任、解聘会计师事务所情况</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现聘任的会计事务所</w:t>
      </w:r>
    </w:p>
    <w:p>
      <w:pPr>
        <w:spacing w:after="0"/>
        <w:jc w:val="left"/>
        <w:rPr>
          <w:rFonts w:ascii="宋体" w:hAnsi="宋体" w:cs="宋体" w:eastAsia="宋体" w:hint="default"/>
          <w:sz w:val="18"/>
          <w:szCs w:val="18"/>
        </w:rPr>
        <w:sectPr>
          <w:pgSz w:w="11910" w:h="16840"/>
          <w:pgMar w:header="877" w:footer="979" w:top="1100" w:bottom="1160" w:left="0" w:right="0"/>
        </w:sectPr>
      </w:pPr>
    </w:p>
    <w:p>
      <w:pPr>
        <w:spacing w:line="240" w:lineRule="auto" w:before="6"/>
        <w:rPr>
          <w:rFonts w:ascii="宋体" w:hAnsi="宋体" w:cs="宋体" w:eastAsia="宋体" w:hint="default"/>
          <w:sz w:val="24"/>
          <w:szCs w:val="24"/>
        </w:rPr>
      </w:pPr>
    </w:p>
    <w:tbl>
      <w:tblPr>
        <w:tblW w:w="0" w:type="auto"/>
        <w:jc w:val="left"/>
        <w:tblInd w:w="1159" w:type="dxa"/>
        <w:tblLayout w:type="fixed"/>
        <w:tblCellMar>
          <w:top w:w="0" w:type="dxa"/>
          <w:left w:w="0" w:type="dxa"/>
          <w:bottom w:w="0" w:type="dxa"/>
          <w:right w:w="0" w:type="dxa"/>
        </w:tblCellMar>
        <w:tblLook w:val="01E0"/>
      </w:tblPr>
      <w:tblGrid>
        <w:gridCol w:w="4786"/>
        <w:gridCol w:w="4777"/>
      </w:tblGrid>
      <w:tr>
        <w:trPr>
          <w:trHeight w:val="415" w:hRule="exact"/>
        </w:trPr>
        <w:tc>
          <w:tcPr>
            <w:tcW w:w="4786"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7" w:hRule="exact"/>
        </w:trPr>
        <w:tc>
          <w:tcPr>
            <w:tcW w:w="478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0"/>
              <w:ind w:left="6"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0"/>
              <w:ind w:right="11"/>
              <w:jc w:val="right"/>
              <w:rPr>
                <w:rFonts w:ascii="Times New Roman" w:hAnsi="Times New Roman" w:cs="Times New Roman" w:eastAsia="Times New Roman" w:hint="default"/>
                <w:sz w:val="18"/>
                <w:szCs w:val="18"/>
              </w:rPr>
            </w:pPr>
            <w:r>
              <w:rPr>
                <w:rFonts w:ascii="Times New Roman"/>
                <w:sz w:val="18"/>
              </w:rPr>
              <w:t>189</w:t>
            </w:r>
          </w:p>
        </w:tc>
      </w:tr>
      <w:tr>
        <w:trPr>
          <w:trHeight w:val="407" w:hRule="exact"/>
        </w:trPr>
        <w:tc>
          <w:tcPr>
            <w:tcW w:w="478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0"/>
              <w:ind w:left="6"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0"/>
              <w:ind w:left="20" w:right="0"/>
              <w:jc w:val="left"/>
              <w:rPr>
                <w:rFonts w:ascii="Times New Roman" w:hAnsi="Times New Roman" w:cs="Times New Roman" w:eastAsia="Times New Roman" w:hint="default"/>
                <w:sz w:val="18"/>
                <w:szCs w:val="18"/>
              </w:rPr>
            </w:pPr>
            <w:r>
              <w:rPr>
                <w:rFonts w:ascii="Times New Roman"/>
                <w:sz w:val="18"/>
              </w:rPr>
              <w:t>9</w:t>
            </w:r>
          </w:p>
        </w:tc>
      </w:tr>
      <w:tr>
        <w:trPr>
          <w:trHeight w:val="407" w:hRule="exact"/>
        </w:trPr>
        <w:tc>
          <w:tcPr>
            <w:tcW w:w="478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强桂英、孙继伟</w:t>
            </w:r>
          </w:p>
        </w:tc>
      </w:tr>
      <w:tr>
        <w:trPr>
          <w:trHeight w:val="414" w:hRule="exact"/>
        </w:trPr>
        <w:tc>
          <w:tcPr>
            <w:tcW w:w="4786"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9</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是否改聘会计师事务所</w:t>
      </w:r>
    </w:p>
    <w:p>
      <w:pPr>
        <w:spacing w:line="338" w:lineRule="auto" w:before="117"/>
        <w:ind w:left="1133" w:right="62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聘请内部控制审计会计师事务所、财务顾问或保荐人情况</w:t>
      </w:r>
    </w:p>
    <w:p>
      <w:pPr>
        <w:spacing w:before="43"/>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4"/>
        <w:spacing w:line="240" w:lineRule="auto"/>
        <w:ind w:right="998"/>
        <w:jc w:val="left"/>
        <w:rPr>
          <w:b w:val="0"/>
          <w:bCs w:val="0"/>
        </w:rPr>
      </w:pPr>
      <w:bookmarkStart w:name="九、年度报告披露后面临暂停上市和终止上市情况" w:id="74"/>
      <w:bookmarkEnd w:id="74"/>
      <w:r>
        <w:rPr>
          <w:b w:val="0"/>
          <w:bCs w:val="0"/>
        </w:rPr>
      </w:r>
      <w:r>
        <w:rPr/>
        <w:t>九、年度报告披露后面临暂停上市和终止上市情况</w:t>
      </w:r>
      <w:r>
        <w:rPr>
          <w:b w:val="0"/>
          <w:bCs w:val="0"/>
        </w:rPr>
      </w:r>
    </w:p>
    <w:p>
      <w:pPr>
        <w:spacing w:line="240" w:lineRule="auto" w:before="9"/>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4"/>
        <w:spacing w:line="240" w:lineRule="auto"/>
        <w:ind w:right="998"/>
        <w:jc w:val="left"/>
        <w:rPr>
          <w:b w:val="0"/>
          <w:bCs w:val="0"/>
        </w:rPr>
      </w:pPr>
      <w:bookmarkStart w:name="十、破产重整相关事项" w:id="75"/>
      <w:bookmarkEnd w:id="75"/>
      <w:r>
        <w:rPr>
          <w:b w:val="0"/>
          <w:bCs w:val="0"/>
        </w:rPr>
      </w:r>
      <w:r>
        <w:rPr/>
        <w:t>十、破产重整相关事项</w:t>
      </w:r>
      <w:r>
        <w:rPr>
          <w:b w:val="0"/>
          <w:bCs w:val="0"/>
        </w:rPr>
      </w:r>
    </w:p>
    <w:p>
      <w:pPr>
        <w:spacing w:line="240" w:lineRule="auto" w:before="9"/>
        <w:rPr>
          <w:rFonts w:ascii="宋体" w:hAnsi="宋体" w:cs="宋体" w:eastAsia="宋体" w:hint="default"/>
          <w:b/>
          <w:bCs/>
          <w:sz w:val="26"/>
          <w:szCs w:val="26"/>
        </w:rPr>
      </w:pPr>
    </w:p>
    <w:p>
      <w:pPr>
        <w:spacing w:line="338" w:lineRule="auto" w:before="0"/>
        <w:ind w:left="1133" w:right="76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公司报告期未发生破产重整相关事项。</w:t>
      </w:r>
    </w:p>
    <w:p>
      <w:pPr>
        <w:spacing w:after="0" w:line="338" w:lineRule="auto"/>
        <w:jc w:val="left"/>
        <w:rPr>
          <w:rFonts w:ascii="宋体" w:hAnsi="宋体" w:cs="宋体" w:eastAsia="宋体" w:hint="default"/>
          <w:sz w:val="18"/>
          <w:szCs w:val="18"/>
        </w:rPr>
        <w:sectPr>
          <w:pgSz w:w="11910" w:h="16840"/>
          <w:pgMar w:header="877" w:footer="979" w:top="1100" w:bottom="1160" w:left="0" w:right="0"/>
        </w:sectPr>
      </w:pPr>
    </w:p>
    <w:p>
      <w:pPr>
        <w:spacing w:line="240" w:lineRule="auto" w:before="3"/>
        <w:rPr>
          <w:rFonts w:ascii="宋体" w:hAnsi="宋体" w:cs="宋体" w:eastAsia="宋体" w:hint="default"/>
          <w:sz w:val="22"/>
          <w:szCs w:val="22"/>
        </w:rPr>
      </w:pPr>
    </w:p>
    <w:p>
      <w:pPr>
        <w:pStyle w:val="Heading4"/>
        <w:spacing w:line="240" w:lineRule="auto"/>
        <w:ind w:left="160" w:right="0"/>
        <w:jc w:val="left"/>
        <w:rPr>
          <w:b w:val="0"/>
          <w:bCs w:val="0"/>
        </w:rPr>
      </w:pPr>
      <w:r>
        <w:rPr/>
        <w:pict>
          <v:group style="position:absolute;margin-left:70.5pt;margin-top:.755627pt;width:701pt;height:.1pt;mso-position-horizontal-relative:page;mso-position-vertical-relative:paragraph;z-index:-1136104" coordorigin="1410,15" coordsize="14020,2">
            <v:shape style="position:absolute;left:1410;top:15;width:14020;height:2" coordorigin="1410,15" coordsize="14020,0" path="m1410,15l15430,15e" filled="false" stroked="true" strokeweight=".72pt" strokecolor="#000000">
              <v:path arrowok="t"/>
            </v:shape>
            <w10:wrap type="none"/>
          </v:group>
        </w:pict>
      </w:r>
      <w:bookmarkStart w:name="十一、重大诉讼、仲裁事项" w:id="76"/>
      <w:bookmarkEnd w:id="76"/>
      <w:r>
        <w:rPr>
          <w:b w:val="0"/>
          <w:bCs w:val="0"/>
        </w:rPr>
      </w:r>
      <w:r>
        <w:rPr>
          <w:w w:val="95"/>
        </w:rPr>
        <w:t>十一、重大诉讼、仲裁事项</w:t>
      </w:r>
      <w:r>
        <w:rPr>
          <w:b w:val="0"/>
          <w:bCs w:val="0"/>
        </w:rPr>
      </w:r>
    </w:p>
    <w:p>
      <w:pPr>
        <w:spacing w:line="240" w:lineRule="auto" w:before="8"/>
        <w:rPr>
          <w:rFonts w:ascii="宋体" w:hAnsi="宋体" w:cs="宋体" w:eastAsia="宋体" w:hint="default"/>
          <w:b/>
          <w:bCs/>
          <w:sz w:val="26"/>
          <w:szCs w:val="26"/>
        </w:rPr>
      </w:pPr>
    </w:p>
    <w:p>
      <w:pPr>
        <w:spacing w:before="0"/>
        <w:ind w:left="160" w:right="0" w:firstLine="0"/>
        <w:jc w:val="left"/>
        <w:rPr>
          <w:rFonts w:ascii="宋体" w:hAnsi="宋体" w:cs="宋体" w:eastAsia="宋体" w:hint="default"/>
          <w:sz w:val="18"/>
          <w:szCs w:val="18"/>
        </w:rPr>
      </w:pPr>
      <w:r>
        <w:rPr/>
        <w:pict>
          <v:shape style="position:absolute;margin-left:223.443008pt;margin-top:54.491714pt;width:82.2pt;height:156.050pt;mso-position-horizontal-relative:page;mso-position-vertical-relative:paragraph;z-index:-113612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316" w:lineRule="auto" w:before="107"/>
                    <w:ind w:left="0" w:right="920" w:firstLine="540"/>
                    <w:jc w:val="left"/>
                    <w:rPr>
                      <w:rFonts w:ascii="宋体" w:hAnsi="宋体" w:cs="宋体" w:eastAsia="宋体" w:hint="default"/>
                      <w:sz w:val="18"/>
                      <w:szCs w:val="18"/>
                    </w:rPr>
                  </w:pPr>
                  <w:r>
                    <w:rPr>
                      <w:rFonts w:ascii="宋体" w:hAnsi="宋体" w:cs="宋体" w:eastAsia="宋体" w:hint="default"/>
                      <w:sz w:val="18"/>
                      <w:szCs w:val="18"/>
                    </w:rPr>
                    <w:t>） 发行人、</w:t>
                  </w:r>
                </w:p>
              </w:txbxContent>
            </v:textbox>
            <w10:wrap type="none"/>
          </v:shape>
        </w:pict>
      </w: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5"/>
        <w:ind w:left="160"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北京昆仑万维科技股份有限公司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p>
      <w:pPr>
        <w:spacing w:after="0"/>
        <w:jc w:val="left"/>
        <w:rPr>
          <w:rFonts w:ascii="宋体" w:hAnsi="宋体" w:cs="宋体" w:eastAsia="宋体" w:hint="default"/>
          <w:sz w:val="18"/>
          <w:szCs w:val="18"/>
        </w:rPr>
        <w:sectPr>
          <w:headerReference w:type="default" r:id="rId24"/>
          <w:footerReference w:type="default" r:id="rId25"/>
          <w:pgSz w:w="16840" w:h="11910" w:orient="landscape"/>
          <w:pgMar w:header="0" w:footer="0" w:top="800" w:bottom="0" w:left="1280" w:right="0"/>
          <w:cols w:num="2" w:equalWidth="0">
            <w:col w:w="3049" w:space="6680"/>
            <w:col w:w="5831"/>
          </w:cols>
        </w:sectPr>
      </w:pPr>
    </w:p>
    <w:p>
      <w:pPr>
        <w:spacing w:line="240" w:lineRule="auto" w:before="12"/>
        <w:rPr>
          <w:rFonts w:ascii="宋体" w:hAnsi="宋体" w:cs="宋体" w:eastAsia="宋体" w:hint="default"/>
          <w:sz w:val="6"/>
          <w:szCs w:val="6"/>
        </w:rPr>
      </w:pPr>
      <w:r>
        <w:rPr/>
        <w:pict>
          <v:group style="position:absolute;margin-left:477.519989pt;margin-top:214.640015pt;width:110.55pt;height:31.25pt;mso-position-horizontal-relative:page;mso-position-vertical-relative:page;z-index:-1136032" coordorigin="9550,4293" coordsize="2211,625">
            <v:group style="position:absolute;left:9550;top:4293;width:2211;height:312" coordorigin="9550,4293" coordsize="2211,312">
              <v:shape style="position:absolute;left:9550;top:4293;width:2211;height:312" coordorigin="9550,4293" coordsize="2211,312" path="m9550,4605l11761,4605,11761,4293,9550,4293,9550,4605xe" filled="true" fillcolor="#ffffff" stroked="false">
                <v:path arrowok="t"/>
                <v:fill type="solid"/>
              </v:shape>
            </v:group>
            <v:group style="position:absolute;left:9550;top:4605;width:2211;height:313" coordorigin="9550,4605" coordsize="2211,313">
              <v:shape style="position:absolute;left:9550;top:4605;width:2211;height:313" coordorigin="9550,4605" coordsize="2211,313" path="m9550,4917l11761,4917,11761,4605,9550,4605,9550,4917xe" filled="true" fillcolor="#ffffff" stroked="false">
                <v:path arrowok="t"/>
                <v:fill type="solid"/>
              </v:shape>
            </v:group>
            <w10:wrap type="none"/>
          </v:group>
        </w:pict>
      </w:r>
    </w:p>
    <w:tbl>
      <w:tblPr>
        <w:tblW w:w="0" w:type="auto"/>
        <w:jc w:val="left"/>
        <w:tblInd w:w="116" w:type="dxa"/>
        <w:tblLayout w:type="fixed"/>
        <w:tblCellMar>
          <w:top w:w="0" w:type="dxa"/>
          <w:left w:w="0" w:type="dxa"/>
          <w:bottom w:w="0" w:type="dxa"/>
          <w:right w:w="0" w:type="dxa"/>
        </w:tblCellMar>
        <w:tblLook w:val="01E0"/>
      </w:tblPr>
      <w:tblGrid>
        <w:gridCol w:w="3716"/>
        <w:gridCol w:w="991"/>
        <w:gridCol w:w="1135"/>
        <w:gridCol w:w="2278"/>
        <w:gridCol w:w="2256"/>
        <w:gridCol w:w="1141"/>
        <w:gridCol w:w="1276"/>
        <w:gridCol w:w="1221"/>
      </w:tblGrid>
      <w:tr>
        <w:trPr>
          <w:trHeight w:val="727" w:hRule="exact"/>
        </w:trPr>
        <w:tc>
          <w:tcPr>
            <w:tcW w:w="3716"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61" w:right="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基本情况</w:t>
            </w:r>
          </w:p>
        </w:tc>
        <w:tc>
          <w:tcPr>
            <w:tcW w:w="991"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28" w:right="0"/>
              <w:jc w:val="left"/>
              <w:rPr>
                <w:rFonts w:ascii="宋体" w:hAnsi="宋体" w:cs="宋体" w:eastAsia="宋体" w:hint="default"/>
                <w:sz w:val="18"/>
                <w:szCs w:val="18"/>
              </w:rPr>
            </w:pPr>
            <w:r>
              <w:rPr>
                <w:rFonts w:ascii="宋体" w:hAnsi="宋体" w:cs="宋体" w:eastAsia="宋体" w:hint="default"/>
                <w:sz w:val="18"/>
                <w:szCs w:val="18"/>
              </w:rPr>
              <w:t>涉案金额</w:t>
            </w:r>
          </w:p>
          <w:p>
            <w:pPr>
              <w:pStyle w:val="TableParagraph"/>
              <w:spacing w:line="240" w:lineRule="auto" w:before="77"/>
              <w:ind w:left="128"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13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9" w:lineRule="auto" w:before="51"/>
              <w:ind w:left="290" w:right="108" w:hanging="180"/>
              <w:jc w:val="left"/>
              <w:rPr>
                <w:rFonts w:ascii="宋体" w:hAnsi="宋体" w:cs="宋体" w:eastAsia="宋体" w:hint="default"/>
                <w:sz w:val="18"/>
                <w:szCs w:val="18"/>
              </w:rPr>
            </w:pPr>
            <w:r>
              <w:rPr>
                <w:rFonts w:ascii="宋体" w:hAnsi="宋体" w:cs="宋体" w:eastAsia="宋体" w:hint="default"/>
                <w:sz w:val="18"/>
                <w:szCs w:val="18"/>
              </w:rPr>
              <w:t>是否形成预 计负债</w:t>
            </w:r>
          </w:p>
        </w:tc>
        <w:tc>
          <w:tcPr>
            <w:tcW w:w="227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25" w:right="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进展</w:t>
            </w:r>
          </w:p>
        </w:tc>
        <w:tc>
          <w:tcPr>
            <w:tcW w:w="225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5" w:right="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审理结果及影响</w:t>
            </w:r>
          </w:p>
        </w:tc>
        <w:tc>
          <w:tcPr>
            <w:tcW w:w="1141"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02" w:lineRule="auto" w:before="51"/>
              <w:ind w:left="114" w:right="50" w:hanging="6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判 决执行情况</w:t>
            </w:r>
          </w:p>
        </w:tc>
        <w:tc>
          <w:tcPr>
            <w:tcW w:w="127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1"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221"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3"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6655" w:hRule="exact"/>
        </w:trPr>
        <w:tc>
          <w:tcPr>
            <w:tcW w:w="371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r>
              <w:rPr>
                <w:rFonts w:ascii="宋体" w:hAnsi="宋体" w:cs="宋体" w:eastAsia="宋体" w:hint="default"/>
                <w:spacing w:val="-76"/>
                <w:sz w:val="18"/>
                <w:szCs w:val="18"/>
              </w:rPr>
              <w:t>，</w:t>
            </w:r>
            <w:r>
              <w:rPr>
                <w:rFonts w:ascii="宋体" w:hAnsi="宋体" w:cs="宋体" w:eastAsia="宋体" w:hint="default"/>
                <w:sz w:val="18"/>
                <w:szCs w:val="18"/>
              </w:rPr>
              <w:t>发行人收到北京市第一中级</w:t>
            </w:r>
          </w:p>
          <w:p>
            <w:pPr>
              <w:pStyle w:val="TableParagraph"/>
              <w:spacing w:line="307" w:lineRule="auto" w:before="61"/>
              <w:ind w:left="13" w:right="-50"/>
              <w:jc w:val="left"/>
              <w:rPr>
                <w:rFonts w:ascii="Times New Roman" w:hAnsi="Times New Roman" w:cs="Times New Roman" w:eastAsia="Times New Roman" w:hint="default"/>
                <w:sz w:val="18"/>
                <w:szCs w:val="18"/>
              </w:rPr>
            </w:pPr>
            <w:r>
              <w:rPr>
                <w:rFonts w:ascii="宋体" w:hAnsi="宋体" w:cs="宋体" w:eastAsia="宋体" w:hint="default"/>
                <w:spacing w:val="-5"/>
                <w:sz w:val="18"/>
                <w:szCs w:val="18"/>
              </w:rPr>
              <w:t>人民法院的（</w:t>
            </w:r>
            <w:r>
              <w:rPr>
                <w:rFonts w:ascii="Times New Roman" w:hAnsi="Times New Roman" w:cs="Times New Roman" w:eastAsia="Times New Roman" w:hint="default"/>
                <w:spacing w:val="-5"/>
                <w:sz w:val="18"/>
                <w:szCs w:val="18"/>
              </w:rPr>
              <w:t>2014</w:t>
            </w:r>
            <w:r>
              <w:rPr>
                <w:rFonts w:ascii="宋体" w:hAnsi="宋体" w:cs="宋体" w:eastAsia="宋体" w:hint="default"/>
                <w:spacing w:val="-5"/>
                <w:sz w:val="18"/>
                <w:szCs w:val="18"/>
              </w:rPr>
              <w:t>）一中民初字第 </w:t>
            </w:r>
            <w:r>
              <w:rPr>
                <w:rFonts w:ascii="Times New Roman" w:hAnsi="Times New Roman" w:cs="Times New Roman" w:eastAsia="Times New Roman" w:hint="default"/>
                <w:sz w:val="18"/>
                <w:szCs w:val="18"/>
              </w:rPr>
              <w:t>5146</w:t>
            </w:r>
            <w:r>
              <w:rPr>
                <w:rFonts w:ascii="Times New Roman" w:hAnsi="Times New Roman" w:cs="Times New Roman" w:eastAsia="Times New Roman" w:hint="default"/>
                <w:spacing w:val="7"/>
                <w:sz w:val="18"/>
                <w:szCs w:val="18"/>
              </w:rPr>
              <w:t> </w:t>
            </w:r>
            <w:r>
              <w:rPr>
                <w:rFonts w:ascii="宋体" w:hAnsi="宋体" w:cs="宋体" w:eastAsia="宋体" w:hint="default"/>
                <w:spacing w:val="-14"/>
                <w:sz w:val="18"/>
                <w:szCs w:val="18"/>
              </w:rPr>
              <w:t>号《民</w:t>
            </w:r>
            <w:r>
              <w:rPr>
                <w:rFonts w:ascii="宋体" w:hAnsi="宋体" w:cs="宋体" w:eastAsia="宋体" w:hint="default"/>
                <w:sz w:val="18"/>
                <w:szCs w:val="18"/>
              </w:rPr>
              <w:t> 事应诉通知书》及明河社出版有限公司、完美 </w:t>
            </w:r>
            <w:r>
              <w:rPr>
                <w:rFonts w:ascii="宋体" w:hAnsi="宋体" w:cs="宋体" w:eastAsia="宋体" w:hint="default"/>
                <w:spacing w:val="-6"/>
                <w:sz w:val="18"/>
                <w:szCs w:val="18"/>
              </w:rPr>
              <w:t>世界（北京）软件有限公司（以下合称</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原告</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起诉北京火谷网络科技有限责任公司、 </w:t>
            </w:r>
            <w:r>
              <w:rPr>
                <w:rFonts w:ascii="宋体" w:hAnsi="宋体" w:cs="宋体" w:eastAsia="宋体" w:hint="default"/>
                <w:spacing w:val="-5"/>
                <w:sz w:val="18"/>
                <w:szCs w:val="18"/>
              </w:rPr>
              <w:t>昆仑在线及昆仑乐享（以下合称 </w:t>
            </w:r>
            <w:r>
              <w:rPr>
                <w:rFonts w:ascii="Times New Roman" w:hAnsi="Times New Roman" w:cs="Times New Roman" w:eastAsia="Times New Roman" w:hint="default"/>
                <w:spacing w:val="-17"/>
                <w:sz w:val="18"/>
                <w:szCs w:val="18"/>
              </w:rPr>
              <w:t>“</w:t>
            </w:r>
            <w:r>
              <w:rPr>
                <w:rFonts w:ascii="宋体" w:hAnsi="宋体" w:cs="宋体" w:eastAsia="宋体" w:hint="default"/>
                <w:spacing w:val="-17"/>
                <w:sz w:val="18"/>
                <w:szCs w:val="18"/>
              </w:rPr>
              <w:t>被告</w:t>
            </w:r>
            <w:r>
              <w:rPr>
                <w:rFonts w:ascii="Times New Roman" w:hAnsi="Times New Roman" w:cs="Times New Roman" w:eastAsia="Times New Roman" w:hint="default"/>
                <w:spacing w:val="-17"/>
                <w:sz w:val="18"/>
                <w:szCs w:val="18"/>
              </w:rPr>
              <w:t>”</w:t>
            </w:r>
            <w:r>
              <w:rPr>
                <w:rFonts w:ascii="宋体" w:hAnsi="宋体" w:cs="宋体" w:eastAsia="宋体" w:hint="default"/>
                <w:spacing w:val="-17"/>
                <w:sz w:val="18"/>
                <w:szCs w:val="18"/>
              </w:rPr>
              <w:t>）的《民</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6"/>
                <w:sz w:val="18"/>
                <w:szCs w:val="18"/>
              </w:rPr>
              <w:t>事起诉状》。原告称被告所运营的网络游戏《武</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侠 </w:t>
            </w:r>
            <w:r>
              <w:rPr>
                <w:rFonts w:ascii="Times New Roman" w:hAnsi="Times New Roman" w:cs="Times New Roman" w:eastAsia="Times New Roman" w:hint="default"/>
                <w:sz w:val="18"/>
                <w:szCs w:val="18"/>
              </w:rPr>
              <w:t>Q</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传》侵犯其著作权及不正当竞争，要求： </w:t>
            </w:r>
            <w:r>
              <w:rPr>
                <w:rFonts w:ascii="Times New Roman" w:hAnsi="Times New Roman" w:cs="Times New Roman" w:eastAsia="Times New Roman" w:hint="default"/>
                <w:sz w:val="18"/>
                <w:szCs w:val="18"/>
              </w:rPr>
              <w:t>1.</w:t>
            </w:r>
            <w:r>
              <w:rPr>
                <w:rFonts w:ascii="宋体" w:hAnsi="宋体" w:cs="宋体" w:eastAsia="宋体" w:hint="default"/>
                <w:sz w:val="18"/>
                <w:szCs w:val="18"/>
              </w:rPr>
              <w:t>被告立即停止侵权原告著作权及不正当竞争 </w:t>
            </w:r>
            <w:r>
              <w:rPr>
                <w:rFonts w:ascii="宋体" w:hAnsi="宋体" w:cs="宋体" w:eastAsia="宋体" w:hint="default"/>
                <w:spacing w:val="-9"/>
                <w:sz w:val="18"/>
                <w:szCs w:val="18"/>
              </w:rPr>
              <w:t>行为，包括立即停止运营侵权网络游戏《武侠</w:t>
            </w:r>
            <w:r>
              <w:rPr>
                <w:rFonts w:ascii="宋体" w:hAnsi="宋体" w:cs="宋体" w:eastAsia="宋体" w:hint="default"/>
                <w:sz w:val="18"/>
                <w:szCs w:val="18"/>
              </w:rPr>
              <w:t> </w:t>
            </w:r>
            <w:r>
              <w:rPr>
                <w:rFonts w:ascii="Times New Roman" w:hAnsi="Times New Roman" w:cs="Times New Roman" w:eastAsia="Times New Roman" w:hint="default"/>
                <w:w w:val="99"/>
                <w:sz w:val="18"/>
                <w:szCs w:val="18"/>
              </w:rPr>
              <w:t>Q</w:t>
            </w:r>
            <w:r>
              <w:rPr>
                <w:rFonts w:ascii="Times New Roman" w:hAnsi="Times New Roman" w:cs="Times New Roman" w:eastAsia="Times New Roman" w:hint="default"/>
                <w:spacing w:val="-27"/>
                <w:w w:val="99"/>
                <w:sz w:val="18"/>
                <w:szCs w:val="18"/>
              </w:rPr>
              <w:t> </w:t>
            </w:r>
            <w:r>
              <w:rPr>
                <w:rFonts w:ascii="宋体" w:hAnsi="宋体" w:cs="宋体" w:eastAsia="宋体" w:hint="default"/>
                <w:spacing w:val="-9"/>
                <w:sz w:val="18"/>
                <w:szCs w:val="18"/>
              </w:rPr>
              <w:t>传》，立即去除《武侠</w:t>
            </w:r>
            <w:r>
              <w:rPr>
                <w:rFonts w:ascii="宋体" w:hAnsi="宋体" w:cs="宋体" w:eastAsia="宋体" w:hint="default"/>
                <w:sz w:val="18"/>
                <w:szCs w:val="18"/>
              </w:rPr>
              <w:t> </w:t>
            </w:r>
            <w:r>
              <w:rPr>
                <w:rFonts w:ascii="Times New Roman" w:hAnsi="Times New Roman" w:cs="Times New Roman" w:eastAsia="Times New Roman" w:hint="default"/>
                <w:w w:val="99"/>
                <w:sz w:val="18"/>
                <w:szCs w:val="18"/>
              </w:rPr>
              <w:t>Q</w:t>
            </w:r>
            <w:r>
              <w:rPr>
                <w:rFonts w:ascii="Times New Roman" w:hAnsi="Times New Roman" w:cs="Times New Roman" w:eastAsia="Times New Roman" w:hint="default"/>
                <w:spacing w:val="44"/>
                <w:w w:val="99"/>
                <w:sz w:val="18"/>
                <w:szCs w:val="18"/>
              </w:rPr>
              <w:t> </w:t>
            </w:r>
            <w:r>
              <w:rPr>
                <w:rFonts w:ascii="宋体" w:hAnsi="宋体" w:cs="宋体" w:eastAsia="宋体" w:hint="default"/>
                <w:sz w:val="18"/>
                <w:szCs w:val="18"/>
              </w:rPr>
              <w:t>传》游戏中的全部侵 权内容，立即从发行人、昆仑在线官方网站服 </w:t>
            </w:r>
            <w:r>
              <w:rPr>
                <w:rFonts w:ascii="宋体" w:hAnsi="宋体" w:cs="宋体" w:eastAsia="宋体" w:hint="default"/>
                <w:spacing w:val="-6"/>
                <w:sz w:val="18"/>
                <w:szCs w:val="18"/>
              </w:rPr>
              <w:t>务器删除《武侠</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Q</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传》及停止该游戏客户端下</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载服务，立即停止向渠道商提供《武侠 </w:t>
            </w:r>
            <w:r>
              <w:rPr>
                <w:rFonts w:ascii="Times New Roman" w:hAnsi="Times New Roman" w:cs="Times New Roman" w:eastAsia="Times New Roman" w:hint="default"/>
                <w:sz w:val="18"/>
                <w:szCs w:val="18"/>
              </w:rPr>
              <w:t>Q</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传》 客户端及通过渠道商提供客户端下载服务，立 即删除侵权原告著作权及不正当竞争的内容表 </w:t>
            </w:r>
            <w:r>
              <w:rPr>
                <w:rFonts w:ascii="宋体" w:hAnsi="宋体" w:cs="宋体" w:eastAsia="宋体" w:hint="default"/>
                <w:spacing w:val="-4"/>
                <w:sz w:val="18"/>
                <w:szCs w:val="18"/>
              </w:rPr>
              <w:t>述；</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被告在媒体上向原告公开赔礼道歉并消除</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5"/>
                <w:sz w:val="18"/>
                <w:szCs w:val="18"/>
              </w:rPr>
              <w:t>影响；</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被告向原告赔偿损失共计</w:t>
            </w:r>
            <w:r>
              <w:rPr>
                <w:rFonts w:ascii="宋体" w:hAnsi="宋体" w:cs="宋体" w:eastAsia="宋体" w:hint="default"/>
                <w:spacing w:val="-33"/>
                <w:sz w:val="18"/>
                <w:szCs w:val="18"/>
              </w:rPr>
              <w:t> </w:t>
            </w:r>
            <w:r>
              <w:rPr>
                <w:rFonts w:ascii="Times New Roman" w:hAnsi="Times New Roman" w:cs="Times New Roman" w:eastAsia="Times New Roman" w:hint="default"/>
                <w:spacing w:val="-1"/>
                <w:sz w:val="18"/>
                <w:szCs w:val="18"/>
              </w:rPr>
              <w:t>14,499,176.66</w:t>
            </w:r>
          </w:p>
          <w:p>
            <w:pPr>
              <w:pStyle w:val="TableParagraph"/>
              <w:spacing w:line="302" w:lineRule="auto" w:before="7"/>
              <w:ind w:left="13" w:right="125"/>
              <w:jc w:val="left"/>
              <w:rPr>
                <w:rFonts w:ascii="宋体" w:hAnsi="宋体" w:cs="宋体" w:eastAsia="宋体" w:hint="default"/>
                <w:sz w:val="18"/>
                <w:szCs w:val="18"/>
              </w:rPr>
            </w:pPr>
            <w:r>
              <w:rPr>
                <w:rFonts w:ascii="宋体" w:hAnsi="宋体" w:cs="宋体" w:eastAsia="宋体" w:hint="default"/>
                <w:sz w:val="18"/>
                <w:szCs w:val="18"/>
              </w:rPr>
              <w:t>元，并向原告赔偿合理支出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319,650.80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被告承担相关诉讼费用。</w:t>
            </w:r>
          </w:p>
        </w:tc>
        <w:tc>
          <w:tcPr>
            <w:tcW w:w="991" w:type="dxa"/>
            <w:tcBorders>
              <w:top w:val="single" w:sz="6" w:space="0" w:color="000000"/>
              <w:left w:val="single" w:sz="6" w:space="0" w:color="000000"/>
              <w:bottom w:val="single" w:sz="12" w:space="0" w:color="000000"/>
              <w:right w:val="single" w:sz="6" w:space="0" w:color="000000"/>
            </w:tcBorders>
          </w:tcPr>
          <w:p>
            <w:pPr>
              <w:pStyle w:val="TableParagraph"/>
              <w:spacing w:line="3120" w:lineRule="exact"/>
              <w:ind w:left="-2" w:right="-50"/>
              <w:jc w:val="left"/>
              <w:rPr>
                <w:rFonts w:ascii="宋体" w:hAnsi="宋体" w:cs="宋体" w:eastAsia="宋体" w:hint="default"/>
                <w:sz w:val="20"/>
                <w:szCs w:val="20"/>
              </w:rPr>
            </w:pPr>
            <w:r>
              <w:rPr>
                <w:rFonts w:ascii="宋体" w:hAnsi="宋体" w:cs="宋体" w:eastAsia="宋体" w:hint="default"/>
                <w:position w:val="-61"/>
                <w:sz w:val="20"/>
                <w:szCs w:val="20"/>
              </w:rPr>
              <w:pict>
                <v:group style="width:48.9pt;height:156.050pt;mso-position-horizontal-relative:char;mso-position-vertical-relative:line" coordorigin="0,0" coordsize="978,3121">
                  <v:group style="position:absolute;left:0;top:0;width:978;height:3121" coordorigin="0,0" coordsize="978,3121">
                    <v:shape style="position:absolute;left:0;top:0;width:978;height:3121" coordorigin="0,0" coordsize="978,3121" path="m0,3120l978,3120,978,0,0,0,0,3120xe" filled="true" fillcolor="#ffffff" stroked="false">
                      <v:path arrowok="t"/>
                      <v:fill type="solid"/>
                    </v:shape>
                  </v:group>
                </v:group>
              </w:pict>
            </w:r>
            <w:r>
              <w:rPr>
                <w:rFonts w:ascii="宋体" w:hAnsi="宋体" w:cs="宋体" w:eastAsia="宋体" w:hint="default"/>
                <w:position w:val="-61"/>
                <w:sz w:val="20"/>
                <w:szCs w:val="20"/>
              </w:rPr>
            </w:r>
          </w:p>
          <w:p>
            <w:pPr>
              <w:pStyle w:val="TableParagraph"/>
              <w:spacing w:line="240" w:lineRule="auto" w:before="91"/>
              <w:ind w:left="461" w:right="0"/>
              <w:jc w:val="left"/>
              <w:rPr>
                <w:rFonts w:ascii="Times New Roman" w:hAnsi="Times New Roman" w:cs="Times New Roman" w:eastAsia="Times New Roman" w:hint="default"/>
                <w:sz w:val="18"/>
                <w:szCs w:val="18"/>
              </w:rPr>
            </w:pPr>
            <w:r>
              <w:rPr>
                <w:rFonts w:ascii="Times New Roman"/>
                <w:sz w:val="18"/>
              </w:rPr>
              <w:t>10,000</w:t>
            </w:r>
          </w:p>
        </w:tc>
        <w:tc>
          <w:tcPr>
            <w:tcW w:w="113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278" w:type="dxa"/>
            <w:tcBorders>
              <w:top w:val="single" w:sz="6" w:space="0" w:color="000000"/>
              <w:left w:val="single" w:sz="6" w:space="0" w:color="000000"/>
              <w:bottom w:val="single" w:sz="12" w:space="0" w:color="000000"/>
              <w:right w:val="single" w:sz="9" w:space="0" w:color="FFFFFF"/>
            </w:tcBorders>
          </w:tcPr>
          <w:p>
            <w:pPr>
              <w:pStyle w:val="TableParagraph"/>
              <w:spacing w:line="314" w:lineRule="auto" w:before="52"/>
              <w:ind w:left="20"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pacing w:val="-15"/>
                <w:sz w:val="18"/>
                <w:szCs w:val="18"/>
              </w:rPr>
              <w:t>日，该案在北</w:t>
            </w:r>
            <w:r>
              <w:rPr>
                <w:rFonts w:ascii="宋体" w:hAnsi="宋体" w:cs="宋体" w:eastAsia="宋体" w:hint="default"/>
                <w:sz w:val="18"/>
                <w:szCs w:val="18"/>
              </w:rPr>
              <w:t> 京市第一中级人民法院进行 了第一次开庭审理，原告律 师当庭提交了新的诉状，要 求四被告共同赔偿原告损失 的金额调整为人民币</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亿元 被告律师针对原告诉讼请求 及理由方面存在的诸多模糊 及瑕疵之处，提出了异议并 要求原告进行明确，否则庭 审无法有效进行；针对原告 变更诉讼请求的新情况，被 告律师表示需要新的答辩期 重新组织答辩，法院同意了 被告律师的请求，本案于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300" w:lineRule="auto" w:before="1"/>
              <w:ind w:left="20" w:right="-55"/>
              <w:jc w:val="both"/>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日进行了公开审理，</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月公司收到《一审判决书》</w:t>
            </w:r>
          </w:p>
          <w:p>
            <w:pPr>
              <w:pStyle w:val="TableParagraph"/>
              <w:spacing w:line="302" w:lineRule="auto" w:before="13"/>
              <w:ind w:left="20" w:right="78"/>
              <w:jc w:val="left"/>
              <w:rPr>
                <w:rFonts w:ascii="宋体" w:hAnsi="宋体" w:cs="宋体" w:eastAsia="宋体" w:hint="default"/>
                <w:sz w:val="18"/>
                <w:szCs w:val="18"/>
              </w:rPr>
            </w:pPr>
            <w:r>
              <w:rPr>
                <w:rFonts w:ascii="宋体" w:hAnsi="宋体" w:cs="宋体" w:eastAsia="宋体" w:hint="default"/>
                <w:sz w:val="18"/>
                <w:szCs w:val="18"/>
              </w:rPr>
              <w:t>并于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日提起 上诉。</w:t>
            </w:r>
          </w:p>
        </w:tc>
        <w:tc>
          <w:tcPr>
            <w:tcW w:w="2256" w:type="dxa"/>
            <w:tcBorders>
              <w:top w:val="single" w:sz="6" w:space="0" w:color="000000"/>
              <w:left w:val="single" w:sz="9" w:space="0" w:color="FFFFFF"/>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7" w:right="68"/>
              <w:jc w:val="left"/>
              <w:rPr>
                <w:rFonts w:ascii="宋体" w:hAnsi="宋体" w:cs="宋体" w:eastAsia="宋体" w:hint="default"/>
                <w:sz w:val="18"/>
                <w:szCs w:val="18"/>
              </w:rPr>
            </w:pPr>
            <w:r>
              <w:rPr>
                <w:rFonts w:ascii="宋体" w:hAnsi="宋体" w:cs="宋体" w:eastAsia="宋体" w:hint="default"/>
                <w:sz w:val="18"/>
                <w:szCs w:val="18"/>
              </w:rPr>
              <w:t>暂无最终审理结果。为充分 保护公司及公众股东的合法</w:t>
            </w:r>
          </w:p>
          <w:p>
            <w:pPr>
              <w:pStyle w:val="TableParagraph"/>
              <w:spacing w:line="196" w:lineRule="exact" w:before="19"/>
              <w:ind w:left="7" w:right="0"/>
              <w:jc w:val="left"/>
              <w:rPr>
                <w:rFonts w:ascii="宋体" w:hAnsi="宋体" w:cs="宋体" w:eastAsia="宋体" w:hint="default"/>
                <w:sz w:val="18"/>
                <w:szCs w:val="18"/>
              </w:rPr>
            </w:pPr>
            <w:r>
              <w:rPr>
                <w:rFonts w:ascii="宋体" w:hAnsi="宋体" w:cs="宋体" w:eastAsia="宋体" w:hint="default"/>
                <w:sz w:val="18"/>
                <w:szCs w:val="18"/>
              </w:rPr>
              <w:t>权益，公司控股东、实际控</w:t>
            </w:r>
          </w:p>
          <w:p>
            <w:pPr>
              <w:pStyle w:val="TableParagraph"/>
              <w:spacing w:line="156" w:lineRule="exact"/>
              <w:ind w:left="-141"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7" w:right="0"/>
              <w:jc w:val="left"/>
              <w:rPr>
                <w:rFonts w:ascii="宋体" w:hAnsi="宋体" w:cs="宋体" w:eastAsia="宋体" w:hint="default"/>
                <w:sz w:val="18"/>
                <w:szCs w:val="18"/>
              </w:rPr>
            </w:pPr>
            <w:r>
              <w:rPr>
                <w:rFonts w:ascii="宋体" w:hAnsi="宋体" w:cs="宋体" w:eastAsia="宋体" w:hint="default"/>
                <w:sz w:val="18"/>
                <w:szCs w:val="18"/>
              </w:rPr>
              <w:t>制人周亚辉已经出具承诺：</w:t>
            </w:r>
          </w:p>
          <w:p>
            <w:pPr>
              <w:pStyle w:val="TableParagraph"/>
              <w:spacing w:line="314" w:lineRule="auto" w:before="77"/>
              <w:ind w:left="7" w:right="68"/>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若昆仑万维因上述诉讼遭 受损失，且昆仑万维就此向 北京火谷网络科技有限责任 公司进行全额追偿后，北京 火谷网络科技有限责任公司 拒不履行相关责任时，本人 将在北京火谷网络科技有限 责任公司拒绝履行后的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个工作日内承担昆仑万维因 上述诉讼遭受的全部损失， 且在承担后不向昆仑万维追 偿。</w:t>
            </w:r>
            <w:r>
              <w:rPr>
                <w:rFonts w:ascii="Times New Roman" w:hAnsi="Times New Roman" w:cs="Times New Roman" w:eastAsia="Times New Roman" w:hint="default"/>
                <w:sz w:val="18"/>
                <w:szCs w:val="18"/>
              </w:rPr>
              <w:t>”</w:t>
            </w:r>
          </w:p>
        </w:tc>
        <w:tc>
          <w:tcPr>
            <w:tcW w:w="114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2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2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309" w:lineRule="auto"/>
              <w:ind w:left="20" w:right="53"/>
              <w:jc w:val="both"/>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年半年度 报告，可见巨 潮资讯网</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5"/>
          <w:szCs w:val="25"/>
        </w:rPr>
      </w:pPr>
    </w:p>
    <w:p>
      <w:pPr>
        <w:spacing w:before="76"/>
        <w:ind w:left="0" w:right="1436" w:firstLine="0"/>
        <w:jc w:val="right"/>
        <w:rPr>
          <w:rFonts w:ascii="Times New Roman" w:hAnsi="Times New Roman" w:cs="Times New Roman" w:eastAsia="Times New Roman" w:hint="default"/>
          <w:sz w:val="18"/>
          <w:szCs w:val="18"/>
        </w:rPr>
      </w:pPr>
      <w:r>
        <w:rPr/>
        <w:pict>
          <v:group style="position:absolute;margin-left:256.700012pt;margin-top:-213.357651pt;width:48.9pt;height:156.050pt;mso-position-horizontal-relative:page;mso-position-vertical-relative:paragraph;z-index:-1136080" coordorigin="5134,-4267" coordsize="978,3121">
            <v:shape style="position:absolute;left:5134;top:-4267;width:978;height:3121" coordorigin="5134,-4267" coordsize="978,3121" path="m5134,-1147l6112,-1147,6112,-4267,5134,-4267,5134,-1147xe" filled="true" fillcolor="#ffffff" stroked="false">
              <v:path arrowok="t"/>
              <v:fill type="solid"/>
            </v:shape>
            <w10:wrap type="none"/>
          </v:group>
        </w:pict>
      </w:r>
      <w:r>
        <w:rPr/>
        <w:pict>
          <v:group style="position:absolute;margin-left:476.440002pt;margin-top:-113.917656pt;width:112.7pt;height:56.6pt;mso-position-horizontal-relative:page;mso-position-vertical-relative:paragraph;z-index:-1136056" coordorigin="9529,-2278" coordsize="2254,1132">
            <v:group style="position:absolute;left:9529;top:-1927;width:2254;height:780" coordorigin="9529,-1927" coordsize="2254,780">
              <v:shape style="position:absolute;left:9529;top:-1927;width:2254;height:780" coordorigin="9529,-1927" coordsize="2254,780" path="m9529,-1147l11782,-1147,11782,-1927,9529,-1927,9529,-1147xe" filled="true" fillcolor="#ffffff" stroked="false">
                <v:path arrowok="t"/>
                <v:fill type="solid"/>
              </v:shape>
            </v:group>
            <v:group style="position:absolute;left:9550;top:-2278;width:2211;height:352" coordorigin="9550,-2278" coordsize="2211,352">
              <v:shape style="position:absolute;left:9550;top:-2278;width:2211;height:352" coordorigin="9550,-2278" coordsize="2211,352" path="m9550,-1927l11761,-1927,11761,-2278,9550,-2278,9550,-1927xe" filled="true" fillcolor="#ffffff" stroked="false">
                <v:path arrowok="t"/>
                <v:fill type="solid"/>
              </v:shape>
            </v:group>
            <w10:wrap type="none"/>
          </v:group>
        </w:pict>
      </w:r>
      <w:r>
        <w:rPr/>
        <w:pict>
          <v:shape style="position:absolute;margin-left:201.919983pt;margin-top:21.922344pt;width:640pt;height:42pt;mso-position-horizontal-relative:page;mso-position-vertical-relative:paragraph;z-index:1960" type="#_x0000_t75" stroked="false">
            <v:imagedata r:id="rId26" o:title=""/>
          </v:shape>
        </w:pict>
      </w:r>
      <w:r>
        <w:rPr>
          <w:rFonts w:ascii="Times New Roman"/>
          <w:sz w:val="18"/>
        </w:rPr>
        <w:t>63</w:t>
      </w:r>
    </w:p>
    <w:p>
      <w:pPr>
        <w:spacing w:after="0"/>
        <w:jc w:val="right"/>
        <w:rPr>
          <w:rFonts w:ascii="Times New Roman" w:hAnsi="Times New Roman" w:cs="Times New Roman" w:eastAsia="Times New Roman" w:hint="default"/>
          <w:sz w:val="18"/>
          <w:szCs w:val="18"/>
        </w:rPr>
        <w:sectPr>
          <w:type w:val="continuous"/>
          <w:pgSz w:w="16840" w:h="11910" w:orient="landscape"/>
          <w:pgMar w:top="1060" w:bottom="1160" w:left="1280" w:right="0"/>
        </w:sectPr>
      </w:pPr>
    </w:p>
    <w:p>
      <w:pPr>
        <w:spacing w:line="240" w:lineRule="auto" w:before="5"/>
        <w:rPr>
          <w:rFonts w:ascii="Times New Roman" w:hAnsi="Times New Roman" w:cs="Times New Roman" w:eastAsia="Times New Roman" w:hint="default"/>
          <w:sz w:val="22"/>
          <w:szCs w:val="22"/>
        </w:rPr>
      </w:pPr>
    </w:p>
    <w:p>
      <w:pPr>
        <w:pStyle w:val="Heading4"/>
        <w:spacing w:line="240" w:lineRule="auto" w:before="26"/>
        <w:ind w:right="998"/>
        <w:jc w:val="left"/>
        <w:rPr>
          <w:b w:val="0"/>
          <w:bCs w:val="0"/>
        </w:rPr>
      </w:pPr>
      <w:bookmarkStart w:name="十二、处罚及整改情况" w:id="77"/>
      <w:bookmarkEnd w:id="77"/>
      <w:r>
        <w:rPr>
          <w:b w:val="0"/>
          <w:bCs w:val="0"/>
        </w:rPr>
      </w:r>
      <w:r>
        <w:rPr/>
        <w:t>十二、处罚及整改情况</w:t>
      </w:r>
      <w:r>
        <w:rPr>
          <w:b w:val="0"/>
          <w:bCs w:val="0"/>
        </w:rPr>
      </w:r>
    </w:p>
    <w:p>
      <w:pPr>
        <w:spacing w:line="240" w:lineRule="auto" w:before="7"/>
        <w:rPr>
          <w:rFonts w:ascii="宋体" w:hAnsi="宋体" w:cs="宋体" w:eastAsia="宋体" w:hint="default"/>
          <w:b/>
          <w:bCs/>
          <w:sz w:val="26"/>
          <w:szCs w:val="26"/>
        </w:rPr>
      </w:pPr>
    </w:p>
    <w:p>
      <w:pPr>
        <w:spacing w:line="338" w:lineRule="auto" w:before="0"/>
        <w:ind w:left="1133" w:right="787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公司报告期不存在处罚及整改情况。</w:t>
      </w:r>
    </w:p>
    <w:p>
      <w:pPr>
        <w:spacing w:line="240" w:lineRule="auto" w:before="6"/>
        <w:rPr>
          <w:rFonts w:ascii="宋体" w:hAnsi="宋体" w:cs="宋体" w:eastAsia="宋体" w:hint="default"/>
          <w:sz w:val="19"/>
          <w:szCs w:val="19"/>
        </w:rPr>
      </w:pPr>
    </w:p>
    <w:p>
      <w:pPr>
        <w:pStyle w:val="Heading4"/>
        <w:spacing w:line="240" w:lineRule="auto"/>
        <w:ind w:right="998"/>
        <w:jc w:val="left"/>
        <w:rPr>
          <w:b w:val="0"/>
          <w:bCs w:val="0"/>
        </w:rPr>
      </w:pPr>
      <w:bookmarkStart w:name="十三、公司及其控股股东、实际控制人的诚信状况" w:id="78"/>
      <w:bookmarkEnd w:id="78"/>
      <w:r>
        <w:rPr>
          <w:b w:val="0"/>
          <w:bCs w:val="0"/>
        </w:rPr>
      </w:r>
      <w:r>
        <w:rPr/>
        <w:t>十三、公司及其控股股东、实际控制人的诚信状况</w:t>
      </w:r>
      <w:r>
        <w:rPr>
          <w:b w:val="0"/>
          <w:bCs w:val="0"/>
        </w:rPr>
      </w:r>
    </w:p>
    <w:p>
      <w:pPr>
        <w:spacing w:line="240" w:lineRule="auto" w:before="7"/>
        <w:rPr>
          <w:rFonts w:ascii="宋体" w:hAnsi="宋体" w:cs="宋体" w:eastAsia="宋体" w:hint="default"/>
          <w:b/>
          <w:bCs/>
          <w:sz w:val="26"/>
          <w:szCs w:val="26"/>
        </w:rPr>
      </w:pPr>
    </w:p>
    <w:p>
      <w:pPr>
        <w:pStyle w:val="BodyText"/>
        <w:spacing w:line="292" w:lineRule="auto"/>
        <w:ind w:right="998"/>
        <w:jc w:val="left"/>
      </w:pPr>
      <w:r>
        <w:rPr>
          <w:rFonts w:ascii="Times New Roman" w:hAnsi="Times New Roman" w:cs="Times New Roman" w:eastAsia="Times New Roman" w:hint="default"/>
          <w:sz w:val="18"/>
          <w:szCs w:val="18"/>
        </w:rPr>
        <w:t>√ </w:t>
      </w:r>
      <w:r>
        <w:rPr>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sz w:val="18"/>
          <w:szCs w:val="18"/>
        </w:rPr>
        <w:t>不适用 </w:t>
      </w:r>
      <w:r>
        <w:rPr>
          <w:spacing w:val="-1"/>
        </w:rPr>
        <w:t>报告期内公司及其控股股东、实际控制人不存在未履行的法院生效判决、所负数额较大的债务到期未清偿</w:t>
      </w:r>
      <w:r>
        <w:rPr>
          <w:spacing w:val="-81"/>
        </w:rPr>
        <w:t> </w:t>
      </w:r>
      <w:r>
        <w:rPr>
          <w:spacing w:val="-81"/>
        </w:rPr>
      </w:r>
      <w:r>
        <w:rPr/>
        <w:t>的情况。</w:t>
      </w:r>
    </w:p>
    <w:p>
      <w:pPr>
        <w:spacing w:line="240" w:lineRule="auto" w:before="7"/>
        <w:rPr>
          <w:rFonts w:ascii="宋体" w:hAnsi="宋体" w:cs="宋体" w:eastAsia="宋体" w:hint="default"/>
          <w:sz w:val="20"/>
          <w:szCs w:val="20"/>
        </w:rPr>
      </w:pPr>
    </w:p>
    <w:p>
      <w:pPr>
        <w:pStyle w:val="Heading4"/>
        <w:spacing w:line="240" w:lineRule="auto"/>
        <w:ind w:right="998"/>
        <w:jc w:val="left"/>
        <w:rPr>
          <w:b w:val="0"/>
          <w:bCs w:val="0"/>
        </w:rPr>
      </w:pPr>
      <w:bookmarkStart w:name="十四、公司股权激励计划、员工持股计划或其他员工激励措施的实施情况" w:id="79"/>
      <w:bookmarkEnd w:id="79"/>
      <w:r>
        <w:rPr>
          <w:b w:val="0"/>
          <w:bCs w:val="0"/>
        </w:rPr>
      </w:r>
      <w:r>
        <w:rPr/>
        <w:t>十四、公司股权激励计划、员工持股计划或其他员工激励措施的实施情况</w:t>
      </w:r>
      <w:r>
        <w:rPr>
          <w:b w:val="0"/>
          <w:bCs w:val="0"/>
        </w:rPr>
      </w:r>
    </w:p>
    <w:p>
      <w:pPr>
        <w:spacing w:line="240" w:lineRule="auto" w:before="7"/>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13"/>
          <w:szCs w:val="13"/>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（一）《股票期权与限制性股票激励计划》的实施情况</w:t>
      </w:r>
    </w:p>
    <w:p>
      <w:pPr>
        <w:spacing w:line="240" w:lineRule="auto" w:before="1"/>
        <w:rPr>
          <w:rFonts w:ascii="宋体" w:hAnsi="宋体" w:cs="宋体" w:eastAsia="宋体" w:hint="default"/>
          <w:sz w:val="14"/>
          <w:szCs w:val="14"/>
        </w:rPr>
      </w:pPr>
    </w:p>
    <w:p>
      <w:pPr>
        <w:pStyle w:val="Heading5"/>
        <w:spacing w:line="240" w:lineRule="auto" w:before="0"/>
        <w:ind w:left="1134" w:right="998"/>
        <w:jc w:val="left"/>
      </w:pPr>
      <w:r>
        <w:rPr>
          <w:rFonts w:ascii="Times New Roman" w:hAnsi="Times New Roman" w:cs="Times New Roman" w:eastAsia="Times New Roman" w:hint="default"/>
          <w:spacing w:val="-3"/>
          <w:sz w:val="18"/>
          <w:szCs w:val="18"/>
        </w:rPr>
        <w:t>1</w:t>
      </w:r>
      <w:r>
        <w:rPr>
          <w:spacing w:val="-3"/>
          <w:sz w:val="18"/>
          <w:szCs w:val="18"/>
        </w:rPr>
        <w:t>、</w:t>
      </w:r>
      <w:r>
        <w:rPr>
          <w:spacing w:val="-3"/>
        </w:rPr>
        <w:t>因激励对象离职，公司</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4</w:t>
      </w:r>
      <w:r>
        <w:rPr>
          <w:spacing w:val="-3"/>
        </w:rPr>
        <w:t>月</w:t>
      </w:r>
      <w:r>
        <w:rPr>
          <w:rFonts w:ascii="Times New Roman" w:hAnsi="Times New Roman" w:cs="Times New Roman" w:eastAsia="Times New Roman" w:hint="default"/>
          <w:spacing w:val="-3"/>
        </w:rPr>
        <w:t>24</w:t>
      </w:r>
      <w:r>
        <w:rPr>
          <w:spacing w:val="-3"/>
        </w:rPr>
        <w:t>日召开第二届董事会第五十四次会议和第二届监事会第</w:t>
      </w:r>
    </w:p>
    <w:p>
      <w:pPr>
        <w:pStyle w:val="Heading5"/>
        <w:spacing w:line="345" w:lineRule="auto" w:before="135"/>
        <w:ind w:right="1153"/>
        <w:jc w:val="left"/>
      </w:pPr>
      <w:r>
        <w:rPr/>
        <w:t>二十五次会议分别审议通过了《关于回购注销部分限制性股票的议案》。回购注销限制性股 票</w:t>
      </w:r>
      <w:r>
        <w:rPr>
          <w:rFonts w:ascii="Times New Roman" w:hAnsi="Times New Roman" w:cs="Times New Roman" w:eastAsia="Times New Roman" w:hint="default"/>
        </w:rPr>
        <w:t>298,261</w:t>
      </w:r>
      <w:r>
        <w:rPr/>
        <w:t>股，回购注销已于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23</w:t>
      </w:r>
      <w:r>
        <w:rPr/>
        <w:t>日完成。 </w:t>
      </w:r>
      <w:r>
        <w:rPr>
          <w:rFonts w:ascii="Times New Roman" w:hAnsi="Times New Roman" w:cs="Times New Roman" w:eastAsia="Times New Roman" w:hint="default"/>
        </w:rPr>
        <w:t>2</w:t>
      </w:r>
      <w:r>
        <w:rPr/>
        <w:t>、因</w:t>
      </w:r>
      <w:r>
        <w:rPr>
          <w:rFonts w:ascii="Times New Roman" w:hAnsi="Times New Roman" w:cs="Times New Roman" w:eastAsia="Times New Roman" w:hint="default"/>
        </w:rPr>
        <w:t>2015</w:t>
      </w:r>
      <w:r>
        <w:rPr/>
        <w:t>年业绩影响所导致的第一个解锁期未达到解锁条件，公司</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22</w:t>
      </w:r>
      <w:r>
        <w:rPr/>
        <w:t>日召开第二 届董事会第六十次会议和第二届监事会第二十七次会议分别审议通过了《关于回购注销未达 到第一期解锁条件的限制性股票的议案》，回购注销限制性股票</w:t>
      </w:r>
      <w:r>
        <w:rPr>
          <w:rFonts w:ascii="Times New Roman" w:hAnsi="Times New Roman" w:cs="Times New Roman" w:eastAsia="Times New Roman" w:hint="default"/>
        </w:rPr>
        <w:t>6,928,662</w:t>
      </w:r>
      <w:r>
        <w:rPr/>
        <w:t>股，回购注销已于 </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13</w:t>
      </w:r>
      <w:r>
        <w:rPr/>
        <w:t>日完成。</w:t>
      </w:r>
    </w:p>
    <w:p>
      <w:pPr>
        <w:pStyle w:val="Heading5"/>
        <w:spacing w:line="350" w:lineRule="auto" w:before="19"/>
        <w:ind w:right="1117"/>
        <w:jc w:val="left"/>
      </w:pPr>
      <w:r>
        <w:rPr>
          <w:rFonts w:ascii="Times New Roman" w:hAnsi="Times New Roman" w:cs="Times New Roman" w:eastAsia="Times New Roman" w:hint="default"/>
          <w:spacing w:val="-2"/>
        </w:rPr>
        <w:t>3</w:t>
      </w:r>
      <w:r>
        <w:rPr>
          <w:spacing w:val="-2"/>
        </w:rPr>
        <w:t>、因公司实施</w:t>
      </w:r>
      <w:r>
        <w:rPr>
          <w:rFonts w:ascii="Times New Roman" w:hAnsi="Times New Roman" w:cs="Times New Roman" w:eastAsia="Times New Roman" w:hint="default"/>
          <w:spacing w:val="-2"/>
        </w:rPr>
        <w:t>2015</w:t>
      </w:r>
      <w:r>
        <w:rPr>
          <w:spacing w:val="-2"/>
        </w:rPr>
        <w:t>年上半年度权益分派、</w:t>
      </w:r>
      <w:r>
        <w:rPr>
          <w:rFonts w:ascii="Times New Roman" w:hAnsi="Times New Roman" w:cs="Times New Roman" w:eastAsia="Times New Roman" w:hint="default"/>
          <w:spacing w:val="-2"/>
        </w:rPr>
        <w:t>2015</w:t>
      </w:r>
      <w:r>
        <w:rPr>
          <w:spacing w:val="-2"/>
        </w:rPr>
        <w:t>年年度权益分派、</w:t>
      </w:r>
      <w:r>
        <w:rPr>
          <w:rFonts w:ascii="Times New Roman" w:hAnsi="Times New Roman" w:cs="Times New Roman" w:eastAsia="Times New Roman" w:hint="default"/>
          <w:spacing w:val="-2"/>
        </w:rPr>
        <w:t>2016</w:t>
      </w:r>
      <w:r>
        <w:rPr>
          <w:spacing w:val="-2"/>
        </w:rPr>
        <w:t>年年度权益分派，</w:t>
      </w:r>
      <w:r>
        <w:rPr>
          <w:rFonts w:ascii="Times New Roman" w:hAnsi="Times New Roman" w:cs="Times New Roman" w:eastAsia="Times New Roman" w:hint="default"/>
          <w:spacing w:val="-2"/>
        </w:rPr>
        <w:t>2017</w:t>
      </w:r>
      <w:r>
        <w:rPr>
          <w:rFonts w:ascii="Times New Roman" w:hAnsi="Times New Roman" w:cs="Times New Roman" w:eastAsia="Times New Roman" w:hint="default"/>
          <w:spacing w:val="-45"/>
        </w:rPr>
        <w:t> </w:t>
      </w:r>
      <w:r>
        <w:rPr>
          <w:spacing w:val="-2"/>
        </w:rPr>
        <w:t>年</w:t>
      </w:r>
      <w:r>
        <w:rPr>
          <w:rFonts w:ascii="Times New Roman" w:hAnsi="Times New Roman" w:cs="Times New Roman" w:eastAsia="Times New Roman" w:hint="default"/>
          <w:spacing w:val="-2"/>
        </w:rPr>
        <w:t>9</w:t>
      </w:r>
      <w:r>
        <w:rPr>
          <w:spacing w:val="-2"/>
        </w:rPr>
        <w:t>月</w:t>
      </w:r>
      <w:r>
        <w:rPr>
          <w:rFonts w:ascii="Times New Roman" w:hAnsi="Times New Roman" w:cs="Times New Roman" w:eastAsia="Times New Roman" w:hint="default"/>
          <w:spacing w:val="-2"/>
        </w:rPr>
        <w:t>12</w:t>
      </w:r>
      <w:r>
        <w:rPr>
          <w:spacing w:val="-2"/>
        </w:rPr>
        <w:t>日公司召开第三届董事会第七次会议和第三届监事会第三次会议审议通过《关于调整</w:t>
      </w:r>
      <w:r>
        <w:rPr>
          <w:spacing w:val="-118"/>
        </w:rPr>
        <w:t> </w:t>
      </w:r>
      <w:r>
        <w:rPr>
          <w:spacing w:val="-118"/>
        </w:rPr>
      </w:r>
      <w:r>
        <w:rPr/>
        <w:t>股票期权与限制性股票计划股票期权行权价格和数量的议案》，决定对股票期权的行权价格 </w:t>
      </w:r>
      <w:r>
        <w:rPr>
          <w:spacing w:val="-1"/>
        </w:rPr>
        <w:t>和数量进行调整，调整后股票期权数量为</w:t>
      </w:r>
      <w:r>
        <w:rPr>
          <w:rFonts w:ascii="Times New Roman" w:hAnsi="Times New Roman" w:cs="Times New Roman" w:eastAsia="Times New Roman" w:hint="default"/>
          <w:spacing w:val="-1"/>
        </w:rPr>
        <w:t>196,223</w:t>
      </w:r>
      <w:r>
        <w:rPr>
          <w:spacing w:val="-1"/>
        </w:rPr>
        <w:t>份</w:t>
      </w:r>
      <w:r>
        <w:rPr>
          <w:rFonts w:ascii="Times New Roman" w:hAnsi="Times New Roman" w:cs="Times New Roman" w:eastAsia="Times New Roman" w:hint="default"/>
          <w:spacing w:val="-1"/>
        </w:rPr>
        <w:t>,</w:t>
      </w:r>
      <w:r>
        <w:rPr>
          <w:spacing w:val="-1"/>
        </w:rPr>
        <w:t>行权价格为</w:t>
      </w:r>
      <w:r>
        <w:rPr>
          <w:rFonts w:ascii="Times New Roman" w:hAnsi="Times New Roman" w:cs="Times New Roman" w:eastAsia="Times New Roman" w:hint="default"/>
          <w:spacing w:val="-1"/>
        </w:rPr>
        <w:t>20.04</w:t>
      </w:r>
      <w:r>
        <w:rPr>
          <w:spacing w:val="-1"/>
        </w:rPr>
        <w:t>元。</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10</w:t>
      </w:r>
      <w:r>
        <w:rPr>
          <w:spacing w:val="-1"/>
        </w:rPr>
        <w:t>月</w:t>
      </w:r>
      <w:r>
        <w:rPr>
          <w:rFonts w:ascii="Times New Roman" w:hAnsi="Times New Roman" w:cs="Times New Roman" w:eastAsia="Times New Roman" w:hint="default"/>
          <w:spacing w:val="-1"/>
        </w:rPr>
        <w:t>9</w:t>
      </w:r>
      <w:r>
        <w:rPr>
          <w:spacing w:val="-1"/>
        </w:rPr>
        <w:t>日办理</w:t>
      </w:r>
      <w:r>
        <w:rPr>
          <w:spacing w:val="-91"/>
        </w:rPr>
        <w:t> </w:t>
      </w:r>
      <w:r>
        <w:rPr/>
        <w:t>完毕上述事宜。 </w:t>
      </w:r>
      <w:r>
        <w:rPr>
          <w:rFonts w:ascii="Times New Roman" w:hAnsi="Times New Roman" w:cs="Times New Roman" w:eastAsia="Times New Roman" w:hint="default"/>
          <w:spacing w:val="-2"/>
        </w:rPr>
        <w:t>4</w:t>
      </w:r>
      <w:r>
        <w:rPr>
          <w:spacing w:val="-2"/>
        </w:rPr>
        <w:t>、鉴于公司</w:t>
      </w:r>
      <w:r>
        <w:rPr>
          <w:rFonts w:ascii="宋体" w:hAnsi="宋体" w:cs="宋体" w:eastAsia="宋体" w:hint="default"/>
          <w:spacing w:val="-2"/>
        </w:rPr>
        <w:t>2015</w:t>
      </w:r>
      <w:r>
        <w:rPr>
          <w:spacing w:val="-2"/>
        </w:rPr>
        <w:t>年业绩影响所导致的第一个行权期未达到行权条件的股票期权已无法按《股</w:t>
      </w:r>
      <w:r>
        <w:rPr>
          <w:spacing w:val="-116"/>
        </w:rPr>
        <w:t> </w:t>
      </w:r>
      <w:r>
        <w:rPr>
          <w:spacing w:val="-116"/>
        </w:rPr>
      </w:r>
      <w:r>
        <w:rPr>
          <w:spacing w:val="-2"/>
        </w:rPr>
        <w:t>权激励计划实施考核管理办法》的规定进行递延行权，</w:t>
      </w:r>
      <w:r>
        <w:rPr>
          <w:rFonts w:ascii="宋体" w:hAnsi="宋体" w:cs="宋体" w:eastAsia="宋体" w:hint="default"/>
          <w:spacing w:val="-2"/>
        </w:rPr>
        <w:t>2017</w:t>
      </w:r>
      <w:r>
        <w:rPr>
          <w:spacing w:val="-2"/>
        </w:rPr>
        <w:t>年</w:t>
      </w:r>
      <w:r>
        <w:rPr>
          <w:rFonts w:ascii="宋体" w:hAnsi="宋体" w:cs="宋体" w:eastAsia="宋体" w:hint="default"/>
          <w:spacing w:val="-2"/>
        </w:rPr>
        <w:t>9</w:t>
      </w:r>
      <w:r>
        <w:rPr>
          <w:spacing w:val="-2"/>
        </w:rPr>
        <w:t>月</w:t>
      </w:r>
      <w:r>
        <w:rPr>
          <w:rFonts w:ascii="宋体" w:hAnsi="宋体" w:cs="宋体" w:eastAsia="宋体" w:hint="default"/>
          <w:spacing w:val="-2"/>
        </w:rPr>
        <w:t>12</w:t>
      </w:r>
      <w:r>
        <w:rPr>
          <w:spacing w:val="-2"/>
        </w:rPr>
        <w:t>日公司召开第三届董事会</w:t>
      </w:r>
      <w:r>
        <w:rPr>
          <w:spacing w:val="-113"/>
        </w:rPr>
        <w:t> </w:t>
      </w:r>
      <w:r>
        <w:rPr/>
        <w:t>第七次会议和第三届监事会第三次会议审议通过《关于注销第一个行权期未达到行权条件的 股票期权的议案》，决定对第一个行权期未达到行权条件的</w:t>
      </w:r>
      <w:r>
        <w:rPr>
          <w:rFonts w:ascii="宋体" w:hAnsi="宋体" w:cs="宋体" w:eastAsia="宋体" w:hint="default"/>
        </w:rPr>
        <w:t>49,055</w:t>
      </w:r>
      <w:r>
        <w:rPr/>
        <w:t>份股票期权进行注销，占 已授予全部股票期权总数</w:t>
      </w:r>
      <w:r>
        <w:rPr>
          <w:rFonts w:ascii="宋体" w:hAnsi="宋体" w:cs="宋体" w:eastAsia="宋体" w:hint="default"/>
        </w:rPr>
        <w:t>196,223</w:t>
      </w:r>
      <w:r>
        <w:rPr/>
        <w:t>份的</w:t>
      </w:r>
      <w:r>
        <w:rPr>
          <w:rFonts w:ascii="宋体" w:hAnsi="宋体" w:cs="宋体" w:eastAsia="宋体" w:hint="default"/>
        </w:rPr>
        <w:t>25%</w:t>
      </w:r>
      <w:r>
        <w:rPr/>
        <w:t>。注销后，激励对象已获授但尚未行权的股票期权 数量合计</w:t>
      </w:r>
      <w:r>
        <w:rPr>
          <w:rFonts w:ascii="宋体" w:hAnsi="宋体" w:cs="宋体" w:eastAsia="宋体" w:hint="default"/>
        </w:rPr>
        <w:t>147,168</w:t>
      </w:r>
      <w:r>
        <w:rPr/>
        <w:t>份。</w:t>
      </w:r>
      <w:r>
        <w:rPr>
          <w:rFonts w:ascii="宋体" w:hAnsi="宋体" w:cs="宋体" w:eastAsia="宋体" w:hint="default"/>
        </w:rPr>
        <w:t>2017</w:t>
      </w:r>
      <w:r>
        <w:rPr/>
        <w:t>年</w:t>
      </w:r>
      <w:r>
        <w:rPr>
          <w:rFonts w:ascii="宋体" w:hAnsi="宋体" w:cs="宋体" w:eastAsia="宋体" w:hint="default"/>
        </w:rPr>
        <w:t>10</w:t>
      </w:r>
      <w:r>
        <w:rPr/>
        <w:t>月</w:t>
      </w:r>
      <w:r>
        <w:rPr>
          <w:rFonts w:ascii="宋体" w:hAnsi="宋体" w:cs="宋体" w:eastAsia="宋体" w:hint="default"/>
        </w:rPr>
        <w:t>16</w:t>
      </w:r>
      <w:r>
        <w:rPr/>
        <w:t>日办理完毕上述注销事宜。 </w:t>
      </w:r>
      <w:r>
        <w:rPr>
          <w:rFonts w:ascii="Times New Roman" w:hAnsi="Times New Roman" w:cs="Times New Roman" w:eastAsia="Times New Roman" w:hint="default"/>
        </w:rPr>
        <w:t>5</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12</w:t>
      </w:r>
      <w:r>
        <w:rPr/>
        <w:t>日，公司召开的第三届董事会第七次会议和第三届监事会第三次会议，审议</w:t>
      </w:r>
    </w:p>
    <w:p>
      <w:pPr>
        <w:spacing w:after="0" w:line="350" w:lineRule="auto"/>
        <w:jc w:val="left"/>
        <w:sectPr>
          <w:footerReference w:type="default" r:id="rId27"/>
          <w:pgSz w:w="11910" w:h="16840"/>
          <w:pgMar w:footer="979" w:header="0" w:top="1100" w:bottom="1160" w:left="0" w:right="0"/>
          <w:pgNumType w:start="64"/>
        </w:sectPr>
      </w:pPr>
    </w:p>
    <w:p>
      <w:pPr>
        <w:spacing w:line="240" w:lineRule="auto" w:before="7"/>
        <w:rPr>
          <w:rFonts w:ascii="宋体" w:hAnsi="宋体" w:cs="宋体" w:eastAsia="宋体" w:hint="default"/>
          <w:sz w:val="25"/>
          <w:szCs w:val="25"/>
        </w:rPr>
      </w:pPr>
    </w:p>
    <w:p>
      <w:pPr>
        <w:pStyle w:val="Heading5"/>
        <w:spacing w:line="338" w:lineRule="auto"/>
        <w:ind w:right="998"/>
        <w:jc w:val="left"/>
      </w:pPr>
      <w:r>
        <w:rPr>
          <w:spacing w:val="-3"/>
        </w:rPr>
        <w:t>通过《关于公司股票期权与限制性股票激励计划首次授予第二个行权期</w:t>
      </w:r>
      <w:r>
        <w:rPr>
          <w:rFonts w:ascii="Times New Roman" w:hAnsi="Times New Roman" w:cs="Times New Roman" w:eastAsia="Times New Roman" w:hint="default"/>
          <w:spacing w:val="-3"/>
        </w:rPr>
        <w:t>/</w:t>
      </w:r>
      <w:r>
        <w:rPr>
          <w:spacing w:val="-3"/>
        </w:rPr>
        <w:t>解锁期行权</w:t>
      </w:r>
      <w:r>
        <w:rPr>
          <w:rFonts w:ascii="Times New Roman" w:hAnsi="Times New Roman" w:cs="Times New Roman" w:eastAsia="Times New Roman" w:hint="default"/>
          <w:spacing w:val="-3"/>
        </w:rPr>
        <w:t>/</w:t>
      </w:r>
      <w:r>
        <w:rPr>
          <w:spacing w:val="-3"/>
        </w:rPr>
        <w:t>解锁条件</w:t>
      </w:r>
      <w:r>
        <w:rPr>
          <w:spacing w:val="-90"/>
        </w:rPr>
        <w:t> </w:t>
      </w:r>
      <w:r>
        <w:rPr>
          <w:spacing w:val="-3"/>
        </w:rPr>
        <w:t>成就的议案》，根据《激励计划》的相关规定，首次授予第二个行权期</w:t>
      </w:r>
      <w:r>
        <w:rPr>
          <w:rFonts w:ascii="Times New Roman" w:hAnsi="Times New Roman" w:cs="Times New Roman" w:eastAsia="Times New Roman" w:hint="default"/>
          <w:spacing w:val="-3"/>
        </w:rPr>
        <w:t>/</w:t>
      </w:r>
      <w:r>
        <w:rPr>
          <w:spacing w:val="-3"/>
        </w:rPr>
        <w:t>解锁期解行权</w:t>
      </w:r>
      <w:r>
        <w:rPr>
          <w:rFonts w:ascii="Times New Roman" w:hAnsi="Times New Roman" w:cs="Times New Roman" w:eastAsia="Times New Roman" w:hint="default"/>
          <w:spacing w:val="-3"/>
        </w:rPr>
        <w:t>/</w:t>
      </w:r>
      <w:r>
        <w:rPr>
          <w:spacing w:val="-3"/>
        </w:rPr>
        <w:t>解锁条</w:t>
      </w:r>
      <w:r>
        <w:rPr>
          <w:spacing w:val="-93"/>
        </w:rPr>
        <w:t> </w:t>
      </w:r>
      <w:r>
        <w:rPr/>
        <w:t>件已成就，除</w:t>
      </w:r>
      <w:r>
        <w:rPr>
          <w:rFonts w:ascii="Times New Roman" w:hAnsi="Times New Roman" w:cs="Times New Roman" w:eastAsia="Times New Roman" w:hint="default"/>
        </w:rPr>
        <w:t>7</w:t>
      </w:r>
      <w:r>
        <w:rPr/>
        <w:t>名激励对象因离职和和</w:t>
      </w:r>
      <w:r>
        <w:rPr>
          <w:rFonts w:ascii="Times New Roman" w:hAnsi="Times New Roman" w:cs="Times New Roman" w:eastAsia="Times New Roman" w:hint="default"/>
        </w:rPr>
        <w:t>2</w:t>
      </w:r>
      <w:r>
        <w:rPr/>
        <w:t>名激励对象因业绩考核未达标不满足解锁条件外，公 司激励计划首次授予涉及的</w:t>
      </w:r>
      <w:r>
        <w:rPr>
          <w:rFonts w:ascii="Times New Roman" w:hAnsi="Times New Roman" w:cs="Times New Roman" w:eastAsia="Times New Roman" w:hint="default"/>
        </w:rPr>
        <w:t>37</w:t>
      </w:r>
      <w:r>
        <w:rPr/>
        <w:t>名激励对象在第二个行权</w:t>
      </w:r>
      <w:r>
        <w:rPr>
          <w:rFonts w:ascii="Times New Roman" w:hAnsi="Times New Roman" w:cs="Times New Roman" w:eastAsia="Times New Roman" w:hint="default"/>
        </w:rPr>
        <w:t>/</w:t>
      </w:r>
      <w:r>
        <w:rPr/>
        <w:t>解锁期可行权</w:t>
      </w:r>
      <w:r>
        <w:rPr>
          <w:rFonts w:ascii="Times New Roman" w:hAnsi="Times New Roman" w:cs="Times New Roman" w:eastAsia="Times New Roman" w:hint="default"/>
        </w:rPr>
        <w:t>/</w:t>
      </w:r>
      <w:r>
        <w:rPr/>
        <w:t>解锁的股票期权与限 制性股票数量分别为</w:t>
      </w:r>
      <w:r>
        <w:rPr>
          <w:rFonts w:ascii="Times New Roman" w:hAnsi="Times New Roman" w:cs="Times New Roman" w:eastAsia="Times New Roman" w:hint="default"/>
        </w:rPr>
        <w:t>49,056</w:t>
      </w:r>
      <w:r>
        <w:rPr/>
        <w:t>份和</w:t>
      </w:r>
      <w:r>
        <w:rPr>
          <w:rFonts w:ascii="Times New Roman" w:hAnsi="Times New Roman" w:cs="Times New Roman" w:eastAsia="Times New Roman" w:hint="default"/>
        </w:rPr>
        <w:t>6,781,494</w:t>
      </w:r>
      <w:r>
        <w:rPr/>
        <w:t>股。限制股股票</w:t>
      </w:r>
      <w:r>
        <w:rPr>
          <w:rFonts w:ascii="Times New Roman" w:hAnsi="Times New Roman" w:cs="Times New Roman" w:eastAsia="Times New Roman" w:hint="default"/>
        </w:rPr>
        <w:t>6,781,494</w:t>
      </w:r>
      <w:r>
        <w:rPr/>
        <w:t>股已于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24</w:t>
      </w:r>
      <w:r>
        <w:rPr/>
        <w:t>日上 市流通，激励对象于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17</w:t>
      </w:r>
      <w:r>
        <w:rPr/>
        <w:t>日对股票期权进行行权，行权数量</w:t>
      </w:r>
      <w:r>
        <w:rPr>
          <w:rFonts w:ascii="Times New Roman" w:hAnsi="Times New Roman" w:cs="Times New Roman" w:eastAsia="Times New Roman" w:hint="default"/>
        </w:rPr>
        <w:t>49,056</w:t>
      </w:r>
      <w:r>
        <w:rPr/>
        <w:t>股。 </w:t>
      </w:r>
      <w:r>
        <w:rPr>
          <w:rFonts w:ascii="Times New Roman" w:hAnsi="Times New Roman" w:cs="Times New Roman" w:eastAsia="Times New Roman" w:hint="default"/>
        </w:rPr>
        <w:t>6</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w:t>
      </w:r>
      <w:r>
        <w:rPr/>
        <w:t>日，公司召开第三届董事会第十一次会议和第三届监事会第五次会议分别审 </w:t>
      </w:r>
      <w:r>
        <w:rPr>
          <w:spacing w:val="-4"/>
        </w:rPr>
        <w:t>议通过了《关于回购注销部分限制性股票的议案》。回购注销的限制性股票数量为</w:t>
      </w:r>
      <w:r>
        <w:rPr>
          <w:rFonts w:ascii="Times New Roman" w:hAnsi="Times New Roman" w:cs="Times New Roman" w:eastAsia="Times New Roman" w:hint="default"/>
          <w:spacing w:val="-4"/>
        </w:rPr>
        <w:t>147,168</w:t>
      </w:r>
      <w:r>
        <w:rPr>
          <w:spacing w:val="-4"/>
        </w:rPr>
        <w:t>股。</w:t>
      </w:r>
    </w:p>
    <w:p>
      <w:pPr>
        <w:pStyle w:val="Heading5"/>
        <w:spacing w:line="338" w:lineRule="auto" w:before="27"/>
        <w:ind w:right="1122"/>
        <w:jc w:val="left"/>
      </w:pPr>
      <w:r>
        <w:rPr/>
        <w:t>（二）《</w:t>
      </w:r>
      <w:r>
        <w:rPr>
          <w:rFonts w:ascii="Times New Roman" w:hAnsi="Times New Roman" w:cs="Times New Roman" w:eastAsia="Times New Roman" w:hint="default"/>
        </w:rPr>
        <w:t>2017</w:t>
      </w:r>
      <w:r>
        <w:rPr/>
        <w:t>年限制性股票激励计划》的实施情况 </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12</w:t>
      </w:r>
      <w:r>
        <w:rPr/>
        <w:t>日，公司召开的第三届董事会第七次会议和第三届监事会第三次会议，审议 通过《关于公司</w:t>
      </w:r>
      <w:r>
        <w:rPr>
          <w:rFonts w:ascii="Times New Roman" w:hAnsi="Times New Roman" w:cs="Times New Roman" w:eastAsia="Times New Roman" w:hint="default"/>
        </w:rPr>
        <w:t>&lt;2017</w:t>
      </w:r>
      <w:r>
        <w:rPr/>
        <w:t>年限制性股票激励计划（草案修订稿）</w:t>
      </w:r>
      <w:r>
        <w:rPr>
          <w:rFonts w:ascii="Times New Roman" w:hAnsi="Times New Roman" w:cs="Times New Roman" w:eastAsia="Times New Roman" w:hint="default"/>
        </w:rPr>
        <w:t>&gt;</w:t>
      </w:r>
      <w:r>
        <w:rPr/>
        <w:t>及其摘要的议案》，对限制性 股票的授予价格和激励对象名单进行调整。</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10</w:t>
      </w:r>
      <w:r>
        <w:rPr/>
        <w:t>日，公司召开的</w:t>
      </w:r>
      <w:r>
        <w:rPr>
          <w:rFonts w:ascii="Times New Roman" w:hAnsi="Times New Roman" w:cs="Times New Roman" w:eastAsia="Times New Roman" w:hint="default"/>
        </w:rPr>
        <w:t>2017</w:t>
      </w:r>
      <w:r>
        <w:rPr/>
        <w:t>年第七次临时 股东大会审议通过了上述事项。</w:t>
      </w:r>
    </w:p>
    <w:p>
      <w:pPr>
        <w:spacing w:line="240" w:lineRule="auto" w:before="4"/>
        <w:rPr>
          <w:rFonts w:ascii="宋体" w:hAnsi="宋体" w:cs="宋体" w:eastAsia="宋体" w:hint="default"/>
          <w:sz w:val="21"/>
          <w:szCs w:val="21"/>
        </w:rPr>
      </w:pPr>
    </w:p>
    <w:p>
      <w:pPr>
        <w:pStyle w:val="Heading4"/>
        <w:spacing w:line="240" w:lineRule="auto"/>
        <w:ind w:right="998"/>
        <w:jc w:val="left"/>
        <w:rPr>
          <w:b w:val="0"/>
          <w:bCs w:val="0"/>
        </w:rPr>
      </w:pPr>
      <w:bookmarkStart w:name="十五、重大关联交易" w:id="80"/>
      <w:bookmarkEnd w:id="80"/>
      <w:r>
        <w:rPr>
          <w:b w:val="0"/>
          <w:bCs w:val="0"/>
        </w:rPr>
      </w:r>
      <w:r>
        <w:rPr/>
        <w:t>十五、重大关联交易</w:t>
      </w:r>
      <w:r>
        <w:rPr>
          <w:b w:val="0"/>
          <w:bCs w:val="0"/>
        </w:rPr>
      </w:r>
    </w:p>
    <w:p>
      <w:pPr>
        <w:spacing w:line="240" w:lineRule="auto" w:before="9"/>
        <w:rPr>
          <w:rFonts w:ascii="宋体" w:hAnsi="宋体" w:cs="宋体" w:eastAsia="宋体" w:hint="default"/>
          <w:b/>
          <w:bCs/>
          <w:sz w:val="24"/>
          <w:szCs w:val="24"/>
        </w:rPr>
      </w:pPr>
    </w:p>
    <w:p>
      <w:pPr>
        <w:pStyle w:val="Heading6"/>
        <w:spacing w:line="240" w:lineRule="auto"/>
        <w:ind w:left="1133" w:right="998"/>
        <w:jc w:val="left"/>
        <w:rPr>
          <w:b w:val="0"/>
          <w:bCs w:val="0"/>
        </w:rPr>
      </w:pPr>
      <w:bookmarkStart w:name="1、与日常经营相关的关联交易" w:id="81"/>
      <w:bookmarkEnd w:id="81"/>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8"/>
        <w:rPr>
          <w:rFonts w:ascii="宋体" w:hAnsi="宋体" w:cs="宋体" w:eastAsia="宋体" w:hint="default"/>
          <w:b/>
          <w:bCs/>
          <w:sz w:val="26"/>
          <w:szCs w:val="26"/>
        </w:rPr>
      </w:pPr>
    </w:p>
    <w:p>
      <w:pPr>
        <w:spacing w:line="338" w:lineRule="auto" w:before="0"/>
        <w:ind w:left="1133" w:right="67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公司报告期未发生与日常经营相关的关联交易。</w:t>
      </w:r>
    </w:p>
    <w:p>
      <w:pPr>
        <w:spacing w:line="240" w:lineRule="auto" w:before="2"/>
        <w:rPr>
          <w:rFonts w:ascii="宋体" w:hAnsi="宋体" w:cs="宋体" w:eastAsia="宋体" w:hint="default"/>
          <w:sz w:val="21"/>
          <w:szCs w:val="21"/>
        </w:rPr>
      </w:pPr>
    </w:p>
    <w:p>
      <w:pPr>
        <w:pStyle w:val="Heading6"/>
        <w:spacing w:line="240" w:lineRule="auto"/>
        <w:ind w:left="1133" w:right="998"/>
        <w:jc w:val="left"/>
        <w:rPr>
          <w:b w:val="0"/>
          <w:bCs w:val="0"/>
        </w:rPr>
      </w:pPr>
      <w:bookmarkStart w:name="2、资产或股权收购、出售发生的关联交易" w:id="82"/>
      <w:bookmarkEnd w:id="82"/>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8"/>
        <w:rPr>
          <w:rFonts w:ascii="宋体" w:hAnsi="宋体" w:cs="宋体" w:eastAsia="宋体" w:hint="default"/>
          <w:b/>
          <w:bCs/>
          <w:sz w:val="26"/>
          <w:szCs w:val="26"/>
        </w:rPr>
      </w:pPr>
    </w:p>
    <w:p>
      <w:pPr>
        <w:spacing w:line="340" w:lineRule="auto" w:before="0"/>
        <w:ind w:left="1133" w:right="643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公司报告期未发生资产或股权收购、出售的关联交易。</w:t>
      </w:r>
    </w:p>
    <w:p>
      <w:pPr>
        <w:spacing w:line="240" w:lineRule="auto" w:before="12"/>
        <w:rPr>
          <w:rFonts w:ascii="宋体" w:hAnsi="宋体" w:cs="宋体" w:eastAsia="宋体" w:hint="default"/>
          <w:sz w:val="20"/>
          <w:szCs w:val="20"/>
        </w:rPr>
      </w:pPr>
    </w:p>
    <w:p>
      <w:pPr>
        <w:pStyle w:val="Heading6"/>
        <w:spacing w:line="240" w:lineRule="auto"/>
        <w:ind w:right="998"/>
        <w:jc w:val="left"/>
        <w:rPr>
          <w:b w:val="0"/>
          <w:bCs w:val="0"/>
        </w:rPr>
      </w:pPr>
      <w:bookmarkStart w:name="3、共同对外投资的关联交易" w:id="83"/>
      <w:bookmarkEnd w:id="83"/>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9"/>
        <w:rPr>
          <w:rFonts w:ascii="宋体" w:hAnsi="宋体" w:cs="宋体" w:eastAsia="宋体" w:hint="default"/>
          <w:b/>
          <w:bCs/>
          <w:sz w:val="26"/>
          <w:szCs w:val="26"/>
        </w:rPr>
      </w:pPr>
    </w:p>
    <w:p>
      <w:pPr>
        <w:spacing w:line="338" w:lineRule="auto" w:before="0"/>
        <w:ind w:left="1133" w:right="7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公司报告期未发生共同对外投资的关联交易。</w:t>
      </w:r>
    </w:p>
    <w:p>
      <w:pPr>
        <w:spacing w:line="240" w:lineRule="auto" w:before="2"/>
        <w:rPr>
          <w:rFonts w:ascii="宋体" w:hAnsi="宋体" w:cs="宋体" w:eastAsia="宋体" w:hint="default"/>
          <w:sz w:val="21"/>
          <w:szCs w:val="21"/>
        </w:rPr>
      </w:pPr>
    </w:p>
    <w:p>
      <w:pPr>
        <w:pStyle w:val="Heading6"/>
        <w:spacing w:line="240" w:lineRule="auto"/>
        <w:ind w:left="1133" w:right="998"/>
        <w:jc w:val="left"/>
        <w:rPr>
          <w:b w:val="0"/>
          <w:bCs w:val="0"/>
        </w:rPr>
      </w:pPr>
      <w:bookmarkStart w:name="4、关联债权债务往来" w:id="84"/>
      <w:bookmarkEnd w:id="84"/>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8"/>
        <w:rPr>
          <w:rFonts w:ascii="宋体" w:hAnsi="宋体" w:cs="宋体" w:eastAsia="宋体" w:hint="default"/>
          <w:b/>
          <w:bCs/>
          <w:sz w:val="26"/>
          <w:szCs w:val="26"/>
        </w:rPr>
      </w:pPr>
    </w:p>
    <w:p>
      <w:pPr>
        <w:spacing w:line="340" w:lineRule="auto" w:before="0"/>
        <w:ind w:left="1133" w:right="76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公司报告期不存在关联债权债务往来。</w:t>
      </w:r>
    </w:p>
    <w:p>
      <w:pPr>
        <w:spacing w:after="0" w:line="340" w:lineRule="auto"/>
        <w:jc w:val="left"/>
        <w:rPr>
          <w:rFonts w:ascii="宋体" w:hAnsi="宋体" w:cs="宋体" w:eastAsia="宋体" w:hint="default"/>
          <w:sz w:val="18"/>
          <w:szCs w:val="18"/>
        </w:rPr>
        <w:sectPr>
          <w:pgSz w:w="11910" w:h="16840"/>
          <w:pgMar w:header="0" w:footer="979" w:top="1100" w:bottom="1160" w:left="0" w:right="0"/>
        </w:sectPr>
      </w:pPr>
    </w:p>
    <w:p>
      <w:pPr>
        <w:spacing w:line="240" w:lineRule="auto" w:before="9"/>
        <w:rPr>
          <w:rFonts w:ascii="宋体" w:hAnsi="宋体" w:cs="宋体" w:eastAsia="宋体" w:hint="default"/>
          <w:sz w:val="20"/>
          <w:szCs w:val="20"/>
        </w:rPr>
      </w:pPr>
    </w:p>
    <w:p>
      <w:pPr>
        <w:pStyle w:val="Heading6"/>
        <w:spacing w:line="240" w:lineRule="auto" w:before="35"/>
        <w:ind w:left="1133" w:right="0"/>
        <w:jc w:val="both"/>
        <w:rPr>
          <w:b w:val="0"/>
          <w:bCs w:val="0"/>
        </w:rPr>
      </w:pPr>
      <w:bookmarkStart w:name="5、其他重大关联交易" w:id="85"/>
      <w:bookmarkEnd w:id="85"/>
      <w:r>
        <w:rPr>
          <w:b w:val="0"/>
          <w:bCs w:val="0"/>
        </w:rPr>
      </w:r>
      <w:r>
        <w:rPr>
          <w:rFonts w:ascii="Times New Roman" w:hAnsi="Times New Roman" w:cs="Times New Roman" w:eastAsia="Times New Roman" w:hint="default"/>
        </w:rPr>
        <w:t>5</w:t>
      </w:r>
      <w:r>
        <w:rPr/>
        <w:t>、其他重大关联交易</w:t>
      </w:r>
      <w:r>
        <w:rPr>
          <w:b w:val="0"/>
          <w:bCs w:val="0"/>
        </w:rPr>
      </w:r>
    </w:p>
    <w:p>
      <w:pPr>
        <w:spacing w:line="240" w:lineRule="auto" w:before="9"/>
        <w:rPr>
          <w:rFonts w:ascii="宋体" w:hAnsi="宋体" w:cs="宋体" w:eastAsia="宋体" w:hint="default"/>
          <w:b/>
          <w:bCs/>
          <w:sz w:val="26"/>
          <w:szCs w:val="26"/>
        </w:rPr>
      </w:pPr>
    </w:p>
    <w:p>
      <w:pPr>
        <w:spacing w:line="412" w:lineRule="auto" w:before="0"/>
        <w:ind w:left="1493" w:right="998" w:hanging="36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r>
        <w:rPr>
          <w:rFonts w:ascii="宋体" w:hAnsi="宋体" w:cs="宋体" w:eastAsia="宋体" w:hint="default"/>
          <w:spacing w:val="-2"/>
          <w:sz w:val="18"/>
          <w:szCs w:val="18"/>
        </w:rPr>
        <w:t>公司第二届董事会第五十次会议和</w:t>
      </w:r>
      <w:r>
        <w:rPr>
          <w:rFonts w:ascii="Times New Roman" w:hAnsi="Times New Roman" w:cs="Times New Roman" w:eastAsia="Times New Roman" w:hint="default"/>
          <w:spacing w:val="-2"/>
          <w:sz w:val="18"/>
          <w:szCs w:val="18"/>
        </w:rPr>
        <w:t>2017</w:t>
      </w:r>
      <w:r>
        <w:rPr>
          <w:rFonts w:ascii="宋体" w:hAnsi="宋体" w:cs="宋体" w:eastAsia="宋体" w:hint="default"/>
          <w:spacing w:val="-2"/>
          <w:sz w:val="18"/>
          <w:szCs w:val="18"/>
        </w:rPr>
        <w:t>年第二次临时股东大会审议通过了《关于公司参与北京闲徕互娱网络科技有限公</w:t>
      </w:r>
    </w:p>
    <w:p>
      <w:pPr>
        <w:spacing w:line="451" w:lineRule="auto" w:before="75"/>
        <w:ind w:left="1133" w:right="1106" w:firstLine="0"/>
        <w:jc w:val="both"/>
        <w:rPr>
          <w:rFonts w:ascii="宋体" w:hAnsi="宋体" w:cs="宋体" w:eastAsia="宋体" w:hint="default"/>
          <w:sz w:val="18"/>
          <w:szCs w:val="18"/>
        </w:rPr>
      </w:pPr>
      <w:r>
        <w:rPr>
          <w:rFonts w:ascii="宋体" w:hAnsi="宋体" w:cs="宋体" w:eastAsia="宋体" w:hint="default"/>
          <w:sz w:val="18"/>
          <w:szCs w:val="18"/>
        </w:rPr>
        <w:t>司收购交易暨关联交易的议案》，公司以全资子公司西藏昆诺为投资主体与辰海科译共同购买闲徕互娱</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股权，收购完 </w:t>
      </w:r>
      <w:r>
        <w:rPr>
          <w:rFonts w:ascii="宋体" w:hAnsi="宋体" w:cs="宋体" w:eastAsia="宋体" w:hint="default"/>
          <w:spacing w:val="-1"/>
          <w:sz w:val="18"/>
          <w:szCs w:val="18"/>
        </w:rPr>
        <w:t>成后西藏昆诺持有</w:t>
      </w:r>
      <w:r>
        <w:rPr>
          <w:rFonts w:ascii="Times New Roman" w:hAnsi="Times New Roman" w:cs="Times New Roman" w:eastAsia="Times New Roman" w:hint="default"/>
          <w:spacing w:val="-1"/>
          <w:sz w:val="18"/>
          <w:szCs w:val="18"/>
        </w:rPr>
        <w:t>51%</w:t>
      </w:r>
      <w:r>
        <w:rPr>
          <w:rFonts w:ascii="宋体" w:hAnsi="宋体" w:cs="宋体" w:eastAsia="宋体" w:hint="default"/>
          <w:spacing w:val="-1"/>
          <w:sz w:val="18"/>
          <w:szCs w:val="18"/>
        </w:rPr>
        <w:t>股权，辰海科译持有</w:t>
      </w:r>
      <w:r>
        <w:rPr>
          <w:rFonts w:ascii="Times New Roman" w:hAnsi="Times New Roman" w:cs="Times New Roman" w:eastAsia="Times New Roman" w:hint="default"/>
          <w:spacing w:val="-1"/>
          <w:sz w:val="18"/>
          <w:szCs w:val="18"/>
        </w:rPr>
        <w:t>49%</w:t>
      </w:r>
      <w:r>
        <w:rPr>
          <w:rFonts w:ascii="宋体" w:hAnsi="宋体" w:cs="宋体" w:eastAsia="宋体" w:hint="default"/>
          <w:spacing w:val="-1"/>
          <w:sz w:val="18"/>
          <w:szCs w:val="18"/>
        </w:rPr>
        <w:t>股权。此后，辰海科译又将其持有的股权转让给公司关联方周亚辉、摩比神</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pacing w:val="-2"/>
          <w:sz w:val="18"/>
          <w:szCs w:val="18"/>
        </w:rPr>
        <w:t>奇、深圳富海、珠海富海、蜜莱坞，因辰海科译持股时间较短，此次交易实际上构成公司与关联方共同投资。具体内容可详</w:t>
      </w:r>
    </w:p>
    <w:p>
      <w:pPr>
        <w:spacing w:line="415" w:lineRule="auto" w:before="74"/>
        <w:ind w:left="1134" w:right="1106" w:firstLine="0"/>
        <w:jc w:val="both"/>
        <w:rPr>
          <w:rFonts w:ascii="宋体" w:hAnsi="宋体" w:cs="宋体" w:eastAsia="宋体" w:hint="default"/>
          <w:sz w:val="18"/>
          <w:szCs w:val="18"/>
        </w:rPr>
      </w:pPr>
      <w:r>
        <w:rPr/>
        <w:pict>
          <v:shape style="position:absolute;margin-left:57.66pt;margin-top:42.291714pt;width:480.75pt;height:99.25pt;mso-position-horizontal-relative:page;mso-position-vertical-relative:paragraph;z-index:19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61"/>
                    <w:gridCol w:w="2650"/>
                    <w:gridCol w:w="3459"/>
                  </w:tblGrid>
                  <w:tr>
                    <w:trPr>
                      <w:trHeight w:val="415" w:hRule="exact"/>
                    </w:trPr>
                    <w:tc>
                      <w:tcPr>
                        <w:tcW w:w="3461"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right="7"/>
                          <w:jc w:val="center"/>
                          <w:rPr>
                            <w:rFonts w:ascii="宋体" w:hAnsi="宋体" w:cs="宋体" w:eastAsia="宋体" w:hint="default"/>
                            <w:sz w:val="18"/>
                            <w:szCs w:val="18"/>
                          </w:rPr>
                        </w:pPr>
                        <w:r>
                          <w:rPr>
                            <w:rFonts w:ascii="宋体" w:hAnsi="宋体" w:cs="宋体" w:eastAsia="宋体" w:hint="default"/>
                            <w:sz w:val="18"/>
                            <w:szCs w:val="18"/>
                          </w:rPr>
                          <w:t>临时公告名称</w:t>
                        </w:r>
                      </w:p>
                    </w:tc>
                    <w:tc>
                      <w:tcPr>
                        <w:tcW w:w="265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597" w:right="0"/>
                          <w:jc w:val="left"/>
                          <w:rPr>
                            <w:rFonts w:ascii="宋体" w:hAnsi="宋体" w:cs="宋体" w:eastAsia="宋体" w:hint="default"/>
                            <w:sz w:val="18"/>
                            <w:szCs w:val="18"/>
                          </w:rPr>
                        </w:pPr>
                        <w:r>
                          <w:rPr>
                            <w:rFonts w:ascii="宋体" w:hAnsi="宋体" w:cs="宋体" w:eastAsia="宋体" w:hint="default"/>
                            <w:sz w:val="18"/>
                            <w:szCs w:val="18"/>
                          </w:rPr>
                          <w:t>临时公告披露日期</w:t>
                        </w:r>
                      </w:p>
                    </w:tc>
                    <w:tc>
                      <w:tcPr>
                        <w:tcW w:w="3459"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821" w:right="0"/>
                          <w:jc w:val="left"/>
                          <w:rPr>
                            <w:rFonts w:ascii="宋体" w:hAnsi="宋体" w:cs="宋体" w:eastAsia="宋体" w:hint="default"/>
                            <w:sz w:val="18"/>
                            <w:szCs w:val="18"/>
                          </w:rPr>
                        </w:pPr>
                        <w:r>
                          <w:rPr>
                            <w:rFonts w:ascii="宋体" w:hAnsi="宋体" w:cs="宋体" w:eastAsia="宋体" w:hint="default"/>
                            <w:sz w:val="18"/>
                            <w:szCs w:val="18"/>
                          </w:rPr>
                          <w:t>临时公告披露网站名称</w:t>
                        </w:r>
                      </w:p>
                    </w:tc>
                  </w:tr>
                  <w:tr>
                    <w:trPr>
                      <w:trHeight w:val="719" w:hRule="exact"/>
                    </w:trPr>
                    <w:tc>
                      <w:tcPr>
                        <w:tcW w:w="3461" w:type="dxa"/>
                        <w:tcBorders>
                          <w:top w:val="single" w:sz="6" w:space="0" w:color="000000"/>
                          <w:left w:val="single" w:sz="12" w:space="0" w:color="000000"/>
                          <w:bottom w:val="single" w:sz="6" w:space="0" w:color="000000"/>
                          <w:right w:val="single" w:sz="6" w:space="0" w:color="000000"/>
                        </w:tcBorders>
                      </w:tcPr>
                      <w:p>
                        <w:pPr>
                          <w:pStyle w:val="TableParagraph"/>
                          <w:spacing w:line="319" w:lineRule="auto" w:before="51"/>
                          <w:ind w:left="13" w:right="183"/>
                          <w:jc w:val="left"/>
                          <w:rPr>
                            <w:rFonts w:ascii="宋体" w:hAnsi="宋体" w:cs="宋体" w:eastAsia="宋体" w:hint="default"/>
                            <w:sz w:val="18"/>
                            <w:szCs w:val="18"/>
                          </w:rPr>
                        </w:pPr>
                        <w:r>
                          <w:rPr>
                            <w:rFonts w:ascii="宋体" w:hAnsi="宋体" w:cs="宋体" w:eastAsia="宋体" w:hint="default"/>
                            <w:sz w:val="18"/>
                            <w:szCs w:val="18"/>
                          </w:rPr>
                          <w:t>《关于公司参与北京闲徕互娱网络科技股 份有限公司收购交易暨关联交易的公告》</w:t>
                        </w:r>
                      </w:p>
                    </w:tc>
                    <w:tc>
                      <w:tcPr>
                        <w:tcW w:w="2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7" w:hRule="exact"/>
                    </w:trPr>
                    <w:tc>
                      <w:tcPr>
                        <w:tcW w:w="34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《第二届董事会第五十次会议决议公告》</w:t>
                        </w:r>
                      </w:p>
                    </w:tc>
                    <w:tc>
                      <w:tcPr>
                        <w:tcW w:w="2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15" w:hRule="exact"/>
                    </w:trPr>
                    <w:tc>
                      <w:tcPr>
                        <w:tcW w:w="346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年第二次临时股东大会决议公告》</w:t>
                        </w:r>
                      </w:p>
                    </w:tc>
                    <w:tc>
                      <w:tcPr>
                        <w:tcW w:w="265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bl>
                <w:p>
                  <w:pPr/>
                </w:p>
              </w:txbxContent>
            </v:textbox>
            <w10:wrap type="none"/>
          </v:shape>
        </w:pict>
      </w:r>
      <w:r>
        <w:rPr>
          <w:rFonts w:ascii="宋体" w:hAnsi="宋体" w:cs="宋体" w:eastAsia="宋体" w:hint="default"/>
          <w:spacing w:val="-7"/>
          <w:sz w:val="18"/>
          <w:szCs w:val="18"/>
        </w:rPr>
        <w:t>见刊登在巨潮资讯网的《关于公司参与北京闲徕互娱网络科技股份有限公司收购交易暨关联交易的公告》（编号：</w:t>
      </w:r>
      <w:r>
        <w:rPr>
          <w:rFonts w:ascii="Times New Roman" w:hAnsi="Times New Roman" w:cs="Times New Roman" w:eastAsia="Times New Roman" w:hint="default"/>
          <w:spacing w:val="-7"/>
          <w:sz w:val="18"/>
          <w:szCs w:val="18"/>
        </w:rPr>
        <w:t>2017-004</w:t>
      </w:r>
      <w:r>
        <w:rPr>
          <w:rFonts w:ascii="宋体" w:hAnsi="宋体" w:cs="宋体" w:eastAsia="宋体" w:hint="default"/>
          <w:spacing w:val="-7"/>
          <w:sz w:val="18"/>
          <w:szCs w:val="18"/>
        </w:rPr>
        <w:t>）。</w:t>
      </w:r>
      <w:r>
        <w:rPr>
          <w:rFonts w:ascii="宋体" w:hAnsi="宋体" w:cs="宋体" w:eastAsia="宋体" w:hint="default"/>
          <w:spacing w:val="-58"/>
          <w:sz w:val="18"/>
          <w:szCs w:val="18"/>
        </w:rPr>
        <w:t> </w:t>
      </w:r>
      <w:r>
        <w:rPr>
          <w:rFonts w:ascii="宋体" w:hAnsi="宋体" w:cs="宋体" w:eastAsia="宋体" w:hint="default"/>
          <w:sz w:val="18"/>
          <w:szCs w:val="18"/>
        </w:rPr>
        <w:t>重大关联交易临时报告披露网站相关查询</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7"/>
          <w:szCs w:val="27"/>
        </w:rPr>
      </w:pPr>
    </w:p>
    <w:p>
      <w:pPr>
        <w:pStyle w:val="Heading4"/>
        <w:spacing w:line="240" w:lineRule="auto" w:before="26"/>
        <w:ind w:left="1134" w:right="998"/>
        <w:jc w:val="left"/>
        <w:rPr>
          <w:b w:val="0"/>
          <w:bCs w:val="0"/>
        </w:rPr>
      </w:pPr>
      <w:bookmarkStart w:name="十六、重大合同及其履行情况" w:id="86"/>
      <w:bookmarkEnd w:id="86"/>
      <w:r>
        <w:rPr>
          <w:b w:val="0"/>
          <w:bCs w:val="0"/>
        </w:rPr>
      </w:r>
      <w:r>
        <w:rPr/>
        <w:t>十六、重大合同及其履行情况</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托管、承包、租赁事项情况" w:id="87"/>
      <w:bookmarkEnd w:id="87"/>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9"/>
        <w:rPr>
          <w:rFonts w:ascii="宋体" w:hAnsi="宋体" w:cs="宋体" w:eastAsia="宋体" w:hint="default"/>
          <w:b/>
          <w:bCs/>
          <w:sz w:val="24"/>
          <w:szCs w:val="24"/>
        </w:rPr>
      </w:pPr>
    </w:p>
    <w:p>
      <w:pPr>
        <w:pStyle w:val="Heading6"/>
        <w:spacing w:line="240" w:lineRule="auto"/>
        <w:ind w:left="1133" w:right="998"/>
        <w:jc w:val="left"/>
        <w:rPr>
          <w:b w:val="0"/>
          <w:bCs w:val="0"/>
        </w:rPr>
      </w:pPr>
      <w:bookmarkStart w:name="（1）托管情况" w:id="88"/>
      <w:bookmarkEnd w:id="88"/>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8"/>
        <w:rPr>
          <w:rFonts w:ascii="宋体" w:hAnsi="宋体" w:cs="宋体" w:eastAsia="宋体" w:hint="default"/>
          <w:b/>
          <w:bCs/>
          <w:sz w:val="26"/>
          <w:szCs w:val="26"/>
        </w:rPr>
      </w:pPr>
    </w:p>
    <w:p>
      <w:pPr>
        <w:spacing w:line="340" w:lineRule="auto" w:before="0"/>
        <w:ind w:left="1133" w:right="84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公司报告期不存在托管情况。</w:t>
      </w:r>
    </w:p>
    <w:p>
      <w:pPr>
        <w:spacing w:line="240" w:lineRule="auto" w:before="12"/>
        <w:rPr>
          <w:rFonts w:ascii="宋体" w:hAnsi="宋体" w:cs="宋体" w:eastAsia="宋体" w:hint="default"/>
          <w:sz w:val="20"/>
          <w:szCs w:val="20"/>
        </w:rPr>
      </w:pPr>
    </w:p>
    <w:p>
      <w:pPr>
        <w:pStyle w:val="Heading6"/>
        <w:spacing w:line="240" w:lineRule="auto"/>
        <w:ind w:left="1133" w:right="998"/>
        <w:jc w:val="left"/>
        <w:rPr>
          <w:b w:val="0"/>
          <w:bCs w:val="0"/>
        </w:rPr>
      </w:pPr>
      <w:bookmarkStart w:name="（2）承包情况" w:id="89"/>
      <w:bookmarkEnd w:id="89"/>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133" w:right="84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公司报告期不存在承包情况。</w:t>
      </w:r>
    </w:p>
    <w:p>
      <w:pPr>
        <w:spacing w:line="240" w:lineRule="auto" w:before="2"/>
        <w:rPr>
          <w:rFonts w:ascii="宋体" w:hAnsi="宋体" w:cs="宋体" w:eastAsia="宋体" w:hint="default"/>
          <w:sz w:val="21"/>
          <w:szCs w:val="21"/>
        </w:rPr>
      </w:pPr>
    </w:p>
    <w:p>
      <w:pPr>
        <w:pStyle w:val="Heading6"/>
        <w:spacing w:line="240" w:lineRule="auto"/>
        <w:ind w:left="1133" w:right="998"/>
        <w:jc w:val="left"/>
        <w:rPr>
          <w:b w:val="0"/>
          <w:bCs w:val="0"/>
        </w:rPr>
      </w:pPr>
      <w:bookmarkStart w:name="（3）租赁情况" w:id="90"/>
      <w:bookmarkEnd w:id="90"/>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8"/>
        <w:rPr>
          <w:rFonts w:ascii="宋体" w:hAnsi="宋体" w:cs="宋体" w:eastAsia="宋体" w:hint="default"/>
          <w:b/>
          <w:bCs/>
          <w:sz w:val="26"/>
          <w:szCs w:val="26"/>
        </w:rPr>
      </w:pPr>
    </w:p>
    <w:p>
      <w:pPr>
        <w:spacing w:line="340" w:lineRule="auto" w:before="0"/>
        <w:ind w:left="1133" w:right="84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公司报告期不存在租赁情况。</w:t>
      </w:r>
    </w:p>
    <w:p>
      <w:pPr>
        <w:spacing w:line="240" w:lineRule="auto" w:before="12"/>
        <w:rPr>
          <w:rFonts w:ascii="宋体" w:hAnsi="宋体" w:cs="宋体" w:eastAsia="宋体" w:hint="default"/>
          <w:sz w:val="20"/>
          <w:szCs w:val="20"/>
        </w:rPr>
      </w:pPr>
    </w:p>
    <w:p>
      <w:pPr>
        <w:pStyle w:val="Heading6"/>
        <w:spacing w:line="240" w:lineRule="auto"/>
        <w:ind w:left="1133" w:right="998"/>
        <w:jc w:val="left"/>
        <w:rPr>
          <w:b w:val="0"/>
          <w:bCs w:val="0"/>
        </w:rPr>
      </w:pPr>
      <w:bookmarkStart w:name="2、重大担保" w:id="91"/>
      <w:bookmarkEnd w:id="91"/>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9"/>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0" w:footer="979" w:top="1100" w:bottom="1160" w:left="0" w:right="0"/>
        </w:sectPr>
      </w:pPr>
    </w:p>
    <w:p>
      <w:pPr>
        <w:spacing w:line="240" w:lineRule="auto" w:before="12"/>
        <w:rPr>
          <w:rFonts w:ascii="宋体" w:hAnsi="宋体" w:cs="宋体" w:eastAsia="宋体" w:hint="default"/>
          <w:sz w:val="2"/>
          <w:szCs w:val="2"/>
        </w:rPr>
      </w:pPr>
    </w:p>
    <w:p>
      <w:pPr>
        <w:spacing w:line="20" w:lineRule="exact"/>
        <w:ind w:left="12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p>
      <w:pPr>
        <w:pStyle w:val="Heading6"/>
        <w:spacing w:line="240" w:lineRule="auto"/>
        <w:ind w:left="160" w:right="0"/>
        <w:jc w:val="left"/>
        <w:rPr>
          <w:b w:val="0"/>
          <w:bCs w:val="0"/>
        </w:rPr>
      </w:pPr>
      <w:bookmarkStart w:name="（1）担保情况" w:id="92"/>
      <w:bookmarkEnd w:id="92"/>
      <w:r>
        <w:rPr>
          <w:b w:val="0"/>
          <w:bCs w:val="0"/>
        </w:rPr>
      </w:r>
      <w:r>
        <w:rPr/>
        <w:t>（</w:t>
      </w:r>
      <w:r>
        <w:rPr>
          <w:rFonts w:ascii="Times New Roman" w:hAnsi="Times New Roman" w:cs="Times New Roman" w:eastAsia="Times New Roman" w:hint="default"/>
        </w:rPr>
        <w:t>1</w:t>
      </w:r>
      <w:r>
        <w:rPr/>
        <w:t>）担保情况</w:t>
      </w:r>
      <w:r>
        <w:rPr>
          <w:b w:val="0"/>
          <w:bCs w:val="0"/>
        </w:rPr>
      </w:r>
    </w:p>
    <w:p>
      <w:pPr>
        <w:spacing w:line="240" w:lineRule="auto" w:before="3"/>
        <w:rPr>
          <w:rFonts w:ascii="宋体" w:hAnsi="宋体" w:cs="宋体" w:eastAsia="宋体" w:hint="default"/>
          <w:b/>
          <w:bCs/>
          <w:sz w:val="23"/>
          <w:szCs w:val="23"/>
        </w:rPr>
      </w:pPr>
    </w:p>
    <w:p>
      <w:pPr>
        <w:spacing w:before="44"/>
        <w:ind w:left="0" w:right="1436"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3"/>
        <w:rPr>
          <w:rFonts w:ascii="宋体" w:hAnsi="宋体" w:cs="宋体" w:eastAsia="宋体" w:hint="default"/>
          <w:sz w:val="7"/>
          <w:szCs w:val="7"/>
        </w:rPr>
      </w:pPr>
    </w:p>
    <w:tbl>
      <w:tblPr>
        <w:tblW w:w="0" w:type="auto"/>
        <w:jc w:val="left"/>
        <w:tblInd w:w="116" w:type="dxa"/>
        <w:tblLayout w:type="fixed"/>
        <w:tblCellMar>
          <w:top w:w="0" w:type="dxa"/>
          <w:left w:w="0" w:type="dxa"/>
          <w:bottom w:w="0" w:type="dxa"/>
          <w:right w:w="0" w:type="dxa"/>
        </w:tblCellMar>
        <w:tblLook w:val="01E0"/>
      </w:tblPr>
      <w:tblGrid>
        <w:gridCol w:w="2504"/>
        <w:gridCol w:w="1357"/>
        <w:gridCol w:w="1354"/>
        <w:gridCol w:w="1898"/>
        <w:gridCol w:w="1555"/>
        <w:gridCol w:w="1517"/>
        <w:gridCol w:w="1534"/>
        <w:gridCol w:w="1162"/>
        <w:gridCol w:w="1135"/>
      </w:tblGrid>
      <w:tr>
        <w:trPr>
          <w:trHeight w:val="415" w:hRule="exact"/>
        </w:trPr>
        <w:tc>
          <w:tcPr>
            <w:tcW w:w="14015" w:type="dxa"/>
            <w:gridSpan w:val="9"/>
            <w:tcBorders>
              <w:top w:val="single" w:sz="12"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719" w:hRule="exact"/>
        </w:trPr>
        <w:tc>
          <w:tcPr>
            <w:tcW w:w="2504"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702"/>
              <w:jc w:val="right"/>
              <w:rPr>
                <w:rFonts w:ascii="宋体" w:hAnsi="宋体" w:cs="宋体" w:eastAsia="宋体" w:hint="default"/>
                <w:sz w:val="18"/>
                <w:szCs w:val="18"/>
              </w:rPr>
            </w:pPr>
            <w:r>
              <w:rPr>
                <w:rFonts w:ascii="宋体" w:hAnsi="宋体" w:cs="宋体" w:eastAsia="宋体" w:hint="default"/>
                <w:sz w:val="18"/>
                <w:szCs w:val="18"/>
              </w:rPr>
              <w:t>担保对象名称</w:t>
            </w:r>
          </w:p>
        </w:tc>
        <w:tc>
          <w:tcPr>
            <w:tcW w:w="135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2"/>
              <w:ind w:left="224" w:right="35" w:hanging="180"/>
              <w:jc w:val="left"/>
              <w:rPr>
                <w:rFonts w:ascii="宋体" w:hAnsi="宋体" w:cs="宋体" w:eastAsia="宋体" w:hint="default"/>
                <w:sz w:val="18"/>
                <w:szCs w:val="18"/>
              </w:rPr>
            </w:pPr>
            <w:r>
              <w:rPr>
                <w:rFonts w:ascii="宋体" w:hAnsi="宋体" w:cs="宋体" w:eastAsia="宋体" w:hint="default"/>
                <w:sz w:val="18"/>
                <w:szCs w:val="18"/>
              </w:rPr>
              <w:t>担保额度相关公 告披露日期</w:t>
            </w:r>
          </w:p>
        </w:tc>
        <w:tc>
          <w:tcPr>
            <w:tcW w:w="1354"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2"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898"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2"/>
              <w:ind w:left="670" w:right="40" w:hanging="630"/>
              <w:jc w:val="left"/>
              <w:rPr>
                <w:rFonts w:ascii="宋体" w:hAnsi="宋体" w:cs="宋体" w:eastAsia="宋体" w:hint="default"/>
                <w:sz w:val="18"/>
                <w:szCs w:val="18"/>
              </w:rPr>
            </w:pPr>
            <w:r>
              <w:rPr>
                <w:rFonts w:ascii="宋体" w:hAnsi="宋体" w:cs="宋体" w:eastAsia="宋体" w:hint="default"/>
                <w:sz w:val="18"/>
                <w:szCs w:val="18"/>
              </w:rPr>
              <w:t>实际发生日期（协议签 署日）</w:t>
            </w:r>
          </w:p>
        </w:tc>
        <w:tc>
          <w:tcPr>
            <w:tcW w:w="1555"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实际担保金额</w:t>
            </w:r>
          </w:p>
        </w:tc>
        <w:tc>
          <w:tcPr>
            <w:tcW w:w="151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389"/>
              <w:jc w:val="right"/>
              <w:rPr>
                <w:rFonts w:ascii="宋体" w:hAnsi="宋体" w:cs="宋体" w:eastAsia="宋体" w:hint="default"/>
                <w:sz w:val="18"/>
                <w:szCs w:val="18"/>
              </w:rPr>
            </w:pPr>
            <w:r>
              <w:rPr>
                <w:rFonts w:ascii="宋体" w:hAnsi="宋体" w:cs="宋体" w:eastAsia="宋体" w:hint="default"/>
                <w:sz w:val="18"/>
                <w:szCs w:val="18"/>
              </w:rPr>
              <w:t>担保类型</w:t>
            </w:r>
          </w:p>
        </w:tc>
        <w:tc>
          <w:tcPr>
            <w:tcW w:w="1534"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486"/>
              <w:jc w:val="right"/>
              <w:rPr>
                <w:rFonts w:ascii="宋体" w:hAnsi="宋体" w:cs="宋体" w:eastAsia="宋体" w:hint="default"/>
                <w:sz w:val="18"/>
                <w:szCs w:val="18"/>
              </w:rPr>
            </w:pPr>
            <w:r>
              <w:rPr>
                <w:rFonts w:ascii="宋体" w:hAnsi="宋体" w:cs="宋体" w:eastAsia="宋体" w:hint="default"/>
                <w:sz w:val="18"/>
                <w:szCs w:val="18"/>
              </w:rPr>
              <w:t>担保期</w:t>
            </w:r>
          </w:p>
        </w:tc>
        <w:tc>
          <w:tcPr>
            <w:tcW w:w="116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是否履行完毕</w:t>
            </w:r>
          </w:p>
        </w:tc>
        <w:tc>
          <w:tcPr>
            <w:tcW w:w="1135"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316" w:lineRule="auto" w:before="52"/>
              <w:ind w:left="290" w:right="101" w:hanging="180"/>
              <w:jc w:val="left"/>
              <w:rPr>
                <w:rFonts w:ascii="宋体" w:hAnsi="宋体" w:cs="宋体" w:eastAsia="宋体" w:hint="default"/>
                <w:sz w:val="18"/>
                <w:szCs w:val="18"/>
              </w:rPr>
            </w:pPr>
            <w:r>
              <w:rPr>
                <w:rFonts w:ascii="宋体" w:hAnsi="宋体" w:cs="宋体" w:eastAsia="宋体" w:hint="default"/>
                <w:sz w:val="18"/>
                <w:szCs w:val="18"/>
              </w:rPr>
              <w:t>是否为关联 方担保</w:t>
            </w:r>
          </w:p>
        </w:tc>
      </w:tr>
      <w:tr>
        <w:trPr>
          <w:trHeight w:val="407" w:hRule="exact"/>
        </w:trPr>
        <w:tc>
          <w:tcPr>
            <w:tcW w:w="14015" w:type="dxa"/>
            <w:gridSpan w:val="9"/>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720" w:hRule="exact"/>
        </w:trPr>
        <w:tc>
          <w:tcPr>
            <w:tcW w:w="2504"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702"/>
              <w:jc w:val="right"/>
              <w:rPr>
                <w:rFonts w:ascii="宋体" w:hAnsi="宋体" w:cs="宋体" w:eastAsia="宋体" w:hint="default"/>
                <w:sz w:val="18"/>
                <w:szCs w:val="18"/>
              </w:rPr>
            </w:pPr>
            <w:r>
              <w:rPr>
                <w:rFonts w:ascii="宋体" w:hAnsi="宋体" w:cs="宋体" w:eastAsia="宋体" w:hint="default"/>
                <w:sz w:val="18"/>
                <w:szCs w:val="18"/>
              </w:rPr>
              <w:t>担保对象名称</w:t>
            </w:r>
          </w:p>
        </w:tc>
        <w:tc>
          <w:tcPr>
            <w:tcW w:w="135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2"/>
              <w:ind w:left="218" w:right="41" w:hanging="180"/>
              <w:jc w:val="left"/>
              <w:rPr>
                <w:rFonts w:ascii="宋体" w:hAnsi="宋体" w:cs="宋体" w:eastAsia="宋体" w:hint="default"/>
                <w:sz w:val="18"/>
                <w:szCs w:val="18"/>
              </w:rPr>
            </w:pPr>
            <w:r>
              <w:rPr>
                <w:rFonts w:ascii="宋体" w:hAnsi="宋体" w:cs="宋体" w:eastAsia="宋体" w:hint="default"/>
                <w:sz w:val="18"/>
                <w:szCs w:val="18"/>
              </w:rPr>
              <w:t>担保额度相关公 告披露日期</w:t>
            </w:r>
          </w:p>
        </w:tc>
        <w:tc>
          <w:tcPr>
            <w:tcW w:w="1354"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898"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2"/>
              <w:ind w:left="670" w:right="40" w:hanging="630"/>
              <w:jc w:val="left"/>
              <w:rPr>
                <w:rFonts w:ascii="宋体" w:hAnsi="宋体" w:cs="宋体" w:eastAsia="宋体" w:hint="default"/>
                <w:sz w:val="18"/>
                <w:szCs w:val="18"/>
              </w:rPr>
            </w:pPr>
            <w:r>
              <w:rPr>
                <w:rFonts w:ascii="宋体" w:hAnsi="宋体" w:cs="宋体" w:eastAsia="宋体" w:hint="default"/>
                <w:sz w:val="18"/>
                <w:szCs w:val="18"/>
              </w:rPr>
              <w:t>实际发生日期（协议签 署日）</w:t>
            </w:r>
          </w:p>
        </w:tc>
        <w:tc>
          <w:tcPr>
            <w:tcW w:w="1555"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实际担保金额</w:t>
            </w:r>
          </w:p>
        </w:tc>
        <w:tc>
          <w:tcPr>
            <w:tcW w:w="151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389"/>
              <w:jc w:val="right"/>
              <w:rPr>
                <w:rFonts w:ascii="宋体" w:hAnsi="宋体" w:cs="宋体" w:eastAsia="宋体" w:hint="default"/>
                <w:sz w:val="18"/>
                <w:szCs w:val="18"/>
              </w:rPr>
            </w:pPr>
            <w:r>
              <w:rPr>
                <w:rFonts w:ascii="宋体" w:hAnsi="宋体" w:cs="宋体" w:eastAsia="宋体" w:hint="default"/>
                <w:sz w:val="18"/>
                <w:szCs w:val="18"/>
              </w:rPr>
              <w:t>担保类型</w:t>
            </w:r>
          </w:p>
        </w:tc>
        <w:tc>
          <w:tcPr>
            <w:tcW w:w="1534"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491"/>
              <w:jc w:val="right"/>
              <w:rPr>
                <w:rFonts w:ascii="宋体" w:hAnsi="宋体" w:cs="宋体" w:eastAsia="宋体" w:hint="default"/>
                <w:sz w:val="18"/>
                <w:szCs w:val="18"/>
              </w:rPr>
            </w:pPr>
            <w:r>
              <w:rPr>
                <w:rFonts w:ascii="宋体" w:hAnsi="宋体" w:cs="宋体" w:eastAsia="宋体" w:hint="default"/>
                <w:sz w:val="18"/>
                <w:szCs w:val="18"/>
              </w:rPr>
              <w:t>担保期</w:t>
            </w:r>
          </w:p>
        </w:tc>
        <w:tc>
          <w:tcPr>
            <w:tcW w:w="116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 w:right="0"/>
              <w:jc w:val="left"/>
              <w:rPr>
                <w:rFonts w:ascii="宋体" w:hAnsi="宋体" w:cs="宋体" w:eastAsia="宋体" w:hint="default"/>
                <w:sz w:val="18"/>
                <w:szCs w:val="18"/>
              </w:rPr>
            </w:pPr>
            <w:r>
              <w:rPr>
                <w:rFonts w:ascii="宋体" w:hAnsi="宋体" w:cs="宋体" w:eastAsia="宋体" w:hint="default"/>
                <w:sz w:val="18"/>
                <w:szCs w:val="18"/>
              </w:rPr>
              <w:t>是否履行完毕</w:t>
            </w:r>
          </w:p>
        </w:tc>
        <w:tc>
          <w:tcPr>
            <w:tcW w:w="1135"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316" w:lineRule="auto" w:before="52"/>
              <w:ind w:left="290" w:right="101" w:hanging="180"/>
              <w:jc w:val="left"/>
              <w:rPr>
                <w:rFonts w:ascii="宋体" w:hAnsi="宋体" w:cs="宋体" w:eastAsia="宋体" w:hint="default"/>
                <w:sz w:val="18"/>
                <w:szCs w:val="18"/>
              </w:rPr>
            </w:pPr>
            <w:r>
              <w:rPr>
                <w:rFonts w:ascii="宋体" w:hAnsi="宋体" w:cs="宋体" w:eastAsia="宋体" w:hint="default"/>
                <w:sz w:val="18"/>
                <w:szCs w:val="18"/>
              </w:rPr>
              <w:t>是否为关联 方担保</w:t>
            </w:r>
          </w:p>
        </w:tc>
      </w:tr>
      <w:tr>
        <w:trPr>
          <w:trHeight w:val="719" w:hRule="exact"/>
        </w:trPr>
        <w:tc>
          <w:tcPr>
            <w:tcW w:w="2504" w:type="dxa"/>
            <w:tcBorders>
              <w:top w:val="single" w:sz="6" w:space="0" w:color="000000"/>
              <w:left w:val="single" w:sz="12" w:space="0" w:color="000000"/>
              <w:bottom w:val="single" w:sz="6" w:space="0" w:color="000000"/>
              <w:right w:val="single" w:sz="6" w:space="0" w:color="000000"/>
            </w:tcBorders>
          </w:tcPr>
          <w:p>
            <w:pPr>
              <w:pStyle w:val="TableParagraph"/>
              <w:spacing w:line="319" w:lineRule="auto" w:before="51"/>
              <w:ind w:left="13" w:right="126"/>
              <w:jc w:val="left"/>
              <w:rPr>
                <w:rFonts w:ascii="宋体" w:hAnsi="宋体" w:cs="宋体" w:eastAsia="宋体" w:hint="default"/>
                <w:sz w:val="18"/>
                <w:szCs w:val="18"/>
              </w:rPr>
            </w:pPr>
            <w:r>
              <w:rPr>
                <w:rFonts w:ascii="宋体" w:hAnsi="宋体" w:cs="宋体" w:eastAsia="宋体" w:hint="default"/>
                <w:sz w:val="18"/>
                <w:szCs w:val="18"/>
              </w:rPr>
              <w:t>北京昆仑乐享网络技术有限公 司</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20,000</w:t>
            </w:r>
          </w:p>
        </w:tc>
        <w:tc>
          <w:tcPr>
            <w:tcW w:w="1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1,000</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98"/>
              <w:jc w:val="right"/>
              <w:rPr>
                <w:rFonts w:ascii="宋体" w:hAnsi="宋体" w:cs="宋体" w:eastAsia="宋体" w:hint="default"/>
                <w:sz w:val="18"/>
                <w:szCs w:val="18"/>
              </w:rPr>
            </w:pPr>
            <w:r>
              <w:rPr>
                <w:rFonts w:ascii="宋体" w:hAnsi="宋体" w:cs="宋体" w:eastAsia="宋体" w:hint="default"/>
                <w:sz w:val="18"/>
                <w:szCs w:val="18"/>
              </w:rPr>
              <w:t>连带责任保证</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9" w:hRule="exact"/>
        </w:trPr>
        <w:tc>
          <w:tcPr>
            <w:tcW w:w="2504" w:type="dxa"/>
            <w:tcBorders>
              <w:top w:val="single" w:sz="6" w:space="0" w:color="000000"/>
              <w:left w:val="single" w:sz="12" w:space="0" w:color="000000"/>
              <w:bottom w:val="single" w:sz="6" w:space="0" w:color="000000"/>
              <w:right w:val="single" w:sz="6" w:space="0" w:color="000000"/>
            </w:tcBorders>
          </w:tcPr>
          <w:p>
            <w:pPr>
              <w:pStyle w:val="TableParagraph"/>
              <w:spacing w:line="319" w:lineRule="auto" w:before="51"/>
              <w:ind w:left="13" w:right="126"/>
              <w:jc w:val="left"/>
              <w:rPr>
                <w:rFonts w:ascii="宋体" w:hAnsi="宋体" w:cs="宋体" w:eastAsia="宋体" w:hint="default"/>
                <w:sz w:val="18"/>
                <w:szCs w:val="18"/>
              </w:rPr>
            </w:pPr>
            <w:r>
              <w:rPr>
                <w:rFonts w:ascii="宋体" w:hAnsi="宋体" w:cs="宋体" w:eastAsia="宋体" w:hint="default"/>
                <w:sz w:val="18"/>
                <w:szCs w:val="18"/>
              </w:rPr>
              <w:t>北京昆仑在线网络科技有限公 司</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20,000</w:t>
            </w:r>
          </w:p>
        </w:tc>
        <w:tc>
          <w:tcPr>
            <w:tcW w:w="1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1,000</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98"/>
              <w:jc w:val="right"/>
              <w:rPr>
                <w:rFonts w:ascii="宋体" w:hAnsi="宋体" w:cs="宋体" w:eastAsia="宋体" w:hint="default"/>
                <w:sz w:val="18"/>
                <w:szCs w:val="18"/>
              </w:rPr>
            </w:pPr>
            <w:r>
              <w:rPr>
                <w:rFonts w:ascii="宋体" w:hAnsi="宋体" w:cs="宋体" w:eastAsia="宋体" w:hint="default"/>
                <w:sz w:val="18"/>
                <w:szCs w:val="18"/>
              </w:rPr>
              <w:t>连带责任保证</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9" w:hRule="exact"/>
        </w:trPr>
        <w:tc>
          <w:tcPr>
            <w:tcW w:w="2504" w:type="dxa"/>
            <w:tcBorders>
              <w:top w:val="single" w:sz="6" w:space="0" w:color="000000"/>
              <w:left w:val="single" w:sz="12" w:space="0" w:color="000000"/>
              <w:bottom w:val="single" w:sz="6" w:space="0" w:color="000000"/>
              <w:right w:val="single" w:sz="6" w:space="0" w:color="000000"/>
            </w:tcBorders>
          </w:tcPr>
          <w:p>
            <w:pPr>
              <w:pStyle w:val="TableParagraph"/>
              <w:spacing w:line="319" w:lineRule="auto" w:before="51"/>
              <w:ind w:left="13" w:right="126"/>
              <w:jc w:val="left"/>
              <w:rPr>
                <w:rFonts w:ascii="宋体" w:hAnsi="宋体" w:cs="宋体" w:eastAsia="宋体" w:hint="default"/>
                <w:sz w:val="18"/>
                <w:szCs w:val="18"/>
              </w:rPr>
            </w:pPr>
            <w:r>
              <w:rPr>
                <w:rFonts w:ascii="宋体" w:hAnsi="宋体" w:cs="宋体" w:eastAsia="宋体" w:hint="default"/>
                <w:sz w:val="18"/>
                <w:szCs w:val="18"/>
              </w:rPr>
              <w:t>北京昆仑乐享网络技术有限公 司</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35,000</w:t>
            </w:r>
          </w:p>
        </w:tc>
        <w:tc>
          <w:tcPr>
            <w:tcW w:w="1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23,000</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98"/>
              <w:jc w:val="right"/>
              <w:rPr>
                <w:rFonts w:ascii="宋体" w:hAnsi="宋体" w:cs="宋体" w:eastAsia="宋体" w:hint="default"/>
                <w:sz w:val="18"/>
                <w:szCs w:val="18"/>
              </w:rPr>
            </w:pPr>
            <w:r>
              <w:rPr>
                <w:rFonts w:ascii="宋体" w:hAnsi="宋体" w:cs="宋体" w:eastAsia="宋体" w:hint="default"/>
                <w:sz w:val="18"/>
                <w:szCs w:val="18"/>
              </w:rPr>
              <w:t>连带责任保证</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9" w:hRule="exact"/>
        </w:trPr>
        <w:tc>
          <w:tcPr>
            <w:tcW w:w="2504"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52"/>
              <w:ind w:left="13" w:right="126"/>
              <w:jc w:val="left"/>
              <w:rPr>
                <w:rFonts w:ascii="宋体" w:hAnsi="宋体" w:cs="宋体" w:eastAsia="宋体" w:hint="default"/>
                <w:sz w:val="18"/>
                <w:szCs w:val="18"/>
              </w:rPr>
            </w:pPr>
            <w:r>
              <w:rPr>
                <w:rFonts w:ascii="宋体" w:hAnsi="宋体" w:cs="宋体" w:eastAsia="宋体" w:hint="default"/>
                <w:sz w:val="18"/>
                <w:szCs w:val="18"/>
              </w:rPr>
              <w:t>北京昆仑在线网络科技有限公 司</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25,000</w:t>
            </w:r>
          </w:p>
        </w:tc>
        <w:tc>
          <w:tcPr>
            <w:tcW w:w="1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23,000</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398"/>
              <w:jc w:val="right"/>
              <w:rPr>
                <w:rFonts w:ascii="宋体" w:hAnsi="宋体" w:cs="宋体" w:eastAsia="宋体" w:hint="default"/>
                <w:sz w:val="18"/>
                <w:szCs w:val="18"/>
              </w:rPr>
            </w:pPr>
            <w:r>
              <w:rPr>
                <w:rFonts w:ascii="宋体" w:hAnsi="宋体" w:cs="宋体" w:eastAsia="宋体" w:hint="default"/>
                <w:sz w:val="18"/>
                <w:szCs w:val="18"/>
              </w:rPr>
              <w:t>连带责任保证</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9" w:hRule="exact"/>
        </w:trPr>
        <w:tc>
          <w:tcPr>
            <w:tcW w:w="25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昆仑集团有限公司</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40,000</w:t>
            </w:r>
          </w:p>
        </w:tc>
        <w:tc>
          <w:tcPr>
            <w:tcW w:w="1898" w:type="dxa"/>
            <w:tcBorders>
              <w:top w:val="single" w:sz="6" w:space="0" w:color="000000"/>
              <w:left w:val="single" w:sz="6" w:space="0" w:color="000000"/>
              <w:bottom w:val="single" w:sz="6" w:space="0" w:color="000000"/>
              <w:right w:val="single" w:sz="6" w:space="0" w:color="000000"/>
            </w:tcBorders>
          </w:tcPr>
          <w:p>
            <w:pP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40,000</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398"/>
              <w:jc w:val="right"/>
              <w:rPr>
                <w:rFonts w:ascii="宋体" w:hAnsi="宋体" w:cs="宋体" w:eastAsia="宋体" w:hint="default"/>
                <w:sz w:val="18"/>
                <w:szCs w:val="18"/>
              </w:rPr>
            </w:pPr>
            <w:r>
              <w:rPr>
                <w:rFonts w:ascii="宋体" w:hAnsi="宋体" w:cs="宋体" w:eastAsia="宋体" w:hint="default"/>
                <w:sz w:val="18"/>
                <w:szCs w:val="18"/>
              </w:rPr>
              <w:t>连带责任保证</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20" w:hRule="exact"/>
        </w:trPr>
        <w:tc>
          <w:tcPr>
            <w:tcW w:w="25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3" w:right="0"/>
              <w:jc w:val="left"/>
              <w:rPr>
                <w:rFonts w:ascii="Times New Roman" w:hAnsi="Times New Roman" w:cs="Times New Roman" w:eastAsia="Times New Roman" w:hint="default"/>
                <w:sz w:val="18"/>
                <w:szCs w:val="18"/>
              </w:rPr>
            </w:pPr>
            <w:r>
              <w:rPr>
                <w:rFonts w:ascii="Times New Roman"/>
                <w:sz w:val="18"/>
              </w:rPr>
              <w:t>KL Grindr Holding</w:t>
            </w:r>
            <w:r>
              <w:rPr>
                <w:rFonts w:ascii="Times New Roman"/>
                <w:spacing w:val="-8"/>
                <w:sz w:val="18"/>
              </w:rPr>
              <w:t> </w:t>
            </w:r>
            <w:r>
              <w:rPr>
                <w:rFonts w:ascii="Times New Roman"/>
                <w:sz w:val="18"/>
              </w:rPr>
              <w:t>Inc.</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63,001.92</w:t>
            </w:r>
          </w:p>
        </w:tc>
        <w:tc>
          <w:tcPr>
            <w:tcW w:w="1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63,001.92</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398"/>
              <w:jc w:val="right"/>
              <w:rPr>
                <w:rFonts w:ascii="宋体" w:hAnsi="宋体" w:cs="宋体" w:eastAsia="宋体" w:hint="default"/>
                <w:sz w:val="18"/>
                <w:szCs w:val="18"/>
              </w:rPr>
            </w:pPr>
            <w:r>
              <w:rPr>
                <w:rFonts w:ascii="宋体" w:hAnsi="宋体" w:cs="宋体" w:eastAsia="宋体" w:hint="default"/>
                <w:sz w:val="18"/>
                <w:szCs w:val="18"/>
              </w:rPr>
              <w:t>连带责任保证</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9" w:hRule="exact"/>
        </w:trPr>
        <w:tc>
          <w:tcPr>
            <w:tcW w:w="25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昆仑集团有限公司</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p>
          <w:p>
            <w:pPr>
              <w:pStyle w:val="TableParagraph"/>
              <w:spacing w:line="240" w:lineRule="auto" w:before="63"/>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10,000</w:t>
            </w:r>
          </w:p>
        </w:tc>
        <w:tc>
          <w:tcPr>
            <w:tcW w:w="1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9,087.47</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98"/>
              <w:jc w:val="right"/>
              <w:rPr>
                <w:rFonts w:ascii="宋体" w:hAnsi="宋体" w:cs="宋体" w:eastAsia="宋体" w:hint="default"/>
                <w:sz w:val="18"/>
                <w:szCs w:val="18"/>
              </w:rPr>
            </w:pPr>
            <w:r>
              <w:rPr>
                <w:rFonts w:ascii="宋体" w:hAnsi="宋体" w:cs="宋体" w:eastAsia="宋体" w:hint="default"/>
                <w:sz w:val="18"/>
                <w:szCs w:val="18"/>
              </w:rPr>
              <w:t>连带责任保证</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9" w:hRule="exact"/>
        </w:trPr>
        <w:tc>
          <w:tcPr>
            <w:tcW w:w="25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昆仑集团有限公司</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13,548.8</w:t>
            </w:r>
          </w:p>
        </w:tc>
        <w:tc>
          <w:tcPr>
            <w:tcW w:w="1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9,801.3</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98"/>
              <w:jc w:val="right"/>
              <w:rPr>
                <w:rFonts w:ascii="宋体" w:hAnsi="宋体" w:cs="宋体" w:eastAsia="宋体" w:hint="default"/>
                <w:sz w:val="18"/>
                <w:szCs w:val="18"/>
              </w:rPr>
            </w:pPr>
            <w:r>
              <w:rPr>
                <w:rFonts w:ascii="宋体" w:hAnsi="宋体" w:cs="宋体" w:eastAsia="宋体" w:hint="default"/>
                <w:sz w:val="18"/>
                <w:szCs w:val="18"/>
              </w:rPr>
              <w:t>连带责任保证</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15" w:hRule="exact"/>
        </w:trPr>
        <w:tc>
          <w:tcPr>
            <w:tcW w:w="250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昆仑集团有限公司</w:t>
            </w:r>
          </w:p>
        </w:tc>
        <w:tc>
          <w:tcPr>
            <w:tcW w:w="13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1"/>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p>
        </w:tc>
        <w:tc>
          <w:tcPr>
            <w:tcW w:w="135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8,129.28</w:t>
            </w:r>
          </w:p>
        </w:tc>
        <w:tc>
          <w:tcPr>
            <w:tcW w:w="18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5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8,129.28</w:t>
            </w:r>
          </w:p>
        </w:tc>
        <w:tc>
          <w:tcPr>
            <w:tcW w:w="151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398"/>
              <w:jc w:val="right"/>
              <w:rPr>
                <w:rFonts w:ascii="宋体" w:hAnsi="宋体" w:cs="宋体" w:eastAsia="宋体" w:hint="default"/>
                <w:sz w:val="18"/>
                <w:szCs w:val="18"/>
              </w:rPr>
            </w:pPr>
            <w:r>
              <w:rPr>
                <w:rFonts w:ascii="宋体" w:hAnsi="宋体" w:cs="宋体" w:eastAsia="宋体" w:hint="default"/>
                <w:sz w:val="18"/>
                <w:szCs w:val="18"/>
              </w:rPr>
              <w:t>连带责任保证</w:t>
            </w:r>
          </w:p>
        </w:tc>
        <w:tc>
          <w:tcPr>
            <w:tcW w:w="15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3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headerReference w:type="default" r:id="rId28"/>
          <w:footerReference w:type="default" r:id="rId29"/>
          <w:pgSz w:w="16840" w:h="11910" w:orient="landscape"/>
          <w:pgMar w:header="867" w:footer="979" w:top="1060" w:bottom="1160" w:left="1280" w:right="0"/>
          <w:pgNumType w:start="67"/>
        </w:sectPr>
      </w:pPr>
    </w:p>
    <w:p>
      <w:pPr>
        <w:spacing w:line="240" w:lineRule="auto" w:before="4"/>
        <w:rPr>
          <w:rFonts w:ascii="Times New Roman" w:hAnsi="Times New Roman" w:cs="Times New Roman" w:eastAsia="Times New Roman" w:hint="default"/>
          <w:sz w:val="3"/>
          <w:szCs w:val="3"/>
        </w:rPr>
      </w:pPr>
    </w:p>
    <w:p>
      <w:pPr>
        <w:spacing w:line="20" w:lineRule="exact"/>
        <w:ind w:left="12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Times New Roman" w:hAnsi="Times New Roman" w:cs="Times New Roman" w:eastAsia="Times New Roman" w:hint="default"/>
          <w:sz w:val="2"/>
          <w:szCs w:val="2"/>
        </w:rPr>
      </w:r>
    </w:p>
    <w:tbl>
      <w:tblPr>
        <w:tblW w:w="0" w:type="auto"/>
        <w:jc w:val="left"/>
        <w:tblInd w:w="116" w:type="dxa"/>
        <w:tblLayout w:type="fixed"/>
        <w:tblCellMar>
          <w:top w:w="0" w:type="dxa"/>
          <w:left w:w="0" w:type="dxa"/>
          <w:bottom w:w="0" w:type="dxa"/>
          <w:right w:w="0" w:type="dxa"/>
        </w:tblCellMar>
        <w:tblLook w:val="01E0"/>
      </w:tblPr>
      <w:tblGrid>
        <w:gridCol w:w="2510"/>
        <w:gridCol w:w="1339"/>
        <w:gridCol w:w="1352"/>
        <w:gridCol w:w="1912"/>
        <w:gridCol w:w="1542"/>
        <w:gridCol w:w="1527"/>
        <w:gridCol w:w="1534"/>
        <w:gridCol w:w="1164"/>
        <w:gridCol w:w="1136"/>
      </w:tblGrid>
      <w:tr>
        <w:trPr>
          <w:trHeight w:val="374" w:hRule="exact"/>
        </w:trPr>
        <w:tc>
          <w:tcPr>
            <w:tcW w:w="2510" w:type="dxa"/>
            <w:tcBorders>
              <w:top w:val="single" w:sz="12" w:space="0" w:color="000000"/>
              <w:left w:val="single" w:sz="12" w:space="0" w:color="000000"/>
              <w:bottom w:val="single" w:sz="6" w:space="0" w:color="000000"/>
              <w:right w:val="single" w:sz="6" w:space="0" w:color="000000"/>
            </w:tcBorders>
          </w:tcPr>
          <w:p>
            <w:pPr/>
          </w:p>
        </w:tc>
        <w:tc>
          <w:tcPr>
            <w:tcW w:w="133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
              <w:ind w:left="16"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52" w:type="dxa"/>
            <w:tcBorders>
              <w:top w:val="single" w:sz="12" w:space="0" w:color="000000"/>
              <w:left w:val="single" w:sz="6" w:space="0" w:color="000000"/>
              <w:bottom w:val="single" w:sz="6" w:space="0" w:color="000000"/>
              <w:right w:val="single" w:sz="6" w:space="0" w:color="000000"/>
            </w:tcBorders>
          </w:tcPr>
          <w:p>
            <w:pPr/>
          </w:p>
        </w:tc>
        <w:tc>
          <w:tcPr>
            <w:tcW w:w="1912" w:type="dxa"/>
            <w:tcBorders>
              <w:top w:val="single" w:sz="12" w:space="0" w:color="000000"/>
              <w:left w:val="single" w:sz="6" w:space="0" w:color="000000"/>
              <w:bottom w:val="single" w:sz="6" w:space="0" w:color="000000"/>
              <w:right w:val="single" w:sz="6" w:space="0" w:color="000000"/>
            </w:tcBorders>
          </w:tcPr>
          <w:p>
            <w:pPr/>
          </w:p>
        </w:tc>
        <w:tc>
          <w:tcPr>
            <w:tcW w:w="1542" w:type="dxa"/>
            <w:tcBorders>
              <w:top w:val="single" w:sz="12" w:space="0" w:color="000000"/>
              <w:left w:val="single" w:sz="6" w:space="0" w:color="000000"/>
              <w:bottom w:val="single" w:sz="6" w:space="0" w:color="000000"/>
              <w:right w:val="single" w:sz="6" w:space="0" w:color="000000"/>
            </w:tcBorders>
          </w:tcPr>
          <w:p>
            <w:pPr/>
          </w:p>
        </w:tc>
        <w:tc>
          <w:tcPr>
            <w:tcW w:w="1527" w:type="dxa"/>
            <w:tcBorders>
              <w:top w:val="single" w:sz="12" w:space="0" w:color="000000"/>
              <w:left w:val="single" w:sz="6" w:space="0" w:color="000000"/>
              <w:bottom w:val="single" w:sz="6" w:space="0" w:color="000000"/>
              <w:right w:val="single" w:sz="6" w:space="0" w:color="000000"/>
            </w:tcBorders>
          </w:tcPr>
          <w:p>
            <w:pPr/>
          </w:p>
        </w:tc>
        <w:tc>
          <w:tcPr>
            <w:tcW w:w="1534" w:type="dxa"/>
            <w:tcBorders>
              <w:top w:val="single" w:sz="12" w:space="0" w:color="000000"/>
              <w:left w:val="single" w:sz="6" w:space="0" w:color="000000"/>
              <w:bottom w:val="single" w:sz="6" w:space="0" w:color="000000"/>
              <w:right w:val="single" w:sz="6" w:space="0" w:color="000000"/>
            </w:tcBorders>
          </w:tcPr>
          <w:p>
            <w:pPr/>
          </w:p>
        </w:tc>
        <w:tc>
          <w:tcPr>
            <w:tcW w:w="1164" w:type="dxa"/>
            <w:tcBorders>
              <w:top w:val="single" w:sz="12" w:space="0" w:color="000000"/>
              <w:left w:val="single" w:sz="6" w:space="0" w:color="000000"/>
              <w:bottom w:val="single" w:sz="6" w:space="0" w:color="000000"/>
              <w:right w:val="single" w:sz="6" w:space="0" w:color="000000"/>
            </w:tcBorders>
          </w:tcPr>
          <w:p>
            <w:pPr/>
          </w:p>
        </w:tc>
        <w:tc>
          <w:tcPr>
            <w:tcW w:w="1136" w:type="dxa"/>
            <w:tcBorders>
              <w:top w:val="single" w:sz="12" w:space="0" w:color="000000"/>
              <w:left w:val="single" w:sz="6" w:space="0" w:color="000000"/>
              <w:bottom w:val="single" w:sz="6" w:space="0" w:color="000000"/>
              <w:right w:val="single" w:sz="12" w:space="0" w:color="000000"/>
            </w:tcBorders>
          </w:tcPr>
          <w:p>
            <w:pPr/>
          </w:p>
        </w:tc>
      </w:tr>
      <w:tr>
        <w:trPr>
          <w:trHeight w:val="719" w:hRule="exact"/>
        </w:trPr>
        <w:tc>
          <w:tcPr>
            <w:tcW w:w="25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昆仑集团有限公司</w:t>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1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p>
          <w:p>
            <w:pPr>
              <w:pStyle w:val="TableParagraph"/>
              <w:spacing w:line="240" w:lineRule="auto" w:before="63"/>
              <w:ind w:left="16"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z w:val="18"/>
              </w:rPr>
              <w:t>3,387.2</w:t>
            </w:r>
          </w:p>
        </w:tc>
        <w:tc>
          <w:tcPr>
            <w:tcW w:w="1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z w:val="18"/>
              </w:rPr>
              <w:t>3,387.2</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395"/>
              <w:jc w:val="right"/>
              <w:rPr>
                <w:rFonts w:ascii="宋体" w:hAnsi="宋体" w:cs="宋体" w:eastAsia="宋体" w:hint="default"/>
                <w:sz w:val="18"/>
                <w:szCs w:val="18"/>
              </w:rPr>
            </w:pPr>
            <w:r>
              <w:rPr>
                <w:rFonts w:ascii="宋体" w:hAnsi="宋体" w:cs="宋体" w:eastAsia="宋体" w:hint="default"/>
                <w:sz w:val="18"/>
                <w:szCs w:val="18"/>
              </w:rPr>
              <w:t>连带责任保证</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20" w:hRule="exact"/>
        </w:trPr>
        <w:tc>
          <w:tcPr>
            <w:tcW w:w="2510"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52"/>
              <w:ind w:left="13" w:right="132"/>
              <w:jc w:val="left"/>
              <w:rPr>
                <w:rFonts w:ascii="宋体" w:hAnsi="宋体" w:cs="宋体" w:eastAsia="宋体" w:hint="default"/>
                <w:sz w:val="18"/>
                <w:szCs w:val="18"/>
              </w:rPr>
            </w:pPr>
            <w:r>
              <w:rPr>
                <w:rFonts w:ascii="宋体" w:hAnsi="宋体" w:cs="宋体" w:eastAsia="宋体" w:hint="default"/>
                <w:sz w:val="18"/>
                <w:szCs w:val="18"/>
              </w:rPr>
              <w:t>北京昆仑乐享网络技术有限公 司</w:t>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1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p>
          <w:p>
            <w:pPr>
              <w:pStyle w:val="TableParagraph"/>
              <w:spacing w:line="240" w:lineRule="auto" w:before="63"/>
              <w:ind w:left="16"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z w:val="18"/>
              </w:rPr>
              <w:t>5,000</w:t>
            </w:r>
          </w:p>
        </w:tc>
        <w:tc>
          <w:tcPr>
            <w:tcW w:w="1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42" w:type="dxa"/>
            <w:tcBorders>
              <w:top w:val="single" w:sz="6" w:space="0" w:color="000000"/>
              <w:left w:val="single" w:sz="6" w:space="0" w:color="000000"/>
              <w:bottom w:val="single" w:sz="6" w:space="0" w:color="000000"/>
              <w:right w:val="single" w:sz="6" w:space="0" w:color="000000"/>
            </w:tcBorders>
          </w:tcPr>
          <w:p>
            <w:pP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395"/>
              <w:jc w:val="right"/>
              <w:rPr>
                <w:rFonts w:ascii="宋体" w:hAnsi="宋体" w:cs="宋体" w:eastAsia="宋体" w:hint="default"/>
                <w:sz w:val="18"/>
                <w:szCs w:val="18"/>
              </w:rPr>
            </w:pPr>
            <w:r>
              <w:rPr>
                <w:rFonts w:ascii="宋体" w:hAnsi="宋体" w:cs="宋体" w:eastAsia="宋体" w:hint="default"/>
                <w:sz w:val="18"/>
                <w:szCs w:val="18"/>
              </w:rPr>
              <w:t>连带责任保证</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9" w:hRule="exact"/>
        </w:trPr>
        <w:tc>
          <w:tcPr>
            <w:tcW w:w="2510"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51"/>
              <w:ind w:left="13" w:right="132"/>
              <w:jc w:val="left"/>
              <w:rPr>
                <w:rFonts w:ascii="宋体" w:hAnsi="宋体" w:cs="宋体" w:eastAsia="宋体" w:hint="default"/>
                <w:sz w:val="18"/>
                <w:szCs w:val="18"/>
              </w:rPr>
            </w:pPr>
            <w:r>
              <w:rPr>
                <w:rFonts w:ascii="宋体" w:hAnsi="宋体" w:cs="宋体" w:eastAsia="宋体" w:hint="default"/>
                <w:sz w:val="18"/>
                <w:szCs w:val="18"/>
              </w:rPr>
              <w:t>北京昆仑乐享网络技术有限公 司</w:t>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16"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z w:val="18"/>
              </w:rPr>
              <w:t>20,000</w:t>
            </w:r>
          </w:p>
        </w:tc>
        <w:tc>
          <w:tcPr>
            <w:tcW w:w="1912" w:type="dxa"/>
            <w:tcBorders>
              <w:top w:val="single" w:sz="6" w:space="0" w:color="000000"/>
              <w:left w:val="single" w:sz="6" w:space="0" w:color="000000"/>
              <w:bottom w:val="single" w:sz="6" w:space="0" w:color="000000"/>
              <w:right w:val="single" w:sz="6" w:space="0" w:color="000000"/>
            </w:tcBorders>
          </w:tcPr>
          <w:p>
            <w:pPr/>
          </w:p>
        </w:tc>
        <w:tc>
          <w:tcPr>
            <w:tcW w:w="1542" w:type="dxa"/>
            <w:tcBorders>
              <w:top w:val="single" w:sz="6" w:space="0" w:color="000000"/>
              <w:left w:val="single" w:sz="6" w:space="0" w:color="000000"/>
              <w:bottom w:val="single" w:sz="6" w:space="0" w:color="000000"/>
              <w:right w:val="single" w:sz="6" w:space="0" w:color="000000"/>
            </w:tcBorders>
          </w:tcPr>
          <w:p>
            <w:pP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395"/>
              <w:jc w:val="right"/>
              <w:rPr>
                <w:rFonts w:ascii="宋体" w:hAnsi="宋体" w:cs="宋体" w:eastAsia="宋体" w:hint="default"/>
                <w:sz w:val="18"/>
                <w:szCs w:val="18"/>
              </w:rPr>
            </w:pPr>
            <w:r>
              <w:rPr>
                <w:rFonts w:ascii="宋体" w:hAnsi="宋体" w:cs="宋体" w:eastAsia="宋体" w:hint="default"/>
                <w:sz w:val="18"/>
                <w:szCs w:val="18"/>
              </w:rPr>
              <w:t>连带责任保证</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9" w:hRule="exact"/>
        </w:trPr>
        <w:tc>
          <w:tcPr>
            <w:tcW w:w="2510" w:type="dxa"/>
            <w:tcBorders>
              <w:top w:val="single" w:sz="6" w:space="0" w:color="000000"/>
              <w:left w:val="single" w:sz="12" w:space="0" w:color="000000"/>
              <w:bottom w:val="single" w:sz="6" w:space="0" w:color="000000"/>
              <w:right w:val="single" w:sz="6" w:space="0" w:color="000000"/>
            </w:tcBorders>
          </w:tcPr>
          <w:p>
            <w:pPr>
              <w:pStyle w:val="TableParagraph"/>
              <w:spacing w:line="319" w:lineRule="auto" w:before="51"/>
              <w:ind w:left="13" w:right="132"/>
              <w:jc w:val="left"/>
              <w:rPr>
                <w:rFonts w:ascii="宋体" w:hAnsi="宋体" w:cs="宋体" w:eastAsia="宋体" w:hint="default"/>
                <w:sz w:val="18"/>
                <w:szCs w:val="18"/>
              </w:rPr>
            </w:pPr>
            <w:r>
              <w:rPr>
                <w:rFonts w:ascii="宋体" w:hAnsi="宋体" w:cs="宋体" w:eastAsia="宋体" w:hint="default"/>
                <w:sz w:val="18"/>
                <w:szCs w:val="18"/>
              </w:rPr>
              <w:t>北京昆仑在线网络科技有限公 司</w:t>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p>
          <w:p>
            <w:pPr>
              <w:pStyle w:val="TableParagraph"/>
              <w:spacing w:line="240" w:lineRule="auto" w:before="64"/>
              <w:ind w:left="16"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z w:val="18"/>
              </w:rPr>
              <w:t>20,000</w:t>
            </w:r>
          </w:p>
        </w:tc>
        <w:tc>
          <w:tcPr>
            <w:tcW w:w="1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z w:val="18"/>
              </w:rPr>
              <w:t>15,000</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395"/>
              <w:jc w:val="right"/>
              <w:rPr>
                <w:rFonts w:ascii="宋体" w:hAnsi="宋体" w:cs="宋体" w:eastAsia="宋体" w:hint="default"/>
                <w:sz w:val="18"/>
                <w:szCs w:val="18"/>
              </w:rPr>
            </w:pPr>
            <w:r>
              <w:rPr>
                <w:rFonts w:ascii="宋体" w:hAnsi="宋体" w:cs="宋体" w:eastAsia="宋体" w:hint="default"/>
                <w:sz w:val="18"/>
                <w:szCs w:val="18"/>
              </w:rPr>
              <w:t>连带责任保证</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20" w:hRule="exact"/>
        </w:trPr>
        <w:tc>
          <w:tcPr>
            <w:tcW w:w="25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昆仑集团有限公司</w:t>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p>
          <w:p>
            <w:pPr>
              <w:pStyle w:val="TableParagraph"/>
              <w:spacing w:line="240" w:lineRule="auto" w:before="64"/>
              <w:ind w:left="16"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z w:val="18"/>
              </w:rPr>
              <w:t>14,375.24</w:t>
            </w:r>
          </w:p>
        </w:tc>
        <w:tc>
          <w:tcPr>
            <w:tcW w:w="1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z w:val="18"/>
              </w:rPr>
              <w:t>14,375.24</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395"/>
              <w:jc w:val="right"/>
              <w:rPr>
                <w:rFonts w:ascii="宋体" w:hAnsi="宋体" w:cs="宋体" w:eastAsia="宋体" w:hint="default"/>
                <w:sz w:val="18"/>
                <w:szCs w:val="18"/>
              </w:rPr>
            </w:pPr>
            <w:r>
              <w:rPr>
                <w:rFonts w:ascii="宋体" w:hAnsi="宋体" w:cs="宋体" w:eastAsia="宋体" w:hint="default"/>
                <w:sz w:val="18"/>
                <w:szCs w:val="18"/>
              </w:rPr>
              <w:t>连带责任保证</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64" w:hRule="exact"/>
        </w:trPr>
        <w:tc>
          <w:tcPr>
            <w:tcW w:w="3848" w:type="dxa"/>
            <w:gridSpan w:val="2"/>
            <w:tcBorders>
              <w:top w:val="single" w:sz="6" w:space="0" w:color="000000"/>
              <w:left w:val="single" w:sz="12" w:space="0" w:color="000000"/>
              <w:bottom w:val="nil" w:sz="6" w:space="0" w:color="auto"/>
              <w:right w:val="single" w:sz="6" w:space="0" w:color="000000"/>
            </w:tcBorders>
            <w:shd w:val="clear" w:color="auto" w:fill="D2D2D2"/>
          </w:tcPr>
          <w:p>
            <w:pPr/>
          </w:p>
        </w:tc>
        <w:tc>
          <w:tcPr>
            <w:tcW w:w="3264" w:type="dxa"/>
            <w:gridSpan w:val="2"/>
            <w:vMerge w:val="restart"/>
            <w:tcBorders>
              <w:top w:val="single" w:sz="6" w:space="0" w:color="000000"/>
              <w:left w:val="single" w:sz="8" w:space="0" w:color="D2D2D2"/>
              <w:right w:val="single" w:sz="9"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54,375.24</w:t>
            </w:r>
          </w:p>
        </w:tc>
        <w:tc>
          <w:tcPr>
            <w:tcW w:w="3069" w:type="dxa"/>
            <w:gridSpan w:val="2"/>
            <w:vMerge w:val="restart"/>
            <w:tcBorders>
              <w:top w:val="single" w:sz="6" w:space="0" w:color="000000"/>
              <w:left w:val="single" w:sz="6" w:space="0" w:color="000000"/>
              <w:right w:val="single" w:sz="6" w:space="0" w:color="000000"/>
            </w:tcBorders>
            <w:shd w:val="clear" w:color="auto" w:fill="D2D2D2"/>
          </w:tcPr>
          <w:p>
            <w:pPr>
              <w:pStyle w:val="TableParagraph"/>
              <w:spacing w:line="316" w:lineRule="auto" w:before="52"/>
              <w:ind w:left="20" w:right="151"/>
              <w:jc w:val="left"/>
              <w:rPr>
                <w:rFonts w:ascii="宋体" w:hAnsi="宋体" w:cs="宋体" w:eastAsia="宋体" w:hint="default"/>
                <w:sz w:val="18"/>
                <w:szCs w:val="18"/>
              </w:rPr>
            </w:pPr>
            <w:r>
              <w:rPr>
                <w:rFonts w:ascii="宋体" w:hAnsi="宋体" w:cs="宋体" w:eastAsia="宋体" w:hint="default"/>
                <w:sz w:val="18"/>
                <w:szCs w:val="18"/>
              </w:rPr>
              <w:t>报告期内对子公司担保实际发生额合 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3834" w:type="dxa"/>
            <w:gridSpan w:val="3"/>
            <w:vMerge w:val="restart"/>
            <w:tcBorders>
              <w:top w:val="single" w:sz="6" w:space="0" w:color="000000"/>
              <w:left w:val="single" w:sz="14" w:space="0" w:color="D2D2D2"/>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98,931.21</w:t>
            </w:r>
          </w:p>
        </w:tc>
      </w:tr>
      <w:tr>
        <w:trPr>
          <w:trHeight w:val="391" w:hRule="exact"/>
        </w:trPr>
        <w:tc>
          <w:tcPr>
            <w:tcW w:w="3848" w:type="dxa"/>
            <w:gridSpan w:val="2"/>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3264" w:type="dxa"/>
            <w:gridSpan w:val="2"/>
            <w:vMerge/>
            <w:tcBorders>
              <w:left w:val="single" w:sz="8" w:space="0" w:color="D2D2D2"/>
              <w:right w:val="single" w:sz="9" w:space="0" w:color="D2D2D2"/>
            </w:tcBorders>
          </w:tcPr>
          <w:p>
            <w:pPr/>
          </w:p>
        </w:tc>
        <w:tc>
          <w:tcPr>
            <w:tcW w:w="3069" w:type="dxa"/>
            <w:gridSpan w:val="2"/>
            <w:vMerge/>
            <w:tcBorders>
              <w:left w:val="single" w:sz="6" w:space="0" w:color="000000"/>
              <w:right w:val="single" w:sz="6" w:space="0" w:color="000000"/>
            </w:tcBorders>
            <w:shd w:val="clear" w:color="auto" w:fill="D2D2D2"/>
          </w:tcPr>
          <w:p>
            <w:pPr/>
          </w:p>
        </w:tc>
        <w:tc>
          <w:tcPr>
            <w:tcW w:w="3834" w:type="dxa"/>
            <w:gridSpan w:val="3"/>
            <w:vMerge/>
            <w:tcBorders>
              <w:left w:val="single" w:sz="14" w:space="0" w:color="D2D2D2"/>
              <w:right w:val="single" w:sz="12" w:space="0" w:color="000000"/>
            </w:tcBorders>
          </w:tcPr>
          <w:p>
            <w:pPr/>
          </w:p>
        </w:tc>
      </w:tr>
      <w:tr>
        <w:trPr>
          <w:trHeight w:val="164" w:hRule="exact"/>
        </w:trPr>
        <w:tc>
          <w:tcPr>
            <w:tcW w:w="3848" w:type="dxa"/>
            <w:gridSpan w:val="2"/>
            <w:tcBorders>
              <w:top w:val="nil" w:sz="6" w:space="0" w:color="auto"/>
              <w:left w:val="single" w:sz="12" w:space="0" w:color="000000"/>
              <w:bottom w:val="single" w:sz="6" w:space="0" w:color="000000"/>
              <w:right w:val="single" w:sz="6" w:space="0" w:color="000000"/>
            </w:tcBorders>
            <w:shd w:val="clear" w:color="auto" w:fill="D2D2D2"/>
          </w:tcPr>
          <w:p>
            <w:pPr/>
          </w:p>
        </w:tc>
        <w:tc>
          <w:tcPr>
            <w:tcW w:w="3264" w:type="dxa"/>
            <w:gridSpan w:val="2"/>
            <w:vMerge/>
            <w:tcBorders>
              <w:left w:val="single" w:sz="8" w:space="0" w:color="D2D2D2"/>
              <w:bottom w:val="single" w:sz="6" w:space="0" w:color="000000"/>
              <w:right w:val="single" w:sz="9" w:space="0" w:color="D2D2D2"/>
            </w:tcBorders>
          </w:tcPr>
          <w:p>
            <w:pPr/>
          </w:p>
        </w:tc>
        <w:tc>
          <w:tcPr>
            <w:tcW w:w="3069" w:type="dxa"/>
            <w:gridSpan w:val="2"/>
            <w:vMerge/>
            <w:tcBorders>
              <w:left w:val="single" w:sz="6" w:space="0" w:color="000000"/>
              <w:bottom w:val="single" w:sz="6" w:space="0" w:color="000000"/>
              <w:right w:val="single" w:sz="6" w:space="0" w:color="000000"/>
            </w:tcBorders>
            <w:shd w:val="clear" w:color="auto" w:fill="D2D2D2"/>
          </w:tcPr>
          <w:p>
            <w:pPr/>
          </w:p>
        </w:tc>
        <w:tc>
          <w:tcPr>
            <w:tcW w:w="3834" w:type="dxa"/>
            <w:gridSpan w:val="3"/>
            <w:vMerge/>
            <w:tcBorders>
              <w:left w:val="single" w:sz="14" w:space="0" w:color="D2D2D2"/>
              <w:bottom w:val="single" w:sz="6" w:space="0" w:color="000000"/>
              <w:right w:val="single" w:sz="12" w:space="0" w:color="000000"/>
            </w:tcBorders>
          </w:tcPr>
          <w:p>
            <w:pPr/>
          </w:p>
        </w:tc>
      </w:tr>
      <w:tr>
        <w:trPr>
          <w:trHeight w:val="164" w:hRule="exact"/>
        </w:trPr>
        <w:tc>
          <w:tcPr>
            <w:tcW w:w="3848" w:type="dxa"/>
            <w:gridSpan w:val="2"/>
            <w:tcBorders>
              <w:top w:val="single" w:sz="6" w:space="0" w:color="000000"/>
              <w:left w:val="single" w:sz="12" w:space="0" w:color="000000"/>
              <w:bottom w:val="nil" w:sz="6" w:space="0" w:color="auto"/>
              <w:right w:val="single" w:sz="6" w:space="0" w:color="000000"/>
            </w:tcBorders>
            <w:shd w:val="clear" w:color="auto" w:fill="D2D2D2"/>
          </w:tcPr>
          <w:p>
            <w:pPr/>
          </w:p>
        </w:tc>
        <w:tc>
          <w:tcPr>
            <w:tcW w:w="3264" w:type="dxa"/>
            <w:gridSpan w:val="2"/>
            <w:vMerge w:val="restart"/>
            <w:tcBorders>
              <w:top w:val="single" w:sz="6" w:space="0" w:color="000000"/>
              <w:left w:val="single" w:sz="8" w:space="0" w:color="D2D2D2"/>
              <w:right w:val="single" w:sz="9"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297,442.44</w:t>
            </w:r>
          </w:p>
        </w:tc>
        <w:tc>
          <w:tcPr>
            <w:tcW w:w="3069" w:type="dxa"/>
            <w:gridSpan w:val="2"/>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报告期末对子公司实际担保余额合计</w:t>
            </w:r>
          </w:p>
          <w:p>
            <w:pPr>
              <w:pStyle w:val="TableParagraph"/>
              <w:spacing w:line="240" w:lineRule="auto" w:before="76"/>
              <w:ind w:left="2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3834" w:type="dxa"/>
            <w:gridSpan w:val="3"/>
            <w:vMerge w:val="restart"/>
            <w:tcBorders>
              <w:top w:val="single" w:sz="6" w:space="0" w:color="000000"/>
              <w:left w:val="single" w:sz="14" w:space="0" w:color="D2D2D2"/>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41,843.74</w:t>
            </w:r>
          </w:p>
        </w:tc>
      </w:tr>
      <w:tr>
        <w:trPr>
          <w:trHeight w:val="391" w:hRule="exact"/>
        </w:trPr>
        <w:tc>
          <w:tcPr>
            <w:tcW w:w="3848" w:type="dxa"/>
            <w:gridSpan w:val="2"/>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3264" w:type="dxa"/>
            <w:gridSpan w:val="2"/>
            <w:vMerge/>
            <w:tcBorders>
              <w:left w:val="single" w:sz="8" w:space="0" w:color="D2D2D2"/>
              <w:right w:val="single" w:sz="9" w:space="0" w:color="D2D2D2"/>
            </w:tcBorders>
          </w:tcPr>
          <w:p>
            <w:pPr/>
          </w:p>
        </w:tc>
        <w:tc>
          <w:tcPr>
            <w:tcW w:w="3069" w:type="dxa"/>
            <w:gridSpan w:val="2"/>
            <w:vMerge/>
            <w:tcBorders>
              <w:left w:val="single" w:sz="6" w:space="0" w:color="000000"/>
              <w:right w:val="single" w:sz="6" w:space="0" w:color="000000"/>
            </w:tcBorders>
            <w:shd w:val="clear" w:color="auto" w:fill="D2D2D2"/>
          </w:tcPr>
          <w:p>
            <w:pPr/>
          </w:p>
        </w:tc>
        <w:tc>
          <w:tcPr>
            <w:tcW w:w="3834" w:type="dxa"/>
            <w:gridSpan w:val="3"/>
            <w:vMerge/>
            <w:tcBorders>
              <w:left w:val="single" w:sz="14" w:space="0" w:color="D2D2D2"/>
              <w:right w:val="single" w:sz="12" w:space="0" w:color="000000"/>
            </w:tcBorders>
          </w:tcPr>
          <w:p>
            <w:pPr/>
          </w:p>
        </w:tc>
      </w:tr>
      <w:tr>
        <w:trPr>
          <w:trHeight w:val="172" w:hRule="exact"/>
        </w:trPr>
        <w:tc>
          <w:tcPr>
            <w:tcW w:w="3848" w:type="dxa"/>
            <w:gridSpan w:val="2"/>
            <w:tcBorders>
              <w:top w:val="nil" w:sz="6" w:space="0" w:color="auto"/>
              <w:left w:val="single" w:sz="12" w:space="0" w:color="000000"/>
              <w:bottom w:val="single" w:sz="6" w:space="0" w:color="000000"/>
              <w:right w:val="single" w:sz="6" w:space="0" w:color="000000"/>
            </w:tcBorders>
            <w:shd w:val="clear" w:color="auto" w:fill="D2D2D2"/>
          </w:tcPr>
          <w:p>
            <w:pPr/>
          </w:p>
        </w:tc>
        <w:tc>
          <w:tcPr>
            <w:tcW w:w="3264" w:type="dxa"/>
            <w:gridSpan w:val="2"/>
            <w:vMerge/>
            <w:tcBorders>
              <w:left w:val="single" w:sz="8" w:space="0" w:color="D2D2D2"/>
              <w:bottom w:val="single" w:sz="6" w:space="0" w:color="000000"/>
              <w:right w:val="single" w:sz="9" w:space="0" w:color="D2D2D2"/>
            </w:tcBorders>
          </w:tcPr>
          <w:p>
            <w:pPr/>
          </w:p>
        </w:tc>
        <w:tc>
          <w:tcPr>
            <w:tcW w:w="3069" w:type="dxa"/>
            <w:gridSpan w:val="2"/>
            <w:vMerge/>
            <w:tcBorders>
              <w:left w:val="single" w:sz="6" w:space="0" w:color="000000"/>
              <w:bottom w:val="single" w:sz="6" w:space="0" w:color="000000"/>
              <w:right w:val="single" w:sz="6" w:space="0" w:color="000000"/>
            </w:tcBorders>
            <w:shd w:val="clear" w:color="auto" w:fill="D2D2D2"/>
          </w:tcPr>
          <w:p>
            <w:pPr/>
          </w:p>
        </w:tc>
        <w:tc>
          <w:tcPr>
            <w:tcW w:w="3834" w:type="dxa"/>
            <w:gridSpan w:val="3"/>
            <w:vMerge/>
            <w:tcBorders>
              <w:left w:val="single" w:sz="14" w:space="0" w:color="D2D2D2"/>
              <w:bottom w:val="single" w:sz="6" w:space="0" w:color="000000"/>
              <w:right w:val="single" w:sz="12" w:space="0" w:color="000000"/>
            </w:tcBorders>
          </w:tcPr>
          <w:p>
            <w:pPr/>
          </w:p>
        </w:tc>
      </w:tr>
      <w:tr>
        <w:trPr>
          <w:trHeight w:val="400" w:hRule="exact"/>
        </w:trPr>
        <w:tc>
          <w:tcPr>
            <w:tcW w:w="14015" w:type="dxa"/>
            <w:gridSpan w:val="9"/>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163" w:hRule="exact"/>
        </w:trPr>
        <w:tc>
          <w:tcPr>
            <w:tcW w:w="2510" w:type="dxa"/>
            <w:tcBorders>
              <w:top w:val="single" w:sz="6" w:space="0" w:color="000000"/>
              <w:left w:val="single" w:sz="12" w:space="0" w:color="000000"/>
              <w:bottom w:val="nil" w:sz="6" w:space="0" w:color="auto"/>
              <w:right w:val="single" w:sz="6" w:space="0" w:color="000000"/>
            </w:tcBorders>
            <w:shd w:val="clear" w:color="auto" w:fill="D2D2D2"/>
          </w:tcPr>
          <w:p>
            <w:pPr/>
          </w:p>
        </w:tc>
        <w:tc>
          <w:tcPr>
            <w:tcW w:w="1339" w:type="dxa"/>
            <w:vMerge w:val="restart"/>
            <w:tcBorders>
              <w:top w:val="single" w:sz="6" w:space="0" w:color="000000"/>
              <w:left w:val="single" w:sz="6" w:space="0" w:color="000000"/>
              <w:right w:val="single" w:sz="6" w:space="0" w:color="000000"/>
            </w:tcBorders>
            <w:shd w:val="clear" w:color="auto" w:fill="D2D2D2"/>
          </w:tcPr>
          <w:p>
            <w:pPr>
              <w:pStyle w:val="TableParagraph"/>
              <w:spacing w:line="316" w:lineRule="auto" w:before="51"/>
              <w:ind w:left="208" w:right="34" w:hanging="180"/>
              <w:jc w:val="left"/>
              <w:rPr>
                <w:rFonts w:ascii="宋体" w:hAnsi="宋体" w:cs="宋体" w:eastAsia="宋体" w:hint="default"/>
                <w:sz w:val="18"/>
                <w:szCs w:val="18"/>
              </w:rPr>
            </w:pPr>
            <w:r>
              <w:rPr>
                <w:rFonts w:ascii="宋体" w:hAnsi="宋体" w:cs="宋体" w:eastAsia="宋体" w:hint="default"/>
                <w:sz w:val="18"/>
                <w:szCs w:val="18"/>
              </w:rPr>
              <w:t>担保额度相关公 告披露日期</w:t>
            </w:r>
          </w:p>
        </w:tc>
        <w:tc>
          <w:tcPr>
            <w:tcW w:w="1352" w:type="dxa"/>
            <w:tcBorders>
              <w:top w:val="single" w:sz="6" w:space="0" w:color="000000"/>
              <w:left w:val="single" w:sz="6" w:space="0" w:color="000000"/>
              <w:bottom w:val="nil" w:sz="6" w:space="0" w:color="auto"/>
              <w:right w:val="single" w:sz="6" w:space="0" w:color="000000"/>
            </w:tcBorders>
            <w:shd w:val="clear" w:color="auto" w:fill="D2D2D2"/>
          </w:tcPr>
          <w:p>
            <w:pPr/>
          </w:p>
        </w:tc>
        <w:tc>
          <w:tcPr>
            <w:tcW w:w="1912" w:type="dxa"/>
            <w:vMerge w:val="restart"/>
            <w:tcBorders>
              <w:top w:val="single" w:sz="6" w:space="0" w:color="000000"/>
              <w:left w:val="single" w:sz="6" w:space="0" w:color="000000"/>
              <w:right w:val="single" w:sz="6" w:space="0" w:color="000000"/>
            </w:tcBorders>
            <w:shd w:val="clear" w:color="auto" w:fill="D2D2D2"/>
          </w:tcPr>
          <w:p>
            <w:pPr>
              <w:pStyle w:val="TableParagraph"/>
              <w:spacing w:line="316" w:lineRule="auto" w:before="51"/>
              <w:ind w:left="670" w:right="54" w:hanging="630"/>
              <w:jc w:val="left"/>
              <w:rPr>
                <w:rFonts w:ascii="宋体" w:hAnsi="宋体" w:cs="宋体" w:eastAsia="宋体" w:hint="default"/>
                <w:sz w:val="18"/>
                <w:szCs w:val="18"/>
              </w:rPr>
            </w:pPr>
            <w:r>
              <w:rPr>
                <w:rFonts w:ascii="宋体" w:hAnsi="宋体" w:cs="宋体" w:eastAsia="宋体" w:hint="default"/>
                <w:sz w:val="18"/>
                <w:szCs w:val="18"/>
              </w:rPr>
              <w:t>实际发生日期（协议签 署日）</w:t>
            </w:r>
          </w:p>
        </w:tc>
        <w:tc>
          <w:tcPr>
            <w:tcW w:w="1542" w:type="dxa"/>
            <w:tcBorders>
              <w:top w:val="single" w:sz="6" w:space="0" w:color="000000"/>
              <w:left w:val="single" w:sz="6" w:space="0" w:color="000000"/>
              <w:bottom w:val="nil" w:sz="6" w:space="0" w:color="auto"/>
              <w:right w:val="single" w:sz="6" w:space="0" w:color="000000"/>
            </w:tcBorders>
            <w:shd w:val="clear" w:color="auto" w:fill="D2D2D2"/>
          </w:tcPr>
          <w:p>
            <w:pPr/>
          </w:p>
        </w:tc>
        <w:tc>
          <w:tcPr>
            <w:tcW w:w="1527" w:type="dxa"/>
            <w:tcBorders>
              <w:top w:val="single" w:sz="6" w:space="0" w:color="000000"/>
              <w:left w:val="single" w:sz="6" w:space="0" w:color="000000"/>
              <w:bottom w:val="nil" w:sz="6" w:space="0" w:color="auto"/>
              <w:right w:val="single" w:sz="6" w:space="0" w:color="000000"/>
            </w:tcBorders>
            <w:shd w:val="clear" w:color="auto" w:fill="D2D2D2"/>
          </w:tcPr>
          <w:p>
            <w:pPr/>
          </w:p>
        </w:tc>
        <w:tc>
          <w:tcPr>
            <w:tcW w:w="1534" w:type="dxa"/>
            <w:tcBorders>
              <w:top w:val="single" w:sz="6" w:space="0" w:color="000000"/>
              <w:left w:val="single" w:sz="6" w:space="0" w:color="000000"/>
              <w:bottom w:val="nil" w:sz="6" w:space="0" w:color="auto"/>
              <w:right w:val="single" w:sz="6" w:space="0" w:color="000000"/>
            </w:tcBorders>
            <w:shd w:val="clear" w:color="auto" w:fill="D2D2D2"/>
          </w:tcPr>
          <w:p>
            <w:pPr/>
          </w:p>
        </w:tc>
        <w:tc>
          <w:tcPr>
            <w:tcW w:w="1164" w:type="dxa"/>
            <w:tcBorders>
              <w:top w:val="single" w:sz="6" w:space="0" w:color="000000"/>
              <w:left w:val="single" w:sz="6" w:space="0" w:color="000000"/>
              <w:bottom w:val="nil" w:sz="6" w:space="0" w:color="auto"/>
              <w:right w:val="single" w:sz="6" w:space="0" w:color="000000"/>
            </w:tcBorders>
            <w:shd w:val="clear" w:color="auto" w:fill="D2D2D2"/>
          </w:tcPr>
          <w:p>
            <w:pPr/>
          </w:p>
        </w:tc>
        <w:tc>
          <w:tcPr>
            <w:tcW w:w="1136" w:type="dxa"/>
            <w:vMerge w:val="restart"/>
            <w:tcBorders>
              <w:top w:val="single" w:sz="6" w:space="0" w:color="000000"/>
              <w:left w:val="single" w:sz="6" w:space="0" w:color="000000"/>
              <w:right w:val="single" w:sz="12" w:space="0" w:color="000000"/>
            </w:tcBorders>
            <w:shd w:val="clear" w:color="auto" w:fill="D2D2D2"/>
          </w:tcPr>
          <w:p>
            <w:pPr>
              <w:pStyle w:val="TableParagraph"/>
              <w:spacing w:line="316" w:lineRule="auto" w:before="51"/>
              <w:ind w:left="374" w:right="17" w:hanging="360"/>
              <w:jc w:val="left"/>
              <w:rPr>
                <w:rFonts w:ascii="宋体" w:hAnsi="宋体" w:cs="宋体" w:eastAsia="宋体" w:hint="default"/>
                <w:sz w:val="18"/>
                <w:szCs w:val="18"/>
              </w:rPr>
            </w:pPr>
            <w:r>
              <w:rPr>
                <w:rFonts w:ascii="宋体" w:hAnsi="宋体" w:cs="宋体" w:eastAsia="宋体" w:hint="default"/>
                <w:sz w:val="18"/>
                <w:szCs w:val="18"/>
              </w:rPr>
              <w:t>是否为关联方 担保</w:t>
            </w:r>
          </w:p>
        </w:tc>
      </w:tr>
      <w:tr>
        <w:trPr>
          <w:trHeight w:val="392" w:hRule="exact"/>
        </w:trPr>
        <w:tc>
          <w:tcPr>
            <w:tcW w:w="2510"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697"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1339" w:type="dxa"/>
            <w:vMerge/>
            <w:tcBorders>
              <w:left w:val="single" w:sz="6" w:space="0" w:color="000000"/>
              <w:right w:val="single" w:sz="6" w:space="0" w:color="000000"/>
            </w:tcBorders>
            <w:shd w:val="clear" w:color="auto" w:fill="D2D2D2"/>
          </w:tcPr>
          <w:p>
            <w:pPr/>
          </w:p>
        </w:tc>
        <w:tc>
          <w:tcPr>
            <w:tcW w:w="1352" w:type="dxa"/>
            <w:tcBorders>
              <w:top w:val="nil" w:sz="6" w:space="0" w:color="auto"/>
              <w:left w:val="single" w:sz="6" w:space="0" w:color="000000"/>
              <w:bottom w:val="nil" w:sz="6" w:space="0" w:color="auto"/>
              <w:right w:val="single" w:sz="6" w:space="0" w:color="000000"/>
            </w:tcBorders>
            <w:shd w:val="clear" w:color="auto" w:fill="D2D2D2"/>
          </w:tcPr>
          <w:p>
            <w:pPr>
              <w:pStyle w:val="TableParagraph"/>
              <w:spacing w:line="240" w:lineRule="auto" w:before="51"/>
              <w:ind w:left="299"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912" w:type="dxa"/>
            <w:vMerge/>
            <w:tcBorders>
              <w:left w:val="single" w:sz="6" w:space="0" w:color="000000"/>
              <w:right w:val="single" w:sz="6" w:space="0" w:color="000000"/>
            </w:tcBorders>
            <w:shd w:val="clear" w:color="auto" w:fill="D2D2D2"/>
          </w:tcPr>
          <w:p>
            <w:pPr/>
          </w:p>
        </w:tc>
        <w:tc>
          <w:tcPr>
            <w:tcW w:w="1542" w:type="dxa"/>
            <w:tcBorders>
              <w:top w:val="nil" w:sz="6" w:space="0" w:color="auto"/>
              <w:left w:val="single" w:sz="6" w:space="0" w:color="000000"/>
              <w:bottom w:val="nil" w:sz="6" w:space="0" w:color="auto"/>
              <w:right w:val="single" w:sz="6" w:space="0" w:color="000000"/>
            </w:tcBorders>
            <w:shd w:val="clear" w:color="auto" w:fill="D2D2D2"/>
          </w:tcPr>
          <w:p>
            <w:pPr>
              <w:pStyle w:val="TableParagraph"/>
              <w:spacing w:line="240" w:lineRule="auto" w:before="51"/>
              <w:ind w:left="216" w:right="0"/>
              <w:jc w:val="left"/>
              <w:rPr>
                <w:rFonts w:ascii="宋体" w:hAnsi="宋体" w:cs="宋体" w:eastAsia="宋体" w:hint="default"/>
                <w:sz w:val="18"/>
                <w:szCs w:val="18"/>
              </w:rPr>
            </w:pPr>
            <w:r>
              <w:rPr>
                <w:rFonts w:ascii="宋体" w:hAnsi="宋体" w:cs="宋体" w:eastAsia="宋体" w:hint="default"/>
                <w:sz w:val="18"/>
                <w:szCs w:val="18"/>
              </w:rPr>
              <w:t>实际担保金额</w:t>
            </w:r>
          </w:p>
        </w:tc>
        <w:tc>
          <w:tcPr>
            <w:tcW w:w="1527" w:type="dxa"/>
            <w:tcBorders>
              <w:top w:val="nil" w:sz="6" w:space="0" w:color="auto"/>
              <w:left w:val="single" w:sz="6" w:space="0" w:color="000000"/>
              <w:bottom w:val="nil" w:sz="6" w:space="0" w:color="auto"/>
              <w:right w:val="single" w:sz="6" w:space="0" w:color="000000"/>
            </w:tcBorders>
            <w:shd w:val="clear" w:color="auto" w:fill="D2D2D2"/>
          </w:tcPr>
          <w:p>
            <w:pPr>
              <w:pStyle w:val="TableParagraph"/>
              <w:spacing w:line="240" w:lineRule="auto" w:before="51"/>
              <w:ind w:right="401"/>
              <w:jc w:val="right"/>
              <w:rPr>
                <w:rFonts w:ascii="宋体" w:hAnsi="宋体" w:cs="宋体" w:eastAsia="宋体" w:hint="default"/>
                <w:sz w:val="18"/>
                <w:szCs w:val="18"/>
              </w:rPr>
            </w:pPr>
            <w:r>
              <w:rPr>
                <w:rFonts w:ascii="宋体" w:hAnsi="宋体" w:cs="宋体" w:eastAsia="宋体" w:hint="default"/>
                <w:sz w:val="18"/>
                <w:szCs w:val="18"/>
              </w:rPr>
              <w:t>担保类型</w:t>
            </w:r>
          </w:p>
        </w:tc>
        <w:tc>
          <w:tcPr>
            <w:tcW w:w="1534" w:type="dxa"/>
            <w:tcBorders>
              <w:top w:val="nil" w:sz="6" w:space="0" w:color="auto"/>
              <w:left w:val="single" w:sz="6" w:space="0" w:color="000000"/>
              <w:bottom w:val="nil" w:sz="6" w:space="0" w:color="auto"/>
              <w:right w:val="single" w:sz="6" w:space="0" w:color="000000"/>
            </w:tcBorders>
            <w:shd w:val="clear" w:color="auto" w:fill="D2D2D2"/>
          </w:tcPr>
          <w:p>
            <w:pPr>
              <w:pStyle w:val="TableParagraph"/>
              <w:spacing w:line="240" w:lineRule="auto" w:before="51"/>
              <w:ind w:left="490"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1164" w:type="dxa"/>
            <w:tcBorders>
              <w:top w:val="nil" w:sz="6" w:space="0" w:color="auto"/>
              <w:left w:val="single" w:sz="6" w:space="0" w:color="000000"/>
              <w:bottom w:val="nil" w:sz="6" w:space="0" w:color="auto"/>
              <w:right w:val="single" w:sz="6" w:space="0" w:color="000000"/>
            </w:tcBorders>
            <w:shd w:val="clear" w:color="auto" w:fill="D2D2D2"/>
          </w:tcPr>
          <w:p>
            <w:pPr>
              <w:pStyle w:val="TableParagraph"/>
              <w:spacing w:line="240" w:lineRule="auto" w:before="51"/>
              <w:ind w:left="27" w:right="0"/>
              <w:jc w:val="left"/>
              <w:rPr>
                <w:rFonts w:ascii="宋体" w:hAnsi="宋体" w:cs="宋体" w:eastAsia="宋体" w:hint="default"/>
                <w:sz w:val="18"/>
                <w:szCs w:val="18"/>
              </w:rPr>
            </w:pPr>
            <w:r>
              <w:rPr>
                <w:rFonts w:ascii="宋体" w:hAnsi="宋体" w:cs="宋体" w:eastAsia="宋体" w:hint="default"/>
                <w:sz w:val="18"/>
                <w:szCs w:val="18"/>
              </w:rPr>
              <w:t>是否履行完毕</w:t>
            </w:r>
          </w:p>
        </w:tc>
        <w:tc>
          <w:tcPr>
            <w:tcW w:w="1136" w:type="dxa"/>
            <w:vMerge/>
            <w:tcBorders>
              <w:left w:val="single" w:sz="6" w:space="0" w:color="000000"/>
              <w:right w:val="single" w:sz="12" w:space="0" w:color="000000"/>
            </w:tcBorders>
            <w:shd w:val="clear" w:color="auto" w:fill="D2D2D2"/>
          </w:tcPr>
          <w:p>
            <w:pPr/>
          </w:p>
        </w:tc>
      </w:tr>
      <w:tr>
        <w:trPr>
          <w:trHeight w:val="163" w:hRule="exact"/>
        </w:trPr>
        <w:tc>
          <w:tcPr>
            <w:tcW w:w="2510" w:type="dxa"/>
            <w:tcBorders>
              <w:top w:val="nil" w:sz="6" w:space="0" w:color="auto"/>
              <w:left w:val="single" w:sz="12" w:space="0" w:color="000000"/>
              <w:bottom w:val="single" w:sz="6" w:space="0" w:color="000000"/>
              <w:right w:val="single" w:sz="6" w:space="0" w:color="000000"/>
            </w:tcBorders>
            <w:shd w:val="clear" w:color="auto" w:fill="D2D2D2"/>
          </w:tcPr>
          <w:p>
            <w:pPr/>
          </w:p>
        </w:tc>
        <w:tc>
          <w:tcPr>
            <w:tcW w:w="1339" w:type="dxa"/>
            <w:vMerge/>
            <w:tcBorders>
              <w:left w:val="single" w:sz="6" w:space="0" w:color="000000"/>
              <w:bottom w:val="single" w:sz="6" w:space="0" w:color="000000"/>
              <w:right w:val="single" w:sz="6" w:space="0" w:color="000000"/>
            </w:tcBorders>
            <w:shd w:val="clear" w:color="auto" w:fill="D2D2D2"/>
          </w:tcPr>
          <w:p>
            <w:pPr/>
          </w:p>
        </w:tc>
        <w:tc>
          <w:tcPr>
            <w:tcW w:w="1352" w:type="dxa"/>
            <w:tcBorders>
              <w:top w:val="nil" w:sz="6" w:space="0" w:color="auto"/>
              <w:left w:val="single" w:sz="6" w:space="0" w:color="000000"/>
              <w:bottom w:val="single" w:sz="6" w:space="0" w:color="000000"/>
              <w:right w:val="single" w:sz="6" w:space="0" w:color="000000"/>
            </w:tcBorders>
            <w:shd w:val="clear" w:color="auto" w:fill="D2D2D2"/>
          </w:tcPr>
          <w:p>
            <w:pPr/>
          </w:p>
        </w:tc>
        <w:tc>
          <w:tcPr>
            <w:tcW w:w="1912" w:type="dxa"/>
            <w:vMerge/>
            <w:tcBorders>
              <w:left w:val="single" w:sz="6" w:space="0" w:color="000000"/>
              <w:bottom w:val="single" w:sz="6" w:space="0" w:color="000000"/>
              <w:right w:val="single" w:sz="6" w:space="0" w:color="000000"/>
            </w:tcBorders>
            <w:shd w:val="clear" w:color="auto" w:fill="D2D2D2"/>
          </w:tcPr>
          <w:p>
            <w:pPr/>
          </w:p>
        </w:tc>
        <w:tc>
          <w:tcPr>
            <w:tcW w:w="1542" w:type="dxa"/>
            <w:tcBorders>
              <w:top w:val="nil" w:sz="6" w:space="0" w:color="auto"/>
              <w:left w:val="single" w:sz="6" w:space="0" w:color="000000"/>
              <w:bottom w:val="single" w:sz="6" w:space="0" w:color="000000"/>
              <w:right w:val="single" w:sz="6" w:space="0" w:color="000000"/>
            </w:tcBorders>
            <w:shd w:val="clear" w:color="auto" w:fill="D2D2D2"/>
          </w:tcPr>
          <w:p>
            <w:pPr/>
          </w:p>
        </w:tc>
        <w:tc>
          <w:tcPr>
            <w:tcW w:w="1527" w:type="dxa"/>
            <w:tcBorders>
              <w:top w:val="nil" w:sz="6" w:space="0" w:color="auto"/>
              <w:left w:val="single" w:sz="6" w:space="0" w:color="000000"/>
              <w:bottom w:val="single" w:sz="6" w:space="0" w:color="000000"/>
              <w:right w:val="single" w:sz="6" w:space="0" w:color="000000"/>
            </w:tcBorders>
            <w:shd w:val="clear" w:color="auto" w:fill="D2D2D2"/>
          </w:tcPr>
          <w:p>
            <w:pPr/>
          </w:p>
        </w:tc>
        <w:tc>
          <w:tcPr>
            <w:tcW w:w="1534" w:type="dxa"/>
            <w:tcBorders>
              <w:top w:val="nil" w:sz="6" w:space="0" w:color="auto"/>
              <w:left w:val="single" w:sz="6" w:space="0" w:color="000000"/>
              <w:bottom w:val="single" w:sz="6" w:space="0" w:color="000000"/>
              <w:right w:val="single" w:sz="6" w:space="0" w:color="000000"/>
            </w:tcBorders>
            <w:shd w:val="clear" w:color="auto" w:fill="D2D2D2"/>
          </w:tcPr>
          <w:p>
            <w:pPr/>
          </w:p>
        </w:tc>
        <w:tc>
          <w:tcPr>
            <w:tcW w:w="1164" w:type="dxa"/>
            <w:tcBorders>
              <w:top w:val="nil" w:sz="6" w:space="0" w:color="auto"/>
              <w:left w:val="single" w:sz="6" w:space="0" w:color="000000"/>
              <w:bottom w:val="single" w:sz="6" w:space="0" w:color="000000"/>
              <w:right w:val="single" w:sz="6" w:space="0" w:color="000000"/>
            </w:tcBorders>
            <w:shd w:val="clear" w:color="auto" w:fill="D2D2D2"/>
          </w:tcPr>
          <w:p>
            <w:pPr/>
          </w:p>
        </w:tc>
        <w:tc>
          <w:tcPr>
            <w:tcW w:w="1136" w:type="dxa"/>
            <w:vMerge/>
            <w:tcBorders>
              <w:left w:val="single" w:sz="6" w:space="0" w:color="000000"/>
              <w:bottom w:val="single" w:sz="6" w:space="0" w:color="000000"/>
              <w:right w:val="single" w:sz="12" w:space="0" w:color="000000"/>
            </w:tcBorders>
            <w:shd w:val="clear" w:color="auto" w:fill="D2D2D2"/>
          </w:tcPr>
          <w:p>
            <w:pPr/>
          </w:p>
        </w:tc>
      </w:tr>
      <w:tr>
        <w:trPr>
          <w:trHeight w:val="400" w:hRule="exact"/>
        </w:trPr>
        <w:tc>
          <w:tcPr>
            <w:tcW w:w="14015" w:type="dxa"/>
            <w:gridSpan w:val="9"/>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171" w:hRule="exact"/>
        </w:trPr>
        <w:tc>
          <w:tcPr>
            <w:tcW w:w="3848" w:type="dxa"/>
            <w:gridSpan w:val="2"/>
            <w:tcBorders>
              <w:top w:val="single" w:sz="6" w:space="0" w:color="000000"/>
              <w:left w:val="single" w:sz="12" w:space="0" w:color="000000"/>
              <w:bottom w:val="nil" w:sz="6" w:space="0" w:color="auto"/>
              <w:right w:val="single" w:sz="6" w:space="0" w:color="000000"/>
            </w:tcBorders>
            <w:shd w:val="clear" w:color="auto" w:fill="D2D2D2"/>
          </w:tcPr>
          <w:p>
            <w:pPr/>
          </w:p>
        </w:tc>
        <w:tc>
          <w:tcPr>
            <w:tcW w:w="3264" w:type="dxa"/>
            <w:gridSpan w:val="2"/>
            <w:vMerge w:val="restart"/>
            <w:tcBorders>
              <w:top w:val="single" w:sz="6" w:space="0" w:color="000000"/>
              <w:left w:val="single" w:sz="8" w:space="0" w:color="D2D2D2"/>
              <w:right w:val="single" w:sz="9" w:space="0" w:color="D2D2D2"/>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54,375.24</w:t>
            </w:r>
          </w:p>
        </w:tc>
        <w:tc>
          <w:tcPr>
            <w:tcW w:w="3069" w:type="dxa"/>
            <w:gridSpan w:val="2"/>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before="59"/>
              <w:ind w:left="20" w:right="0"/>
              <w:jc w:val="left"/>
              <w:rPr>
                <w:rFonts w:ascii="宋体" w:hAnsi="宋体" w:cs="宋体" w:eastAsia="宋体" w:hint="default"/>
                <w:sz w:val="18"/>
                <w:szCs w:val="18"/>
              </w:rPr>
            </w:pPr>
            <w:r>
              <w:rPr>
                <w:rFonts w:ascii="宋体" w:hAnsi="宋体" w:cs="宋体" w:eastAsia="宋体" w:hint="default"/>
                <w:sz w:val="18"/>
                <w:szCs w:val="18"/>
              </w:rPr>
              <w:t>报告期内担保实际发生额合计</w:t>
            </w:r>
          </w:p>
          <w:p>
            <w:pPr>
              <w:pStyle w:val="TableParagraph"/>
              <w:spacing w:line="240" w:lineRule="auto" w:before="77"/>
              <w:ind w:left="2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3834" w:type="dxa"/>
            <w:gridSpan w:val="3"/>
            <w:vMerge w:val="restart"/>
            <w:tcBorders>
              <w:top w:val="single" w:sz="6" w:space="0" w:color="000000"/>
              <w:left w:val="single" w:sz="14" w:space="0" w:color="D2D2D2"/>
              <w:right w:val="single" w:sz="12"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98,931.21</w:t>
            </w:r>
          </w:p>
        </w:tc>
      </w:tr>
      <w:tr>
        <w:trPr>
          <w:trHeight w:val="392" w:hRule="exact"/>
        </w:trPr>
        <w:tc>
          <w:tcPr>
            <w:tcW w:w="3848" w:type="dxa"/>
            <w:gridSpan w:val="2"/>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3264" w:type="dxa"/>
            <w:gridSpan w:val="2"/>
            <w:vMerge/>
            <w:tcBorders>
              <w:left w:val="single" w:sz="8" w:space="0" w:color="D2D2D2"/>
              <w:right w:val="single" w:sz="9" w:space="0" w:color="D2D2D2"/>
            </w:tcBorders>
          </w:tcPr>
          <w:p>
            <w:pPr/>
          </w:p>
        </w:tc>
        <w:tc>
          <w:tcPr>
            <w:tcW w:w="3069" w:type="dxa"/>
            <w:gridSpan w:val="2"/>
            <w:vMerge/>
            <w:tcBorders>
              <w:left w:val="single" w:sz="6" w:space="0" w:color="000000"/>
              <w:right w:val="single" w:sz="6" w:space="0" w:color="000000"/>
            </w:tcBorders>
            <w:shd w:val="clear" w:color="auto" w:fill="D2D2D2"/>
          </w:tcPr>
          <w:p>
            <w:pPr/>
          </w:p>
        </w:tc>
        <w:tc>
          <w:tcPr>
            <w:tcW w:w="3834" w:type="dxa"/>
            <w:gridSpan w:val="3"/>
            <w:vMerge/>
            <w:tcBorders>
              <w:left w:val="single" w:sz="14" w:space="0" w:color="D2D2D2"/>
              <w:right w:val="single" w:sz="12" w:space="0" w:color="000000"/>
            </w:tcBorders>
          </w:tcPr>
          <w:p>
            <w:pPr/>
          </w:p>
        </w:tc>
      </w:tr>
      <w:tr>
        <w:trPr>
          <w:trHeight w:val="164" w:hRule="exact"/>
        </w:trPr>
        <w:tc>
          <w:tcPr>
            <w:tcW w:w="3848" w:type="dxa"/>
            <w:gridSpan w:val="2"/>
            <w:tcBorders>
              <w:top w:val="nil" w:sz="6" w:space="0" w:color="auto"/>
              <w:left w:val="single" w:sz="12" w:space="0" w:color="000000"/>
              <w:bottom w:val="single" w:sz="6" w:space="0" w:color="000000"/>
              <w:right w:val="single" w:sz="6" w:space="0" w:color="000000"/>
            </w:tcBorders>
            <w:shd w:val="clear" w:color="auto" w:fill="D2D2D2"/>
          </w:tcPr>
          <w:p>
            <w:pPr/>
          </w:p>
        </w:tc>
        <w:tc>
          <w:tcPr>
            <w:tcW w:w="3264" w:type="dxa"/>
            <w:gridSpan w:val="2"/>
            <w:vMerge/>
            <w:tcBorders>
              <w:left w:val="single" w:sz="8" w:space="0" w:color="D2D2D2"/>
              <w:bottom w:val="single" w:sz="6" w:space="0" w:color="000000"/>
              <w:right w:val="single" w:sz="9" w:space="0" w:color="D2D2D2"/>
            </w:tcBorders>
          </w:tcPr>
          <w:p>
            <w:pPr/>
          </w:p>
        </w:tc>
        <w:tc>
          <w:tcPr>
            <w:tcW w:w="3069" w:type="dxa"/>
            <w:gridSpan w:val="2"/>
            <w:vMerge/>
            <w:tcBorders>
              <w:left w:val="single" w:sz="6" w:space="0" w:color="000000"/>
              <w:bottom w:val="single" w:sz="6" w:space="0" w:color="000000"/>
              <w:right w:val="single" w:sz="6" w:space="0" w:color="000000"/>
            </w:tcBorders>
            <w:shd w:val="clear" w:color="auto" w:fill="D2D2D2"/>
          </w:tcPr>
          <w:p>
            <w:pPr/>
          </w:p>
        </w:tc>
        <w:tc>
          <w:tcPr>
            <w:tcW w:w="3834" w:type="dxa"/>
            <w:gridSpan w:val="3"/>
            <w:vMerge/>
            <w:tcBorders>
              <w:left w:val="single" w:sz="14" w:space="0" w:color="D2D2D2"/>
              <w:bottom w:val="single" w:sz="6" w:space="0" w:color="000000"/>
              <w:right w:val="single" w:sz="12" w:space="0" w:color="000000"/>
            </w:tcBorders>
          </w:tcPr>
          <w:p>
            <w:pPr/>
          </w:p>
        </w:tc>
      </w:tr>
      <w:tr>
        <w:trPr>
          <w:trHeight w:val="164" w:hRule="exact"/>
        </w:trPr>
        <w:tc>
          <w:tcPr>
            <w:tcW w:w="3848" w:type="dxa"/>
            <w:gridSpan w:val="2"/>
            <w:tcBorders>
              <w:top w:val="single" w:sz="6" w:space="0" w:color="000000"/>
              <w:left w:val="single" w:sz="12" w:space="0" w:color="000000"/>
              <w:bottom w:val="nil" w:sz="6" w:space="0" w:color="auto"/>
              <w:right w:val="single" w:sz="6" w:space="0" w:color="000000"/>
            </w:tcBorders>
            <w:shd w:val="clear" w:color="auto" w:fill="D2D2D2"/>
          </w:tcPr>
          <w:p>
            <w:pPr/>
          </w:p>
        </w:tc>
        <w:tc>
          <w:tcPr>
            <w:tcW w:w="3264" w:type="dxa"/>
            <w:gridSpan w:val="2"/>
            <w:vMerge w:val="restart"/>
            <w:tcBorders>
              <w:top w:val="single" w:sz="6" w:space="0" w:color="000000"/>
              <w:left w:val="single" w:sz="8" w:space="0" w:color="D2D2D2"/>
              <w:right w:val="single" w:sz="9"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297,442.44</w:t>
            </w:r>
          </w:p>
        </w:tc>
        <w:tc>
          <w:tcPr>
            <w:tcW w:w="3069" w:type="dxa"/>
            <w:gridSpan w:val="2"/>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报告期末实际担保余额合计</w:t>
            </w:r>
          </w:p>
          <w:p>
            <w:pPr>
              <w:pStyle w:val="TableParagraph"/>
              <w:spacing w:line="240" w:lineRule="auto" w:before="76"/>
              <w:ind w:left="2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3834" w:type="dxa"/>
            <w:gridSpan w:val="3"/>
            <w:vMerge w:val="restart"/>
            <w:tcBorders>
              <w:top w:val="single" w:sz="6" w:space="0" w:color="000000"/>
              <w:left w:val="single" w:sz="14" w:space="0" w:color="D2D2D2"/>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41,843.74</w:t>
            </w:r>
          </w:p>
        </w:tc>
      </w:tr>
      <w:tr>
        <w:trPr>
          <w:trHeight w:val="391" w:hRule="exact"/>
        </w:trPr>
        <w:tc>
          <w:tcPr>
            <w:tcW w:w="3848" w:type="dxa"/>
            <w:gridSpan w:val="2"/>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3264" w:type="dxa"/>
            <w:gridSpan w:val="2"/>
            <w:vMerge/>
            <w:tcBorders>
              <w:left w:val="single" w:sz="8" w:space="0" w:color="D2D2D2"/>
              <w:right w:val="single" w:sz="9" w:space="0" w:color="D2D2D2"/>
            </w:tcBorders>
          </w:tcPr>
          <w:p>
            <w:pPr/>
          </w:p>
        </w:tc>
        <w:tc>
          <w:tcPr>
            <w:tcW w:w="3069" w:type="dxa"/>
            <w:gridSpan w:val="2"/>
            <w:vMerge/>
            <w:tcBorders>
              <w:left w:val="single" w:sz="6" w:space="0" w:color="000000"/>
              <w:right w:val="single" w:sz="6" w:space="0" w:color="000000"/>
            </w:tcBorders>
            <w:shd w:val="clear" w:color="auto" w:fill="D2D2D2"/>
          </w:tcPr>
          <w:p>
            <w:pPr/>
          </w:p>
        </w:tc>
        <w:tc>
          <w:tcPr>
            <w:tcW w:w="3834" w:type="dxa"/>
            <w:gridSpan w:val="3"/>
            <w:vMerge/>
            <w:tcBorders>
              <w:left w:val="single" w:sz="14" w:space="0" w:color="D2D2D2"/>
              <w:right w:val="single" w:sz="12" w:space="0" w:color="000000"/>
            </w:tcBorders>
          </w:tcPr>
          <w:p>
            <w:pPr/>
          </w:p>
        </w:tc>
      </w:tr>
      <w:tr>
        <w:trPr>
          <w:trHeight w:val="164" w:hRule="exact"/>
        </w:trPr>
        <w:tc>
          <w:tcPr>
            <w:tcW w:w="3848" w:type="dxa"/>
            <w:gridSpan w:val="2"/>
            <w:tcBorders>
              <w:top w:val="nil" w:sz="6" w:space="0" w:color="auto"/>
              <w:left w:val="single" w:sz="12" w:space="0" w:color="000000"/>
              <w:bottom w:val="single" w:sz="6" w:space="0" w:color="000000"/>
              <w:right w:val="single" w:sz="6" w:space="0" w:color="000000"/>
            </w:tcBorders>
            <w:shd w:val="clear" w:color="auto" w:fill="D2D2D2"/>
          </w:tcPr>
          <w:p>
            <w:pPr/>
          </w:p>
        </w:tc>
        <w:tc>
          <w:tcPr>
            <w:tcW w:w="3264" w:type="dxa"/>
            <w:gridSpan w:val="2"/>
            <w:vMerge/>
            <w:tcBorders>
              <w:left w:val="single" w:sz="8" w:space="0" w:color="D2D2D2"/>
              <w:bottom w:val="single" w:sz="6" w:space="0" w:color="000000"/>
              <w:right w:val="single" w:sz="9" w:space="0" w:color="D2D2D2"/>
            </w:tcBorders>
          </w:tcPr>
          <w:p>
            <w:pPr/>
          </w:p>
        </w:tc>
        <w:tc>
          <w:tcPr>
            <w:tcW w:w="3069" w:type="dxa"/>
            <w:gridSpan w:val="2"/>
            <w:vMerge/>
            <w:tcBorders>
              <w:left w:val="single" w:sz="6" w:space="0" w:color="000000"/>
              <w:bottom w:val="single" w:sz="6" w:space="0" w:color="000000"/>
              <w:right w:val="single" w:sz="6" w:space="0" w:color="000000"/>
            </w:tcBorders>
            <w:shd w:val="clear" w:color="auto" w:fill="D2D2D2"/>
          </w:tcPr>
          <w:p>
            <w:pPr/>
          </w:p>
        </w:tc>
        <w:tc>
          <w:tcPr>
            <w:tcW w:w="3834" w:type="dxa"/>
            <w:gridSpan w:val="3"/>
            <w:vMerge/>
            <w:tcBorders>
              <w:left w:val="single" w:sz="14" w:space="0" w:color="D2D2D2"/>
              <w:bottom w:val="single" w:sz="6" w:space="0" w:color="000000"/>
              <w:right w:val="single" w:sz="12" w:space="0" w:color="000000"/>
            </w:tcBorders>
          </w:tcPr>
          <w:p>
            <w:pPr/>
          </w:p>
        </w:tc>
      </w:tr>
      <w:tr>
        <w:trPr>
          <w:trHeight w:val="415" w:hRule="exact"/>
        </w:trPr>
        <w:tc>
          <w:tcPr>
            <w:tcW w:w="7112" w:type="dxa"/>
            <w:gridSpan w:val="4"/>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6902" w:type="dxa"/>
            <w:gridSpan w:val="5"/>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4.80%</w:t>
            </w:r>
          </w:p>
        </w:tc>
      </w:tr>
      <w:tr>
        <w:trPr>
          <w:trHeight w:val="407" w:hRule="exact"/>
        </w:trPr>
        <w:tc>
          <w:tcPr>
            <w:tcW w:w="14015" w:type="dxa"/>
            <w:gridSpan w:val="9"/>
            <w:tcBorders>
              <w:top w:val="single" w:sz="6" w:space="0" w:color="000000"/>
              <w:left w:val="single" w:sz="12" w:space="0" w:color="000000"/>
              <w:bottom w:val="single" w:sz="12" w:space="0" w:color="000000"/>
              <w:right w:val="single" w:sz="12" w:space="0" w:color="000000"/>
            </w:tcBorders>
            <w:shd w:val="clear" w:color="auto" w:fill="D2D2D2"/>
          </w:tcPr>
          <w:p>
            <w:pPr>
              <w:pStyle w:val="TableParagraph"/>
              <w:spacing w:line="240" w:lineRule="auto" w:before="44"/>
              <w:ind w:left="13" w:right="0"/>
              <w:jc w:val="left"/>
              <w:rPr>
                <w:rFonts w:ascii="宋体" w:hAnsi="宋体" w:cs="宋体" w:eastAsia="宋体" w:hint="default"/>
                <w:sz w:val="18"/>
                <w:szCs w:val="18"/>
              </w:rPr>
            </w:pPr>
            <w:r>
              <w:rPr>
                <w:rFonts w:ascii="宋体" w:hAnsi="宋体" w:cs="宋体" w:eastAsia="宋体" w:hint="default"/>
                <w:sz w:val="18"/>
                <w:szCs w:val="18"/>
              </w:rPr>
              <w:t>其中：</w:t>
            </w:r>
          </w:p>
        </w:tc>
      </w:tr>
    </w:tbl>
    <w:p>
      <w:pPr>
        <w:spacing w:after="0" w:line="240" w:lineRule="auto"/>
        <w:jc w:val="left"/>
        <w:rPr>
          <w:rFonts w:ascii="宋体" w:hAnsi="宋体" w:cs="宋体" w:eastAsia="宋体" w:hint="default"/>
          <w:sz w:val="18"/>
          <w:szCs w:val="18"/>
        </w:rPr>
        <w:sectPr>
          <w:pgSz w:w="16840" w:h="11910" w:orient="landscape"/>
          <w:pgMar w:header="867" w:footer="979" w:top="1060" w:bottom="1160" w:left="1280" w:right="0"/>
        </w:sectPr>
      </w:pPr>
    </w:p>
    <w:p>
      <w:pPr>
        <w:spacing w:line="240" w:lineRule="auto" w:before="9"/>
        <w:rPr>
          <w:rFonts w:ascii="Times New Roman" w:hAnsi="Times New Roman" w:cs="Times New Roman" w:eastAsia="Times New Roman"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7113"/>
        <w:gridCol w:w="6902"/>
      </w:tblGrid>
      <w:tr>
        <w:trPr>
          <w:trHeight w:val="415" w:hRule="exact"/>
        </w:trPr>
        <w:tc>
          <w:tcPr>
            <w:tcW w:w="7113"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为股东、实际控制人及其关联方提供担保的余额（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6902"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z w:val="18"/>
              </w:rPr>
              <w:t>0</w:t>
            </w:r>
          </w:p>
        </w:tc>
      </w:tr>
      <w:tr>
        <w:trPr>
          <w:trHeight w:val="407" w:hRule="exact"/>
        </w:trPr>
        <w:tc>
          <w:tcPr>
            <w:tcW w:w="7113"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的被担保对象提供的债务担保余额（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69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z w:val="18"/>
              </w:rPr>
              <w:t>0</w:t>
            </w:r>
          </w:p>
        </w:tc>
      </w:tr>
      <w:tr>
        <w:trPr>
          <w:trHeight w:val="407" w:hRule="exact"/>
        </w:trPr>
        <w:tc>
          <w:tcPr>
            <w:tcW w:w="7113"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0"/>
              <w:ind w:left="13"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部分的金额（</w:t>
            </w:r>
            <w:r>
              <w:rPr>
                <w:rFonts w:ascii="Times New Roman" w:hAnsi="Times New Roman" w:cs="Times New Roman" w:eastAsia="Times New Roman" w:hint="default"/>
                <w:sz w:val="18"/>
                <w:szCs w:val="18"/>
              </w:rPr>
              <w:t>F</w:t>
            </w:r>
            <w:r>
              <w:rPr>
                <w:rFonts w:ascii="宋体" w:hAnsi="宋体" w:cs="宋体" w:eastAsia="宋体" w:hint="default"/>
                <w:sz w:val="18"/>
                <w:szCs w:val="18"/>
              </w:rPr>
              <w:t>）</w:t>
            </w:r>
          </w:p>
        </w:tc>
        <w:tc>
          <w:tcPr>
            <w:tcW w:w="69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0"/>
              <w:ind w:right="11"/>
              <w:jc w:val="right"/>
              <w:rPr>
                <w:rFonts w:ascii="Times New Roman" w:hAnsi="Times New Roman" w:cs="Times New Roman" w:eastAsia="Times New Roman" w:hint="default"/>
                <w:sz w:val="18"/>
                <w:szCs w:val="18"/>
              </w:rPr>
            </w:pPr>
            <w:r>
              <w:rPr>
                <w:rFonts w:ascii="Times New Roman"/>
                <w:sz w:val="18"/>
              </w:rPr>
              <w:t>0</w:t>
            </w:r>
          </w:p>
        </w:tc>
      </w:tr>
      <w:tr>
        <w:trPr>
          <w:trHeight w:val="407" w:hRule="exact"/>
        </w:trPr>
        <w:tc>
          <w:tcPr>
            <w:tcW w:w="7113"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0"/>
              <w:ind w:left="13"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sz w:val="18"/>
                <w:szCs w:val="18"/>
              </w:rPr>
              <w:t>D+E+F</w:t>
            </w:r>
            <w:r>
              <w:rPr>
                <w:rFonts w:ascii="宋体" w:hAnsi="宋体" w:cs="宋体" w:eastAsia="宋体" w:hint="default"/>
                <w:sz w:val="18"/>
                <w:szCs w:val="18"/>
              </w:rPr>
              <w:t>）</w:t>
            </w:r>
          </w:p>
        </w:tc>
        <w:tc>
          <w:tcPr>
            <w:tcW w:w="69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0"/>
              <w:ind w:right="11"/>
              <w:jc w:val="right"/>
              <w:rPr>
                <w:rFonts w:ascii="Times New Roman" w:hAnsi="Times New Roman" w:cs="Times New Roman" w:eastAsia="Times New Roman" w:hint="default"/>
                <w:sz w:val="18"/>
                <w:szCs w:val="18"/>
              </w:rPr>
            </w:pPr>
            <w:r>
              <w:rPr>
                <w:rFonts w:ascii="Times New Roman"/>
                <w:sz w:val="18"/>
              </w:rPr>
              <w:t>0</w:t>
            </w:r>
          </w:p>
        </w:tc>
      </w:tr>
      <w:tr>
        <w:trPr>
          <w:trHeight w:val="407" w:hRule="exact"/>
        </w:trPr>
        <w:tc>
          <w:tcPr>
            <w:tcW w:w="7113"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对未到期担保，报告期内已发生担保责任或可能承担连带清偿责任的情况说明（如有）</w:t>
            </w:r>
          </w:p>
        </w:tc>
        <w:tc>
          <w:tcPr>
            <w:tcW w:w="69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14" w:hRule="exact"/>
        </w:trPr>
        <w:tc>
          <w:tcPr>
            <w:tcW w:w="7113"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违反规定程序对外提供担保的说明（如有）</w:t>
            </w:r>
          </w:p>
        </w:tc>
        <w:tc>
          <w:tcPr>
            <w:tcW w:w="690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51"/>
        <w:ind w:left="160" w:right="0" w:firstLine="0"/>
        <w:jc w:val="left"/>
        <w:rPr>
          <w:rFonts w:ascii="宋体" w:hAnsi="宋体" w:cs="宋体" w:eastAsia="宋体" w:hint="default"/>
          <w:sz w:val="18"/>
          <w:szCs w:val="18"/>
        </w:rPr>
      </w:pPr>
      <w:r>
        <w:rPr>
          <w:rFonts w:ascii="宋体" w:hAnsi="宋体" w:cs="宋体" w:eastAsia="宋体" w:hint="default"/>
          <w:sz w:val="18"/>
          <w:szCs w:val="18"/>
        </w:rPr>
        <w:t>采用复合方式担保的具体情况说明</w:t>
      </w:r>
    </w:p>
    <w:p>
      <w:pPr>
        <w:spacing w:after="0"/>
        <w:jc w:val="left"/>
        <w:rPr>
          <w:rFonts w:ascii="宋体" w:hAnsi="宋体" w:cs="宋体" w:eastAsia="宋体" w:hint="default"/>
          <w:sz w:val="18"/>
          <w:szCs w:val="18"/>
        </w:rPr>
        <w:sectPr>
          <w:pgSz w:w="16840" w:h="11910" w:orient="landscape"/>
          <w:pgMar w:header="867" w:footer="979" w:top="1060" w:bottom="1160" w:left="128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2）违规对外担保情况" w:id="93"/>
      <w:bookmarkEnd w:id="93"/>
      <w:r>
        <w:rPr>
          <w:b w:val="0"/>
          <w:bCs w:val="0"/>
        </w:rPr>
      </w:r>
      <w:r>
        <w:rPr/>
        <w:t>（</w:t>
      </w:r>
      <w:r>
        <w:rPr>
          <w:rFonts w:ascii="Times New Roman" w:hAnsi="Times New Roman" w:cs="Times New Roman" w:eastAsia="Times New Roman" w:hint="default"/>
        </w:rPr>
        <w:t>2</w:t>
      </w:r>
      <w:r>
        <w:rPr/>
        <w:t>）违规对外担保情况</w:t>
      </w:r>
      <w:r>
        <w:rPr>
          <w:b w:val="0"/>
          <w:bCs w:val="0"/>
        </w:rPr>
      </w:r>
    </w:p>
    <w:p>
      <w:pPr>
        <w:spacing w:line="240" w:lineRule="auto" w:before="8"/>
        <w:rPr>
          <w:rFonts w:ascii="宋体" w:hAnsi="宋体" w:cs="宋体" w:eastAsia="宋体" w:hint="default"/>
          <w:b/>
          <w:bCs/>
          <w:sz w:val="26"/>
          <w:szCs w:val="26"/>
        </w:rPr>
      </w:pPr>
    </w:p>
    <w:p>
      <w:pPr>
        <w:spacing w:line="338" w:lineRule="auto" w:before="0"/>
        <w:ind w:left="1133" w:right="733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公司报告期无违规对外担保情况。</w:t>
      </w:r>
    </w:p>
    <w:p>
      <w:pPr>
        <w:spacing w:line="240" w:lineRule="auto" w:before="3"/>
        <w:rPr>
          <w:rFonts w:ascii="宋体" w:hAnsi="宋体" w:cs="宋体" w:eastAsia="宋体" w:hint="default"/>
          <w:sz w:val="21"/>
          <w:szCs w:val="21"/>
        </w:rPr>
      </w:pPr>
    </w:p>
    <w:p>
      <w:pPr>
        <w:pStyle w:val="Heading6"/>
        <w:spacing w:line="240" w:lineRule="auto"/>
        <w:ind w:left="1133" w:right="998"/>
        <w:jc w:val="left"/>
        <w:rPr>
          <w:b w:val="0"/>
          <w:bCs w:val="0"/>
        </w:rPr>
      </w:pPr>
      <w:bookmarkStart w:name="3、委托他人进行现金资产管理情况" w:id="94"/>
      <w:bookmarkEnd w:id="94"/>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委托理财情况" w:id="95"/>
      <w:bookmarkEnd w:id="95"/>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headerReference w:type="default" r:id="rId30"/>
          <w:footerReference w:type="default" r:id="rId31"/>
          <w:pgSz w:w="11910" w:h="16840"/>
          <w:pgMar w:header="877" w:footer="979" w:top="1060" w:bottom="1160" w:left="0" w:right="0"/>
          <w:pgNumType w:start="70"/>
        </w:sectPr>
      </w:pPr>
    </w:p>
    <w:p>
      <w:pPr>
        <w:spacing w:line="338" w:lineRule="auto" w:before="44"/>
        <w:ind w:left="1133" w:right="-1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报告期内委托理财概况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单位：万元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2935" w:space="5805"/>
            <w:col w:w="3170"/>
          </w:cols>
        </w:sectPr>
      </w:pPr>
    </w:p>
    <w:p>
      <w:pPr>
        <w:spacing w:line="240" w:lineRule="auto" w:before="1"/>
        <w:rPr>
          <w:rFonts w:ascii="宋体" w:hAnsi="宋体" w:cs="宋体" w:eastAsia="宋体" w:hint="default"/>
          <w:sz w:val="8"/>
          <w:szCs w:val="8"/>
        </w:rPr>
      </w:pPr>
    </w:p>
    <w:tbl>
      <w:tblPr>
        <w:tblW w:w="0" w:type="auto"/>
        <w:jc w:val="left"/>
        <w:tblInd w:w="1153" w:type="dxa"/>
        <w:tblLayout w:type="fixed"/>
        <w:tblCellMar>
          <w:top w:w="0" w:type="dxa"/>
          <w:left w:w="0" w:type="dxa"/>
          <w:bottom w:w="0" w:type="dxa"/>
          <w:right w:w="0" w:type="dxa"/>
        </w:tblCellMar>
        <w:tblLook w:val="01E0"/>
      </w:tblPr>
      <w:tblGrid>
        <w:gridCol w:w="1869"/>
        <w:gridCol w:w="1962"/>
        <w:gridCol w:w="1981"/>
        <w:gridCol w:w="1910"/>
        <w:gridCol w:w="1846"/>
      </w:tblGrid>
      <w:tr>
        <w:trPr>
          <w:trHeight w:val="413" w:hRule="exact"/>
        </w:trPr>
        <w:tc>
          <w:tcPr>
            <w:tcW w:w="1869"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559"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63" w:right="0"/>
              <w:jc w:val="lef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1"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352"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1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496"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6"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195"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7" w:hRule="exact"/>
        </w:trPr>
        <w:tc>
          <w:tcPr>
            <w:tcW w:w="18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9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45,500</w:t>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w:t>
            </w:r>
          </w:p>
        </w:tc>
        <w:tc>
          <w:tcPr>
            <w:tcW w:w="184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11"/>
              <w:jc w:val="right"/>
              <w:rPr>
                <w:rFonts w:ascii="Times New Roman" w:hAnsi="Times New Roman" w:cs="Times New Roman" w:eastAsia="Times New Roman" w:hint="default"/>
                <w:sz w:val="18"/>
                <w:szCs w:val="18"/>
              </w:rPr>
            </w:pPr>
            <w:r>
              <w:rPr>
                <w:rFonts w:ascii="Times New Roman"/>
                <w:sz w:val="18"/>
              </w:rPr>
              <w:t>0</w:t>
            </w:r>
          </w:p>
        </w:tc>
      </w:tr>
      <w:tr>
        <w:trPr>
          <w:trHeight w:val="416" w:hRule="exact"/>
        </w:trPr>
        <w:tc>
          <w:tcPr>
            <w:tcW w:w="3832" w:type="dxa"/>
            <w:gridSpan w:val="2"/>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45,500</w:t>
            </w:r>
          </w:p>
        </w:tc>
        <w:tc>
          <w:tcPr>
            <w:tcW w:w="191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w:t>
            </w:r>
          </w:p>
        </w:tc>
        <w:tc>
          <w:tcPr>
            <w:tcW w:w="184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2"/>
              <w:ind w:right="11"/>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6"/>
        <w:rPr>
          <w:rFonts w:ascii="宋体" w:hAnsi="宋体" w:cs="宋体" w:eastAsia="宋体" w:hint="default"/>
          <w:sz w:val="6"/>
          <w:szCs w:val="6"/>
        </w:rPr>
      </w:pPr>
    </w:p>
    <w:p>
      <w:pPr>
        <w:spacing w:line="451" w:lineRule="auto" w:before="44"/>
        <w:ind w:left="1134" w:right="1122" w:firstLine="0"/>
        <w:jc w:val="left"/>
        <w:rPr>
          <w:rFonts w:ascii="宋体" w:hAnsi="宋体" w:cs="宋体" w:eastAsia="宋体" w:hint="default"/>
          <w:sz w:val="18"/>
          <w:szCs w:val="18"/>
        </w:rPr>
      </w:pPr>
      <w:r>
        <w:rPr>
          <w:rFonts w:ascii="宋体" w:hAnsi="宋体" w:cs="宋体" w:eastAsia="宋体" w:hint="default"/>
          <w:sz w:val="18"/>
          <w:szCs w:val="18"/>
        </w:rPr>
        <w:t>注：</w:t>
      </w:r>
      <w:r>
        <w:rPr>
          <w:rFonts w:ascii="Times New Roman" w:hAnsi="Times New Roman" w:cs="Times New Roman" w:eastAsia="Times New Roman" w:hint="default"/>
          <w:sz w:val="18"/>
          <w:szCs w:val="18"/>
        </w:rPr>
        <w:t>1</w:t>
      </w:r>
      <w:r>
        <w:rPr>
          <w:rFonts w:ascii="宋体" w:hAnsi="宋体" w:cs="宋体" w:eastAsia="宋体" w:hint="default"/>
          <w:sz w:val="18"/>
          <w:szCs w:val="18"/>
        </w:rPr>
        <w:t>、具体类型包括但不限于银行理财产品、券商理财产品、信托理财产品、其他类（如公募基金产品、私募基金产品） 等。</w:t>
      </w:r>
    </w:p>
    <w:p>
      <w:pPr>
        <w:spacing w:line="451" w:lineRule="auto" w:before="112"/>
        <w:ind w:left="1133" w:right="112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、按照类型披露的委托理财发生额，指在报告期内该类委托理财单日最高余额，即在报告期内单日该类委托理财未到期余 额合计数的最大值。</w:t>
      </w:r>
    </w:p>
    <w:p>
      <w:pPr>
        <w:spacing w:line="489" w:lineRule="auto" w:before="115"/>
        <w:ind w:left="1134" w:right="46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、未到期余额是指报告期末该类委托理财未到期余额合计数。 单项金额重大或安全性较低、流动性较差、不保本的高风险委托理财具体情况</w:t>
      </w:r>
    </w:p>
    <w:p>
      <w:pPr>
        <w:spacing w:line="340" w:lineRule="auto" w:before="7"/>
        <w:ind w:left="1133" w:right="57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委托理财出现预期无法收回本金或存在其他可能导致减值的情形</w:t>
      </w:r>
    </w:p>
    <w:p>
      <w:pPr>
        <w:spacing w:line="328" w:lineRule="auto" w:before="4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r>
        <w:rPr>
          <w:rFonts w:ascii="宋体" w:hAnsi="宋体" w:cs="宋体" w:eastAsia="宋体" w:hint="default"/>
          <w:spacing w:val="-2"/>
          <w:sz w:val="18"/>
          <w:szCs w:val="18"/>
        </w:rPr>
        <w:t>注：若委托理财出现预期无法收回本金或存在其他可能导致减值的情形，预计对公司具有较大影响的，公司应当说明对财务</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状况或当期利润的影响。</w:t>
      </w:r>
    </w:p>
    <w:p>
      <w:pPr>
        <w:spacing w:before="50"/>
        <w:ind w:left="1133" w:right="998" w:firstLine="0"/>
        <w:jc w:val="left"/>
        <w:rPr>
          <w:rFonts w:ascii="宋体" w:hAnsi="宋体" w:cs="宋体" w:eastAsia="宋体" w:hint="default"/>
          <w:sz w:val="18"/>
          <w:szCs w:val="18"/>
        </w:rPr>
      </w:pPr>
      <w:r>
        <w:rPr>
          <w:rFonts w:ascii="宋体" w:hAnsi="宋体" w:cs="宋体" w:eastAsia="宋体" w:hint="default"/>
          <w:sz w:val="18"/>
          <w:szCs w:val="18"/>
        </w:rPr>
        <w:t>公司报告期不存在委托理财。</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2）委托贷款情况" w:id="96"/>
      <w:bookmarkEnd w:id="96"/>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133" w:right="84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公司报告期不存在委托贷款。</w:t>
      </w:r>
    </w:p>
    <w:p>
      <w:pPr>
        <w:spacing w:line="240" w:lineRule="auto" w:before="1"/>
        <w:rPr>
          <w:rFonts w:ascii="宋体" w:hAnsi="宋体" w:cs="宋体" w:eastAsia="宋体" w:hint="default"/>
          <w:sz w:val="21"/>
          <w:szCs w:val="21"/>
        </w:rPr>
      </w:pPr>
    </w:p>
    <w:p>
      <w:pPr>
        <w:pStyle w:val="Heading6"/>
        <w:spacing w:line="240" w:lineRule="auto"/>
        <w:ind w:left="1133" w:right="998"/>
        <w:jc w:val="left"/>
        <w:rPr>
          <w:b w:val="0"/>
          <w:bCs w:val="0"/>
        </w:rPr>
      </w:pPr>
      <w:bookmarkStart w:name="4、其他重大合同" w:id="97"/>
      <w:bookmarkEnd w:id="97"/>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9"/>
        <w:rPr>
          <w:rFonts w:ascii="宋体" w:hAnsi="宋体" w:cs="宋体" w:eastAsia="宋体" w:hint="default"/>
          <w:b/>
          <w:bCs/>
          <w:sz w:val="26"/>
          <w:szCs w:val="26"/>
        </w:rPr>
      </w:pPr>
    </w:p>
    <w:p>
      <w:pPr>
        <w:spacing w:line="338" w:lineRule="auto" w:before="0"/>
        <w:ind w:left="1133" w:right="80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公司报告期不存在其他重大合同。</w:t>
      </w:r>
    </w:p>
    <w:p>
      <w:pPr>
        <w:spacing w:after="0" w:line="338" w:lineRule="auto"/>
        <w:jc w:val="left"/>
        <w:rPr>
          <w:rFonts w:ascii="宋体" w:hAnsi="宋体" w:cs="宋体" w:eastAsia="宋体" w:hint="default"/>
          <w:sz w:val="18"/>
          <w:szCs w:val="18"/>
        </w:rPr>
        <w:sectPr>
          <w:type w:val="continuous"/>
          <w:pgSz w:w="11910" w:h="16840"/>
          <w:pgMar w:top="1060" w:bottom="1160" w:left="0" w:right="0"/>
        </w:sectPr>
      </w:pPr>
    </w:p>
    <w:p>
      <w:pPr>
        <w:spacing w:line="240" w:lineRule="auto" w:before="8"/>
        <w:rPr>
          <w:rFonts w:ascii="宋体" w:hAnsi="宋体" w:cs="宋体" w:eastAsia="宋体" w:hint="default"/>
          <w:sz w:val="19"/>
          <w:szCs w:val="19"/>
        </w:rPr>
      </w:pPr>
    </w:p>
    <w:p>
      <w:pPr>
        <w:pStyle w:val="Heading4"/>
        <w:spacing w:line="240" w:lineRule="auto" w:before="26"/>
        <w:ind w:right="998"/>
        <w:jc w:val="left"/>
        <w:rPr>
          <w:b w:val="0"/>
          <w:bCs w:val="0"/>
        </w:rPr>
      </w:pPr>
      <w:bookmarkStart w:name="十七、社会责任情况" w:id="98"/>
      <w:bookmarkEnd w:id="98"/>
      <w:r>
        <w:rPr>
          <w:b w:val="0"/>
          <w:bCs w:val="0"/>
        </w:rPr>
      </w:r>
      <w:r>
        <w:rPr/>
        <w:t>十七、社会责任情况</w:t>
      </w:r>
      <w:r>
        <w:rPr>
          <w:b w:val="0"/>
          <w:bCs w:val="0"/>
        </w:rPr>
      </w:r>
    </w:p>
    <w:p>
      <w:pPr>
        <w:spacing w:line="240" w:lineRule="auto" w:before="9"/>
        <w:rPr>
          <w:rFonts w:ascii="宋体" w:hAnsi="宋体" w:cs="宋体" w:eastAsia="宋体" w:hint="default"/>
          <w:b/>
          <w:bCs/>
          <w:sz w:val="24"/>
          <w:szCs w:val="24"/>
        </w:rPr>
      </w:pPr>
    </w:p>
    <w:p>
      <w:pPr>
        <w:spacing w:line="547" w:lineRule="auto" w:before="0"/>
        <w:ind w:left="1133" w:right="4273" w:firstLine="0"/>
        <w:jc w:val="left"/>
        <w:rPr>
          <w:rFonts w:ascii="宋体" w:hAnsi="宋体" w:cs="宋体" w:eastAsia="宋体" w:hint="default"/>
          <w:sz w:val="21"/>
          <w:szCs w:val="21"/>
        </w:rPr>
      </w:pPr>
      <w:bookmarkStart w:name="1、履行社会责任情况" w:id="99"/>
      <w:bookmarkEnd w:id="99"/>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、履行社会责任情况</w:t>
      </w:r>
      <w:r>
        <w:rPr>
          <w:rFonts w:ascii="宋体" w:hAnsi="宋体" w:cs="宋体" w:eastAsia="宋体" w:hint="default"/>
          <w:b/>
          <w:bCs/>
          <w:w w:val="99"/>
          <w:sz w:val="21"/>
          <w:szCs w:val="21"/>
        </w:rPr>
        <w:t> </w:t>
      </w:r>
      <w:r>
        <w:rPr>
          <w:rFonts w:ascii="宋体" w:hAnsi="宋体" w:cs="宋体" w:eastAsia="宋体" w:hint="default"/>
          <w:sz w:val="18"/>
          <w:szCs w:val="18"/>
        </w:rPr>
        <w:t>公司已披露</w:t>
      </w:r>
      <w:r>
        <w:rPr>
          <w:rFonts w:ascii="Times New Roman" w:hAnsi="Times New Roman" w:cs="Times New Roman" w:eastAsia="Times New Roman" w:hint="default"/>
          <w:sz w:val="18"/>
          <w:szCs w:val="18"/>
        </w:rPr>
        <w:t>2017</w:t>
      </w:r>
      <w:r>
        <w:rPr>
          <w:rFonts w:ascii="宋体" w:hAnsi="宋体" w:cs="宋体" w:eastAsia="宋体" w:hint="default"/>
          <w:sz w:val="18"/>
          <w:szCs w:val="18"/>
        </w:rPr>
        <w:t>年度社会责任报告，具体可参见巨潮资讯网。 </w:t>
      </w:r>
      <w:bookmarkStart w:name="2、履行精准扶贫社会责任情况" w:id="100"/>
      <w:bookmarkEnd w:id="100"/>
      <w:r>
        <w:rPr>
          <w:rFonts w:ascii="宋体" w:hAnsi="宋体" w:cs="宋体" w:eastAsia="宋体" w:hint="default"/>
          <w:sz w:val="18"/>
          <w:szCs w:val="18"/>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、履行精准扶贫社会责任情况</w:t>
      </w:r>
      <w:r>
        <w:rPr>
          <w:rFonts w:ascii="宋体" w:hAnsi="宋体" w:cs="宋体" w:eastAsia="宋体" w:hint="default"/>
          <w:sz w:val="21"/>
          <w:szCs w:val="21"/>
        </w:rPr>
      </w:r>
    </w:p>
    <w:p>
      <w:pPr>
        <w:spacing w:before="49"/>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公司报告年度暂未开展精准扶贫工作，也暂无后续精准扶贫计划。</w:t>
      </w:r>
    </w:p>
    <w:p>
      <w:pPr>
        <w:spacing w:line="240" w:lineRule="auto" w:before="12"/>
        <w:rPr>
          <w:rFonts w:ascii="宋体" w:hAnsi="宋体" w:cs="宋体" w:eastAsia="宋体" w:hint="default"/>
          <w:sz w:val="26"/>
          <w:szCs w:val="26"/>
        </w:rPr>
      </w:pPr>
    </w:p>
    <w:p>
      <w:pPr>
        <w:pStyle w:val="Heading6"/>
        <w:spacing w:line="240" w:lineRule="auto"/>
        <w:ind w:left="1133" w:right="998"/>
        <w:jc w:val="left"/>
        <w:rPr>
          <w:b w:val="0"/>
          <w:bCs w:val="0"/>
        </w:rPr>
      </w:pPr>
      <w:bookmarkStart w:name="3、环境保护相关的情况" w:id="101"/>
      <w:bookmarkEnd w:id="101"/>
      <w:r>
        <w:rPr>
          <w:b w:val="0"/>
          <w:bCs w:val="0"/>
        </w:rPr>
      </w:r>
      <w:r>
        <w:rPr>
          <w:rFonts w:ascii="Times New Roman" w:hAnsi="Times New Roman" w:cs="Times New Roman" w:eastAsia="Times New Roman" w:hint="default"/>
        </w:rPr>
        <w:t>3</w:t>
      </w:r>
      <w:r>
        <w:rPr/>
        <w:t>、环境保护相关的情况</w:t>
      </w:r>
      <w:r>
        <w:rPr>
          <w:b w:val="0"/>
          <w:bCs w:val="0"/>
        </w:rPr>
      </w:r>
    </w:p>
    <w:p>
      <w:pPr>
        <w:spacing w:line="240" w:lineRule="auto" w:before="8"/>
        <w:rPr>
          <w:rFonts w:ascii="宋体" w:hAnsi="宋体" w:cs="宋体" w:eastAsia="宋体" w:hint="default"/>
          <w:b/>
          <w:bCs/>
          <w:sz w:val="26"/>
          <w:szCs w:val="26"/>
        </w:rPr>
      </w:pPr>
    </w:p>
    <w:p>
      <w:pPr>
        <w:spacing w:line="360" w:lineRule="auto" w:before="0"/>
        <w:ind w:left="1134" w:right="5712" w:firstLine="0"/>
        <w:jc w:val="left"/>
        <w:rPr>
          <w:rFonts w:ascii="宋体" w:hAnsi="宋体" w:cs="宋体" w:eastAsia="宋体" w:hint="default"/>
          <w:sz w:val="18"/>
          <w:szCs w:val="18"/>
        </w:rPr>
      </w:pPr>
      <w:r>
        <w:rPr>
          <w:rFonts w:ascii="宋体" w:hAnsi="宋体" w:cs="宋体" w:eastAsia="宋体" w:hint="default"/>
          <w:sz w:val="18"/>
          <w:szCs w:val="18"/>
        </w:rPr>
        <w:t>上市公司及其子公司是否属于环境保护部门公布的重点排污单位 否</w:t>
      </w:r>
    </w:p>
    <w:p>
      <w:pPr>
        <w:spacing w:before="25"/>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公司及其子公司不属于环境保护部门公布的重点排污单位</w:t>
      </w:r>
    </w:p>
    <w:p>
      <w:pPr>
        <w:spacing w:line="240" w:lineRule="auto" w:before="2"/>
        <w:rPr>
          <w:rFonts w:ascii="宋体" w:hAnsi="宋体" w:cs="宋体" w:eastAsia="宋体" w:hint="default"/>
          <w:sz w:val="25"/>
          <w:szCs w:val="25"/>
        </w:rPr>
      </w:pPr>
    </w:p>
    <w:p>
      <w:pPr>
        <w:pStyle w:val="Heading4"/>
        <w:spacing w:line="240" w:lineRule="auto"/>
        <w:ind w:left="1134" w:right="998"/>
        <w:jc w:val="left"/>
        <w:rPr>
          <w:b w:val="0"/>
          <w:bCs w:val="0"/>
        </w:rPr>
      </w:pPr>
      <w:bookmarkStart w:name="十八、其他重大事项的说明" w:id="102"/>
      <w:bookmarkEnd w:id="102"/>
      <w:r>
        <w:rPr>
          <w:b w:val="0"/>
          <w:bCs w:val="0"/>
        </w:rPr>
      </w:r>
      <w:r>
        <w:rPr/>
        <w:t>十八、其他重大事项的说明</w:t>
      </w:r>
      <w:r>
        <w:rPr>
          <w:b w:val="0"/>
          <w:bCs w:val="0"/>
        </w:rPr>
      </w:r>
    </w:p>
    <w:p>
      <w:pPr>
        <w:spacing w:line="240" w:lineRule="auto" w:before="7"/>
        <w:rPr>
          <w:rFonts w:ascii="宋体" w:hAnsi="宋体" w:cs="宋体" w:eastAsia="宋体" w:hint="default"/>
          <w:b/>
          <w:bCs/>
          <w:sz w:val="26"/>
          <w:szCs w:val="26"/>
        </w:rPr>
      </w:pPr>
    </w:p>
    <w:p>
      <w:pPr>
        <w:spacing w:line="338" w:lineRule="auto" w:before="0"/>
        <w:ind w:left="1133" w:right="71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公司报告期不存在需要说明的其他重大事项。</w:t>
      </w:r>
    </w:p>
    <w:p>
      <w:pPr>
        <w:spacing w:line="240" w:lineRule="auto" w:before="6"/>
        <w:rPr>
          <w:rFonts w:ascii="宋体" w:hAnsi="宋体" w:cs="宋体" w:eastAsia="宋体" w:hint="default"/>
          <w:sz w:val="19"/>
          <w:szCs w:val="19"/>
        </w:rPr>
      </w:pPr>
    </w:p>
    <w:p>
      <w:pPr>
        <w:pStyle w:val="Heading4"/>
        <w:spacing w:line="240" w:lineRule="auto"/>
        <w:ind w:right="998"/>
        <w:jc w:val="left"/>
        <w:rPr>
          <w:b w:val="0"/>
          <w:bCs w:val="0"/>
        </w:rPr>
      </w:pPr>
      <w:bookmarkStart w:name="十九、公司子公司重大事项" w:id="103"/>
      <w:bookmarkEnd w:id="103"/>
      <w:r>
        <w:rPr>
          <w:b w:val="0"/>
          <w:bCs w:val="0"/>
        </w:rPr>
      </w:r>
      <w:r>
        <w:rPr/>
        <w:t>十九、公司子公司重大事项</w:t>
      </w:r>
      <w:r>
        <w:rPr>
          <w:b w:val="0"/>
          <w:bCs w:val="0"/>
        </w:rPr>
      </w:r>
    </w:p>
    <w:p>
      <w:pPr>
        <w:spacing w:line="240" w:lineRule="auto" w:before="8"/>
        <w:rPr>
          <w:rFonts w:ascii="宋体" w:hAnsi="宋体" w:cs="宋体" w:eastAsia="宋体" w:hint="default"/>
          <w:b/>
          <w:bCs/>
          <w:sz w:val="26"/>
          <w:szCs w:val="26"/>
        </w:rPr>
      </w:pPr>
    </w:p>
    <w:p>
      <w:pPr>
        <w:spacing w:line="432" w:lineRule="auto" w:before="0"/>
        <w:ind w:left="1133" w:right="112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r>
        <w:rPr>
          <w:rFonts w:ascii="Times New Roman" w:hAnsi="Times New Roman" w:cs="Times New Roman" w:eastAsia="Times New Roman" w:hint="default"/>
          <w:sz w:val="18"/>
          <w:szCs w:val="18"/>
        </w:rPr>
        <w:t>1</w:t>
      </w:r>
      <w:r>
        <w:rPr>
          <w:rFonts w:ascii="宋体" w:hAnsi="宋体" w:cs="宋体" w:eastAsia="宋体" w:hint="default"/>
          <w:sz w:val="18"/>
          <w:szCs w:val="18"/>
        </w:rPr>
        <w:t>、公司第二届董事会第五十次会议和</w:t>
      </w:r>
      <w:r>
        <w:rPr>
          <w:rFonts w:ascii="Times New Roman" w:hAnsi="Times New Roman" w:cs="Times New Roman" w:eastAsia="Times New Roman" w:hint="default"/>
          <w:sz w:val="18"/>
          <w:szCs w:val="18"/>
        </w:rPr>
        <w:t>2017</w:t>
      </w:r>
      <w:r>
        <w:rPr>
          <w:rFonts w:ascii="宋体" w:hAnsi="宋体" w:cs="宋体" w:eastAsia="宋体" w:hint="default"/>
          <w:sz w:val="18"/>
          <w:szCs w:val="18"/>
        </w:rPr>
        <w:t>年第二次临时股东大会审议通过了《关于公司参与北京闲徕互娱网络科技有限公 司收购交易暨关联交易的议案》，公司以全资子公司西藏昆诺为投资主体与辰海科译共同购买闲徕互娱</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股权，收购完</w:t>
      </w:r>
    </w:p>
    <w:p>
      <w:pPr>
        <w:spacing w:line="458" w:lineRule="auto" w:before="59"/>
        <w:ind w:left="1133" w:right="1106" w:firstLine="0"/>
        <w:jc w:val="both"/>
        <w:rPr>
          <w:rFonts w:ascii="宋体" w:hAnsi="宋体" w:cs="宋体" w:eastAsia="宋体" w:hint="default"/>
          <w:sz w:val="18"/>
          <w:szCs w:val="18"/>
        </w:rPr>
      </w:pPr>
      <w:r>
        <w:rPr>
          <w:rFonts w:ascii="宋体" w:hAnsi="宋体" w:cs="宋体" w:eastAsia="宋体" w:hint="default"/>
          <w:spacing w:val="-1"/>
          <w:sz w:val="18"/>
          <w:szCs w:val="18"/>
        </w:rPr>
        <w:t>成后西藏昆诺持有</w:t>
      </w:r>
      <w:r>
        <w:rPr>
          <w:rFonts w:ascii="Times New Roman" w:hAnsi="Times New Roman" w:cs="Times New Roman" w:eastAsia="Times New Roman" w:hint="default"/>
          <w:spacing w:val="-1"/>
          <w:sz w:val="18"/>
          <w:szCs w:val="18"/>
        </w:rPr>
        <w:t>51%</w:t>
      </w:r>
      <w:r>
        <w:rPr>
          <w:rFonts w:ascii="宋体" w:hAnsi="宋体" w:cs="宋体" w:eastAsia="宋体" w:hint="default"/>
          <w:spacing w:val="-1"/>
          <w:sz w:val="18"/>
          <w:szCs w:val="18"/>
        </w:rPr>
        <w:t>股权，辰海科译持有</w:t>
      </w:r>
      <w:r>
        <w:rPr>
          <w:rFonts w:ascii="Times New Roman" w:hAnsi="Times New Roman" w:cs="Times New Roman" w:eastAsia="Times New Roman" w:hint="default"/>
          <w:spacing w:val="-1"/>
          <w:sz w:val="18"/>
          <w:szCs w:val="18"/>
        </w:rPr>
        <w:t>49%</w:t>
      </w:r>
      <w:r>
        <w:rPr>
          <w:rFonts w:ascii="宋体" w:hAnsi="宋体" w:cs="宋体" w:eastAsia="宋体" w:hint="default"/>
          <w:spacing w:val="-1"/>
          <w:sz w:val="18"/>
          <w:szCs w:val="18"/>
        </w:rPr>
        <w:t>股权。此后，辰海科译又将其持有的股权转让给公司关联方周亚辉、摩比神</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pacing w:val="-2"/>
          <w:sz w:val="18"/>
          <w:szCs w:val="18"/>
        </w:rPr>
        <w:t>奇、深圳富海、珠海富海、蜜莱坞，因辰海科译持股时间较短，此次交易实际上构成公司与关联方共同投资。具体内容可详</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7"/>
          <w:sz w:val="18"/>
          <w:szCs w:val="18"/>
        </w:rPr>
        <w:t>见刊登在巨潮资讯网的《关于公司参与北京闲徕互娱网络科技股份有限公司收购交易暨关联交易的公告》（编号：</w:t>
      </w:r>
      <w:r>
        <w:rPr>
          <w:rFonts w:ascii="Times New Roman" w:hAnsi="Times New Roman" w:cs="Times New Roman" w:eastAsia="Times New Roman" w:hint="default"/>
          <w:spacing w:val="-7"/>
          <w:sz w:val="18"/>
          <w:szCs w:val="18"/>
        </w:rPr>
        <w:t>2017-004</w:t>
      </w:r>
      <w:r>
        <w:rPr>
          <w:rFonts w:ascii="宋体" w:hAnsi="宋体" w:cs="宋体" w:eastAsia="宋体" w:hint="default"/>
          <w:spacing w:val="-7"/>
          <w:sz w:val="18"/>
          <w:szCs w:val="18"/>
        </w:rPr>
        <w:t>）。</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、公司以昆仑集团有限公司为主体出资</w:t>
      </w:r>
      <w:r>
        <w:rPr>
          <w:rFonts w:ascii="Times New Roman" w:hAnsi="Times New Roman" w:cs="Times New Roman" w:eastAsia="Times New Roman" w:hint="default"/>
          <w:sz w:val="18"/>
          <w:szCs w:val="18"/>
        </w:rPr>
        <w:t>1.52</w:t>
      </w:r>
      <w:r>
        <w:rPr>
          <w:rFonts w:ascii="宋体" w:hAnsi="宋体" w:cs="宋体" w:eastAsia="宋体" w:hint="default"/>
          <w:sz w:val="18"/>
          <w:szCs w:val="18"/>
        </w:rPr>
        <w:t>亿美元收购</w:t>
      </w:r>
      <w:r>
        <w:rPr>
          <w:rFonts w:ascii="Times New Roman" w:hAnsi="Times New Roman" w:cs="Times New Roman" w:eastAsia="Times New Roman" w:hint="default"/>
          <w:sz w:val="18"/>
          <w:szCs w:val="18"/>
        </w:rPr>
        <w:t>Grindr38.47%</w:t>
      </w:r>
      <w:r>
        <w:rPr>
          <w:rFonts w:ascii="宋体" w:hAnsi="宋体" w:cs="宋体" w:eastAsia="宋体" w:hint="default"/>
          <w:sz w:val="18"/>
          <w:szCs w:val="18"/>
        </w:rPr>
        <w:t>的股权，本次收购完成后，昆仑集团有限公司将持有</w:t>
      </w:r>
    </w:p>
    <w:p>
      <w:pPr>
        <w:spacing w:line="386" w:lineRule="auto" w:before="12"/>
        <w:ind w:left="1133" w:right="1171" w:firstLine="0"/>
        <w:jc w:val="left"/>
        <w:rPr>
          <w:rFonts w:ascii="宋体" w:hAnsi="宋体" w:cs="宋体" w:eastAsia="宋体" w:hint="default"/>
          <w:sz w:val="21"/>
          <w:szCs w:val="21"/>
        </w:rPr>
      </w:pPr>
      <w:r>
        <w:rPr>
          <w:rFonts w:ascii="Times New Roman" w:hAnsi="Times New Roman" w:cs="Times New Roman" w:eastAsia="Times New Roman" w:hint="default"/>
          <w:sz w:val="18"/>
          <w:szCs w:val="18"/>
        </w:rPr>
        <w:t>Grindr100%</w:t>
      </w:r>
      <w:r>
        <w:rPr>
          <w:rFonts w:ascii="宋体" w:hAnsi="宋体" w:cs="宋体" w:eastAsia="宋体" w:hint="default"/>
          <w:sz w:val="18"/>
          <w:szCs w:val="18"/>
        </w:rPr>
        <w:t>的股权，本交易于</w:t>
      </w: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日完成交割，</w:t>
      </w:r>
      <w:r>
        <w:rPr>
          <w:rFonts w:ascii="宋体" w:hAnsi="宋体" w:cs="宋体" w:eastAsia="宋体" w:hint="default"/>
          <w:sz w:val="21"/>
          <w:szCs w:val="21"/>
        </w:rPr>
        <w:t>详见公司于巨潮资讯网（</w:t>
      </w:r>
      <w:hyperlink r:id="rId11">
        <w:r>
          <w:rPr>
            <w:rFonts w:ascii="Times New Roman" w:hAnsi="Times New Roman" w:cs="Times New Roman" w:eastAsia="Times New Roman" w:hint="default"/>
            <w:sz w:val="21"/>
            <w:szCs w:val="21"/>
          </w:rPr>
          <w:t>www.cninfo.com.cn</w:t>
        </w:r>
      </w:hyperlink>
      <w:r>
        <w:rPr>
          <w:rFonts w:ascii="宋体" w:hAnsi="宋体" w:cs="宋体" w:eastAsia="宋体" w:hint="default"/>
          <w:sz w:val="21"/>
          <w:szCs w:val="21"/>
        </w:rPr>
        <w:t>）披露的相关</w:t>
      </w:r>
      <w:r>
        <w:rPr>
          <w:rFonts w:ascii="宋体" w:hAnsi="宋体" w:cs="宋体" w:eastAsia="宋体" w:hint="default"/>
          <w:w w:val="99"/>
          <w:sz w:val="21"/>
          <w:szCs w:val="21"/>
        </w:rPr>
        <w:t> </w:t>
      </w:r>
      <w:r>
        <w:rPr>
          <w:rFonts w:ascii="宋体" w:hAnsi="宋体" w:cs="宋体" w:eastAsia="宋体" w:hint="default"/>
          <w:sz w:val="21"/>
          <w:szCs w:val="21"/>
        </w:rPr>
        <w:t>公告（公告编号：</w:t>
      </w:r>
      <w:r>
        <w:rPr>
          <w:rFonts w:ascii="Times New Roman" w:hAnsi="Times New Roman" w:cs="Times New Roman" w:eastAsia="Times New Roman" w:hint="default"/>
          <w:sz w:val="21"/>
          <w:szCs w:val="21"/>
        </w:rPr>
        <w:t>2017-061</w:t>
      </w:r>
      <w:r>
        <w:rPr>
          <w:rFonts w:ascii="宋体" w:hAnsi="宋体" w:cs="宋体" w:eastAsia="宋体" w:hint="default"/>
          <w:sz w:val="21"/>
          <w:szCs w:val="21"/>
        </w:rPr>
        <w:t>、</w:t>
      </w:r>
      <w:r>
        <w:rPr>
          <w:rFonts w:ascii="Times New Roman" w:hAnsi="Times New Roman" w:cs="Times New Roman" w:eastAsia="Times New Roman" w:hint="default"/>
          <w:sz w:val="21"/>
          <w:szCs w:val="21"/>
        </w:rPr>
        <w:t>2018-002</w:t>
      </w:r>
      <w:r>
        <w:rPr>
          <w:rFonts w:ascii="宋体" w:hAnsi="宋体" w:cs="宋体" w:eastAsia="宋体" w:hint="default"/>
          <w:sz w:val="21"/>
          <w:szCs w:val="21"/>
        </w:rPr>
        <w:t>）。</w:t>
      </w:r>
    </w:p>
    <w:p>
      <w:pPr>
        <w:spacing w:after="0" w:line="386" w:lineRule="auto"/>
        <w:jc w:val="left"/>
        <w:rPr>
          <w:rFonts w:ascii="宋体" w:hAnsi="宋体" w:cs="宋体" w:eastAsia="宋体" w:hint="default"/>
          <w:sz w:val="21"/>
          <w:szCs w:val="21"/>
        </w:rPr>
        <w:sectPr>
          <w:pgSz w:w="11910" w:h="16840"/>
          <w:pgMar w:header="877" w:footer="979" w:top="110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p>
      <w:pPr>
        <w:pStyle w:val="Heading1"/>
        <w:spacing w:line="240" w:lineRule="auto"/>
        <w:ind w:left="3945" w:right="998"/>
        <w:jc w:val="left"/>
        <w:rPr>
          <w:b w:val="0"/>
          <w:bCs w:val="0"/>
        </w:rPr>
      </w:pPr>
      <w:bookmarkStart w:name="_TOC_250006" w:id="104"/>
      <w:bookmarkStart w:name="第六节 股份变动及股东情况" w:id="105"/>
      <w:r>
        <w:rPr>
          <w:b w:val="0"/>
          <w:bCs w:val="0"/>
        </w:rPr>
      </w:r>
      <w:r>
        <w:rPr/>
        <w:t>第六节</w:t>
      </w:r>
      <w:r>
        <w:rPr>
          <w:spacing w:val="-10"/>
        </w:rPr>
        <w:t> </w:t>
      </w:r>
      <w:r>
        <w:rPr/>
        <w:t>股份变动及股东情况</w:t>
      </w:r>
      <w:bookmarkEnd w:id="104"/>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4"/>
        <w:spacing w:line="240" w:lineRule="auto" w:before="26"/>
        <w:ind w:right="998"/>
        <w:jc w:val="left"/>
        <w:rPr>
          <w:b w:val="0"/>
          <w:bCs w:val="0"/>
        </w:rPr>
      </w:pPr>
      <w:bookmarkStart w:name="一、股份变动情况" w:id="106"/>
      <w:bookmarkEnd w:id="106"/>
      <w:r>
        <w:rPr>
          <w:b w:val="0"/>
          <w:bCs w:val="0"/>
        </w:rPr>
      </w:r>
      <w:r>
        <w:rPr/>
        <w:t>一、股份变动情况</w:t>
      </w:r>
      <w:r>
        <w:rPr>
          <w:b w:val="0"/>
          <w:bCs w:val="0"/>
        </w:rPr>
      </w:r>
    </w:p>
    <w:p>
      <w:pPr>
        <w:spacing w:line="240" w:lineRule="auto" w:before="9"/>
        <w:rPr>
          <w:rFonts w:ascii="宋体" w:hAnsi="宋体" w:cs="宋体" w:eastAsia="宋体" w:hint="default"/>
          <w:b/>
          <w:bCs/>
          <w:sz w:val="24"/>
          <w:szCs w:val="24"/>
        </w:rPr>
      </w:pPr>
    </w:p>
    <w:p>
      <w:pPr>
        <w:pStyle w:val="Heading6"/>
        <w:spacing w:line="240" w:lineRule="auto"/>
        <w:ind w:left="1133" w:right="998"/>
        <w:jc w:val="left"/>
        <w:rPr>
          <w:b w:val="0"/>
          <w:bCs w:val="0"/>
        </w:rPr>
      </w:pPr>
      <w:bookmarkStart w:name="1、股份变动情况" w:id="107"/>
      <w:bookmarkEnd w:id="107"/>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3"/>
        <w:rPr>
          <w:rFonts w:ascii="宋体" w:hAnsi="宋体" w:cs="宋体" w:eastAsia="宋体" w:hint="default"/>
          <w:sz w:val="7"/>
          <w:szCs w:val="7"/>
        </w:rPr>
      </w:pPr>
    </w:p>
    <w:tbl>
      <w:tblPr>
        <w:tblW w:w="0" w:type="auto"/>
        <w:jc w:val="left"/>
        <w:tblInd w:w="1158" w:type="dxa"/>
        <w:tblLayout w:type="fixed"/>
        <w:tblCellMar>
          <w:top w:w="0" w:type="dxa"/>
          <w:left w:w="0" w:type="dxa"/>
          <w:bottom w:w="0" w:type="dxa"/>
          <w:right w:w="0" w:type="dxa"/>
        </w:tblCellMar>
        <w:tblLook w:val="01E0"/>
      </w:tblPr>
      <w:tblGrid>
        <w:gridCol w:w="2220"/>
        <w:gridCol w:w="823"/>
        <w:gridCol w:w="824"/>
        <w:gridCol w:w="823"/>
        <w:gridCol w:w="822"/>
        <w:gridCol w:w="822"/>
        <w:gridCol w:w="822"/>
        <w:gridCol w:w="822"/>
        <w:gridCol w:w="794"/>
        <w:gridCol w:w="793"/>
      </w:tblGrid>
      <w:tr>
        <w:trPr>
          <w:trHeight w:val="415" w:hRule="exact"/>
        </w:trPr>
        <w:tc>
          <w:tcPr>
            <w:tcW w:w="2220" w:type="dxa"/>
            <w:tcBorders>
              <w:top w:val="single" w:sz="12" w:space="0" w:color="000000"/>
              <w:left w:val="single" w:sz="12" w:space="0" w:color="000000"/>
              <w:bottom w:val="nil" w:sz="6" w:space="0" w:color="auto"/>
              <w:right w:val="single" w:sz="6" w:space="0" w:color="000000"/>
            </w:tcBorders>
            <w:shd w:val="clear" w:color="auto" w:fill="D2D2D2"/>
          </w:tcPr>
          <w:p>
            <w:pPr/>
          </w:p>
        </w:tc>
        <w:tc>
          <w:tcPr>
            <w:tcW w:w="1647" w:type="dxa"/>
            <w:gridSpan w:val="2"/>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366"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12" w:type="dxa"/>
            <w:gridSpan w:val="5"/>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057"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587" w:type="dxa"/>
            <w:gridSpan w:val="2"/>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335"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3" w:hRule="exact"/>
        </w:trPr>
        <w:tc>
          <w:tcPr>
            <w:tcW w:w="2220" w:type="dxa"/>
            <w:vMerge w:val="restart"/>
            <w:tcBorders>
              <w:top w:val="nil" w:sz="6" w:space="0" w:color="auto"/>
              <w:left w:val="single" w:sz="12" w:space="0" w:color="000000"/>
              <w:right w:val="single" w:sz="6" w:space="0" w:color="000000"/>
            </w:tcBorders>
            <w:shd w:val="clear" w:color="auto" w:fill="D2D2D2"/>
          </w:tcPr>
          <w:p>
            <w:pPr/>
          </w:p>
        </w:tc>
        <w:tc>
          <w:tcPr>
            <w:tcW w:w="823" w:type="dxa"/>
            <w:tcBorders>
              <w:top w:val="single" w:sz="6" w:space="0" w:color="000000"/>
              <w:left w:val="single" w:sz="6" w:space="0" w:color="000000"/>
              <w:bottom w:val="nil" w:sz="6" w:space="0" w:color="auto"/>
              <w:right w:val="single" w:sz="6" w:space="0" w:color="000000"/>
            </w:tcBorders>
            <w:shd w:val="clear" w:color="auto" w:fill="D2D2D2"/>
          </w:tcPr>
          <w:p>
            <w:pPr/>
          </w:p>
        </w:tc>
        <w:tc>
          <w:tcPr>
            <w:tcW w:w="824" w:type="dxa"/>
            <w:tcBorders>
              <w:top w:val="single" w:sz="6" w:space="0" w:color="000000"/>
              <w:left w:val="single" w:sz="6" w:space="0" w:color="000000"/>
              <w:bottom w:val="nil" w:sz="6" w:space="0" w:color="auto"/>
              <w:right w:val="single" w:sz="6" w:space="0" w:color="000000"/>
            </w:tcBorders>
            <w:shd w:val="clear" w:color="auto" w:fill="D2D2D2"/>
          </w:tcPr>
          <w:p>
            <w:pPr/>
          </w:p>
        </w:tc>
        <w:tc>
          <w:tcPr>
            <w:tcW w:w="823" w:type="dxa"/>
            <w:tcBorders>
              <w:top w:val="single" w:sz="6" w:space="0" w:color="000000"/>
              <w:left w:val="single" w:sz="6" w:space="0" w:color="000000"/>
              <w:bottom w:val="nil" w:sz="6" w:space="0" w:color="auto"/>
              <w:right w:val="single" w:sz="6" w:space="0" w:color="000000"/>
            </w:tcBorders>
            <w:shd w:val="clear" w:color="auto" w:fill="D2D2D2"/>
          </w:tcPr>
          <w:p>
            <w:pPr/>
          </w:p>
        </w:tc>
        <w:tc>
          <w:tcPr>
            <w:tcW w:w="822" w:type="dxa"/>
            <w:tcBorders>
              <w:top w:val="single" w:sz="6" w:space="0" w:color="000000"/>
              <w:left w:val="single" w:sz="6" w:space="0" w:color="000000"/>
              <w:bottom w:val="nil" w:sz="6" w:space="0" w:color="auto"/>
              <w:right w:val="single" w:sz="6" w:space="0" w:color="000000"/>
            </w:tcBorders>
            <w:shd w:val="clear" w:color="auto" w:fill="D2D2D2"/>
          </w:tcPr>
          <w:p>
            <w:pPr/>
          </w:p>
        </w:tc>
        <w:tc>
          <w:tcPr>
            <w:tcW w:w="822" w:type="dxa"/>
            <w:vMerge w:val="restart"/>
            <w:tcBorders>
              <w:top w:val="single" w:sz="6" w:space="0" w:color="000000"/>
              <w:left w:val="single" w:sz="6" w:space="0" w:color="000000"/>
              <w:right w:val="single" w:sz="6" w:space="0" w:color="000000"/>
            </w:tcBorders>
            <w:shd w:val="clear" w:color="auto" w:fill="D2D2D2"/>
          </w:tcPr>
          <w:p>
            <w:pPr>
              <w:pStyle w:val="TableParagraph"/>
              <w:spacing w:line="316" w:lineRule="auto" w:before="51"/>
              <w:ind w:left="313" w:right="42" w:hanging="270"/>
              <w:jc w:val="left"/>
              <w:rPr>
                <w:rFonts w:ascii="宋体" w:hAnsi="宋体" w:cs="宋体" w:eastAsia="宋体" w:hint="default"/>
                <w:sz w:val="18"/>
                <w:szCs w:val="18"/>
              </w:rPr>
            </w:pPr>
            <w:r>
              <w:rPr>
                <w:rFonts w:ascii="宋体" w:hAnsi="宋体" w:cs="宋体" w:eastAsia="宋体" w:hint="default"/>
                <w:sz w:val="18"/>
                <w:szCs w:val="18"/>
              </w:rPr>
              <w:t>公积金转 股</w:t>
            </w:r>
          </w:p>
        </w:tc>
        <w:tc>
          <w:tcPr>
            <w:tcW w:w="822" w:type="dxa"/>
            <w:tcBorders>
              <w:top w:val="single" w:sz="6" w:space="0" w:color="000000"/>
              <w:left w:val="single" w:sz="6" w:space="0" w:color="000000"/>
              <w:bottom w:val="nil" w:sz="6" w:space="0" w:color="auto"/>
              <w:right w:val="single" w:sz="6" w:space="0" w:color="000000"/>
            </w:tcBorders>
            <w:shd w:val="clear" w:color="auto" w:fill="D2D2D2"/>
          </w:tcPr>
          <w:p>
            <w:pPr/>
          </w:p>
        </w:tc>
        <w:tc>
          <w:tcPr>
            <w:tcW w:w="822" w:type="dxa"/>
            <w:tcBorders>
              <w:top w:val="single" w:sz="6" w:space="0" w:color="000000"/>
              <w:left w:val="single" w:sz="6" w:space="0" w:color="000000"/>
              <w:bottom w:val="nil" w:sz="6" w:space="0" w:color="auto"/>
              <w:right w:val="single" w:sz="6" w:space="0" w:color="000000"/>
            </w:tcBorders>
            <w:shd w:val="clear" w:color="auto" w:fill="D2D2D2"/>
          </w:tcPr>
          <w:p>
            <w:pPr/>
          </w:p>
        </w:tc>
        <w:tc>
          <w:tcPr>
            <w:tcW w:w="794" w:type="dxa"/>
            <w:tcBorders>
              <w:top w:val="single" w:sz="6" w:space="0" w:color="000000"/>
              <w:left w:val="single" w:sz="6" w:space="0" w:color="000000"/>
              <w:bottom w:val="nil" w:sz="6" w:space="0" w:color="auto"/>
              <w:right w:val="single" w:sz="6" w:space="0" w:color="000000"/>
            </w:tcBorders>
            <w:shd w:val="clear" w:color="auto" w:fill="D2D2D2"/>
          </w:tcPr>
          <w:p>
            <w:pPr/>
          </w:p>
        </w:tc>
        <w:tc>
          <w:tcPr>
            <w:tcW w:w="793" w:type="dxa"/>
            <w:tcBorders>
              <w:top w:val="single" w:sz="6" w:space="0" w:color="000000"/>
              <w:left w:val="single" w:sz="6" w:space="0" w:color="000000"/>
              <w:bottom w:val="nil" w:sz="6" w:space="0" w:color="auto"/>
              <w:right w:val="single" w:sz="12" w:space="0" w:color="000000"/>
            </w:tcBorders>
            <w:shd w:val="clear" w:color="auto" w:fill="D2D2D2"/>
          </w:tcPr>
          <w:p>
            <w:pPr/>
          </w:p>
        </w:tc>
      </w:tr>
      <w:tr>
        <w:trPr>
          <w:trHeight w:val="188" w:hRule="exact"/>
        </w:trPr>
        <w:tc>
          <w:tcPr>
            <w:tcW w:w="2220" w:type="dxa"/>
            <w:vMerge/>
            <w:tcBorders>
              <w:left w:val="single" w:sz="12" w:space="0" w:color="000000"/>
              <w:bottom w:val="nil" w:sz="6" w:space="0" w:color="auto"/>
              <w:right w:val="single" w:sz="6" w:space="0" w:color="000000"/>
            </w:tcBorders>
            <w:shd w:val="clear" w:color="auto" w:fill="D2D2D2"/>
          </w:tcPr>
          <w:p>
            <w:pPr/>
          </w:p>
        </w:tc>
        <w:tc>
          <w:tcPr>
            <w:tcW w:w="823" w:type="dxa"/>
            <w:vMerge w:val="restart"/>
            <w:tcBorders>
              <w:top w:val="nil" w:sz="6" w:space="0" w:color="auto"/>
              <w:left w:val="single" w:sz="6" w:space="0" w:color="000000"/>
              <w:right w:val="single" w:sz="6" w:space="0" w:color="000000"/>
            </w:tcBorders>
            <w:shd w:val="clear" w:color="auto" w:fill="D2D2D2"/>
          </w:tcPr>
          <w:p>
            <w:pPr>
              <w:pStyle w:val="TableParagraph"/>
              <w:spacing w:line="240" w:lineRule="auto" w:before="51"/>
              <w:ind w:left="224"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24" w:type="dxa"/>
            <w:vMerge w:val="restart"/>
            <w:tcBorders>
              <w:top w:val="nil" w:sz="6" w:space="0" w:color="auto"/>
              <w:left w:val="single" w:sz="6" w:space="0" w:color="000000"/>
              <w:right w:val="single" w:sz="6" w:space="0" w:color="000000"/>
            </w:tcBorders>
            <w:shd w:val="clear" w:color="auto" w:fill="D2D2D2"/>
          </w:tcPr>
          <w:p>
            <w:pPr>
              <w:pStyle w:val="TableParagraph"/>
              <w:spacing w:line="240" w:lineRule="auto" w:before="51"/>
              <w:ind w:left="224"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23" w:type="dxa"/>
            <w:vMerge w:val="restart"/>
            <w:tcBorders>
              <w:top w:val="nil" w:sz="6" w:space="0" w:color="auto"/>
              <w:left w:val="single" w:sz="6" w:space="0" w:color="000000"/>
              <w:right w:val="single" w:sz="6" w:space="0" w:color="000000"/>
            </w:tcBorders>
            <w:shd w:val="clear" w:color="auto" w:fill="D2D2D2"/>
          </w:tcPr>
          <w:p>
            <w:pPr>
              <w:pStyle w:val="TableParagraph"/>
              <w:spacing w:line="240" w:lineRule="auto" w:before="51"/>
              <w:ind w:left="43"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822" w:type="dxa"/>
            <w:vMerge w:val="restart"/>
            <w:tcBorders>
              <w:top w:val="nil" w:sz="6" w:space="0" w:color="auto"/>
              <w:left w:val="single" w:sz="6" w:space="0" w:color="000000"/>
              <w:right w:val="single" w:sz="6" w:space="0" w:color="000000"/>
            </w:tcBorders>
            <w:shd w:val="clear" w:color="auto" w:fill="D2D2D2"/>
          </w:tcPr>
          <w:p>
            <w:pPr>
              <w:pStyle w:val="TableParagraph"/>
              <w:spacing w:line="240" w:lineRule="auto" w:before="51"/>
              <w:ind w:left="223"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822" w:type="dxa"/>
            <w:vMerge/>
            <w:tcBorders>
              <w:left w:val="single" w:sz="6" w:space="0" w:color="000000"/>
              <w:right w:val="single" w:sz="6" w:space="0" w:color="000000"/>
            </w:tcBorders>
            <w:shd w:val="clear" w:color="auto" w:fill="D2D2D2"/>
          </w:tcPr>
          <w:p>
            <w:pPr/>
          </w:p>
        </w:tc>
        <w:tc>
          <w:tcPr>
            <w:tcW w:w="822" w:type="dxa"/>
            <w:vMerge w:val="restart"/>
            <w:tcBorders>
              <w:top w:val="nil" w:sz="6" w:space="0" w:color="auto"/>
              <w:left w:val="single" w:sz="6" w:space="0" w:color="000000"/>
              <w:right w:val="single" w:sz="6" w:space="0" w:color="000000"/>
            </w:tcBorders>
            <w:shd w:val="clear" w:color="auto" w:fill="D2D2D2"/>
          </w:tcPr>
          <w:p>
            <w:pPr>
              <w:pStyle w:val="TableParagraph"/>
              <w:spacing w:line="240" w:lineRule="auto" w:before="51"/>
              <w:ind w:left="2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2" w:type="dxa"/>
            <w:vMerge w:val="restart"/>
            <w:tcBorders>
              <w:top w:val="nil" w:sz="6" w:space="0" w:color="auto"/>
              <w:left w:val="single" w:sz="6" w:space="0" w:color="000000"/>
              <w:right w:val="single" w:sz="6" w:space="0" w:color="000000"/>
            </w:tcBorders>
            <w:shd w:val="clear" w:color="auto" w:fill="D2D2D2"/>
          </w:tcPr>
          <w:p>
            <w:pPr>
              <w:pStyle w:val="TableParagraph"/>
              <w:spacing w:line="240" w:lineRule="auto" w:before="51"/>
              <w:ind w:left="223"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4" w:type="dxa"/>
            <w:vMerge w:val="restart"/>
            <w:tcBorders>
              <w:top w:val="nil" w:sz="6" w:space="0" w:color="auto"/>
              <w:left w:val="single" w:sz="6" w:space="0" w:color="000000"/>
              <w:right w:val="single" w:sz="6" w:space="0" w:color="000000"/>
            </w:tcBorders>
            <w:shd w:val="clear" w:color="auto" w:fill="D2D2D2"/>
          </w:tcPr>
          <w:p>
            <w:pPr>
              <w:pStyle w:val="TableParagraph"/>
              <w:spacing w:line="240" w:lineRule="auto" w:before="51"/>
              <w:ind w:left="208"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3" w:type="dxa"/>
            <w:vMerge w:val="restart"/>
            <w:tcBorders>
              <w:top w:val="nil" w:sz="6" w:space="0" w:color="auto"/>
              <w:left w:val="single" w:sz="6" w:space="0" w:color="000000"/>
              <w:right w:val="single" w:sz="12" w:space="0" w:color="000000"/>
            </w:tcBorders>
            <w:shd w:val="clear" w:color="auto" w:fill="D2D2D2"/>
          </w:tcPr>
          <w:p>
            <w:pPr>
              <w:pStyle w:val="TableParagraph"/>
              <w:spacing w:line="240" w:lineRule="auto" w:before="51"/>
              <w:ind w:left="208"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4" w:hRule="exact"/>
        </w:trPr>
        <w:tc>
          <w:tcPr>
            <w:tcW w:w="2220" w:type="dxa"/>
            <w:vMerge w:val="restart"/>
            <w:tcBorders>
              <w:top w:val="nil" w:sz="6" w:space="0" w:color="auto"/>
              <w:left w:val="single" w:sz="12" w:space="0" w:color="000000"/>
              <w:right w:val="single" w:sz="6" w:space="0" w:color="000000"/>
            </w:tcBorders>
            <w:shd w:val="clear" w:color="auto" w:fill="D2D2D2"/>
          </w:tcPr>
          <w:p>
            <w:pPr/>
          </w:p>
        </w:tc>
        <w:tc>
          <w:tcPr>
            <w:tcW w:w="823" w:type="dxa"/>
            <w:vMerge/>
            <w:tcBorders>
              <w:left w:val="single" w:sz="6" w:space="0" w:color="000000"/>
              <w:bottom w:val="nil" w:sz="6" w:space="0" w:color="auto"/>
              <w:right w:val="single" w:sz="6" w:space="0" w:color="000000"/>
            </w:tcBorders>
            <w:shd w:val="clear" w:color="auto" w:fill="D2D2D2"/>
          </w:tcPr>
          <w:p>
            <w:pPr/>
          </w:p>
        </w:tc>
        <w:tc>
          <w:tcPr>
            <w:tcW w:w="824" w:type="dxa"/>
            <w:vMerge/>
            <w:tcBorders>
              <w:left w:val="single" w:sz="6" w:space="0" w:color="000000"/>
              <w:bottom w:val="nil" w:sz="6" w:space="0" w:color="auto"/>
              <w:right w:val="single" w:sz="6" w:space="0" w:color="000000"/>
            </w:tcBorders>
            <w:shd w:val="clear" w:color="auto" w:fill="D2D2D2"/>
          </w:tcPr>
          <w:p>
            <w:pPr/>
          </w:p>
        </w:tc>
        <w:tc>
          <w:tcPr>
            <w:tcW w:w="823" w:type="dxa"/>
            <w:vMerge/>
            <w:tcBorders>
              <w:left w:val="single" w:sz="6" w:space="0" w:color="000000"/>
              <w:bottom w:val="nil" w:sz="6" w:space="0" w:color="auto"/>
              <w:right w:val="single" w:sz="6" w:space="0" w:color="000000"/>
            </w:tcBorders>
            <w:shd w:val="clear" w:color="auto" w:fill="D2D2D2"/>
          </w:tcPr>
          <w:p>
            <w:pPr/>
          </w:p>
        </w:tc>
        <w:tc>
          <w:tcPr>
            <w:tcW w:w="822" w:type="dxa"/>
            <w:vMerge/>
            <w:tcBorders>
              <w:left w:val="single" w:sz="6" w:space="0" w:color="000000"/>
              <w:bottom w:val="nil" w:sz="6" w:space="0" w:color="auto"/>
              <w:right w:val="single" w:sz="6" w:space="0" w:color="000000"/>
            </w:tcBorders>
            <w:shd w:val="clear" w:color="auto" w:fill="D2D2D2"/>
          </w:tcPr>
          <w:p>
            <w:pPr/>
          </w:p>
        </w:tc>
        <w:tc>
          <w:tcPr>
            <w:tcW w:w="822" w:type="dxa"/>
            <w:vMerge/>
            <w:tcBorders>
              <w:left w:val="single" w:sz="6" w:space="0" w:color="000000"/>
              <w:right w:val="single" w:sz="6" w:space="0" w:color="000000"/>
            </w:tcBorders>
            <w:shd w:val="clear" w:color="auto" w:fill="D2D2D2"/>
          </w:tcPr>
          <w:p>
            <w:pPr/>
          </w:p>
        </w:tc>
        <w:tc>
          <w:tcPr>
            <w:tcW w:w="822" w:type="dxa"/>
            <w:vMerge/>
            <w:tcBorders>
              <w:left w:val="single" w:sz="6" w:space="0" w:color="000000"/>
              <w:bottom w:val="nil" w:sz="6" w:space="0" w:color="auto"/>
              <w:right w:val="single" w:sz="6" w:space="0" w:color="000000"/>
            </w:tcBorders>
            <w:shd w:val="clear" w:color="auto" w:fill="D2D2D2"/>
          </w:tcPr>
          <w:p>
            <w:pPr/>
          </w:p>
        </w:tc>
        <w:tc>
          <w:tcPr>
            <w:tcW w:w="822" w:type="dxa"/>
            <w:vMerge/>
            <w:tcBorders>
              <w:left w:val="single" w:sz="6" w:space="0" w:color="000000"/>
              <w:bottom w:val="nil" w:sz="6" w:space="0" w:color="auto"/>
              <w:right w:val="single" w:sz="6" w:space="0" w:color="000000"/>
            </w:tcBorders>
            <w:shd w:val="clear" w:color="auto" w:fill="D2D2D2"/>
          </w:tcPr>
          <w:p>
            <w:pPr/>
          </w:p>
        </w:tc>
        <w:tc>
          <w:tcPr>
            <w:tcW w:w="794" w:type="dxa"/>
            <w:vMerge/>
            <w:tcBorders>
              <w:left w:val="single" w:sz="6" w:space="0" w:color="000000"/>
              <w:bottom w:val="nil" w:sz="6" w:space="0" w:color="auto"/>
              <w:right w:val="single" w:sz="6" w:space="0" w:color="000000"/>
            </w:tcBorders>
            <w:shd w:val="clear" w:color="auto" w:fill="D2D2D2"/>
          </w:tcPr>
          <w:p>
            <w:pPr/>
          </w:p>
        </w:tc>
        <w:tc>
          <w:tcPr>
            <w:tcW w:w="793" w:type="dxa"/>
            <w:vMerge/>
            <w:tcBorders>
              <w:left w:val="single" w:sz="6" w:space="0" w:color="000000"/>
              <w:bottom w:val="nil" w:sz="6" w:space="0" w:color="auto"/>
              <w:right w:val="single" w:sz="12" w:space="0" w:color="000000"/>
            </w:tcBorders>
            <w:shd w:val="clear" w:color="auto" w:fill="D2D2D2"/>
          </w:tcPr>
          <w:p>
            <w:pPr/>
          </w:p>
        </w:tc>
      </w:tr>
      <w:tr>
        <w:trPr>
          <w:trHeight w:val="163" w:hRule="exact"/>
        </w:trPr>
        <w:tc>
          <w:tcPr>
            <w:tcW w:w="2220" w:type="dxa"/>
            <w:vMerge/>
            <w:tcBorders>
              <w:left w:val="single" w:sz="12" w:space="0" w:color="000000"/>
              <w:bottom w:val="single" w:sz="6" w:space="0" w:color="000000"/>
              <w:right w:val="single" w:sz="6" w:space="0" w:color="000000"/>
            </w:tcBorders>
            <w:shd w:val="clear" w:color="auto" w:fill="D2D2D2"/>
          </w:tcPr>
          <w:p>
            <w:pPr/>
          </w:p>
        </w:tc>
        <w:tc>
          <w:tcPr>
            <w:tcW w:w="823" w:type="dxa"/>
            <w:tcBorders>
              <w:top w:val="nil" w:sz="6" w:space="0" w:color="auto"/>
              <w:left w:val="single" w:sz="6" w:space="0" w:color="000000"/>
              <w:bottom w:val="single" w:sz="6" w:space="0" w:color="000000"/>
              <w:right w:val="single" w:sz="6" w:space="0" w:color="000000"/>
            </w:tcBorders>
            <w:shd w:val="clear" w:color="auto" w:fill="D2D2D2"/>
          </w:tcPr>
          <w:p>
            <w:pPr/>
          </w:p>
        </w:tc>
        <w:tc>
          <w:tcPr>
            <w:tcW w:w="824" w:type="dxa"/>
            <w:tcBorders>
              <w:top w:val="nil" w:sz="6" w:space="0" w:color="auto"/>
              <w:left w:val="single" w:sz="6" w:space="0" w:color="000000"/>
              <w:bottom w:val="single" w:sz="6" w:space="0" w:color="000000"/>
              <w:right w:val="single" w:sz="6" w:space="0" w:color="000000"/>
            </w:tcBorders>
            <w:shd w:val="clear" w:color="auto" w:fill="D2D2D2"/>
          </w:tcPr>
          <w:p>
            <w:pPr/>
          </w:p>
        </w:tc>
        <w:tc>
          <w:tcPr>
            <w:tcW w:w="823" w:type="dxa"/>
            <w:tcBorders>
              <w:top w:val="nil" w:sz="6" w:space="0" w:color="auto"/>
              <w:left w:val="single" w:sz="6" w:space="0" w:color="000000"/>
              <w:bottom w:val="single" w:sz="6" w:space="0" w:color="000000"/>
              <w:right w:val="single" w:sz="6" w:space="0" w:color="000000"/>
            </w:tcBorders>
            <w:shd w:val="clear" w:color="auto" w:fill="D2D2D2"/>
          </w:tcPr>
          <w:p>
            <w:pPr/>
          </w:p>
        </w:tc>
        <w:tc>
          <w:tcPr>
            <w:tcW w:w="822" w:type="dxa"/>
            <w:tcBorders>
              <w:top w:val="nil" w:sz="6" w:space="0" w:color="auto"/>
              <w:left w:val="single" w:sz="6" w:space="0" w:color="000000"/>
              <w:bottom w:val="single" w:sz="6" w:space="0" w:color="000000"/>
              <w:right w:val="single" w:sz="6" w:space="0" w:color="000000"/>
            </w:tcBorders>
            <w:shd w:val="clear" w:color="auto" w:fill="D2D2D2"/>
          </w:tcPr>
          <w:p>
            <w:pPr/>
          </w:p>
        </w:tc>
        <w:tc>
          <w:tcPr>
            <w:tcW w:w="822" w:type="dxa"/>
            <w:vMerge/>
            <w:tcBorders>
              <w:left w:val="single" w:sz="6" w:space="0" w:color="000000"/>
              <w:bottom w:val="single" w:sz="6" w:space="0" w:color="000000"/>
              <w:right w:val="single" w:sz="6" w:space="0" w:color="000000"/>
            </w:tcBorders>
            <w:shd w:val="clear" w:color="auto" w:fill="D2D2D2"/>
          </w:tcPr>
          <w:p>
            <w:pPr/>
          </w:p>
        </w:tc>
        <w:tc>
          <w:tcPr>
            <w:tcW w:w="822" w:type="dxa"/>
            <w:tcBorders>
              <w:top w:val="nil" w:sz="6" w:space="0" w:color="auto"/>
              <w:left w:val="single" w:sz="6" w:space="0" w:color="000000"/>
              <w:bottom w:val="single" w:sz="6" w:space="0" w:color="000000"/>
              <w:right w:val="single" w:sz="6" w:space="0" w:color="000000"/>
            </w:tcBorders>
            <w:shd w:val="clear" w:color="auto" w:fill="D2D2D2"/>
          </w:tcPr>
          <w:p>
            <w:pPr/>
          </w:p>
        </w:tc>
        <w:tc>
          <w:tcPr>
            <w:tcW w:w="822" w:type="dxa"/>
            <w:tcBorders>
              <w:top w:val="nil" w:sz="6" w:space="0" w:color="auto"/>
              <w:left w:val="single" w:sz="6" w:space="0" w:color="000000"/>
              <w:bottom w:val="single" w:sz="6" w:space="0" w:color="000000"/>
              <w:right w:val="single" w:sz="6" w:space="0" w:color="000000"/>
            </w:tcBorders>
            <w:shd w:val="clear" w:color="auto" w:fill="D2D2D2"/>
          </w:tcPr>
          <w:p>
            <w:pPr/>
          </w:p>
        </w:tc>
        <w:tc>
          <w:tcPr>
            <w:tcW w:w="794" w:type="dxa"/>
            <w:tcBorders>
              <w:top w:val="nil" w:sz="6" w:space="0" w:color="auto"/>
              <w:left w:val="single" w:sz="6" w:space="0" w:color="000000"/>
              <w:bottom w:val="single" w:sz="6" w:space="0" w:color="000000"/>
              <w:right w:val="single" w:sz="6" w:space="0" w:color="000000"/>
            </w:tcBorders>
            <w:shd w:val="clear" w:color="auto" w:fill="D2D2D2"/>
          </w:tcPr>
          <w:p>
            <w:pPr/>
          </w:p>
        </w:tc>
        <w:tc>
          <w:tcPr>
            <w:tcW w:w="793" w:type="dxa"/>
            <w:tcBorders>
              <w:top w:val="nil" w:sz="6" w:space="0" w:color="auto"/>
              <w:left w:val="single" w:sz="6" w:space="0" w:color="000000"/>
              <w:bottom w:val="single" w:sz="6" w:space="0" w:color="000000"/>
              <w:right w:val="single" w:sz="12" w:space="0" w:color="000000"/>
            </w:tcBorders>
            <w:shd w:val="clear" w:color="auto" w:fill="D2D2D2"/>
          </w:tcPr>
          <w:p>
            <w:pPr/>
          </w:p>
        </w:tc>
      </w:tr>
      <w:tr>
        <w:trPr>
          <w:trHeight w:val="163" w:hRule="exact"/>
        </w:trPr>
        <w:tc>
          <w:tcPr>
            <w:tcW w:w="2220" w:type="dxa"/>
            <w:tcBorders>
              <w:top w:val="single" w:sz="6" w:space="0" w:color="000000"/>
              <w:left w:val="single" w:sz="12" w:space="0" w:color="000000"/>
              <w:bottom w:val="nil" w:sz="6" w:space="0" w:color="auto"/>
              <w:right w:val="single" w:sz="6" w:space="0" w:color="000000"/>
            </w:tcBorders>
            <w:shd w:val="clear" w:color="auto" w:fill="D2D2D2"/>
          </w:tcPr>
          <w:p>
            <w:pPr/>
          </w:p>
        </w:tc>
        <w:tc>
          <w:tcPr>
            <w:tcW w:w="823" w:type="dxa"/>
            <w:vMerge w:val="restart"/>
            <w:tcBorders>
              <w:top w:val="single" w:sz="6" w:space="0" w:color="000000"/>
              <w:left w:val="single" w:sz="8" w:space="0" w:color="D2D2D2"/>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682,925,6</w:t>
            </w:r>
          </w:p>
          <w:p>
            <w:pPr>
              <w:pStyle w:val="TableParagraph"/>
              <w:spacing w:line="240" w:lineRule="auto" w:before="106"/>
              <w:ind w:right="18"/>
              <w:jc w:val="right"/>
              <w:rPr>
                <w:rFonts w:ascii="Times New Roman" w:hAnsi="Times New Roman" w:cs="Times New Roman" w:eastAsia="Times New Roman" w:hint="default"/>
                <w:sz w:val="18"/>
                <w:szCs w:val="18"/>
              </w:rPr>
            </w:pPr>
            <w:r>
              <w:rPr>
                <w:rFonts w:ascii="Times New Roman"/>
                <w:sz w:val="18"/>
              </w:rPr>
              <w:t>99</w:t>
            </w:r>
          </w:p>
        </w:tc>
        <w:tc>
          <w:tcPr>
            <w:tcW w:w="824" w:type="dxa"/>
            <w:vMerge w:val="restart"/>
            <w:tcBorders>
              <w:top w:val="single" w:sz="6" w:space="0" w:color="000000"/>
              <w:left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3" w:right="0"/>
              <w:jc w:val="left"/>
              <w:rPr>
                <w:rFonts w:ascii="Times New Roman" w:hAnsi="Times New Roman" w:cs="Times New Roman" w:eastAsia="Times New Roman" w:hint="default"/>
                <w:sz w:val="18"/>
                <w:szCs w:val="18"/>
              </w:rPr>
            </w:pPr>
            <w:r>
              <w:rPr>
                <w:rFonts w:ascii="Times New Roman"/>
                <w:sz w:val="18"/>
              </w:rPr>
              <w:t>60.59%</w:t>
            </w:r>
          </w:p>
        </w:tc>
        <w:tc>
          <w:tcPr>
            <w:tcW w:w="823" w:type="dxa"/>
            <w:vMerge w:val="restart"/>
            <w:tcBorders>
              <w:top w:val="single" w:sz="6" w:space="0" w:color="000000"/>
              <w:left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32,258,06</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4</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-14,579,0</w:t>
            </w:r>
            <w:r>
              <w:rPr>
                <w:rFonts w:ascii="Times New Roman"/>
                <w:sz w:val="18"/>
              </w:rPr>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77</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17,678,98</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7</w:t>
            </w:r>
          </w:p>
        </w:tc>
        <w:tc>
          <w:tcPr>
            <w:tcW w:w="794" w:type="dxa"/>
            <w:vMerge w:val="restart"/>
            <w:tcBorders>
              <w:top w:val="single" w:sz="6" w:space="0" w:color="000000"/>
              <w:left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700,604,6</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86</w:t>
            </w:r>
          </w:p>
        </w:tc>
        <w:tc>
          <w:tcPr>
            <w:tcW w:w="793" w:type="dxa"/>
            <w:vMerge w:val="restart"/>
            <w:tcBorders>
              <w:top w:val="single" w:sz="6" w:space="0" w:color="000000"/>
              <w:left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3" w:right="0"/>
              <w:jc w:val="left"/>
              <w:rPr>
                <w:rFonts w:ascii="Times New Roman" w:hAnsi="Times New Roman" w:cs="Times New Roman" w:eastAsia="Times New Roman" w:hint="default"/>
                <w:sz w:val="18"/>
                <w:szCs w:val="18"/>
              </w:rPr>
            </w:pPr>
            <w:r>
              <w:rPr>
                <w:rFonts w:ascii="Times New Roman"/>
                <w:sz w:val="18"/>
              </w:rPr>
              <w:t>60.82%</w:t>
            </w:r>
          </w:p>
        </w:tc>
      </w:tr>
      <w:tr>
        <w:trPr>
          <w:trHeight w:val="392" w:hRule="exact"/>
        </w:trPr>
        <w:tc>
          <w:tcPr>
            <w:tcW w:w="2220"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823" w:type="dxa"/>
            <w:vMerge/>
            <w:tcBorders>
              <w:left w:val="single" w:sz="8" w:space="0" w:color="D2D2D2"/>
              <w:right w:val="single" w:sz="6" w:space="0" w:color="000000"/>
            </w:tcBorders>
          </w:tcPr>
          <w:p>
            <w:pPr/>
          </w:p>
        </w:tc>
        <w:tc>
          <w:tcPr>
            <w:tcW w:w="824" w:type="dxa"/>
            <w:vMerge/>
            <w:tcBorders>
              <w:left w:val="single" w:sz="6" w:space="0" w:color="000000"/>
              <w:right w:val="single" w:sz="6" w:space="0" w:color="000000"/>
            </w:tcBorders>
          </w:tcPr>
          <w:p>
            <w:pPr/>
          </w:p>
        </w:tc>
        <w:tc>
          <w:tcPr>
            <w:tcW w:w="823"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794" w:type="dxa"/>
            <w:vMerge/>
            <w:tcBorders>
              <w:left w:val="single" w:sz="6" w:space="0" w:color="000000"/>
              <w:right w:val="single" w:sz="6" w:space="0" w:color="000000"/>
            </w:tcBorders>
          </w:tcPr>
          <w:p>
            <w:pPr/>
          </w:p>
        </w:tc>
        <w:tc>
          <w:tcPr>
            <w:tcW w:w="793" w:type="dxa"/>
            <w:vMerge/>
            <w:tcBorders>
              <w:left w:val="single" w:sz="6" w:space="0" w:color="000000"/>
              <w:right w:val="single" w:sz="12" w:space="0" w:color="000000"/>
            </w:tcBorders>
          </w:tcPr>
          <w:p>
            <w:pPr/>
          </w:p>
        </w:tc>
      </w:tr>
      <w:tr>
        <w:trPr>
          <w:trHeight w:val="163" w:hRule="exact"/>
        </w:trPr>
        <w:tc>
          <w:tcPr>
            <w:tcW w:w="2220" w:type="dxa"/>
            <w:tcBorders>
              <w:top w:val="nil" w:sz="6" w:space="0" w:color="auto"/>
              <w:left w:val="single" w:sz="12" w:space="0" w:color="000000"/>
              <w:bottom w:val="single" w:sz="6" w:space="0" w:color="000000"/>
              <w:right w:val="single" w:sz="6" w:space="0" w:color="000000"/>
            </w:tcBorders>
            <w:shd w:val="clear" w:color="auto" w:fill="D2D2D2"/>
          </w:tcPr>
          <w:p>
            <w:pPr/>
          </w:p>
        </w:tc>
        <w:tc>
          <w:tcPr>
            <w:tcW w:w="823" w:type="dxa"/>
            <w:vMerge/>
            <w:tcBorders>
              <w:left w:val="single" w:sz="8" w:space="0" w:color="D2D2D2"/>
              <w:bottom w:val="single" w:sz="6" w:space="0" w:color="000000"/>
              <w:right w:val="single" w:sz="6" w:space="0" w:color="000000"/>
            </w:tcBorders>
          </w:tcPr>
          <w:p>
            <w:pPr/>
          </w:p>
        </w:tc>
        <w:tc>
          <w:tcPr>
            <w:tcW w:w="824" w:type="dxa"/>
            <w:vMerge/>
            <w:tcBorders>
              <w:left w:val="single" w:sz="6" w:space="0" w:color="000000"/>
              <w:bottom w:val="single" w:sz="6" w:space="0" w:color="000000"/>
              <w:right w:val="single" w:sz="6" w:space="0" w:color="000000"/>
            </w:tcBorders>
          </w:tcPr>
          <w:p>
            <w:pPr/>
          </w:p>
        </w:tc>
        <w:tc>
          <w:tcPr>
            <w:tcW w:w="823"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794" w:type="dxa"/>
            <w:vMerge/>
            <w:tcBorders>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12" w:space="0" w:color="000000"/>
            </w:tcBorders>
          </w:tcPr>
          <w:p>
            <w:pPr/>
          </w:p>
        </w:tc>
      </w:tr>
      <w:tr>
        <w:trPr>
          <w:trHeight w:val="407" w:hRule="exact"/>
        </w:trPr>
        <w:tc>
          <w:tcPr>
            <w:tcW w:w="222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82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c>
          <w:tcPr>
            <w:tcW w:w="8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7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0.00%</w:t>
            </w:r>
          </w:p>
        </w:tc>
      </w:tr>
      <w:tr>
        <w:trPr>
          <w:trHeight w:val="407" w:hRule="exact"/>
        </w:trPr>
        <w:tc>
          <w:tcPr>
            <w:tcW w:w="222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82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0.00%</w:t>
            </w:r>
          </w:p>
        </w:tc>
        <w:tc>
          <w:tcPr>
            <w:tcW w:w="8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6,451,612</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6,451,612</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6,451,612</w:t>
            </w:r>
          </w:p>
        </w:tc>
        <w:tc>
          <w:tcPr>
            <w:tcW w:w="7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0.56%</w:t>
            </w:r>
          </w:p>
        </w:tc>
      </w:tr>
      <w:tr>
        <w:trPr>
          <w:trHeight w:val="164" w:hRule="exact"/>
        </w:trPr>
        <w:tc>
          <w:tcPr>
            <w:tcW w:w="2220" w:type="dxa"/>
            <w:tcBorders>
              <w:top w:val="single" w:sz="6" w:space="0" w:color="000000"/>
              <w:left w:val="single" w:sz="12" w:space="0" w:color="000000"/>
              <w:bottom w:val="nil" w:sz="6" w:space="0" w:color="auto"/>
              <w:right w:val="single" w:sz="6" w:space="0" w:color="000000"/>
            </w:tcBorders>
            <w:shd w:val="clear" w:color="auto" w:fill="D2D2D2"/>
          </w:tcPr>
          <w:p>
            <w:pPr/>
          </w:p>
        </w:tc>
        <w:tc>
          <w:tcPr>
            <w:tcW w:w="823" w:type="dxa"/>
            <w:vMerge w:val="restart"/>
            <w:tcBorders>
              <w:top w:val="single" w:sz="6" w:space="0" w:color="000000"/>
              <w:left w:val="single" w:sz="8" w:space="0" w:color="D2D2D2"/>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682,925,6</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99</w:t>
            </w:r>
          </w:p>
        </w:tc>
        <w:tc>
          <w:tcPr>
            <w:tcW w:w="824"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33" w:right="0"/>
              <w:jc w:val="left"/>
              <w:rPr>
                <w:rFonts w:ascii="Times New Roman" w:hAnsi="Times New Roman" w:cs="Times New Roman" w:eastAsia="Times New Roman" w:hint="default"/>
                <w:sz w:val="18"/>
                <w:szCs w:val="18"/>
              </w:rPr>
            </w:pPr>
            <w:r>
              <w:rPr>
                <w:rFonts w:ascii="Times New Roman"/>
                <w:sz w:val="18"/>
              </w:rPr>
              <w:t>60.59%</w:t>
            </w:r>
          </w:p>
        </w:tc>
        <w:tc>
          <w:tcPr>
            <w:tcW w:w="823" w:type="dxa"/>
            <w:vMerge w:val="restart"/>
            <w:tcBorders>
              <w:top w:val="single" w:sz="6" w:space="0" w:color="000000"/>
              <w:left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25,806,45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-14,579,0</w:t>
            </w:r>
            <w:r>
              <w:rPr>
                <w:rFonts w:ascii="Times New Roman"/>
                <w:sz w:val="18"/>
              </w:rPr>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77</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11,227,37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w:t>
            </w:r>
          </w:p>
        </w:tc>
        <w:tc>
          <w:tcPr>
            <w:tcW w:w="794" w:type="dxa"/>
            <w:vMerge w:val="restart"/>
            <w:tcBorders>
              <w:top w:val="single" w:sz="6" w:space="0" w:color="000000"/>
              <w:left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694,153,0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74</w:t>
            </w:r>
          </w:p>
        </w:tc>
        <w:tc>
          <w:tcPr>
            <w:tcW w:w="793" w:type="dxa"/>
            <w:vMerge w:val="restart"/>
            <w:tcBorders>
              <w:top w:val="single" w:sz="6" w:space="0" w:color="000000"/>
              <w:left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03" w:right="0"/>
              <w:jc w:val="left"/>
              <w:rPr>
                <w:rFonts w:ascii="Times New Roman" w:hAnsi="Times New Roman" w:cs="Times New Roman" w:eastAsia="Times New Roman" w:hint="default"/>
                <w:sz w:val="18"/>
                <w:szCs w:val="18"/>
              </w:rPr>
            </w:pPr>
            <w:r>
              <w:rPr>
                <w:rFonts w:ascii="Times New Roman"/>
                <w:sz w:val="18"/>
              </w:rPr>
              <w:t>60.26%</w:t>
            </w:r>
          </w:p>
        </w:tc>
      </w:tr>
      <w:tr>
        <w:trPr>
          <w:trHeight w:val="391" w:hRule="exact"/>
        </w:trPr>
        <w:tc>
          <w:tcPr>
            <w:tcW w:w="2220"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823" w:type="dxa"/>
            <w:vMerge/>
            <w:tcBorders>
              <w:left w:val="single" w:sz="8" w:space="0" w:color="D2D2D2"/>
              <w:right w:val="single" w:sz="6" w:space="0" w:color="000000"/>
            </w:tcBorders>
          </w:tcPr>
          <w:p>
            <w:pPr/>
          </w:p>
        </w:tc>
        <w:tc>
          <w:tcPr>
            <w:tcW w:w="824" w:type="dxa"/>
            <w:vMerge/>
            <w:tcBorders>
              <w:left w:val="single" w:sz="6" w:space="0" w:color="000000"/>
              <w:right w:val="single" w:sz="6" w:space="0" w:color="000000"/>
            </w:tcBorders>
          </w:tcPr>
          <w:p>
            <w:pPr/>
          </w:p>
        </w:tc>
        <w:tc>
          <w:tcPr>
            <w:tcW w:w="823"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794" w:type="dxa"/>
            <w:vMerge/>
            <w:tcBorders>
              <w:left w:val="single" w:sz="6" w:space="0" w:color="000000"/>
              <w:right w:val="single" w:sz="6" w:space="0" w:color="000000"/>
            </w:tcBorders>
          </w:tcPr>
          <w:p>
            <w:pPr/>
          </w:p>
        </w:tc>
        <w:tc>
          <w:tcPr>
            <w:tcW w:w="793" w:type="dxa"/>
            <w:vMerge/>
            <w:tcBorders>
              <w:left w:val="single" w:sz="6" w:space="0" w:color="000000"/>
              <w:right w:val="single" w:sz="12" w:space="0" w:color="000000"/>
            </w:tcBorders>
          </w:tcPr>
          <w:p>
            <w:pPr/>
          </w:p>
        </w:tc>
      </w:tr>
      <w:tr>
        <w:trPr>
          <w:trHeight w:val="163" w:hRule="exact"/>
        </w:trPr>
        <w:tc>
          <w:tcPr>
            <w:tcW w:w="2220" w:type="dxa"/>
            <w:tcBorders>
              <w:top w:val="nil" w:sz="6" w:space="0" w:color="auto"/>
              <w:left w:val="single" w:sz="12" w:space="0" w:color="000000"/>
              <w:bottom w:val="single" w:sz="6" w:space="0" w:color="000000"/>
              <w:right w:val="single" w:sz="6" w:space="0" w:color="000000"/>
            </w:tcBorders>
            <w:shd w:val="clear" w:color="auto" w:fill="D2D2D2"/>
          </w:tcPr>
          <w:p>
            <w:pPr/>
          </w:p>
        </w:tc>
        <w:tc>
          <w:tcPr>
            <w:tcW w:w="823" w:type="dxa"/>
            <w:vMerge/>
            <w:tcBorders>
              <w:left w:val="single" w:sz="8" w:space="0" w:color="D2D2D2"/>
              <w:bottom w:val="single" w:sz="6" w:space="0" w:color="000000"/>
              <w:right w:val="single" w:sz="6" w:space="0" w:color="000000"/>
            </w:tcBorders>
          </w:tcPr>
          <w:p>
            <w:pPr/>
          </w:p>
        </w:tc>
        <w:tc>
          <w:tcPr>
            <w:tcW w:w="824" w:type="dxa"/>
            <w:vMerge/>
            <w:tcBorders>
              <w:left w:val="single" w:sz="6" w:space="0" w:color="000000"/>
              <w:bottom w:val="single" w:sz="6" w:space="0" w:color="000000"/>
              <w:right w:val="single" w:sz="6" w:space="0" w:color="000000"/>
            </w:tcBorders>
          </w:tcPr>
          <w:p>
            <w:pPr/>
          </w:p>
        </w:tc>
        <w:tc>
          <w:tcPr>
            <w:tcW w:w="823"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794" w:type="dxa"/>
            <w:vMerge/>
            <w:tcBorders>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12" w:space="0" w:color="000000"/>
            </w:tcBorders>
          </w:tcPr>
          <w:p>
            <w:pPr/>
          </w:p>
        </w:tc>
      </w:tr>
      <w:tr>
        <w:trPr>
          <w:trHeight w:val="164" w:hRule="exact"/>
        </w:trPr>
        <w:tc>
          <w:tcPr>
            <w:tcW w:w="2220" w:type="dxa"/>
            <w:tcBorders>
              <w:top w:val="single" w:sz="6" w:space="0" w:color="000000"/>
              <w:left w:val="single" w:sz="12" w:space="0" w:color="000000"/>
              <w:bottom w:val="nil" w:sz="6" w:space="0" w:color="auto"/>
              <w:right w:val="single" w:sz="6" w:space="0" w:color="000000"/>
            </w:tcBorders>
            <w:shd w:val="clear" w:color="auto" w:fill="D2D2D2"/>
          </w:tcPr>
          <w:p>
            <w:pPr/>
          </w:p>
        </w:tc>
        <w:tc>
          <w:tcPr>
            <w:tcW w:w="823" w:type="dxa"/>
            <w:vMerge w:val="restart"/>
            <w:tcBorders>
              <w:top w:val="single" w:sz="6" w:space="0" w:color="000000"/>
              <w:left w:val="single" w:sz="8" w:space="0" w:color="D2D2D2"/>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200,408,0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85</w:t>
            </w:r>
          </w:p>
        </w:tc>
        <w:tc>
          <w:tcPr>
            <w:tcW w:w="824"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33" w:right="0"/>
              <w:jc w:val="left"/>
              <w:rPr>
                <w:rFonts w:ascii="Times New Roman" w:hAnsi="Times New Roman" w:cs="Times New Roman" w:eastAsia="Times New Roman" w:hint="default"/>
                <w:sz w:val="18"/>
                <w:szCs w:val="18"/>
              </w:rPr>
            </w:pPr>
            <w:r>
              <w:rPr>
                <w:rFonts w:ascii="Times New Roman"/>
                <w:sz w:val="18"/>
              </w:rPr>
              <w:t>17.78%</w:t>
            </w:r>
          </w:p>
        </w:tc>
        <w:tc>
          <w:tcPr>
            <w:tcW w:w="823" w:type="dxa"/>
            <w:vMerge w:val="restart"/>
            <w:tcBorders>
              <w:top w:val="single" w:sz="6" w:space="0" w:color="000000"/>
              <w:left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25,806,45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25,806,45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w:t>
            </w:r>
          </w:p>
        </w:tc>
        <w:tc>
          <w:tcPr>
            <w:tcW w:w="794" w:type="dxa"/>
            <w:vMerge w:val="restart"/>
            <w:tcBorders>
              <w:top w:val="single" w:sz="6" w:space="0" w:color="000000"/>
              <w:left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226,214,5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37</w:t>
            </w:r>
          </w:p>
        </w:tc>
        <w:tc>
          <w:tcPr>
            <w:tcW w:w="793" w:type="dxa"/>
            <w:vMerge w:val="restart"/>
            <w:tcBorders>
              <w:top w:val="single" w:sz="6" w:space="0" w:color="000000"/>
              <w:left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03" w:right="0"/>
              <w:jc w:val="left"/>
              <w:rPr>
                <w:rFonts w:ascii="Times New Roman" w:hAnsi="Times New Roman" w:cs="Times New Roman" w:eastAsia="Times New Roman" w:hint="default"/>
                <w:sz w:val="18"/>
                <w:szCs w:val="18"/>
              </w:rPr>
            </w:pPr>
            <w:r>
              <w:rPr>
                <w:rFonts w:ascii="Times New Roman"/>
                <w:sz w:val="18"/>
              </w:rPr>
              <w:t>19.64%</w:t>
            </w:r>
          </w:p>
        </w:tc>
      </w:tr>
      <w:tr>
        <w:trPr>
          <w:trHeight w:val="392" w:hRule="exact"/>
        </w:trPr>
        <w:tc>
          <w:tcPr>
            <w:tcW w:w="2220"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823" w:type="dxa"/>
            <w:vMerge/>
            <w:tcBorders>
              <w:left w:val="single" w:sz="8" w:space="0" w:color="D2D2D2"/>
              <w:right w:val="single" w:sz="6" w:space="0" w:color="000000"/>
            </w:tcBorders>
          </w:tcPr>
          <w:p>
            <w:pPr/>
          </w:p>
        </w:tc>
        <w:tc>
          <w:tcPr>
            <w:tcW w:w="824" w:type="dxa"/>
            <w:vMerge/>
            <w:tcBorders>
              <w:left w:val="single" w:sz="6" w:space="0" w:color="000000"/>
              <w:right w:val="single" w:sz="6" w:space="0" w:color="000000"/>
            </w:tcBorders>
          </w:tcPr>
          <w:p>
            <w:pPr/>
          </w:p>
        </w:tc>
        <w:tc>
          <w:tcPr>
            <w:tcW w:w="823"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794" w:type="dxa"/>
            <w:vMerge/>
            <w:tcBorders>
              <w:left w:val="single" w:sz="6" w:space="0" w:color="000000"/>
              <w:right w:val="single" w:sz="6" w:space="0" w:color="000000"/>
            </w:tcBorders>
          </w:tcPr>
          <w:p>
            <w:pPr/>
          </w:p>
        </w:tc>
        <w:tc>
          <w:tcPr>
            <w:tcW w:w="793" w:type="dxa"/>
            <w:vMerge/>
            <w:tcBorders>
              <w:left w:val="single" w:sz="6" w:space="0" w:color="000000"/>
              <w:right w:val="single" w:sz="12" w:space="0" w:color="000000"/>
            </w:tcBorders>
          </w:tcPr>
          <w:p>
            <w:pPr/>
          </w:p>
        </w:tc>
      </w:tr>
      <w:tr>
        <w:trPr>
          <w:trHeight w:val="164" w:hRule="exact"/>
        </w:trPr>
        <w:tc>
          <w:tcPr>
            <w:tcW w:w="2220" w:type="dxa"/>
            <w:tcBorders>
              <w:top w:val="nil" w:sz="6" w:space="0" w:color="auto"/>
              <w:left w:val="single" w:sz="12" w:space="0" w:color="000000"/>
              <w:bottom w:val="single" w:sz="6" w:space="0" w:color="000000"/>
              <w:right w:val="single" w:sz="6" w:space="0" w:color="000000"/>
            </w:tcBorders>
            <w:shd w:val="clear" w:color="auto" w:fill="D2D2D2"/>
          </w:tcPr>
          <w:p>
            <w:pPr/>
          </w:p>
        </w:tc>
        <w:tc>
          <w:tcPr>
            <w:tcW w:w="823" w:type="dxa"/>
            <w:vMerge/>
            <w:tcBorders>
              <w:left w:val="single" w:sz="8" w:space="0" w:color="D2D2D2"/>
              <w:bottom w:val="single" w:sz="6" w:space="0" w:color="000000"/>
              <w:right w:val="single" w:sz="6" w:space="0" w:color="000000"/>
            </w:tcBorders>
          </w:tcPr>
          <w:p>
            <w:pPr/>
          </w:p>
        </w:tc>
        <w:tc>
          <w:tcPr>
            <w:tcW w:w="824" w:type="dxa"/>
            <w:vMerge/>
            <w:tcBorders>
              <w:left w:val="single" w:sz="6" w:space="0" w:color="000000"/>
              <w:bottom w:val="single" w:sz="6" w:space="0" w:color="000000"/>
              <w:right w:val="single" w:sz="6" w:space="0" w:color="000000"/>
            </w:tcBorders>
          </w:tcPr>
          <w:p>
            <w:pPr/>
          </w:p>
        </w:tc>
        <w:tc>
          <w:tcPr>
            <w:tcW w:w="823"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794" w:type="dxa"/>
            <w:vMerge/>
            <w:tcBorders>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12" w:space="0" w:color="000000"/>
            </w:tcBorders>
          </w:tcPr>
          <w:p>
            <w:pPr/>
          </w:p>
        </w:tc>
      </w:tr>
      <w:tr>
        <w:trPr>
          <w:trHeight w:val="163" w:hRule="exact"/>
        </w:trPr>
        <w:tc>
          <w:tcPr>
            <w:tcW w:w="2220" w:type="dxa"/>
            <w:tcBorders>
              <w:top w:val="single" w:sz="6" w:space="0" w:color="000000"/>
              <w:left w:val="single" w:sz="12" w:space="0" w:color="000000"/>
              <w:bottom w:val="nil" w:sz="6" w:space="0" w:color="auto"/>
              <w:right w:val="single" w:sz="6" w:space="0" w:color="000000"/>
            </w:tcBorders>
            <w:shd w:val="clear" w:color="auto" w:fill="D2D2D2"/>
          </w:tcPr>
          <w:p>
            <w:pPr/>
          </w:p>
        </w:tc>
        <w:tc>
          <w:tcPr>
            <w:tcW w:w="823" w:type="dxa"/>
            <w:vMerge w:val="restart"/>
            <w:tcBorders>
              <w:top w:val="single" w:sz="6" w:space="0" w:color="000000"/>
              <w:left w:val="single" w:sz="8" w:space="0" w:color="D2D2D2"/>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482,517,6</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14</w:t>
            </w:r>
          </w:p>
        </w:tc>
        <w:tc>
          <w:tcPr>
            <w:tcW w:w="824" w:type="dxa"/>
            <w:vMerge w:val="restart"/>
            <w:tcBorders>
              <w:top w:val="single" w:sz="6" w:space="0" w:color="000000"/>
              <w:left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3" w:right="0"/>
              <w:jc w:val="left"/>
              <w:rPr>
                <w:rFonts w:ascii="Times New Roman" w:hAnsi="Times New Roman" w:cs="Times New Roman" w:eastAsia="Times New Roman" w:hint="default"/>
                <w:sz w:val="18"/>
                <w:szCs w:val="18"/>
              </w:rPr>
            </w:pPr>
            <w:r>
              <w:rPr>
                <w:rFonts w:ascii="Times New Roman"/>
                <w:sz w:val="18"/>
              </w:rPr>
              <w:t>42.81%</w:t>
            </w:r>
          </w:p>
        </w:tc>
        <w:tc>
          <w:tcPr>
            <w:tcW w:w="823" w:type="dxa"/>
            <w:vMerge w:val="restart"/>
            <w:tcBorders>
              <w:top w:val="single" w:sz="6" w:space="0" w:color="000000"/>
              <w:left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-14,579,0</w:t>
            </w:r>
            <w:r>
              <w:rPr>
                <w:rFonts w:ascii="Times New Roman"/>
                <w:sz w:val="18"/>
              </w:rPr>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77</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w w:val="95"/>
                <w:sz w:val="18"/>
              </w:rPr>
              <w:t>-14,579,0</w:t>
            </w:r>
            <w:r>
              <w:rPr>
                <w:rFonts w:ascii="Times New Roman"/>
                <w:sz w:val="18"/>
              </w:rPr>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77</w:t>
            </w:r>
          </w:p>
        </w:tc>
        <w:tc>
          <w:tcPr>
            <w:tcW w:w="794" w:type="dxa"/>
            <w:vMerge w:val="restart"/>
            <w:tcBorders>
              <w:top w:val="single" w:sz="6" w:space="0" w:color="000000"/>
              <w:left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467,938,5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37</w:t>
            </w:r>
          </w:p>
        </w:tc>
        <w:tc>
          <w:tcPr>
            <w:tcW w:w="793" w:type="dxa"/>
            <w:vMerge w:val="restart"/>
            <w:tcBorders>
              <w:top w:val="single" w:sz="6" w:space="0" w:color="000000"/>
              <w:left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3" w:right="0"/>
              <w:jc w:val="left"/>
              <w:rPr>
                <w:rFonts w:ascii="Times New Roman" w:hAnsi="Times New Roman" w:cs="Times New Roman" w:eastAsia="Times New Roman" w:hint="default"/>
                <w:sz w:val="18"/>
                <w:szCs w:val="18"/>
              </w:rPr>
            </w:pPr>
            <w:r>
              <w:rPr>
                <w:rFonts w:ascii="Times New Roman"/>
                <w:sz w:val="18"/>
              </w:rPr>
              <w:t>40.62%</w:t>
            </w:r>
          </w:p>
        </w:tc>
      </w:tr>
      <w:tr>
        <w:trPr>
          <w:trHeight w:val="392" w:hRule="exact"/>
        </w:trPr>
        <w:tc>
          <w:tcPr>
            <w:tcW w:w="2220"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right="389"/>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823" w:type="dxa"/>
            <w:vMerge/>
            <w:tcBorders>
              <w:left w:val="single" w:sz="8" w:space="0" w:color="D2D2D2"/>
              <w:right w:val="single" w:sz="6" w:space="0" w:color="000000"/>
            </w:tcBorders>
          </w:tcPr>
          <w:p>
            <w:pPr/>
          </w:p>
        </w:tc>
        <w:tc>
          <w:tcPr>
            <w:tcW w:w="824" w:type="dxa"/>
            <w:vMerge/>
            <w:tcBorders>
              <w:left w:val="single" w:sz="6" w:space="0" w:color="000000"/>
              <w:right w:val="single" w:sz="6" w:space="0" w:color="000000"/>
            </w:tcBorders>
          </w:tcPr>
          <w:p>
            <w:pPr/>
          </w:p>
        </w:tc>
        <w:tc>
          <w:tcPr>
            <w:tcW w:w="823"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794" w:type="dxa"/>
            <w:vMerge/>
            <w:tcBorders>
              <w:left w:val="single" w:sz="6" w:space="0" w:color="000000"/>
              <w:right w:val="single" w:sz="6" w:space="0" w:color="000000"/>
            </w:tcBorders>
          </w:tcPr>
          <w:p>
            <w:pPr/>
          </w:p>
        </w:tc>
        <w:tc>
          <w:tcPr>
            <w:tcW w:w="793" w:type="dxa"/>
            <w:vMerge/>
            <w:tcBorders>
              <w:left w:val="single" w:sz="6" w:space="0" w:color="000000"/>
              <w:right w:val="single" w:sz="12" w:space="0" w:color="000000"/>
            </w:tcBorders>
          </w:tcPr>
          <w:p>
            <w:pPr/>
          </w:p>
        </w:tc>
      </w:tr>
      <w:tr>
        <w:trPr>
          <w:trHeight w:val="163" w:hRule="exact"/>
        </w:trPr>
        <w:tc>
          <w:tcPr>
            <w:tcW w:w="2220" w:type="dxa"/>
            <w:tcBorders>
              <w:top w:val="nil" w:sz="6" w:space="0" w:color="auto"/>
              <w:left w:val="single" w:sz="12" w:space="0" w:color="000000"/>
              <w:bottom w:val="single" w:sz="6" w:space="0" w:color="000000"/>
              <w:right w:val="single" w:sz="6" w:space="0" w:color="000000"/>
            </w:tcBorders>
            <w:shd w:val="clear" w:color="auto" w:fill="D2D2D2"/>
          </w:tcPr>
          <w:p>
            <w:pPr/>
          </w:p>
        </w:tc>
        <w:tc>
          <w:tcPr>
            <w:tcW w:w="823" w:type="dxa"/>
            <w:vMerge/>
            <w:tcBorders>
              <w:left w:val="single" w:sz="8" w:space="0" w:color="D2D2D2"/>
              <w:bottom w:val="single" w:sz="6" w:space="0" w:color="000000"/>
              <w:right w:val="single" w:sz="6" w:space="0" w:color="000000"/>
            </w:tcBorders>
          </w:tcPr>
          <w:p>
            <w:pPr/>
          </w:p>
        </w:tc>
        <w:tc>
          <w:tcPr>
            <w:tcW w:w="824" w:type="dxa"/>
            <w:vMerge/>
            <w:tcBorders>
              <w:left w:val="single" w:sz="6" w:space="0" w:color="000000"/>
              <w:bottom w:val="single" w:sz="6" w:space="0" w:color="000000"/>
              <w:right w:val="single" w:sz="6" w:space="0" w:color="000000"/>
            </w:tcBorders>
          </w:tcPr>
          <w:p>
            <w:pPr/>
          </w:p>
        </w:tc>
        <w:tc>
          <w:tcPr>
            <w:tcW w:w="823"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794" w:type="dxa"/>
            <w:vMerge/>
            <w:tcBorders>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12" w:space="0" w:color="000000"/>
            </w:tcBorders>
          </w:tcPr>
          <w:p>
            <w:pPr/>
          </w:p>
        </w:tc>
      </w:tr>
      <w:tr>
        <w:trPr>
          <w:trHeight w:val="407" w:hRule="exact"/>
        </w:trPr>
        <w:tc>
          <w:tcPr>
            <w:tcW w:w="222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82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c>
          <w:tcPr>
            <w:tcW w:w="8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7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0.00%</w:t>
            </w:r>
          </w:p>
        </w:tc>
      </w:tr>
      <w:tr>
        <w:trPr>
          <w:trHeight w:val="407" w:hRule="exact"/>
        </w:trPr>
        <w:tc>
          <w:tcPr>
            <w:tcW w:w="222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82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c>
          <w:tcPr>
            <w:tcW w:w="8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7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0.00%</w:t>
            </w:r>
          </w:p>
        </w:tc>
      </w:tr>
      <w:tr>
        <w:trPr>
          <w:trHeight w:val="407" w:hRule="exact"/>
        </w:trPr>
        <w:tc>
          <w:tcPr>
            <w:tcW w:w="222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right="389"/>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82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0.00%</w:t>
            </w:r>
          </w:p>
        </w:tc>
        <w:tc>
          <w:tcPr>
            <w:tcW w:w="8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w:t>
            </w:r>
          </w:p>
        </w:tc>
        <w:tc>
          <w:tcPr>
            <w:tcW w:w="7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0.00%</w:t>
            </w:r>
          </w:p>
        </w:tc>
      </w:tr>
      <w:tr>
        <w:trPr>
          <w:trHeight w:val="164" w:hRule="exact"/>
        </w:trPr>
        <w:tc>
          <w:tcPr>
            <w:tcW w:w="2220" w:type="dxa"/>
            <w:tcBorders>
              <w:top w:val="single" w:sz="6" w:space="0" w:color="000000"/>
              <w:left w:val="single" w:sz="12" w:space="0" w:color="000000"/>
              <w:bottom w:val="nil" w:sz="6" w:space="0" w:color="auto"/>
              <w:right w:val="single" w:sz="6" w:space="0" w:color="000000"/>
            </w:tcBorders>
            <w:shd w:val="clear" w:color="auto" w:fill="D2D2D2"/>
          </w:tcPr>
          <w:p>
            <w:pPr/>
          </w:p>
        </w:tc>
        <w:tc>
          <w:tcPr>
            <w:tcW w:w="823" w:type="dxa"/>
            <w:vMerge w:val="restart"/>
            <w:tcBorders>
              <w:top w:val="single" w:sz="6" w:space="0" w:color="000000"/>
              <w:left w:val="single" w:sz="8" w:space="0" w:color="D2D2D2"/>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444,226,8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05</w:t>
            </w:r>
          </w:p>
        </w:tc>
        <w:tc>
          <w:tcPr>
            <w:tcW w:w="824"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33" w:right="0"/>
              <w:jc w:val="left"/>
              <w:rPr>
                <w:rFonts w:ascii="Times New Roman" w:hAnsi="Times New Roman" w:cs="Times New Roman" w:eastAsia="Times New Roman" w:hint="default"/>
                <w:sz w:val="18"/>
                <w:szCs w:val="18"/>
              </w:rPr>
            </w:pPr>
            <w:r>
              <w:rPr>
                <w:rFonts w:ascii="Times New Roman"/>
                <w:sz w:val="18"/>
              </w:rPr>
              <w:t>39.41%</w:t>
            </w:r>
          </w:p>
        </w:tc>
        <w:tc>
          <w:tcPr>
            <w:tcW w:w="823"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7,065,669</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7,065,669</w:t>
            </w:r>
          </w:p>
        </w:tc>
        <w:tc>
          <w:tcPr>
            <w:tcW w:w="794" w:type="dxa"/>
            <w:vMerge w:val="restart"/>
            <w:tcBorders>
              <w:top w:val="single" w:sz="6" w:space="0" w:color="000000"/>
              <w:left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451,292,4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74</w:t>
            </w:r>
          </w:p>
        </w:tc>
        <w:tc>
          <w:tcPr>
            <w:tcW w:w="793" w:type="dxa"/>
            <w:vMerge w:val="restart"/>
            <w:tcBorders>
              <w:top w:val="single" w:sz="6" w:space="0" w:color="000000"/>
              <w:left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03" w:right="0"/>
              <w:jc w:val="left"/>
              <w:rPr>
                <w:rFonts w:ascii="Times New Roman" w:hAnsi="Times New Roman" w:cs="Times New Roman" w:eastAsia="Times New Roman" w:hint="default"/>
                <w:sz w:val="18"/>
                <w:szCs w:val="18"/>
              </w:rPr>
            </w:pPr>
            <w:r>
              <w:rPr>
                <w:rFonts w:ascii="Times New Roman"/>
                <w:sz w:val="18"/>
              </w:rPr>
              <w:t>39.18%</w:t>
            </w:r>
          </w:p>
        </w:tc>
      </w:tr>
      <w:tr>
        <w:trPr>
          <w:trHeight w:val="391" w:hRule="exact"/>
        </w:trPr>
        <w:tc>
          <w:tcPr>
            <w:tcW w:w="2220"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823" w:type="dxa"/>
            <w:vMerge/>
            <w:tcBorders>
              <w:left w:val="single" w:sz="8" w:space="0" w:color="D2D2D2"/>
              <w:right w:val="single" w:sz="6" w:space="0" w:color="000000"/>
            </w:tcBorders>
          </w:tcPr>
          <w:p>
            <w:pPr/>
          </w:p>
        </w:tc>
        <w:tc>
          <w:tcPr>
            <w:tcW w:w="824" w:type="dxa"/>
            <w:vMerge/>
            <w:tcBorders>
              <w:left w:val="single" w:sz="6" w:space="0" w:color="000000"/>
              <w:right w:val="single" w:sz="6" w:space="0" w:color="000000"/>
            </w:tcBorders>
          </w:tcPr>
          <w:p>
            <w:pPr/>
          </w:p>
        </w:tc>
        <w:tc>
          <w:tcPr>
            <w:tcW w:w="823"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794" w:type="dxa"/>
            <w:vMerge/>
            <w:tcBorders>
              <w:left w:val="single" w:sz="6" w:space="0" w:color="000000"/>
              <w:right w:val="single" w:sz="6" w:space="0" w:color="000000"/>
            </w:tcBorders>
          </w:tcPr>
          <w:p>
            <w:pPr/>
          </w:p>
        </w:tc>
        <w:tc>
          <w:tcPr>
            <w:tcW w:w="793" w:type="dxa"/>
            <w:vMerge/>
            <w:tcBorders>
              <w:left w:val="single" w:sz="6" w:space="0" w:color="000000"/>
              <w:right w:val="single" w:sz="12" w:space="0" w:color="000000"/>
            </w:tcBorders>
          </w:tcPr>
          <w:p>
            <w:pPr/>
          </w:p>
        </w:tc>
      </w:tr>
      <w:tr>
        <w:trPr>
          <w:trHeight w:val="163" w:hRule="exact"/>
        </w:trPr>
        <w:tc>
          <w:tcPr>
            <w:tcW w:w="2220" w:type="dxa"/>
            <w:tcBorders>
              <w:top w:val="nil" w:sz="6" w:space="0" w:color="auto"/>
              <w:left w:val="single" w:sz="12" w:space="0" w:color="000000"/>
              <w:bottom w:val="single" w:sz="6" w:space="0" w:color="000000"/>
              <w:right w:val="single" w:sz="6" w:space="0" w:color="000000"/>
            </w:tcBorders>
            <w:shd w:val="clear" w:color="auto" w:fill="D2D2D2"/>
          </w:tcPr>
          <w:p>
            <w:pPr/>
          </w:p>
        </w:tc>
        <w:tc>
          <w:tcPr>
            <w:tcW w:w="823" w:type="dxa"/>
            <w:vMerge/>
            <w:tcBorders>
              <w:left w:val="single" w:sz="8" w:space="0" w:color="D2D2D2"/>
              <w:bottom w:val="single" w:sz="6" w:space="0" w:color="000000"/>
              <w:right w:val="single" w:sz="6" w:space="0" w:color="000000"/>
            </w:tcBorders>
          </w:tcPr>
          <w:p>
            <w:pPr/>
          </w:p>
        </w:tc>
        <w:tc>
          <w:tcPr>
            <w:tcW w:w="824" w:type="dxa"/>
            <w:vMerge/>
            <w:tcBorders>
              <w:left w:val="single" w:sz="6" w:space="0" w:color="000000"/>
              <w:bottom w:val="single" w:sz="6" w:space="0" w:color="000000"/>
              <w:right w:val="single" w:sz="6" w:space="0" w:color="000000"/>
            </w:tcBorders>
          </w:tcPr>
          <w:p>
            <w:pPr/>
          </w:p>
        </w:tc>
        <w:tc>
          <w:tcPr>
            <w:tcW w:w="823"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794" w:type="dxa"/>
            <w:vMerge/>
            <w:tcBorders>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12" w:space="0" w:color="000000"/>
            </w:tcBorders>
          </w:tcPr>
          <w:p>
            <w:pPr/>
          </w:p>
        </w:tc>
      </w:tr>
      <w:tr>
        <w:trPr>
          <w:trHeight w:val="164" w:hRule="exact"/>
        </w:trPr>
        <w:tc>
          <w:tcPr>
            <w:tcW w:w="2220" w:type="dxa"/>
            <w:tcBorders>
              <w:top w:val="single" w:sz="6" w:space="0" w:color="000000"/>
              <w:left w:val="single" w:sz="12" w:space="0" w:color="000000"/>
              <w:bottom w:val="nil" w:sz="6" w:space="0" w:color="auto"/>
              <w:right w:val="single" w:sz="6" w:space="0" w:color="000000"/>
            </w:tcBorders>
            <w:shd w:val="clear" w:color="auto" w:fill="D2D2D2"/>
          </w:tcPr>
          <w:p>
            <w:pPr/>
          </w:p>
        </w:tc>
        <w:tc>
          <w:tcPr>
            <w:tcW w:w="823" w:type="dxa"/>
            <w:vMerge w:val="restart"/>
            <w:tcBorders>
              <w:top w:val="single" w:sz="6" w:space="0" w:color="000000"/>
              <w:left w:val="single" w:sz="8" w:space="0" w:color="D2D2D2"/>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444,226,8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05</w:t>
            </w:r>
          </w:p>
        </w:tc>
        <w:tc>
          <w:tcPr>
            <w:tcW w:w="824"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33" w:right="0"/>
              <w:jc w:val="left"/>
              <w:rPr>
                <w:rFonts w:ascii="Times New Roman" w:hAnsi="Times New Roman" w:cs="Times New Roman" w:eastAsia="Times New Roman" w:hint="default"/>
                <w:sz w:val="18"/>
                <w:szCs w:val="18"/>
              </w:rPr>
            </w:pPr>
            <w:r>
              <w:rPr>
                <w:rFonts w:ascii="Times New Roman"/>
                <w:sz w:val="18"/>
              </w:rPr>
              <w:t>39.41%</w:t>
            </w:r>
          </w:p>
        </w:tc>
        <w:tc>
          <w:tcPr>
            <w:tcW w:w="823"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7,065,669</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7,065,669</w:t>
            </w:r>
          </w:p>
        </w:tc>
        <w:tc>
          <w:tcPr>
            <w:tcW w:w="794" w:type="dxa"/>
            <w:vMerge w:val="restart"/>
            <w:tcBorders>
              <w:top w:val="single" w:sz="6" w:space="0" w:color="000000"/>
              <w:left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451,292,4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74</w:t>
            </w:r>
          </w:p>
        </w:tc>
        <w:tc>
          <w:tcPr>
            <w:tcW w:w="793" w:type="dxa"/>
            <w:vMerge w:val="restart"/>
            <w:tcBorders>
              <w:top w:val="single" w:sz="6" w:space="0" w:color="000000"/>
              <w:left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03" w:right="0"/>
              <w:jc w:val="left"/>
              <w:rPr>
                <w:rFonts w:ascii="Times New Roman" w:hAnsi="Times New Roman" w:cs="Times New Roman" w:eastAsia="Times New Roman" w:hint="default"/>
                <w:sz w:val="18"/>
                <w:szCs w:val="18"/>
              </w:rPr>
            </w:pPr>
            <w:r>
              <w:rPr>
                <w:rFonts w:ascii="Times New Roman"/>
                <w:sz w:val="18"/>
              </w:rPr>
              <w:t>39.18%</w:t>
            </w:r>
          </w:p>
        </w:tc>
      </w:tr>
      <w:tr>
        <w:trPr>
          <w:trHeight w:val="392" w:hRule="exact"/>
        </w:trPr>
        <w:tc>
          <w:tcPr>
            <w:tcW w:w="2220"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823" w:type="dxa"/>
            <w:vMerge/>
            <w:tcBorders>
              <w:left w:val="single" w:sz="8" w:space="0" w:color="D2D2D2"/>
              <w:right w:val="single" w:sz="6" w:space="0" w:color="000000"/>
            </w:tcBorders>
          </w:tcPr>
          <w:p>
            <w:pPr/>
          </w:p>
        </w:tc>
        <w:tc>
          <w:tcPr>
            <w:tcW w:w="824" w:type="dxa"/>
            <w:vMerge/>
            <w:tcBorders>
              <w:left w:val="single" w:sz="6" w:space="0" w:color="000000"/>
              <w:right w:val="single" w:sz="6" w:space="0" w:color="000000"/>
            </w:tcBorders>
          </w:tcPr>
          <w:p>
            <w:pPr/>
          </w:p>
        </w:tc>
        <w:tc>
          <w:tcPr>
            <w:tcW w:w="823"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794" w:type="dxa"/>
            <w:vMerge/>
            <w:tcBorders>
              <w:left w:val="single" w:sz="6" w:space="0" w:color="000000"/>
              <w:right w:val="single" w:sz="6" w:space="0" w:color="000000"/>
            </w:tcBorders>
          </w:tcPr>
          <w:p>
            <w:pPr/>
          </w:p>
        </w:tc>
        <w:tc>
          <w:tcPr>
            <w:tcW w:w="793" w:type="dxa"/>
            <w:vMerge/>
            <w:tcBorders>
              <w:left w:val="single" w:sz="6" w:space="0" w:color="000000"/>
              <w:right w:val="single" w:sz="12" w:space="0" w:color="000000"/>
            </w:tcBorders>
          </w:tcPr>
          <w:p>
            <w:pPr/>
          </w:p>
        </w:tc>
      </w:tr>
      <w:tr>
        <w:trPr>
          <w:trHeight w:val="163" w:hRule="exact"/>
        </w:trPr>
        <w:tc>
          <w:tcPr>
            <w:tcW w:w="2220" w:type="dxa"/>
            <w:tcBorders>
              <w:top w:val="nil" w:sz="6" w:space="0" w:color="auto"/>
              <w:left w:val="single" w:sz="12" w:space="0" w:color="000000"/>
              <w:bottom w:val="single" w:sz="6" w:space="0" w:color="000000"/>
              <w:right w:val="single" w:sz="6" w:space="0" w:color="000000"/>
            </w:tcBorders>
            <w:shd w:val="clear" w:color="auto" w:fill="D2D2D2"/>
          </w:tcPr>
          <w:p>
            <w:pPr/>
          </w:p>
        </w:tc>
        <w:tc>
          <w:tcPr>
            <w:tcW w:w="823" w:type="dxa"/>
            <w:vMerge/>
            <w:tcBorders>
              <w:left w:val="single" w:sz="8" w:space="0" w:color="D2D2D2"/>
              <w:bottom w:val="single" w:sz="6" w:space="0" w:color="000000"/>
              <w:right w:val="single" w:sz="6" w:space="0" w:color="000000"/>
            </w:tcBorders>
          </w:tcPr>
          <w:p>
            <w:pPr/>
          </w:p>
        </w:tc>
        <w:tc>
          <w:tcPr>
            <w:tcW w:w="824" w:type="dxa"/>
            <w:vMerge/>
            <w:tcBorders>
              <w:left w:val="single" w:sz="6" w:space="0" w:color="000000"/>
              <w:bottom w:val="single" w:sz="6" w:space="0" w:color="000000"/>
              <w:right w:val="single" w:sz="6" w:space="0" w:color="000000"/>
            </w:tcBorders>
          </w:tcPr>
          <w:p>
            <w:pPr/>
          </w:p>
        </w:tc>
        <w:tc>
          <w:tcPr>
            <w:tcW w:w="823"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822" w:type="dxa"/>
            <w:vMerge/>
            <w:tcBorders>
              <w:left w:val="single" w:sz="6" w:space="0" w:color="000000"/>
              <w:bottom w:val="single" w:sz="6" w:space="0" w:color="000000"/>
              <w:right w:val="single" w:sz="6" w:space="0" w:color="000000"/>
            </w:tcBorders>
          </w:tcPr>
          <w:p>
            <w:pPr/>
          </w:p>
        </w:tc>
        <w:tc>
          <w:tcPr>
            <w:tcW w:w="794" w:type="dxa"/>
            <w:vMerge/>
            <w:tcBorders>
              <w:left w:val="single" w:sz="6" w:space="0" w:color="000000"/>
              <w:bottom w:val="single" w:sz="6" w:space="0" w:color="000000"/>
              <w:right w:val="single" w:sz="6" w:space="0" w:color="000000"/>
            </w:tcBorders>
          </w:tcPr>
          <w:p>
            <w:pPr/>
          </w:p>
        </w:tc>
        <w:tc>
          <w:tcPr>
            <w:tcW w:w="793" w:type="dxa"/>
            <w:vMerge/>
            <w:tcBorders>
              <w:left w:val="single" w:sz="6" w:space="0" w:color="000000"/>
              <w:bottom w:val="single" w:sz="6" w:space="0" w:color="000000"/>
              <w:right w:val="single" w:sz="12" w:space="0" w:color="000000"/>
            </w:tcBorders>
          </w:tcPr>
          <w:p>
            <w:pPr/>
          </w:p>
        </w:tc>
      </w:tr>
      <w:tr>
        <w:trPr>
          <w:trHeight w:val="407" w:hRule="exact"/>
        </w:trPr>
        <w:tc>
          <w:tcPr>
            <w:tcW w:w="222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82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c>
          <w:tcPr>
            <w:tcW w:w="8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7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0.00%</w:t>
            </w:r>
          </w:p>
        </w:tc>
      </w:tr>
      <w:tr>
        <w:trPr>
          <w:trHeight w:val="407" w:hRule="exact"/>
        </w:trPr>
        <w:tc>
          <w:tcPr>
            <w:tcW w:w="222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82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c>
          <w:tcPr>
            <w:tcW w:w="8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7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0.00%</w:t>
            </w:r>
          </w:p>
        </w:tc>
      </w:tr>
      <w:tr>
        <w:trPr>
          <w:trHeight w:val="407" w:hRule="exact"/>
        </w:trPr>
        <w:tc>
          <w:tcPr>
            <w:tcW w:w="222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82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0.00%</w:t>
            </w:r>
          </w:p>
        </w:tc>
        <w:tc>
          <w:tcPr>
            <w:tcW w:w="8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7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0.00%</w:t>
            </w:r>
          </w:p>
        </w:tc>
      </w:tr>
      <w:tr>
        <w:trPr>
          <w:trHeight w:val="164" w:hRule="exact"/>
        </w:trPr>
        <w:tc>
          <w:tcPr>
            <w:tcW w:w="2220" w:type="dxa"/>
            <w:tcBorders>
              <w:top w:val="single" w:sz="6" w:space="0" w:color="000000"/>
              <w:left w:val="single" w:sz="12" w:space="0" w:color="000000"/>
              <w:bottom w:val="nil" w:sz="6" w:space="0" w:color="auto"/>
              <w:right w:val="single" w:sz="6" w:space="0" w:color="000000"/>
            </w:tcBorders>
            <w:shd w:val="clear" w:color="auto" w:fill="D2D2D2"/>
          </w:tcPr>
          <w:p>
            <w:pPr/>
          </w:p>
        </w:tc>
        <w:tc>
          <w:tcPr>
            <w:tcW w:w="823" w:type="dxa"/>
            <w:vMerge w:val="restart"/>
            <w:tcBorders>
              <w:top w:val="single" w:sz="6" w:space="0" w:color="000000"/>
              <w:left w:val="single" w:sz="8" w:space="0" w:color="D2D2D2"/>
              <w:right w:val="single" w:sz="6" w:space="0" w:color="000000"/>
            </w:tcBorders>
          </w:tcPr>
          <w:p>
            <w:pPr>
              <w:pStyle w:val="TableParagraph"/>
              <w:spacing w:line="240" w:lineRule="auto" w:before="92"/>
              <w:ind w:left="21" w:right="0"/>
              <w:jc w:val="left"/>
              <w:rPr>
                <w:rFonts w:ascii="Times New Roman" w:hAnsi="Times New Roman" w:cs="Times New Roman" w:eastAsia="Times New Roman" w:hint="default"/>
                <w:sz w:val="18"/>
                <w:szCs w:val="18"/>
              </w:rPr>
            </w:pPr>
            <w:r>
              <w:rPr>
                <w:rFonts w:ascii="Times New Roman"/>
                <w:sz w:val="18"/>
              </w:rPr>
              <w:t>1,127,152,</w:t>
            </w:r>
          </w:p>
          <w:p>
            <w:pPr>
              <w:pStyle w:val="TableParagraph"/>
              <w:spacing w:line="240" w:lineRule="auto" w:before="105"/>
              <w:ind w:left="515" w:right="0"/>
              <w:jc w:val="left"/>
              <w:rPr>
                <w:rFonts w:ascii="Times New Roman" w:hAnsi="Times New Roman" w:cs="Times New Roman" w:eastAsia="Times New Roman" w:hint="default"/>
                <w:sz w:val="18"/>
                <w:szCs w:val="18"/>
              </w:rPr>
            </w:pPr>
            <w:r>
              <w:rPr>
                <w:rFonts w:ascii="Times New Roman"/>
                <w:sz w:val="18"/>
              </w:rPr>
              <w:t>504</w:t>
            </w:r>
          </w:p>
        </w:tc>
        <w:tc>
          <w:tcPr>
            <w:tcW w:w="824"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100.00%</w:t>
            </w:r>
          </w:p>
        </w:tc>
        <w:tc>
          <w:tcPr>
            <w:tcW w:w="823" w:type="dxa"/>
            <w:vMerge w:val="restart"/>
            <w:tcBorders>
              <w:top w:val="single" w:sz="6" w:space="0" w:color="000000"/>
              <w:left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32,258,06</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4</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-7,513,40</w:t>
            </w:r>
            <w:r>
              <w:rPr>
                <w:rFonts w:ascii="Times New Roman"/>
                <w:sz w:val="18"/>
              </w:rPr>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w:t>
            </w:r>
          </w:p>
        </w:tc>
        <w:tc>
          <w:tcPr>
            <w:tcW w:w="822" w:type="dxa"/>
            <w:vMerge w:val="restart"/>
            <w:tcBorders>
              <w:top w:val="single" w:sz="6" w:space="0" w:color="000000"/>
              <w:left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24,744,65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w:t>
            </w:r>
          </w:p>
        </w:tc>
        <w:tc>
          <w:tcPr>
            <w:tcW w:w="794" w:type="dxa"/>
            <w:vMerge w:val="restart"/>
            <w:tcBorders>
              <w:top w:val="single" w:sz="6" w:space="0" w:color="000000"/>
              <w:left w:val="single" w:sz="6" w:space="0" w:color="000000"/>
              <w:right w:val="single" w:sz="6" w:space="0" w:color="000000"/>
            </w:tcBorders>
          </w:tcPr>
          <w:p>
            <w:pPr>
              <w:pStyle w:val="TableParagraph"/>
              <w:spacing w:line="240" w:lineRule="auto" w:before="92"/>
              <w:ind w:left="38" w:right="0"/>
              <w:jc w:val="left"/>
              <w:rPr>
                <w:rFonts w:ascii="Times New Roman" w:hAnsi="Times New Roman" w:cs="Times New Roman" w:eastAsia="Times New Roman" w:hint="default"/>
                <w:sz w:val="18"/>
                <w:szCs w:val="18"/>
              </w:rPr>
            </w:pPr>
            <w:r>
              <w:rPr>
                <w:rFonts w:ascii="Times New Roman"/>
                <w:sz w:val="18"/>
              </w:rPr>
              <w:t>1,151,897</w:t>
            </w:r>
          </w:p>
          <w:p>
            <w:pPr>
              <w:pStyle w:val="TableParagraph"/>
              <w:spacing w:line="240" w:lineRule="auto" w:before="105"/>
              <w:ind w:left="443" w:right="0"/>
              <w:jc w:val="left"/>
              <w:rPr>
                <w:rFonts w:ascii="Times New Roman" w:hAnsi="Times New Roman" w:cs="Times New Roman" w:eastAsia="Times New Roman" w:hint="default"/>
                <w:sz w:val="18"/>
                <w:szCs w:val="18"/>
              </w:rPr>
            </w:pPr>
            <w:r>
              <w:rPr>
                <w:rFonts w:ascii="Times New Roman"/>
                <w:sz w:val="18"/>
              </w:rPr>
              <w:t>,160</w:t>
            </w:r>
          </w:p>
        </w:tc>
        <w:tc>
          <w:tcPr>
            <w:tcW w:w="793" w:type="dxa"/>
            <w:vMerge w:val="restart"/>
            <w:tcBorders>
              <w:top w:val="single" w:sz="6" w:space="0" w:color="000000"/>
              <w:left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13" w:right="0"/>
              <w:jc w:val="left"/>
              <w:rPr>
                <w:rFonts w:ascii="Times New Roman" w:hAnsi="Times New Roman" w:cs="Times New Roman" w:eastAsia="Times New Roman" w:hint="default"/>
                <w:sz w:val="18"/>
                <w:szCs w:val="18"/>
              </w:rPr>
            </w:pPr>
            <w:r>
              <w:rPr>
                <w:rFonts w:ascii="Times New Roman"/>
                <w:sz w:val="18"/>
              </w:rPr>
              <w:t>100.00%</w:t>
            </w:r>
          </w:p>
        </w:tc>
      </w:tr>
      <w:tr>
        <w:trPr>
          <w:trHeight w:val="391" w:hRule="exact"/>
        </w:trPr>
        <w:tc>
          <w:tcPr>
            <w:tcW w:w="2220"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823" w:type="dxa"/>
            <w:vMerge/>
            <w:tcBorders>
              <w:left w:val="single" w:sz="8" w:space="0" w:color="D2D2D2"/>
              <w:right w:val="single" w:sz="6" w:space="0" w:color="000000"/>
            </w:tcBorders>
          </w:tcPr>
          <w:p>
            <w:pPr/>
          </w:p>
        </w:tc>
        <w:tc>
          <w:tcPr>
            <w:tcW w:w="824" w:type="dxa"/>
            <w:vMerge/>
            <w:tcBorders>
              <w:left w:val="single" w:sz="6" w:space="0" w:color="000000"/>
              <w:right w:val="single" w:sz="6" w:space="0" w:color="000000"/>
            </w:tcBorders>
          </w:tcPr>
          <w:p>
            <w:pPr/>
          </w:p>
        </w:tc>
        <w:tc>
          <w:tcPr>
            <w:tcW w:w="823"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822" w:type="dxa"/>
            <w:vMerge/>
            <w:tcBorders>
              <w:left w:val="single" w:sz="6" w:space="0" w:color="000000"/>
              <w:right w:val="single" w:sz="6" w:space="0" w:color="000000"/>
            </w:tcBorders>
          </w:tcPr>
          <w:p>
            <w:pPr/>
          </w:p>
        </w:tc>
        <w:tc>
          <w:tcPr>
            <w:tcW w:w="794" w:type="dxa"/>
            <w:vMerge/>
            <w:tcBorders>
              <w:left w:val="single" w:sz="6" w:space="0" w:color="000000"/>
              <w:right w:val="single" w:sz="6" w:space="0" w:color="000000"/>
            </w:tcBorders>
          </w:tcPr>
          <w:p>
            <w:pPr/>
          </w:p>
        </w:tc>
        <w:tc>
          <w:tcPr>
            <w:tcW w:w="793" w:type="dxa"/>
            <w:vMerge/>
            <w:tcBorders>
              <w:left w:val="single" w:sz="6" w:space="0" w:color="000000"/>
              <w:right w:val="single" w:sz="12" w:space="0" w:color="000000"/>
            </w:tcBorders>
          </w:tcPr>
          <w:p>
            <w:pPr/>
          </w:p>
        </w:tc>
      </w:tr>
      <w:tr>
        <w:trPr>
          <w:trHeight w:val="171" w:hRule="exact"/>
        </w:trPr>
        <w:tc>
          <w:tcPr>
            <w:tcW w:w="2220" w:type="dxa"/>
            <w:tcBorders>
              <w:top w:val="nil" w:sz="6" w:space="0" w:color="auto"/>
              <w:left w:val="single" w:sz="12" w:space="0" w:color="000000"/>
              <w:bottom w:val="single" w:sz="12" w:space="0" w:color="000000"/>
              <w:right w:val="single" w:sz="6" w:space="0" w:color="000000"/>
            </w:tcBorders>
            <w:shd w:val="clear" w:color="auto" w:fill="D2D2D2"/>
          </w:tcPr>
          <w:p>
            <w:pPr/>
          </w:p>
        </w:tc>
        <w:tc>
          <w:tcPr>
            <w:tcW w:w="823" w:type="dxa"/>
            <w:vMerge/>
            <w:tcBorders>
              <w:left w:val="single" w:sz="8" w:space="0" w:color="D2D2D2"/>
              <w:bottom w:val="single" w:sz="12" w:space="0" w:color="000000"/>
              <w:right w:val="single" w:sz="6" w:space="0" w:color="000000"/>
            </w:tcBorders>
          </w:tcPr>
          <w:p>
            <w:pPr/>
          </w:p>
        </w:tc>
        <w:tc>
          <w:tcPr>
            <w:tcW w:w="824" w:type="dxa"/>
            <w:vMerge/>
            <w:tcBorders>
              <w:left w:val="single" w:sz="6" w:space="0" w:color="000000"/>
              <w:bottom w:val="single" w:sz="12" w:space="0" w:color="000000"/>
              <w:right w:val="single" w:sz="6" w:space="0" w:color="000000"/>
            </w:tcBorders>
          </w:tcPr>
          <w:p>
            <w:pPr/>
          </w:p>
        </w:tc>
        <w:tc>
          <w:tcPr>
            <w:tcW w:w="823" w:type="dxa"/>
            <w:vMerge/>
            <w:tcBorders>
              <w:left w:val="single" w:sz="6" w:space="0" w:color="000000"/>
              <w:bottom w:val="single" w:sz="12" w:space="0" w:color="000000"/>
              <w:right w:val="single" w:sz="6" w:space="0" w:color="000000"/>
            </w:tcBorders>
          </w:tcPr>
          <w:p>
            <w:pPr/>
          </w:p>
        </w:tc>
        <w:tc>
          <w:tcPr>
            <w:tcW w:w="822" w:type="dxa"/>
            <w:vMerge/>
            <w:tcBorders>
              <w:left w:val="single" w:sz="6" w:space="0" w:color="000000"/>
              <w:bottom w:val="single" w:sz="12" w:space="0" w:color="000000"/>
              <w:right w:val="single" w:sz="6" w:space="0" w:color="000000"/>
            </w:tcBorders>
          </w:tcPr>
          <w:p>
            <w:pPr/>
          </w:p>
        </w:tc>
        <w:tc>
          <w:tcPr>
            <w:tcW w:w="822" w:type="dxa"/>
            <w:vMerge/>
            <w:tcBorders>
              <w:left w:val="single" w:sz="6" w:space="0" w:color="000000"/>
              <w:bottom w:val="single" w:sz="12" w:space="0" w:color="000000"/>
              <w:right w:val="single" w:sz="6" w:space="0" w:color="000000"/>
            </w:tcBorders>
          </w:tcPr>
          <w:p>
            <w:pPr/>
          </w:p>
        </w:tc>
        <w:tc>
          <w:tcPr>
            <w:tcW w:w="822" w:type="dxa"/>
            <w:vMerge/>
            <w:tcBorders>
              <w:left w:val="single" w:sz="6" w:space="0" w:color="000000"/>
              <w:bottom w:val="single" w:sz="12" w:space="0" w:color="000000"/>
              <w:right w:val="single" w:sz="6" w:space="0" w:color="000000"/>
            </w:tcBorders>
          </w:tcPr>
          <w:p>
            <w:pPr/>
          </w:p>
        </w:tc>
        <w:tc>
          <w:tcPr>
            <w:tcW w:w="822" w:type="dxa"/>
            <w:vMerge/>
            <w:tcBorders>
              <w:left w:val="single" w:sz="6" w:space="0" w:color="000000"/>
              <w:bottom w:val="single" w:sz="12" w:space="0" w:color="000000"/>
              <w:right w:val="single" w:sz="6" w:space="0" w:color="000000"/>
            </w:tcBorders>
          </w:tcPr>
          <w:p>
            <w:pPr/>
          </w:p>
        </w:tc>
        <w:tc>
          <w:tcPr>
            <w:tcW w:w="794" w:type="dxa"/>
            <w:vMerge/>
            <w:tcBorders>
              <w:left w:val="single" w:sz="6" w:space="0" w:color="000000"/>
              <w:bottom w:val="single" w:sz="12" w:space="0" w:color="000000"/>
              <w:right w:val="single" w:sz="6" w:space="0" w:color="000000"/>
            </w:tcBorders>
          </w:tcPr>
          <w:p>
            <w:pPr/>
          </w:p>
        </w:tc>
        <w:tc>
          <w:tcPr>
            <w:tcW w:w="793" w:type="dxa"/>
            <w:vMerge/>
            <w:tcBorders>
              <w:left w:val="single" w:sz="6" w:space="0" w:color="000000"/>
              <w:bottom w:val="single" w:sz="12" w:space="0" w:color="000000"/>
              <w:right w:val="single" w:sz="12" w:space="0" w:color="000000"/>
            </w:tcBorders>
          </w:tcPr>
          <w:p>
            <w:pP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股份变动的原因</w:t>
      </w:r>
    </w:p>
    <w:p>
      <w:pPr>
        <w:spacing w:before="117"/>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17"/>
          <w:szCs w:val="17"/>
        </w:rPr>
      </w:pPr>
    </w:p>
    <w:p>
      <w:pPr>
        <w:pStyle w:val="BodyText"/>
        <w:spacing w:line="240" w:lineRule="auto"/>
        <w:ind w:right="998"/>
        <w:jc w:val="left"/>
      </w:pPr>
      <w:r>
        <w:rPr>
          <w:rFonts w:ascii="宋体" w:hAnsi="宋体" w:cs="宋体" w:eastAsia="宋体" w:hint="default"/>
        </w:rPr>
        <w:t>1</w:t>
      </w:r>
      <w:r>
        <w:rPr/>
        <w:t>、公司于</w:t>
      </w:r>
      <w:r>
        <w:rPr>
          <w:rFonts w:ascii="宋体" w:hAnsi="宋体" w:cs="宋体" w:eastAsia="宋体" w:hint="default"/>
        </w:rPr>
        <w:t>2016</w:t>
      </w:r>
      <w:r>
        <w:rPr/>
        <w:t>年</w:t>
      </w:r>
      <w:r>
        <w:rPr>
          <w:rFonts w:ascii="宋体" w:hAnsi="宋体" w:cs="宋体" w:eastAsia="宋体" w:hint="default"/>
        </w:rPr>
        <w:t>10</w:t>
      </w:r>
      <w:r>
        <w:rPr/>
        <w:t>月</w:t>
      </w:r>
      <w:r>
        <w:rPr>
          <w:rFonts w:ascii="宋体" w:hAnsi="宋体" w:cs="宋体" w:eastAsia="宋体" w:hint="default"/>
        </w:rPr>
        <w:t>26</w:t>
      </w:r>
      <w:r>
        <w:rPr/>
        <w:t>日召开第二届董事会第四十四次会议和第二届监事会第二十一次会议分别审议通</w:t>
      </w:r>
    </w:p>
    <w:p>
      <w:pPr>
        <w:spacing w:after="0" w:line="240" w:lineRule="auto"/>
        <w:jc w:val="left"/>
        <w:sectPr>
          <w:pgSz w:w="11910" w:h="16840"/>
          <w:pgMar w:header="877" w:footer="979" w:top="1100" w:bottom="1160" w:left="0" w:right="0"/>
        </w:sectPr>
      </w:pPr>
    </w:p>
    <w:p>
      <w:pPr>
        <w:spacing w:line="240" w:lineRule="auto" w:before="8"/>
        <w:rPr>
          <w:rFonts w:ascii="宋体" w:hAnsi="宋体" w:cs="宋体" w:eastAsia="宋体" w:hint="default"/>
          <w:sz w:val="26"/>
          <w:szCs w:val="26"/>
        </w:rPr>
      </w:pPr>
    </w:p>
    <w:p>
      <w:pPr>
        <w:pStyle w:val="BodyText"/>
        <w:spacing w:line="408" w:lineRule="auto" w:before="35"/>
        <w:ind w:right="998"/>
        <w:jc w:val="left"/>
      </w:pPr>
      <w:r>
        <w:rPr>
          <w:spacing w:val="-1"/>
        </w:rPr>
        <w:t>过了《关于回购注销部分限制性股票的议案》，回购注销股份共计</w:t>
      </w:r>
      <w:r>
        <w:rPr>
          <w:rFonts w:ascii="宋体" w:hAnsi="宋体" w:cs="宋体" w:eastAsia="宋体" w:hint="default"/>
          <w:spacing w:val="-1"/>
        </w:rPr>
        <w:t>286,485</w:t>
      </w:r>
      <w:r>
        <w:rPr>
          <w:spacing w:val="-1"/>
        </w:rPr>
        <w:t>股，回购已于</w:t>
      </w:r>
      <w:r>
        <w:rPr>
          <w:rFonts w:ascii="宋体" w:hAnsi="宋体" w:cs="宋体" w:eastAsia="宋体" w:hint="default"/>
          <w:spacing w:val="-1"/>
        </w:rPr>
        <w:t>2017</w:t>
      </w:r>
      <w:r>
        <w:rPr>
          <w:spacing w:val="-1"/>
        </w:rPr>
        <w:t>年</w:t>
      </w:r>
      <w:r>
        <w:rPr>
          <w:rFonts w:ascii="宋体" w:hAnsi="宋体" w:cs="宋体" w:eastAsia="宋体" w:hint="default"/>
          <w:spacing w:val="-1"/>
        </w:rPr>
        <w:t>1</w:t>
      </w:r>
      <w:r>
        <w:rPr>
          <w:spacing w:val="-1"/>
        </w:rPr>
        <w:t>月</w:t>
      </w:r>
      <w:r>
        <w:rPr>
          <w:rFonts w:ascii="宋体" w:hAnsi="宋体" w:cs="宋体" w:eastAsia="宋体" w:hint="default"/>
          <w:spacing w:val="-1"/>
        </w:rPr>
        <w:t>16</w:t>
      </w:r>
      <w:r>
        <w:rPr>
          <w:spacing w:val="-1"/>
        </w:rPr>
        <w:t>日完</w:t>
      </w:r>
      <w:r>
        <w:rPr>
          <w:spacing w:val="-79"/>
        </w:rPr>
        <w:t> </w:t>
      </w:r>
      <w:r>
        <w:rPr/>
        <w:t>成。回购完成后，公司股份总数</w:t>
      </w:r>
      <w:r>
        <w:rPr>
          <w:rFonts w:ascii="宋体" w:hAnsi="宋体" w:cs="宋体" w:eastAsia="宋体" w:hint="default"/>
        </w:rPr>
        <w:t>1,127,152,504</w:t>
      </w:r>
      <w:r>
        <w:rPr/>
        <w:t>股调整为</w:t>
      </w:r>
      <w:r>
        <w:rPr>
          <w:rFonts w:ascii="宋体" w:hAnsi="宋体" w:cs="宋体" w:eastAsia="宋体" w:hint="default"/>
        </w:rPr>
        <w:t>1,126,866,019</w:t>
      </w:r>
      <w:r>
        <w:rPr/>
        <w:t>股。</w:t>
      </w:r>
    </w:p>
    <w:p>
      <w:pPr>
        <w:pStyle w:val="BodyText"/>
        <w:spacing w:line="408" w:lineRule="auto" w:before="166"/>
        <w:ind w:right="998"/>
        <w:jc w:val="left"/>
      </w:pPr>
      <w:r>
        <w:rPr>
          <w:rFonts w:ascii="宋体" w:hAnsi="宋体" w:cs="宋体" w:eastAsia="宋体" w:hint="default"/>
          <w:spacing w:val="-1"/>
        </w:rPr>
        <w:t>2</w:t>
      </w:r>
      <w:r>
        <w:rPr>
          <w:spacing w:val="-1"/>
        </w:rPr>
        <w:t>、</w:t>
      </w:r>
      <w:r>
        <w:rPr>
          <w:rFonts w:ascii="宋体" w:hAnsi="宋体" w:cs="宋体" w:eastAsia="宋体" w:hint="default"/>
          <w:spacing w:val="-1"/>
        </w:rPr>
        <w:t>2017</w:t>
      </w:r>
      <w:r>
        <w:rPr>
          <w:spacing w:val="-1"/>
        </w:rPr>
        <w:t>年</w:t>
      </w:r>
      <w:r>
        <w:rPr>
          <w:rFonts w:ascii="宋体" w:hAnsi="宋体" w:cs="宋体" w:eastAsia="宋体" w:hint="default"/>
          <w:spacing w:val="-1"/>
        </w:rPr>
        <w:t>4</w:t>
      </w:r>
      <w:r>
        <w:rPr>
          <w:spacing w:val="-1"/>
        </w:rPr>
        <w:t>月</w:t>
      </w:r>
      <w:r>
        <w:rPr>
          <w:rFonts w:ascii="宋体" w:hAnsi="宋体" w:cs="宋体" w:eastAsia="宋体" w:hint="default"/>
          <w:spacing w:val="-1"/>
        </w:rPr>
        <w:t>6</w:t>
      </w:r>
      <w:r>
        <w:rPr>
          <w:spacing w:val="-1"/>
        </w:rPr>
        <w:t>日公司非公开发行的</w:t>
      </w:r>
      <w:r>
        <w:rPr>
          <w:rFonts w:ascii="宋体" w:hAnsi="宋体" w:cs="宋体" w:eastAsia="宋体" w:hint="default"/>
          <w:spacing w:val="-1"/>
        </w:rPr>
        <w:t>32,258,064</w:t>
      </w:r>
      <w:r>
        <w:rPr>
          <w:spacing w:val="-1"/>
        </w:rPr>
        <w:t>股在深圳证券交易所上市，公司的总股本由</w:t>
      </w:r>
      <w:r>
        <w:rPr>
          <w:rFonts w:ascii="宋体" w:hAnsi="宋体" w:cs="宋体" w:eastAsia="宋体" w:hint="default"/>
          <w:spacing w:val="-1"/>
        </w:rPr>
        <w:t>1,126,866,019</w:t>
      </w:r>
      <w:r>
        <w:rPr>
          <w:rFonts w:ascii="宋体" w:hAnsi="宋体" w:cs="宋体" w:eastAsia="宋体" w:hint="default"/>
          <w:spacing w:val="-70"/>
        </w:rPr>
        <w:t> </w:t>
      </w:r>
      <w:r>
        <w:rPr>
          <w:rFonts w:ascii="宋体" w:hAnsi="宋体" w:cs="宋体" w:eastAsia="宋体" w:hint="default"/>
          <w:spacing w:val="-70"/>
        </w:rPr>
      </w:r>
      <w:r>
        <w:rPr/>
        <w:t>股调整为</w:t>
      </w:r>
      <w:r>
        <w:rPr>
          <w:rFonts w:ascii="宋体" w:hAnsi="宋体" w:cs="宋体" w:eastAsia="宋体" w:hint="default"/>
        </w:rPr>
        <w:t>1,159,124,083</w:t>
      </w:r>
      <w:r>
        <w:rPr/>
        <w:t>股。</w:t>
      </w:r>
    </w:p>
    <w:p>
      <w:pPr>
        <w:pStyle w:val="BodyText"/>
        <w:spacing w:line="408" w:lineRule="auto" w:before="166"/>
        <w:ind w:right="1130"/>
        <w:jc w:val="both"/>
      </w:pPr>
      <w:r>
        <w:rPr>
          <w:rFonts w:ascii="宋体" w:hAnsi="宋体" w:cs="宋体" w:eastAsia="宋体" w:hint="default"/>
          <w:spacing w:val="-1"/>
        </w:rPr>
        <w:t>3</w:t>
      </w:r>
      <w:r>
        <w:rPr>
          <w:spacing w:val="-1"/>
        </w:rPr>
        <w:t>、公司于</w:t>
      </w:r>
      <w:r>
        <w:rPr>
          <w:rFonts w:ascii="宋体" w:hAnsi="宋体" w:cs="宋体" w:eastAsia="宋体" w:hint="default"/>
          <w:spacing w:val="-1"/>
        </w:rPr>
        <w:t>2017</w:t>
      </w:r>
      <w:r>
        <w:rPr>
          <w:spacing w:val="-1"/>
        </w:rPr>
        <w:t>年</w:t>
      </w:r>
      <w:r>
        <w:rPr>
          <w:rFonts w:ascii="宋体" w:hAnsi="宋体" w:cs="宋体" w:eastAsia="宋体" w:hint="default"/>
          <w:spacing w:val="-1"/>
        </w:rPr>
        <w:t>4</w:t>
      </w:r>
      <w:r>
        <w:rPr>
          <w:spacing w:val="-1"/>
        </w:rPr>
        <w:t>月</w:t>
      </w:r>
      <w:r>
        <w:rPr>
          <w:rFonts w:ascii="宋体" w:hAnsi="宋体" w:cs="宋体" w:eastAsia="宋体" w:hint="default"/>
          <w:spacing w:val="-1"/>
        </w:rPr>
        <w:t>24</w:t>
      </w:r>
      <w:r>
        <w:rPr>
          <w:spacing w:val="-1"/>
        </w:rPr>
        <w:t>日召开第二届董事会第五十四次会议和第二届监事会第二十五次会议分别审议通过</w:t>
      </w:r>
      <w:r>
        <w:rPr>
          <w:spacing w:val="-83"/>
        </w:rPr>
        <w:t> </w:t>
      </w:r>
      <w:r>
        <w:rPr>
          <w:spacing w:val="-83"/>
        </w:rPr>
      </w:r>
      <w:r>
        <w:rPr>
          <w:spacing w:val="-1"/>
        </w:rPr>
        <w:t>了《关于回购注销部分限制性股票的议案》。回购注销股份共计</w:t>
      </w:r>
      <w:r>
        <w:rPr>
          <w:rFonts w:ascii="宋体" w:hAnsi="宋体" w:cs="宋体" w:eastAsia="宋体" w:hint="default"/>
          <w:spacing w:val="-1"/>
        </w:rPr>
        <w:t>298,261</w:t>
      </w:r>
      <w:r>
        <w:rPr>
          <w:spacing w:val="-1"/>
        </w:rPr>
        <w:t>股，回购注销已于</w:t>
      </w:r>
      <w:r>
        <w:rPr>
          <w:rFonts w:ascii="宋体" w:hAnsi="宋体" w:cs="宋体" w:eastAsia="宋体" w:hint="default"/>
          <w:spacing w:val="-1"/>
        </w:rPr>
        <w:t>2017</w:t>
      </w:r>
      <w:r>
        <w:rPr>
          <w:spacing w:val="-1"/>
        </w:rPr>
        <w:t>年</w:t>
      </w:r>
      <w:r>
        <w:rPr>
          <w:rFonts w:ascii="宋体" w:hAnsi="宋体" w:cs="宋体" w:eastAsia="宋体" w:hint="default"/>
          <w:spacing w:val="-1"/>
        </w:rPr>
        <w:t>8</w:t>
      </w:r>
      <w:r>
        <w:rPr>
          <w:spacing w:val="-1"/>
        </w:rPr>
        <w:t>月</w:t>
      </w:r>
      <w:r>
        <w:rPr>
          <w:rFonts w:ascii="宋体" w:hAnsi="宋体" w:cs="宋体" w:eastAsia="宋体" w:hint="default"/>
          <w:spacing w:val="-1"/>
        </w:rPr>
        <w:t>23</w:t>
      </w:r>
      <w:r>
        <w:rPr>
          <w:spacing w:val="-1"/>
        </w:rPr>
        <w:t>日</w:t>
      </w:r>
      <w:r>
        <w:rPr>
          <w:spacing w:val="-80"/>
        </w:rPr>
        <w:t> </w:t>
      </w:r>
      <w:r>
        <w:rPr/>
        <w:t>完成。回购注销完成后，公司的总股本由</w:t>
      </w:r>
      <w:r>
        <w:rPr>
          <w:rFonts w:ascii="宋体" w:hAnsi="宋体" w:cs="宋体" w:eastAsia="宋体" w:hint="default"/>
        </w:rPr>
        <w:t>1,159,124,083</w:t>
      </w:r>
      <w:r>
        <w:rPr/>
        <w:t>股调整为</w:t>
      </w:r>
      <w:r>
        <w:rPr>
          <w:rFonts w:ascii="宋体" w:hAnsi="宋体" w:cs="宋体" w:eastAsia="宋体" w:hint="default"/>
        </w:rPr>
        <w:t>1,158,825,822</w:t>
      </w:r>
      <w:r>
        <w:rPr/>
        <w:t>股。</w:t>
      </w:r>
    </w:p>
    <w:p>
      <w:pPr>
        <w:pStyle w:val="BodyText"/>
        <w:spacing w:line="240" w:lineRule="auto" w:before="166"/>
        <w:ind w:right="0"/>
        <w:jc w:val="both"/>
      </w:pPr>
      <w:r>
        <w:rPr>
          <w:rFonts w:ascii="宋体" w:hAnsi="宋体" w:cs="宋体" w:eastAsia="宋体" w:hint="default"/>
        </w:rPr>
        <w:t>4</w:t>
      </w:r>
      <w:r>
        <w:rPr/>
        <w:t>、公司于</w:t>
      </w:r>
      <w:r>
        <w:rPr>
          <w:rFonts w:ascii="宋体" w:hAnsi="宋体" w:cs="宋体" w:eastAsia="宋体" w:hint="default"/>
        </w:rPr>
        <w:t>2017</w:t>
      </w:r>
      <w:r>
        <w:rPr/>
        <w:t>年</w:t>
      </w:r>
      <w:r>
        <w:rPr>
          <w:rFonts w:ascii="宋体" w:hAnsi="宋体" w:cs="宋体" w:eastAsia="宋体" w:hint="default"/>
        </w:rPr>
        <w:t>6</w:t>
      </w:r>
      <w:r>
        <w:rPr/>
        <w:t>月</w:t>
      </w:r>
      <w:r>
        <w:rPr>
          <w:rFonts w:ascii="宋体" w:hAnsi="宋体" w:cs="宋体" w:eastAsia="宋体" w:hint="default"/>
        </w:rPr>
        <w:t>22</w:t>
      </w:r>
      <w:r>
        <w:rPr/>
        <w:t>日召开第二届董事会第六十次会议和第二届监事会第二十七次会议分别审议通过了</w:t>
      </w:r>
    </w:p>
    <w:p>
      <w:pPr>
        <w:spacing w:line="240" w:lineRule="auto" w:before="10"/>
        <w:rPr>
          <w:rFonts w:ascii="宋体" w:hAnsi="宋体" w:cs="宋体" w:eastAsia="宋体" w:hint="default"/>
          <w:sz w:val="14"/>
          <w:szCs w:val="14"/>
        </w:rPr>
      </w:pPr>
    </w:p>
    <w:p>
      <w:pPr>
        <w:pStyle w:val="BodyText"/>
        <w:spacing w:line="408" w:lineRule="auto"/>
        <w:ind w:right="998"/>
        <w:jc w:val="left"/>
      </w:pPr>
      <w:r>
        <w:rPr>
          <w:spacing w:val="13"/>
        </w:rPr>
        <w:t>《关于回购注销未达到第一期解锁条件的限制性股票的议案》，对第一个解锁期未达到解锁条件的</w:t>
      </w:r>
      <w:r>
        <w:rPr>
          <w:spacing w:val="-75"/>
        </w:rPr>
        <w:t> </w:t>
      </w:r>
      <w:r>
        <w:rPr>
          <w:spacing w:val="-75"/>
        </w:rPr>
      </w:r>
      <w:r>
        <w:rPr>
          <w:rFonts w:ascii="宋体" w:hAnsi="宋体" w:cs="宋体" w:eastAsia="宋体" w:hint="default"/>
        </w:rPr>
        <w:t>6,928,662</w:t>
      </w:r>
      <w:r>
        <w:rPr>
          <w:rFonts w:ascii="宋体" w:hAnsi="宋体" w:cs="宋体" w:eastAsia="宋体" w:hint="default"/>
          <w:spacing w:val="-83"/>
        </w:rPr>
        <w:t> </w:t>
      </w:r>
      <w:r>
        <w:rPr>
          <w:spacing w:val="16"/>
        </w:rPr>
        <w:t>股限制性股票进行回购注销，</w:t>
      </w:r>
      <w:r>
        <w:rPr>
          <w:spacing w:val="-85"/>
        </w:rPr>
        <w:t> </w:t>
      </w:r>
      <w:r>
        <w:rPr>
          <w:spacing w:val="15"/>
        </w:rPr>
        <w:t>本次回购注销已于</w:t>
      </w:r>
      <w:r>
        <w:rPr>
          <w:spacing w:val="-77"/>
        </w:rPr>
        <w:t> </w:t>
      </w:r>
      <w:r>
        <w:rPr>
          <w:rFonts w:ascii="宋体" w:hAnsi="宋体" w:cs="宋体" w:eastAsia="宋体" w:hint="default"/>
        </w:rPr>
        <w:t>2017</w:t>
      </w:r>
      <w:r>
        <w:rPr>
          <w:rFonts w:ascii="宋体" w:hAnsi="宋体" w:cs="宋体" w:eastAsia="宋体" w:hint="default"/>
          <w:spacing w:val="-83"/>
        </w:rPr>
        <w:t> </w:t>
      </w:r>
      <w:r>
        <w:rPr/>
        <w:t>年</w:t>
      </w:r>
      <w:r>
        <w:rPr>
          <w:spacing w:val="-84"/>
        </w:rPr>
        <w:t> </w:t>
      </w:r>
      <w:r>
        <w:rPr>
          <w:rFonts w:ascii="宋体" w:hAnsi="宋体" w:cs="宋体" w:eastAsia="宋体" w:hint="default"/>
        </w:rPr>
        <w:t>11</w:t>
      </w:r>
      <w:r>
        <w:rPr>
          <w:rFonts w:ascii="宋体" w:hAnsi="宋体" w:cs="宋体" w:eastAsia="宋体" w:hint="default"/>
          <w:spacing w:val="-84"/>
        </w:rPr>
        <w:t> </w:t>
      </w:r>
      <w:r>
        <w:rPr>
          <w:spacing w:val="6"/>
        </w:rPr>
        <w:t>月</w:t>
      </w:r>
      <w:r>
        <w:rPr>
          <w:rFonts w:ascii="宋体" w:hAnsi="宋体" w:cs="宋体" w:eastAsia="宋体" w:hint="default"/>
          <w:spacing w:val="6"/>
        </w:rPr>
        <w:t>13</w:t>
      </w:r>
      <w:r>
        <w:rPr>
          <w:rFonts w:ascii="宋体" w:hAnsi="宋体" w:cs="宋体" w:eastAsia="宋体" w:hint="default"/>
          <w:spacing w:val="-83"/>
        </w:rPr>
        <w:t> </w:t>
      </w:r>
      <w:r>
        <w:rPr>
          <w:spacing w:val="16"/>
        </w:rPr>
        <w:t>日完成，公司的总股本由</w:t>
      </w:r>
    </w:p>
    <w:p>
      <w:pPr>
        <w:pStyle w:val="BodyText"/>
        <w:spacing w:line="240" w:lineRule="auto" w:before="46"/>
        <w:ind w:right="0"/>
        <w:jc w:val="both"/>
      </w:pPr>
      <w:r>
        <w:rPr>
          <w:rFonts w:ascii="宋体" w:hAnsi="宋体" w:cs="宋体" w:eastAsia="宋体" w:hint="default"/>
        </w:rPr>
        <w:t>1,158,825,822</w:t>
      </w:r>
      <w:r>
        <w:rPr/>
        <w:t>股调整为</w:t>
      </w:r>
      <w:r>
        <w:rPr>
          <w:rFonts w:ascii="宋体" w:hAnsi="宋体" w:cs="宋体" w:eastAsia="宋体" w:hint="default"/>
        </w:rPr>
        <w:t>1,151,897,160</w:t>
      </w:r>
      <w:r>
        <w:rPr/>
        <w:t>股。</w:t>
      </w:r>
    </w:p>
    <w:p>
      <w:pPr>
        <w:spacing w:line="240" w:lineRule="auto" w:before="12"/>
        <w:rPr>
          <w:rFonts w:ascii="宋体" w:hAnsi="宋体" w:cs="宋体" w:eastAsia="宋体" w:hint="default"/>
          <w:sz w:val="23"/>
          <w:szCs w:val="23"/>
        </w:rPr>
      </w:pPr>
    </w:p>
    <w:p>
      <w:pPr>
        <w:pStyle w:val="BodyText"/>
        <w:spacing w:line="408" w:lineRule="auto"/>
        <w:ind w:right="1131"/>
        <w:jc w:val="both"/>
      </w:pPr>
      <w:r>
        <w:rPr>
          <w:rFonts w:ascii="宋体" w:hAnsi="宋体" w:cs="宋体" w:eastAsia="宋体" w:hint="default"/>
          <w:spacing w:val="-1"/>
        </w:rPr>
        <w:t>5</w:t>
      </w:r>
      <w:r>
        <w:rPr>
          <w:spacing w:val="-1"/>
        </w:rPr>
        <w:t>、公司于</w:t>
      </w:r>
      <w:r>
        <w:rPr>
          <w:rFonts w:ascii="宋体" w:hAnsi="宋体" w:cs="宋体" w:eastAsia="宋体" w:hint="default"/>
          <w:spacing w:val="-1"/>
        </w:rPr>
        <w:t>2017</w:t>
      </w:r>
      <w:r>
        <w:rPr>
          <w:spacing w:val="-1"/>
        </w:rPr>
        <w:t>年</w:t>
      </w:r>
      <w:r>
        <w:rPr>
          <w:rFonts w:ascii="宋体" w:hAnsi="宋体" w:cs="宋体" w:eastAsia="宋体" w:hint="default"/>
          <w:spacing w:val="-1"/>
        </w:rPr>
        <w:t>9</w:t>
      </w:r>
      <w:r>
        <w:rPr>
          <w:spacing w:val="-1"/>
        </w:rPr>
        <w:t>月</w:t>
      </w:r>
      <w:r>
        <w:rPr>
          <w:rFonts w:ascii="宋体" w:hAnsi="宋体" w:cs="宋体" w:eastAsia="宋体" w:hint="default"/>
          <w:spacing w:val="-1"/>
        </w:rPr>
        <w:t>12</w:t>
      </w:r>
      <w:r>
        <w:rPr>
          <w:spacing w:val="-1"/>
        </w:rPr>
        <w:t>日召开的第三届董事会第七次会议和第三届监事会第三次会议，审议通过《关于公</w:t>
      </w:r>
      <w:r>
        <w:rPr>
          <w:spacing w:val="-85"/>
        </w:rPr>
        <w:t> </w:t>
      </w:r>
      <w:r>
        <w:rPr>
          <w:spacing w:val="-85"/>
        </w:rPr>
      </w:r>
      <w:r>
        <w:rPr>
          <w:spacing w:val="-1"/>
        </w:rPr>
        <w:t>司股票期权与限制性股票激励计划首次授予第二个行权期</w:t>
      </w:r>
      <w:r>
        <w:rPr>
          <w:rFonts w:ascii="宋体" w:hAnsi="宋体" w:cs="宋体" w:eastAsia="宋体" w:hint="default"/>
          <w:spacing w:val="-1"/>
        </w:rPr>
        <w:t>/</w:t>
      </w:r>
      <w:r>
        <w:rPr>
          <w:spacing w:val="-1"/>
        </w:rPr>
        <w:t>解锁期行权</w:t>
      </w:r>
      <w:r>
        <w:rPr>
          <w:rFonts w:ascii="宋体" w:hAnsi="宋体" w:cs="宋体" w:eastAsia="宋体" w:hint="default"/>
          <w:spacing w:val="-1"/>
        </w:rPr>
        <w:t>/</w:t>
      </w:r>
      <w:r>
        <w:rPr>
          <w:spacing w:val="-1"/>
        </w:rPr>
        <w:t>解锁条件成就的议案》，根据《激</w:t>
      </w:r>
      <w:r>
        <w:rPr>
          <w:spacing w:val="-84"/>
        </w:rPr>
        <w:t> </w:t>
      </w:r>
      <w:r>
        <w:rPr>
          <w:spacing w:val="-84"/>
        </w:rPr>
      </w:r>
      <w:r>
        <w:rPr>
          <w:spacing w:val="-3"/>
        </w:rPr>
        <w:t>励计划》的相关规定，首次授予第二个行权期</w:t>
      </w:r>
      <w:r>
        <w:rPr>
          <w:rFonts w:ascii="宋体" w:hAnsi="宋体" w:cs="宋体" w:eastAsia="宋体" w:hint="default"/>
          <w:spacing w:val="-3"/>
        </w:rPr>
        <w:t>/</w:t>
      </w:r>
      <w:r>
        <w:rPr>
          <w:spacing w:val="-3"/>
        </w:rPr>
        <w:t>解锁期解行权</w:t>
      </w:r>
      <w:r>
        <w:rPr>
          <w:rFonts w:ascii="宋体" w:hAnsi="宋体" w:cs="宋体" w:eastAsia="宋体" w:hint="default"/>
          <w:spacing w:val="-3"/>
        </w:rPr>
        <w:t>/</w:t>
      </w:r>
      <w:r>
        <w:rPr>
          <w:spacing w:val="-3"/>
        </w:rPr>
        <w:t>解锁条件已成就，限制性股票解锁</w:t>
      </w:r>
      <w:r>
        <w:rPr>
          <w:rFonts w:ascii="宋体" w:hAnsi="宋体" w:cs="宋体" w:eastAsia="宋体" w:hint="default"/>
          <w:spacing w:val="-3"/>
        </w:rPr>
        <w:t>6,781,494</w:t>
      </w:r>
      <w:r>
        <w:rPr>
          <w:rFonts w:ascii="宋体" w:hAnsi="宋体" w:cs="宋体" w:eastAsia="宋体" w:hint="default"/>
          <w:spacing w:val="-79"/>
        </w:rPr>
        <w:t> </w:t>
      </w:r>
      <w:r>
        <w:rPr/>
        <w:t>股，于</w:t>
      </w:r>
      <w:r>
        <w:rPr>
          <w:rFonts w:ascii="宋体" w:hAnsi="宋体" w:cs="宋体" w:eastAsia="宋体" w:hint="default"/>
        </w:rPr>
        <w:t>2017</w:t>
      </w:r>
      <w:r>
        <w:rPr/>
        <w:t>年</w:t>
      </w:r>
      <w:r>
        <w:rPr>
          <w:rFonts w:ascii="宋体" w:hAnsi="宋体" w:cs="宋体" w:eastAsia="宋体" w:hint="default"/>
        </w:rPr>
        <w:t>10</w:t>
      </w:r>
      <w:r>
        <w:rPr/>
        <w:t>月</w:t>
      </w:r>
      <w:r>
        <w:rPr>
          <w:rFonts w:ascii="宋体" w:hAnsi="宋体" w:cs="宋体" w:eastAsia="宋体" w:hint="default"/>
        </w:rPr>
        <w:t>24</w:t>
      </w:r>
      <w:r>
        <w:rPr/>
        <w:t>日上市流通。</w:t>
      </w:r>
    </w:p>
    <w:p>
      <w:pPr>
        <w:pStyle w:val="BodyText"/>
        <w:spacing w:line="240" w:lineRule="auto" w:before="166"/>
        <w:ind w:left="1134" w:right="0"/>
        <w:jc w:val="both"/>
      </w:pPr>
      <w:r>
        <w:rPr>
          <w:rFonts w:ascii="宋体" w:hAnsi="宋体" w:cs="宋体" w:eastAsia="宋体" w:hint="default"/>
        </w:rPr>
        <w:t>6</w:t>
      </w:r>
      <w:r>
        <w:rPr/>
        <w:t>、公司控股股东周亚辉先生持有的高管锁定股</w:t>
      </w:r>
      <w:r>
        <w:rPr>
          <w:rFonts w:ascii="宋体" w:hAnsi="宋体" w:cs="宋体" w:eastAsia="宋体" w:hint="default"/>
        </w:rPr>
        <w:t>284,175</w:t>
      </w:r>
      <w:r>
        <w:rPr/>
        <w:t>股于</w:t>
      </w:r>
      <w:r>
        <w:rPr>
          <w:rFonts w:ascii="宋体" w:hAnsi="宋体" w:cs="宋体" w:eastAsia="宋体" w:hint="default"/>
        </w:rPr>
        <w:t>2017</w:t>
      </w:r>
      <w:r>
        <w:rPr/>
        <w:t>年</w:t>
      </w:r>
      <w:r>
        <w:rPr>
          <w:rFonts w:ascii="宋体" w:hAnsi="宋体" w:cs="宋体" w:eastAsia="宋体" w:hint="default"/>
        </w:rPr>
        <w:t>1</w:t>
      </w:r>
      <w:r>
        <w:rPr/>
        <w:t>月</w:t>
      </w:r>
      <w:r>
        <w:rPr>
          <w:rFonts w:ascii="宋体" w:hAnsi="宋体" w:cs="宋体" w:eastAsia="宋体" w:hint="default"/>
        </w:rPr>
        <w:t>3</w:t>
      </w:r>
      <w:r>
        <w:rPr/>
        <w:t>日解除限售。</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before="0"/>
        <w:ind w:left="1133" w:right="0" w:firstLine="0"/>
        <w:jc w:val="both"/>
        <w:rPr>
          <w:rFonts w:ascii="宋体" w:hAnsi="宋体" w:cs="宋体" w:eastAsia="宋体" w:hint="default"/>
          <w:sz w:val="18"/>
          <w:szCs w:val="18"/>
        </w:rPr>
      </w:pPr>
      <w:r>
        <w:rPr>
          <w:rFonts w:ascii="宋体" w:hAnsi="宋体" w:cs="宋体" w:eastAsia="宋体" w:hint="default"/>
          <w:sz w:val="18"/>
          <w:szCs w:val="18"/>
        </w:rPr>
        <w:t>股份变动的批准情况</w:t>
      </w:r>
    </w:p>
    <w:p>
      <w:pPr>
        <w:pStyle w:val="BodyText"/>
        <w:spacing w:line="391" w:lineRule="auto" w:before="116"/>
        <w:ind w:right="998"/>
        <w:jc w:val="left"/>
      </w:pPr>
      <w:r>
        <w:rPr>
          <w:rFonts w:ascii="Times New Roman" w:hAnsi="Times New Roman" w:cs="Times New Roman" w:eastAsia="Times New Roman" w:hint="default"/>
          <w:sz w:val="18"/>
          <w:szCs w:val="18"/>
        </w:rPr>
        <w:t>√ </w:t>
      </w:r>
      <w:r>
        <w:rPr>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sz w:val="18"/>
          <w:szCs w:val="18"/>
        </w:rPr>
        <w:t>不适用 </w:t>
      </w:r>
      <w:r>
        <w:rPr>
          <w:rFonts w:ascii="Times New Roman" w:hAnsi="Times New Roman" w:cs="Times New Roman" w:eastAsia="Times New Roman" w:hint="default"/>
        </w:rPr>
        <w:t>1</w:t>
      </w:r>
      <w:r>
        <w:rPr/>
        <w:t>、公司回购注销部分限制性股票及限制性股票解锁事宜，已经由公司董事会审议通过，独立董事发表了 </w:t>
      </w:r>
      <w:r>
        <w:rPr>
          <w:spacing w:val="-1"/>
        </w:rPr>
        <w:t>同意的独立意见，并在中国登记结算有限责任公司深圳分公司办理完毕相关手续，相关公告披露在证监会</w:t>
      </w:r>
      <w:r>
        <w:rPr>
          <w:spacing w:val="-81"/>
        </w:rPr>
        <w:t> </w:t>
      </w:r>
      <w:r>
        <w:rPr>
          <w:spacing w:val="-81"/>
        </w:rPr>
      </w:r>
      <w:r>
        <w:rPr/>
        <w:t>指定的巨潮资讯网（</w:t>
      </w:r>
      <w:r>
        <w:rPr>
          <w:spacing w:val="-21"/>
        </w:rPr>
        <w:t> </w:t>
      </w:r>
      <w:r>
        <w:rPr>
          <w:rFonts w:ascii="Times New Roman" w:hAnsi="Times New Roman" w:cs="Times New Roman" w:eastAsia="Times New Roman" w:hint="default"/>
          <w:color w:val="0000FF"/>
          <w:spacing w:val="-21"/>
        </w:rPr>
      </w:r>
      <w:hyperlink r:id="rId11">
        <w:r>
          <w:rPr>
            <w:rFonts w:ascii="Times New Roman" w:hAnsi="Times New Roman" w:cs="Times New Roman" w:eastAsia="Times New Roman" w:hint="default"/>
            <w:color w:val="0000FF"/>
            <w:u w:val="single" w:color="0000FF"/>
          </w:rPr>
          <w:t>www.cninfo.com.cn</w:t>
        </w:r>
        <w:r>
          <w:rPr>
            <w:rFonts w:ascii="Times New Roman" w:hAnsi="Times New Roman" w:cs="Times New Roman" w:eastAsia="Times New Roman" w:hint="default"/>
            <w:color w:val="0000FF"/>
          </w:rPr>
        </w:r>
      </w:hyperlink>
      <w:r>
        <w:rPr/>
        <w:t>）。 </w:t>
      </w:r>
      <w:r>
        <w:rPr>
          <w:rFonts w:ascii="Times New Roman" w:hAnsi="Times New Roman" w:cs="Times New Roman" w:eastAsia="Times New Roman" w:hint="default"/>
        </w:rPr>
        <w:t>2</w:t>
      </w:r>
      <w:r>
        <w:rPr/>
        <w:t>、公司非公开发行股份事项经公司董事会和股东大会审议通过，并经中国证监会发行审核委员会审核通 过，相关公告披露在证监会指定的巨潮资讯网（</w:t>
      </w:r>
      <w:r>
        <w:rPr>
          <w:spacing w:val="-24"/>
        </w:rPr>
        <w:t> </w:t>
      </w:r>
      <w:hyperlink r:id="rId11">
        <w:r>
          <w:rPr>
            <w:rFonts w:ascii="Times New Roman" w:hAnsi="Times New Roman" w:cs="Times New Roman" w:eastAsia="Times New Roman" w:hint="default"/>
            <w:color w:val="0000FF"/>
            <w:spacing w:val="-24"/>
          </w:rPr>
        </w:r>
        <w:r>
          <w:rPr>
            <w:rFonts w:ascii="Times New Roman" w:hAnsi="Times New Roman" w:cs="Times New Roman" w:eastAsia="Times New Roman" w:hint="default"/>
            <w:color w:val="0000FF"/>
            <w:u w:val="single" w:color="0000FF"/>
          </w:rPr>
          <w:t>www.cninfo.com.cn</w:t>
        </w:r>
        <w:r>
          <w:rPr>
            <w:rFonts w:ascii="Times New Roman" w:hAnsi="Times New Roman" w:cs="Times New Roman" w:eastAsia="Times New Roman" w:hint="default"/>
            <w:color w:val="0000FF"/>
          </w:rPr>
        </w:r>
      </w:hyperlink>
      <w:r>
        <w:rPr/>
        <w:t>）。</w:t>
      </w:r>
    </w:p>
    <w:p>
      <w:pPr>
        <w:spacing w:line="240" w:lineRule="auto" w:before="4"/>
        <w:rPr>
          <w:rFonts w:ascii="宋体" w:hAnsi="宋体" w:cs="宋体" w:eastAsia="宋体" w:hint="default"/>
          <w:sz w:val="25"/>
          <w:szCs w:val="25"/>
        </w:rPr>
      </w:pPr>
    </w:p>
    <w:p>
      <w:pPr>
        <w:spacing w:before="0"/>
        <w:ind w:left="1133" w:right="0" w:firstLine="0"/>
        <w:jc w:val="both"/>
        <w:rPr>
          <w:rFonts w:ascii="宋体" w:hAnsi="宋体" w:cs="宋体" w:eastAsia="宋体" w:hint="default"/>
          <w:sz w:val="18"/>
          <w:szCs w:val="18"/>
        </w:rPr>
      </w:pPr>
      <w:r>
        <w:rPr>
          <w:rFonts w:ascii="宋体" w:hAnsi="宋体" w:cs="宋体" w:eastAsia="宋体" w:hint="default"/>
          <w:sz w:val="18"/>
          <w:szCs w:val="18"/>
        </w:rPr>
        <w:t>股份变动的过户情况</w:t>
      </w:r>
    </w:p>
    <w:p>
      <w:pPr>
        <w:spacing w:line="338" w:lineRule="auto" w:before="117"/>
        <w:ind w:left="1133" w:right="13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股份变动对最近一年和最近一期基本每股收益和稀释每股收益、归属于公司普通股股东的每股净资产等财务指标的影响</w:t>
      </w:r>
    </w:p>
    <w:p>
      <w:pPr>
        <w:spacing w:line="338" w:lineRule="auto" w:before="43"/>
        <w:ind w:left="1133" w:right="67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公司认为必要或证券监管机构要求披露的其他内容</w:t>
      </w:r>
    </w:p>
    <w:p>
      <w:pPr>
        <w:spacing w:before="42"/>
        <w:ind w:left="1133"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both"/>
        <w:rPr>
          <w:rFonts w:ascii="宋体" w:hAnsi="宋体" w:cs="宋体" w:eastAsia="宋体" w:hint="default"/>
          <w:sz w:val="18"/>
          <w:szCs w:val="18"/>
        </w:rPr>
        <w:sectPr>
          <w:pgSz w:w="11910" w:h="16840"/>
          <w:pgMar w:header="877" w:footer="979" w:top="1100" w:bottom="1160" w:left="0" w:right="0"/>
        </w:sectPr>
      </w:pPr>
    </w:p>
    <w:p>
      <w:pPr>
        <w:spacing w:line="240" w:lineRule="auto" w:before="9"/>
        <w:rPr>
          <w:rFonts w:ascii="宋体" w:hAnsi="宋体" w:cs="宋体" w:eastAsia="宋体" w:hint="default"/>
          <w:sz w:val="20"/>
          <w:szCs w:val="20"/>
        </w:rPr>
      </w:pPr>
    </w:p>
    <w:p>
      <w:pPr>
        <w:pStyle w:val="Heading6"/>
        <w:spacing w:line="240" w:lineRule="auto" w:before="35"/>
        <w:ind w:left="1133" w:right="998"/>
        <w:jc w:val="left"/>
        <w:rPr>
          <w:b w:val="0"/>
          <w:bCs w:val="0"/>
        </w:rPr>
      </w:pPr>
      <w:bookmarkStart w:name="2、限售股份变动情况" w:id="108"/>
      <w:bookmarkEnd w:id="108"/>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4"/>
        <w:rPr>
          <w:rFonts w:ascii="宋体" w:hAnsi="宋体" w:cs="宋体" w:eastAsia="宋体" w:hint="default"/>
          <w:b/>
          <w:bCs/>
          <w:sz w:val="23"/>
          <w:szCs w:val="23"/>
        </w:rPr>
      </w:pPr>
    </w:p>
    <w:p>
      <w:pPr>
        <w:spacing w:before="44"/>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151" w:type="dxa"/>
        <w:tblLayout w:type="fixed"/>
        <w:tblCellMar>
          <w:top w:w="0" w:type="dxa"/>
          <w:left w:w="0" w:type="dxa"/>
          <w:bottom w:w="0" w:type="dxa"/>
          <w:right w:w="0" w:type="dxa"/>
        </w:tblCellMar>
        <w:tblLook w:val="01E0"/>
      </w:tblPr>
      <w:tblGrid>
        <w:gridCol w:w="1363"/>
        <w:gridCol w:w="1369"/>
        <w:gridCol w:w="1370"/>
        <w:gridCol w:w="1369"/>
        <w:gridCol w:w="1369"/>
        <w:gridCol w:w="1370"/>
        <w:gridCol w:w="1361"/>
      </w:tblGrid>
      <w:tr>
        <w:trPr>
          <w:trHeight w:val="726" w:hRule="exact"/>
        </w:trPr>
        <w:tc>
          <w:tcPr>
            <w:tcW w:w="1363"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36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期初限售股数</w:t>
            </w:r>
          </w:p>
        </w:tc>
        <w:tc>
          <w:tcPr>
            <w:tcW w:w="137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588" w:right="45" w:hanging="540"/>
              <w:jc w:val="left"/>
              <w:rPr>
                <w:rFonts w:ascii="宋体" w:hAnsi="宋体" w:cs="宋体" w:eastAsia="宋体" w:hint="default"/>
                <w:sz w:val="18"/>
                <w:szCs w:val="18"/>
              </w:rPr>
            </w:pPr>
            <w:r>
              <w:rPr>
                <w:rFonts w:ascii="宋体" w:hAnsi="宋体" w:cs="宋体" w:eastAsia="宋体" w:hint="default"/>
                <w:sz w:val="18"/>
                <w:szCs w:val="18"/>
              </w:rPr>
              <w:t>本期解除限售股 数</w:t>
            </w:r>
          </w:p>
        </w:tc>
        <w:tc>
          <w:tcPr>
            <w:tcW w:w="136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586" w:right="47" w:hanging="540"/>
              <w:jc w:val="left"/>
              <w:rPr>
                <w:rFonts w:ascii="宋体" w:hAnsi="宋体" w:cs="宋体" w:eastAsia="宋体" w:hint="default"/>
                <w:sz w:val="18"/>
                <w:szCs w:val="18"/>
              </w:rPr>
            </w:pPr>
            <w:r>
              <w:rPr>
                <w:rFonts w:ascii="宋体" w:hAnsi="宋体" w:cs="宋体" w:eastAsia="宋体" w:hint="default"/>
                <w:sz w:val="18"/>
                <w:szCs w:val="18"/>
              </w:rPr>
              <w:t>本期增加限售股 数</w:t>
            </w:r>
          </w:p>
        </w:tc>
        <w:tc>
          <w:tcPr>
            <w:tcW w:w="136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6" w:right="0"/>
              <w:jc w:val="left"/>
              <w:rPr>
                <w:rFonts w:ascii="宋体" w:hAnsi="宋体" w:cs="宋体" w:eastAsia="宋体" w:hint="default"/>
                <w:sz w:val="18"/>
                <w:szCs w:val="18"/>
              </w:rPr>
            </w:pPr>
            <w:r>
              <w:rPr>
                <w:rFonts w:ascii="宋体" w:hAnsi="宋体" w:cs="宋体" w:eastAsia="宋体" w:hint="default"/>
                <w:sz w:val="18"/>
                <w:szCs w:val="18"/>
              </w:rPr>
              <w:t>期末限售股数</w:t>
            </w:r>
          </w:p>
        </w:tc>
        <w:tc>
          <w:tcPr>
            <w:tcW w:w="137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1361"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 w:right="0"/>
              <w:jc w:val="center"/>
              <w:rPr>
                <w:rFonts w:ascii="宋体" w:hAnsi="宋体" w:cs="宋体" w:eastAsia="宋体" w:hint="default"/>
                <w:sz w:val="18"/>
                <w:szCs w:val="18"/>
              </w:rPr>
            </w:pPr>
            <w:r>
              <w:rPr>
                <w:rFonts w:ascii="宋体" w:hAnsi="宋体" w:cs="宋体" w:eastAsia="宋体" w:hint="default"/>
                <w:sz w:val="18"/>
                <w:szCs w:val="18"/>
              </w:rPr>
              <w:t>拟解除限售日期</w:t>
            </w:r>
          </w:p>
        </w:tc>
      </w:tr>
      <w:tr>
        <w:trPr>
          <w:trHeight w:val="720" w:hRule="exact"/>
        </w:trPr>
        <w:tc>
          <w:tcPr>
            <w:tcW w:w="136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188,455,788</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284,175</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188,171,613</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2"/>
              <w:ind w:left="20" w:right="72"/>
              <w:jc w:val="left"/>
              <w:rPr>
                <w:rFonts w:ascii="宋体" w:hAnsi="宋体" w:cs="宋体" w:eastAsia="宋体" w:hint="default"/>
                <w:sz w:val="18"/>
                <w:szCs w:val="18"/>
              </w:rPr>
            </w:pPr>
            <w:r>
              <w:rPr>
                <w:rFonts w:ascii="宋体" w:hAnsi="宋体" w:cs="宋体" w:eastAsia="宋体" w:hint="default"/>
                <w:sz w:val="18"/>
                <w:szCs w:val="18"/>
              </w:rPr>
              <w:t>限售承诺，高管 锁定</w:t>
            </w:r>
          </w:p>
        </w:tc>
        <w:tc>
          <w:tcPr>
            <w:tcW w:w="1361"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2"/>
              <w:ind w:left="20" w:right="56"/>
              <w:jc w:val="left"/>
              <w:rPr>
                <w:rFonts w:ascii="宋体" w:hAnsi="宋体" w:cs="宋体" w:eastAsia="宋体" w:hint="default"/>
                <w:sz w:val="18"/>
                <w:szCs w:val="18"/>
              </w:rPr>
            </w:pPr>
            <w:r>
              <w:rPr>
                <w:rFonts w:ascii="宋体" w:hAnsi="宋体" w:cs="宋体" w:eastAsia="宋体" w:hint="default"/>
                <w:sz w:val="18"/>
                <w:szCs w:val="18"/>
              </w:rPr>
              <w:t>按照限售承诺分 批解除限售</w:t>
            </w:r>
          </w:p>
        </w:tc>
      </w:tr>
      <w:tr>
        <w:trPr>
          <w:trHeight w:val="1031" w:hRule="exact"/>
        </w:trPr>
        <w:tc>
          <w:tcPr>
            <w:tcW w:w="136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4" w:right="0"/>
              <w:jc w:val="left"/>
              <w:rPr>
                <w:rFonts w:ascii="宋体" w:hAnsi="宋体" w:cs="宋体" w:eastAsia="宋体" w:hint="default"/>
                <w:sz w:val="18"/>
                <w:szCs w:val="18"/>
              </w:rPr>
            </w:pPr>
            <w:r>
              <w:rPr>
                <w:rFonts w:ascii="宋体" w:hAnsi="宋体" w:cs="宋体" w:eastAsia="宋体" w:hint="default"/>
                <w:sz w:val="18"/>
                <w:szCs w:val="18"/>
              </w:rPr>
              <w:t>股权激励员工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28,299,392</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6,928,662</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w w:val="95"/>
                <w:sz w:val="18"/>
              </w:rPr>
              <w:t>-7,366,240</w:t>
            </w:r>
            <w:r>
              <w:rPr>
                <w:rFonts w:ascii="Times New Roman"/>
                <w:sz w:val="18"/>
              </w:rPr>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14,004,490</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52"/>
              <w:jc w:val="center"/>
              <w:rPr>
                <w:rFonts w:ascii="宋体" w:hAnsi="宋体" w:cs="宋体" w:eastAsia="宋体" w:hint="default"/>
                <w:sz w:val="18"/>
                <w:szCs w:val="18"/>
              </w:rPr>
            </w:pPr>
            <w:r>
              <w:rPr>
                <w:rFonts w:ascii="宋体" w:hAnsi="宋体" w:cs="宋体" w:eastAsia="宋体" w:hint="default"/>
                <w:sz w:val="18"/>
                <w:szCs w:val="18"/>
              </w:rPr>
              <w:t>激励计划锁定期</w:t>
            </w:r>
          </w:p>
        </w:tc>
        <w:tc>
          <w:tcPr>
            <w:tcW w:w="1361"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1"/>
              <w:ind w:left="20" w:right="56"/>
              <w:jc w:val="both"/>
              <w:rPr>
                <w:rFonts w:ascii="宋体" w:hAnsi="宋体" w:cs="宋体" w:eastAsia="宋体" w:hint="default"/>
                <w:sz w:val="18"/>
                <w:szCs w:val="18"/>
              </w:rPr>
            </w:pPr>
            <w:r>
              <w:rPr>
                <w:rFonts w:ascii="宋体" w:hAnsi="宋体" w:cs="宋体" w:eastAsia="宋体" w:hint="default"/>
                <w:sz w:val="18"/>
                <w:szCs w:val="18"/>
              </w:rPr>
              <w:t>根据公司《股权 激励计划》的相 关规定进行解锁</w:t>
            </w:r>
          </w:p>
        </w:tc>
      </w:tr>
      <w:tr>
        <w:trPr>
          <w:trHeight w:val="415" w:hRule="exact"/>
        </w:trPr>
        <w:tc>
          <w:tcPr>
            <w:tcW w:w="1363"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216,755,180</w:t>
            </w:r>
          </w:p>
        </w:tc>
        <w:tc>
          <w:tcPr>
            <w:tcW w:w="13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7,212,837</w:t>
            </w:r>
          </w:p>
        </w:tc>
        <w:tc>
          <w:tcPr>
            <w:tcW w:w="136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w w:val="95"/>
                <w:sz w:val="18"/>
              </w:rPr>
              <w:t>-7,366,240</w:t>
            </w:r>
            <w:r>
              <w:rPr>
                <w:rFonts w:ascii="Times New Roman"/>
                <w:sz w:val="18"/>
              </w:rPr>
            </w:r>
          </w:p>
        </w:tc>
        <w:tc>
          <w:tcPr>
            <w:tcW w:w="136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202,176,103</w:t>
            </w:r>
          </w:p>
        </w:tc>
        <w:tc>
          <w:tcPr>
            <w:tcW w:w="1370"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1" w:type="dxa"/>
            <w:tcBorders>
              <w:top w:val="single" w:sz="6" w:space="0" w:color="000000"/>
              <w:left w:val="single" w:sz="6" w:space="0" w:color="000000"/>
              <w:bottom w:val="single" w:sz="12" w:space="0" w:color="000000"/>
              <w:right w:val="single" w:sz="12" w:space="0" w:color="000000"/>
            </w:tcBorders>
            <w:shd w:val="clear" w:color="auto" w:fill="D2D2D2"/>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8"/>
          <w:szCs w:val="18"/>
        </w:rPr>
      </w:pPr>
    </w:p>
    <w:p>
      <w:pPr>
        <w:pStyle w:val="Heading4"/>
        <w:spacing w:line="240" w:lineRule="auto" w:before="26"/>
        <w:ind w:left="1134" w:right="998"/>
        <w:jc w:val="left"/>
        <w:rPr>
          <w:b w:val="0"/>
          <w:bCs w:val="0"/>
        </w:rPr>
      </w:pPr>
      <w:bookmarkStart w:name="二、证券发行与上市情况" w:id="109"/>
      <w:bookmarkEnd w:id="109"/>
      <w:r>
        <w:rPr>
          <w:b w:val="0"/>
          <w:bCs w:val="0"/>
        </w:rPr>
      </w:r>
      <w:r>
        <w:rPr/>
        <w:t>二、证券发行与上市情况</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报告期内证券发行（不含优先股）情况" w:id="110"/>
      <w:bookmarkEnd w:id="110"/>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8"/>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151" w:type="dxa"/>
        <w:tblLayout w:type="fixed"/>
        <w:tblCellMar>
          <w:top w:w="0" w:type="dxa"/>
          <w:left w:w="0" w:type="dxa"/>
          <w:bottom w:w="0" w:type="dxa"/>
          <w:right w:w="0" w:type="dxa"/>
        </w:tblCellMar>
        <w:tblLook w:val="01E0"/>
      </w:tblPr>
      <w:tblGrid>
        <w:gridCol w:w="1413"/>
        <w:gridCol w:w="1294"/>
        <w:gridCol w:w="1295"/>
        <w:gridCol w:w="1295"/>
        <w:gridCol w:w="1296"/>
        <w:gridCol w:w="1295"/>
        <w:gridCol w:w="1683"/>
      </w:tblGrid>
      <w:tr>
        <w:trPr>
          <w:trHeight w:val="727" w:hRule="exact"/>
        </w:trPr>
        <w:tc>
          <w:tcPr>
            <w:tcW w:w="1413"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319" w:lineRule="auto" w:before="51"/>
              <w:ind w:left="422" w:right="66" w:hanging="360"/>
              <w:jc w:val="left"/>
              <w:rPr>
                <w:rFonts w:ascii="宋体" w:hAnsi="宋体" w:cs="宋体" w:eastAsia="宋体" w:hint="default"/>
                <w:sz w:val="18"/>
                <w:szCs w:val="18"/>
              </w:rPr>
            </w:pPr>
            <w:r>
              <w:rPr>
                <w:rFonts w:ascii="宋体" w:hAnsi="宋体" w:cs="宋体" w:eastAsia="宋体" w:hint="default"/>
                <w:sz w:val="18"/>
                <w:szCs w:val="18"/>
              </w:rPr>
              <w:t>股票及其衍生证 券名称</w:t>
            </w:r>
          </w:p>
        </w:tc>
        <w:tc>
          <w:tcPr>
            <w:tcW w:w="1294"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发行日期</w:t>
            </w:r>
          </w:p>
        </w:tc>
        <w:tc>
          <w:tcPr>
            <w:tcW w:w="129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9" w:lineRule="auto" w:before="51"/>
              <w:ind w:left="459" w:right="21" w:hanging="440"/>
              <w:jc w:val="left"/>
              <w:rPr>
                <w:rFonts w:ascii="宋体" w:hAnsi="宋体" w:cs="宋体" w:eastAsia="宋体" w:hint="default"/>
                <w:sz w:val="18"/>
                <w:szCs w:val="18"/>
              </w:rPr>
            </w:pPr>
            <w:r>
              <w:rPr>
                <w:rFonts w:ascii="宋体" w:hAnsi="宋体" w:cs="宋体" w:eastAsia="宋体" w:hint="default"/>
                <w:spacing w:val="-4"/>
                <w:sz w:val="18"/>
                <w:szCs w:val="18"/>
              </w:rPr>
              <w:t>发行价格（或利</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率）</w:t>
            </w:r>
          </w:p>
        </w:tc>
        <w:tc>
          <w:tcPr>
            <w:tcW w:w="129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9" w:right="0"/>
              <w:jc w:val="left"/>
              <w:rPr>
                <w:rFonts w:ascii="宋体" w:hAnsi="宋体" w:cs="宋体" w:eastAsia="宋体" w:hint="default"/>
                <w:sz w:val="18"/>
                <w:szCs w:val="18"/>
              </w:rPr>
            </w:pPr>
            <w:r>
              <w:rPr>
                <w:rFonts w:ascii="宋体" w:hAnsi="宋体" w:cs="宋体" w:eastAsia="宋体" w:hint="default"/>
                <w:sz w:val="18"/>
                <w:szCs w:val="18"/>
              </w:rPr>
              <w:t>发行数量</w:t>
            </w:r>
          </w:p>
        </w:tc>
        <w:tc>
          <w:tcPr>
            <w:tcW w:w="129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9" w:right="0"/>
              <w:jc w:val="left"/>
              <w:rPr>
                <w:rFonts w:ascii="宋体" w:hAnsi="宋体" w:cs="宋体" w:eastAsia="宋体" w:hint="default"/>
                <w:sz w:val="18"/>
                <w:szCs w:val="18"/>
              </w:rPr>
            </w:pPr>
            <w:r>
              <w:rPr>
                <w:rFonts w:ascii="宋体" w:hAnsi="宋体" w:cs="宋体" w:eastAsia="宋体" w:hint="default"/>
                <w:sz w:val="18"/>
                <w:szCs w:val="18"/>
              </w:rPr>
              <w:t>上市日期</w:t>
            </w:r>
          </w:p>
        </w:tc>
        <w:tc>
          <w:tcPr>
            <w:tcW w:w="129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9" w:lineRule="auto" w:before="51"/>
              <w:ind w:left="460" w:right="99" w:hanging="361"/>
              <w:jc w:val="left"/>
              <w:rPr>
                <w:rFonts w:ascii="宋体" w:hAnsi="宋体" w:cs="宋体" w:eastAsia="宋体" w:hint="default"/>
                <w:sz w:val="18"/>
                <w:szCs w:val="18"/>
              </w:rPr>
            </w:pPr>
            <w:r>
              <w:rPr>
                <w:rFonts w:ascii="宋体" w:hAnsi="宋体" w:cs="宋体" w:eastAsia="宋体" w:hint="default"/>
                <w:sz w:val="18"/>
                <w:szCs w:val="18"/>
              </w:rPr>
              <w:t>获准上市交易 数量</w:t>
            </w:r>
          </w:p>
        </w:tc>
        <w:tc>
          <w:tcPr>
            <w:tcW w:w="1683"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93" w:right="0"/>
              <w:jc w:val="left"/>
              <w:rPr>
                <w:rFonts w:ascii="宋体" w:hAnsi="宋体" w:cs="宋体" w:eastAsia="宋体" w:hint="default"/>
                <w:sz w:val="18"/>
                <w:szCs w:val="18"/>
              </w:rPr>
            </w:pPr>
            <w:r>
              <w:rPr>
                <w:rFonts w:ascii="宋体" w:hAnsi="宋体" w:cs="宋体" w:eastAsia="宋体" w:hint="default"/>
                <w:sz w:val="18"/>
                <w:szCs w:val="18"/>
              </w:rPr>
              <w:t>交易终止日期</w:t>
            </w:r>
          </w:p>
        </w:tc>
      </w:tr>
      <w:tr>
        <w:trPr>
          <w:trHeight w:val="407" w:hRule="exact"/>
        </w:trPr>
        <w:tc>
          <w:tcPr>
            <w:tcW w:w="9571" w:type="dxa"/>
            <w:gridSpan w:val="7"/>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3"/>
              <w:ind w:left="14" w:right="0"/>
              <w:jc w:val="left"/>
              <w:rPr>
                <w:rFonts w:ascii="宋体" w:hAnsi="宋体" w:cs="宋体" w:eastAsia="宋体" w:hint="default"/>
                <w:sz w:val="18"/>
                <w:szCs w:val="18"/>
              </w:rPr>
            </w:pPr>
            <w:r>
              <w:rPr>
                <w:rFonts w:ascii="宋体" w:hAnsi="宋体" w:cs="宋体" w:eastAsia="宋体" w:hint="default"/>
                <w:sz w:val="18"/>
                <w:szCs w:val="18"/>
              </w:rPr>
              <w:t>股票类</w:t>
            </w:r>
          </w:p>
        </w:tc>
      </w:tr>
      <w:tr>
        <w:trPr>
          <w:trHeight w:val="719" w:hRule="exact"/>
        </w:trPr>
        <w:tc>
          <w:tcPr>
            <w:tcW w:w="1413" w:type="dxa"/>
            <w:tcBorders>
              <w:top w:val="single" w:sz="6" w:space="0" w:color="000000"/>
              <w:left w:val="single" w:sz="12" w:space="0" w:color="000000"/>
              <w:bottom w:val="single" w:sz="6" w:space="0" w:color="000000"/>
              <w:right w:val="single" w:sz="6" w:space="0" w:color="000000"/>
            </w:tcBorders>
          </w:tcPr>
          <w:p>
            <w:pPr>
              <w:pStyle w:val="TableParagraph"/>
              <w:spacing w:line="300" w:lineRule="auto" w:before="52"/>
              <w:ind w:left="14" w:right="74"/>
              <w:jc w:val="left"/>
              <w:rPr>
                <w:rFonts w:ascii="宋体" w:hAnsi="宋体" w:cs="宋体" w:eastAsia="宋体" w:hint="default"/>
                <w:sz w:val="18"/>
                <w:szCs w:val="18"/>
              </w:rPr>
            </w:pPr>
            <w:r>
              <w:rPr>
                <w:rFonts w:ascii="宋体" w:hAnsi="宋体" w:cs="宋体" w:eastAsia="宋体" w:hint="default"/>
                <w:sz w:val="18"/>
                <w:szCs w:val="18"/>
              </w:rPr>
              <w:t>非公开发行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 </w:t>
            </w:r>
            <w:r>
              <w:rPr>
                <w:rFonts w:ascii="宋体" w:hAnsi="宋体" w:cs="宋体" w:eastAsia="宋体" w:hint="default"/>
                <w:sz w:val="18"/>
                <w:szCs w:val="18"/>
              </w:rPr>
              <w:t>股 股票</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18.60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2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32,258,064</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32,258,064</w:t>
            </w:r>
          </w:p>
        </w:tc>
        <w:tc>
          <w:tcPr>
            <w:tcW w:w="1683" w:type="dxa"/>
            <w:tcBorders>
              <w:top w:val="single" w:sz="6" w:space="0" w:color="000000"/>
              <w:left w:val="single" w:sz="6" w:space="0" w:color="000000"/>
              <w:bottom w:val="single" w:sz="6" w:space="0" w:color="000000"/>
              <w:right w:val="single" w:sz="12" w:space="0" w:color="000000"/>
            </w:tcBorders>
          </w:tcPr>
          <w:p>
            <w:pPr/>
          </w:p>
        </w:tc>
      </w:tr>
      <w:tr>
        <w:trPr>
          <w:trHeight w:val="408" w:hRule="exact"/>
        </w:trPr>
        <w:tc>
          <w:tcPr>
            <w:tcW w:w="9571" w:type="dxa"/>
            <w:gridSpan w:val="7"/>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可转换公司债券、分离交易的可转换公司债券、公司债类</w:t>
            </w:r>
          </w:p>
        </w:tc>
      </w:tr>
      <w:tr>
        <w:trPr>
          <w:trHeight w:val="719" w:hRule="exact"/>
        </w:trPr>
        <w:tc>
          <w:tcPr>
            <w:tcW w:w="14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17 </w:t>
            </w:r>
            <w:r>
              <w:rPr>
                <w:rFonts w:ascii="宋体" w:hAnsi="宋体" w:cs="宋体" w:eastAsia="宋体" w:hint="default"/>
                <w:sz w:val="18"/>
                <w:szCs w:val="18"/>
              </w:rPr>
              <w:t>万维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S1</w:t>
            </w:r>
          </w:p>
        </w:tc>
        <w:tc>
          <w:tcPr>
            <w:tcW w:w="1294" w:type="dxa"/>
            <w:tcBorders>
              <w:top w:val="single" w:sz="6" w:space="0" w:color="000000"/>
              <w:left w:val="single" w:sz="6" w:space="0" w:color="000000"/>
              <w:bottom w:val="single" w:sz="6" w:space="0" w:color="000000"/>
              <w:right w:val="single" w:sz="6" w:space="0" w:color="000000"/>
            </w:tcBorders>
          </w:tcPr>
          <w:p>
            <w:pPr/>
          </w:p>
        </w:tc>
        <w:tc>
          <w:tcPr>
            <w:tcW w:w="12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7.00%</w:t>
            </w:r>
          </w:p>
        </w:tc>
        <w:tc>
          <w:tcPr>
            <w:tcW w:w="12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2,400,000</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2,400,000</w:t>
            </w:r>
          </w:p>
        </w:tc>
        <w:tc>
          <w:tcPr>
            <w:tcW w:w="168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7" w:hRule="exact"/>
        </w:trPr>
        <w:tc>
          <w:tcPr>
            <w:tcW w:w="9571" w:type="dxa"/>
            <w:gridSpan w:val="7"/>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其他衍生证券类</w:t>
            </w:r>
          </w:p>
        </w:tc>
      </w:tr>
      <w:tr>
        <w:trPr>
          <w:trHeight w:val="415" w:hRule="exact"/>
        </w:trPr>
        <w:tc>
          <w:tcPr>
            <w:tcW w:w="141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294" w:type="dxa"/>
            <w:tcBorders>
              <w:top w:val="single" w:sz="6" w:space="0" w:color="000000"/>
              <w:left w:val="single" w:sz="6" w:space="0" w:color="000000"/>
              <w:bottom w:val="single" w:sz="12" w:space="0" w:color="000000"/>
              <w:right w:val="single" w:sz="6" w:space="0" w:color="000000"/>
            </w:tcBorders>
          </w:tcPr>
          <w:p>
            <w:pPr/>
          </w:p>
        </w:tc>
        <w:tc>
          <w:tcPr>
            <w:tcW w:w="1295" w:type="dxa"/>
            <w:tcBorders>
              <w:top w:val="single" w:sz="6" w:space="0" w:color="000000"/>
              <w:left w:val="single" w:sz="6" w:space="0" w:color="000000"/>
              <w:bottom w:val="single" w:sz="12" w:space="0" w:color="000000"/>
              <w:right w:val="single" w:sz="6" w:space="0" w:color="000000"/>
            </w:tcBorders>
          </w:tcPr>
          <w:p>
            <w:pPr/>
          </w:p>
        </w:tc>
        <w:tc>
          <w:tcPr>
            <w:tcW w:w="1295" w:type="dxa"/>
            <w:tcBorders>
              <w:top w:val="single" w:sz="6" w:space="0" w:color="000000"/>
              <w:left w:val="single" w:sz="6" w:space="0" w:color="000000"/>
              <w:bottom w:val="single" w:sz="12" w:space="0" w:color="000000"/>
              <w:right w:val="single" w:sz="6" w:space="0" w:color="000000"/>
            </w:tcBorders>
          </w:tcPr>
          <w:p>
            <w:pPr/>
          </w:p>
        </w:tc>
        <w:tc>
          <w:tcPr>
            <w:tcW w:w="1296" w:type="dxa"/>
            <w:tcBorders>
              <w:top w:val="single" w:sz="6" w:space="0" w:color="000000"/>
              <w:left w:val="single" w:sz="6" w:space="0" w:color="000000"/>
              <w:bottom w:val="single" w:sz="12" w:space="0" w:color="000000"/>
              <w:right w:val="single" w:sz="6" w:space="0" w:color="000000"/>
            </w:tcBorders>
          </w:tcPr>
          <w:p>
            <w:pPr/>
          </w:p>
        </w:tc>
        <w:tc>
          <w:tcPr>
            <w:tcW w:w="1295" w:type="dxa"/>
            <w:tcBorders>
              <w:top w:val="single" w:sz="6" w:space="0" w:color="000000"/>
              <w:left w:val="single" w:sz="6" w:space="0" w:color="000000"/>
              <w:bottom w:val="single" w:sz="12" w:space="0" w:color="000000"/>
              <w:right w:val="single" w:sz="6" w:space="0" w:color="000000"/>
            </w:tcBorders>
          </w:tcPr>
          <w:p>
            <w:pPr/>
          </w:p>
        </w:tc>
        <w:tc>
          <w:tcPr>
            <w:tcW w:w="1683" w:type="dxa"/>
            <w:tcBorders>
              <w:top w:val="single" w:sz="6" w:space="0" w:color="000000"/>
              <w:left w:val="single" w:sz="6" w:space="0" w:color="000000"/>
              <w:bottom w:val="single" w:sz="12" w:space="0" w:color="000000"/>
              <w:right w:val="single" w:sz="12" w:space="0" w:color="000000"/>
            </w:tcBorders>
          </w:tcPr>
          <w:p>
            <w:pPr/>
          </w:p>
        </w:tc>
      </w:tr>
    </w:tbl>
    <w:p>
      <w:pPr>
        <w:spacing w:line="240" w:lineRule="auto" w:before="6"/>
        <w:rPr>
          <w:rFonts w:ascii="宋体" w:hAnsi="宋体" w:cs="宋体" w:eastAsia="宋体" w:hint="default"/>
          <w:sz w:val="6"/>
          <w:szCs w:val="6"/>
        </w:rPr>
      </w:pPr>
    </w:p>
    <w:p>
      <w:pPr>
        <w:spacing w:before="44"/>
        <w:ind w:left="1134" w:right="998" w:firstLine="0"/>
        <w:jc w:val="left"/>
        <w:rPr>
          <w:rFonts w:ascii="宋体" w:hAnsi="宋体" w:cs="宋体" w:eastAsia="宋体" w:hint="default"/>
          <w:sz w:val="18"/>
          <w:szCs w:val="18"/>
        </w:rPr>
      </w:pPr>
      <w:r>
        <w:rPr>
          <w:rFonts w:ascii="宋体" w:hAnsi="宋体" w:cs="宋体" w:eastAsia="宋体" w:hint="default"/>
          <w:sz w:val="18"/>
          <w:szCs w:val="18"/>
        </w:rPr>
        <w:t>报告期内证券发行（不含优先股）情况的说明</w:t>
      </w:r>
    </w:p>
    <w:p>
      <w:pPr>
        <w:spacing w:line="240" w:lineRule="auto" w:before="10"/>
        <w:rPr>
          <w:rFonts w:ascii="宋体" w:hAnsi="宋体" w:cs="宋体" w:eastAsia="宋体" w:hint="default"/>
          <w:sz w:val="20"/>
          <w:szCs w:val="20"/>
        </w:rPr>
      </w:pPr>
    </w:p>
    <w:p>
      <w:pPr>
        <w:spacing w:before="0"/>
        <w:ind w:left="149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19</w:t>
      </w:r>
      <w:r>
        <w:rPr>
          <w:rFonts w:ascii="宋体" w:hAnsi="宋体" w:cs="宋体" w:eastAsia="宋体" w:hint="default"/>
          <w:sz w:val="18"/>
          <w:szCs w:val="18"/>
        </w:rPr>
        <w:t>日，公司非公开发行获得中国证监会《关于核准北京昆仑万维科技股份有限公司非公开发行股票的批复》</w:t>
      </w:r>
    </w:p>
    <w:p>
      <w:pPr>
        <w:spacing w:line="240" w:lineRule="auto" w:before="9"/>
        <w:rPr>
          <w:rFonts w:ascii="宋体" w:hAnsi="宋体" w:cs="宋体" w:eastAsia="宋体" w:hint="default"/>
          <w:sz w:val="16"/>
          <w:szCs w:val="16"/>
        </w:rPr>
      </w:pPr>
    </w:p>
    <w:p>
      <w:pPr>
        <w:spacing w:line="451" w:lineRule="auto" w:before="0"/>
        <w:ind w:left="1134" w:right="998" w:firstLine="0"/>
        <w:jc w:val="left"/>
        <w:rPr>
          <w:rFonts w:ascii="宋体" w:hAnsi="宋体" w:cs="宋体" w:eastAsia="宋体" w:hint="default"/>
          <w:sz w:val="18"/>
          <w:szCs w:val="18"/>
        </w:rPr>
      </w:pPr>
      <w:r>
        <w:rPr>
          <w:rFonts w:ascii="宋体" w:hAnsi="宋体" w:cs="宋体" w:eastAsia="宋体" w:hint="default"/>
          <w:spacing w:val="-3"/>
          <w:sz w:val="18"/>
          <w:szCs w:val="18"/>
        </w:rPr>
        <w:t>（证监许可</w:t>
      </w:r>
      <w:r>
        <w:rPr>
          <w:rFonts w:ascii="Times New Roman" w:hAnsi="Times New Roman" w:cs="Times New Roman" w:eastAsia="Times New Roman" w:hint="default"/>
          <w:spacing w:val="-3"/>
          <w:sz w:val="18"/>
          <w:szCs w:val="18"/>
        </w:rPr>
        <w:t>[2016]3081</w:t>
      </w:r>
      <w:r>
        <w:rPr>
          <w:rFonts w:ascii="宋体" w:hAnsi="宋体" w:cs="宋体" w:eastAsia="宋体" w:hint="default"/>
          <w:spacing w:val="-3"/>
          <w:sz w:val="18"/>
          <w:szCs w:val="18"/>
        </w:rPr>
        <w:t>号）核准。</w:t>
      </w:r>
      <w:r>
        <w:rPr>
          <w:rFonts w:ascii="Times New Roman" w:hAnsi="Times New Roman" w:cs="Times New Roman" w:eastAsia="Times New Roman" w:hint="default"/>
          <w:spacing w:val="-3"/>
          <w:sz w:val="18"/>
          <w:szCs w:val="18"/>
        </w:rPr>
        <w:t>2017</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31</w:t>
      </w:r>
      <w:r>
        <w:rPr>
          <w:rFonts w:ascii="宋体" w:hAnsi="宋体" w:cs="宋体" w:eastAsia="宋体" w:hint="default"/>
          <w:spacing w:val="-3"/>
          <w:sz w:val="18"/>
          <w:szCs w:val="18"/>
        </w:rPr>
        <w:t>日公司在巨潮资讯网披露了《非公开发行</w:t>
      </w:r>
      <w:r>
        <w:rPr>
          <w:rFonts w:ascii="Times New Roman" w:hAnsi="Times New Roman" w:cs="Times New Roman" w:eastAsia="Times New Roman" w:hint="default"/>
          <w:spacing w:val="-3"/>
          <w:sz w:val="18"/>
          <w:szCs w:val="18"/>
        </w:rPr>
        <w:t>A</w:t>
      </w:r>
      <w:r>
        <w:rPr>
          <w:rFonts w:ascii="宋体" w:hAnsi="宋体" w:cs="宋体" w:eastAsia="宋体" w:hint="default"/>
          <w:spacing w:val="-3"/>
          <w:sz w:val="18"/>
          <w:szCs w:val="18"/>
        </w:rPr>
        <w:t>股股票之发行情况暨上市公告书》，</w:t>
      </w:r>
      <w:r>
        <w:rPr>
          <w:rFonts w:ascii="宋体" w:hAnsi="宋体" w:cs="宋体" w:eastAsia="宋体" w:hint="default"/>
          <w:spacing w:val="-55"/>
          <w:sz w:val="18"/>
          <w:szCs w:val="18"/>
        </w:rPr>
        <w:t> </w:t>
      </w:r>
      <w:r>
        <w:rPr>
          <w:rFonts w:ascii="宋体" w:hAnsi="宋体" w:cs="宋体" w:eastAsia="宋体" w:hint="default"/>
          <w:spacing w:val="-55"/>
          <w:sz w:val="18"/>
          <w:szCs w:val="18"/>
        </w:rPr>
      </w:r>
      <w:r>
        <w:rPr>
          <w:rFonts w:ascii="宋体" w:hAnsi="宋体" w:cs="宋体" w:eastAsia="宋体" w:hint="default"/>
          <w:sz w:val="18"/>
          <w:szCs w:val="18"/>
        </w:rPr>
        <w:t>公司本次非公开发行股份数为</w:t>
      </w:r>
      <w:r>
        <w:rPr>
          <w:rFonts w:ascii="Times New Roman" w:hAnsi="Times New Roman" w:cs="Times New Roman" w:eastAsia="Times New Roman" w:hint="default"/>
          <w:sz w:val="18"/>
          <w:szCs w:val="18"/>
        </w:rPr>
        <w:t>32,258,064</w:t>
      </w:r>
      <w:r>
        <w:rPr>
          <w:rFonts w:ascii="宋体" w:hAnsi="宋体" w:cs="宋体" w:eastAsia="宋体" w:hint="default"/>
          <w:sz w:val="18"/>
          <w:szCs w:val="18"/>
        </w:rPr>
        <w:t>股，于</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日在深圳证券交易所上市。</w:t>
      </w:r>
    </w:p>
    <w:p>
      <w:pPr>
        <w:spacing w:before="43"/>
        <w:ind w:left="149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22</w:t>
      </w:r>
      <w:r>
        <w:rPr>
          <w:rFonts w:ascii="宋体" w:hAnsi="宋体" w:cs="宋体" w:eastAsia="宋体" w:hint="default"/>
          <w:sz w:val="18"/>
          <w:szCs w:val="18"/>
        </w:rPr>
        <w:t>日，公司面向合格投资者公开发行创新创业公司债券，发行规模</w:t>
      </w:r>
      <w:r>
        <w:rPr>
          <w:rFonts w:ascii="Times New Roman" w:hAnsi="Times New Roman" w:cs="Times New Roman" w:eastAsia="Times New Roman" w:hint="default"/>
          <w:sz w:val="18"/>
          <w:szCs w:val="18"/>
        </w:rPr>
        <w:t>2.4</w:t>
      </w:r>
      <w:r>
        <w:rPr>
          <w:rFonts w:ascii="宋体" w:hAnsi="宋体" w:cs="宋体" w:eastAsia="宋体" w:hint="default"/>
          <w:sz w:val="18"/>
          <w:szCs w:val="18"/>
        </w:rPr>
        <w:t>亿元，债券利率</w:t>
      </w:r>
      <w:r>
        <w:rPr>
          <w:rFonts w:ascii="Times New Roman" w:hAnsi="Times New Roman" w:cs="Times New Roman" w:eastAsia="Times New Roman" w:hint="default"/>
          <w:sz w:val="18"/>
          <w:szCs w:val="18"/>
        </w:rPr>
        <w:t>7.00%</w:t>
      </w:r>
      <w:r>
        <w:rPr>
          <w:rFonts w:ascii="宋体" w:hAnsi="宋体" w:cs="宋体" w:eastAsia="宋体" w:hint="default"/>
          <w:sz w:val="18"/>
          <w:szCs w:val="18"/>
        </w:rPr>
        <w:t>，于</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w:t>
      </w:r>
    </w:p>
    <w:p>
      <w:pPr>
        <w:spacing w:line="240" w:lineRule="auto" w:before="10"/>
        <w:rPr>
          <w:rFonts w:ascii="宋体" w:hAnsi="宋体" w:cs="宋体" w:eastAsia="宋体" w:hint="default"/>
          <w:sz w:val="16"/>
          <w:szCs w:val="1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宋体" w:hAnsi="宋体" w:cs="宋体" w:eastAsia="宋体" w:hint="default"/>
          <w:sz w:val="18"/>
          <w:szCs w:val="18"/>
        </w:rPr>
        <w:t>日在深圳证券交易所上市。</w:t>
      </w:r>
    </w:p>
    <w:p>
      <w:pPr>
        <w:spacing w:after="0"/>
        <w:jc w:val="left"/>
        <w:rPr>
          <w:rFonts w:ascii="宋体" w:hAnsi="宋体" w:cs="宋体" w:eastAsia="宋体" w:hint="default"/>
          <w:sz w:val="18"/>
          <w:szCs w:val="18"/>
        </w:rPr>
        <w:sectPr>
          <w:pgSz w:w="11910" w:h="16840"/>
          <w:pgMar w:header="877" w:footer="979" w:top="1100" w:bottom="1160" w:left="0" w:right="0"/>
        </w:sectPr>
      </w:pPr>
    </w:p>
    <w:p>
      <w:pPr>
        <w:spacing w:line="240" w:lineRule="auto" w:before="10"/>
        <w:rPr>
          <w:rFonts w:ascii="宋体" w:hAnsi="宋体" w:cs="宋体" w:eastAsia="宋体" w:hint="default"/>
          <w:sz w:val="20"/>
          <w:szCs w:val="20"/>
        </w:rPr>
      </w:pPr>
    </w:p>
    <w:p>
      <w:pPr>
        <w:pStyle w:val="Heading6"/>
        <w:spacing w:line="240" w:lineRule="auto" w:before="35"/>
        <w:ind w:left="1133" w:right="0"/>
        <w:jc w:val="both"/>
        <w:rPr>
          <w:b w:val="0"/>
          <w:bCs w:val="0"/>
        </w:rPr>
      </w:pPr>
      <w:bookmarkStart w:name="2、公司股份总数及股东结构的变动、公司资产和负债结构的变动情况说明" w:id="111"/>
      <w:bookmarkEnd w:id="111"/>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17"/>
          <w:szCs w:val="17"/>
        </w:rPr>
      </w:pPr>
    </w:p>
    <w:p>
      <w:pPr>
        <w:pStyle w:val="BodyText"/>
        <w:spacing w:line="408" w:lineRule="auto"/>
        <w:ind w:right="1129"/>
        <w:jc w:val="both"/>
      </w:pPr>
      <w:r>
        <w:rPr>
          <w:rFonts w:ascii="宋体" w:hAnsi="宋体" w:cs="宋体" w:eastAsia="宋体" w:hint="default"/>
        </w:rPr>
        <w:t>1</w:t>
      </w:r>
      <w:r>
        <w:rPr/>
        <w:t>、公司于</w:t>
      </w:r>
      <w:r>
        <w:rPr>
          <w:rFonts w:ascii="宋体" w:hAnsi="宋体" w:cs="宋体" w:eastAsia="宋体" w:hint="default"/>
        </w:rPr>
        <w:t>2016</w:t>
      </w:r>
      <w:r>
        <w:rPr/>
        <w:t>年</w:t>
      </w:r>
      <w:r>
        <w:rPr>
          <w:rFonts w:ascii="宋体" w:hAnsi="宋体" w:cs="宋体" w:eastAsia="宋体" w:hint="default"/>
        </w:rPr>
        <w:t>10</w:t>
      </w:r>
      <w:r>
        <w:rPr/>
        <w:t>月</w:t>
      </w:r>
      <w:r>
        <w:rPr>
          <w:rFonts w:ascii="宋体" w:hAnsi="宋体" w:cs="宋体" w:eastAsia="宋体" w:hint="default"/>
        </w:rPr>
        <w:t>26</w:t>
      </w:r>
      <w:r>
        <w:rPr/>
        <w:t>日召开第二届董事会第四十四次会议和第二届监事会第二十一次会议分别审议通</w:t>
      </w:r>
      <w:r>
        <w:rPr>
          <w:spacing w:val="-37"/>
        </w:rPr>
        <w:t> </w:t>
      </w:r>
      <w:r>
        <w:rPr>
          <w:spacing w:val="-37"/>
        </w:rPr>
      </w:r>
      <w:r>
        <w:rPr>
          <w:spacing w:val="-1"/>
        </w:rPr>
        <w:t>过了《关于回购注销部分限制性股票的议案》，回购注销股份共计</w:t>
      </w:r>
      <w:r>
        <w:rPr>
          <w:rFonts w:ascii="宋体" w:hAnsi="宋体" w:cs="宋体" w:eastAsia="宋体" w:hint="default"/>
          <w:spacing w:val="-1"/>
        </w:rPr>
        <w:t>286,485</w:t>
      </w:r>
      <w:r>
        <w:rPr>
          <w:spacing w:val="-1"/>
        </w:rPr>
        <w:t>股，回购已于</w:t>
      </w:r>
      <w:r>
        <w:rPr>
          <w:rFonts w:ascii="宋体" w:hAnsi="宋体" w:cs="宋体" w:eastAsia="宋体" w:hint="default"/>
          <w:spacing w:val="-1"/>
        </w:rPr>
        <w:t>2017</w:t>
      </w:r>
      <w:r>
        <w:rPr>
          <w:spacing w:val="-1"/>
        </w:rPr>
        <w:t>年</w:t>
      </w:r>
      <w:r>
        <w:rPr>
          <w:rFonts w:ascii="宋体" w:hAnsi="宋体" w:cs="宋体" w:eastAsia="宋体" w:hint="default"/>
          <w:spacing w:val="-1"/>
        </w:rPr>
        <w:t>1</w:t>
      </w:r>
      <w:r>
        <w:rPr>
          <w:spacing w:val="-1"/>
        </w:rPr>
        <w:t>月</w:t>
      </w:r>
      <w:r>
        <w:rPr>
          <w:rFonts w:ascii="宋体" w:hAnsi="宋体" w:cs="宋体" w:eastAsia="宋体" w:hint="default"/>
          <w:spacing w:val="-1"/>
        </w:rPr>
        <w:t>16</w:t>
      </w:r>
      <w:r>
        <w:rPr>
          <w:spacing w:val="-1"/>
        </w:rPr>
        <w:t>日完</w:t>
      </w:r>
      <w:r>
        <w:rPr>
          <w:spacing w:val="-79"/>
        </w:rPr>
        <w:t> </w:t>
      </w:r>
      <w:r>
        <w:rPr/>
        <w:t>成。回购完成后，公司股份总数</w:t>
      </w:r>
      <w:r>
        <w:rPr>
          <w:rFonts w:ascii="宋体" w:hAnsi="宋体" w:cs="宋体" w:eastAsia="宋体" w:hint="default"/>
        </w:rPr>
        <w:t>1,127,152,504</w:t>
      </w:r>
      <w:r>
        <w:rPr/>
        <w:t>股调整为</w:t>
      </w:r>
      <w:r>
        <w:rPr>
          <w:rFonts w:ascii="宋体" w:hAnsi="宋体" w:cs="宋体" w:eastAsia="宋体" w:hint="default"/>
        </w:rPr>
        <w:t>1,126,866,019</w:t>
      </w:r>
      <w:r>
        <w:rPr/>
        <w:t>股。</w:t>
      </w:r>
    </w:p>
    <w:p>
      <w:pPr>
        <w:pStyle w:val="BodyText"/>
        <w:spacing w:line="408" w:lineRule="auto" w:before="166"/>
        <w:ind w:right="1131"/>
        <w:jc w:val="both"/>
      </w:pPr>
      <w:r>
        <w:rPr>
          <w:rFonts w:ascii="宋体" w:hAnsi="宋体" w:cs="宋体" w:eastAsia="宋体" w:hint="default"/>
          <w:spacing w:val="-1"/>
        </w:rPr>
        <w:t>2</w:t>
      </w:r>
      <w:r>
        <w:rPr>
          <w:spacing w:val="-1"/>
        </w:rPr>
        <w:t>、</w:t>
      </w:r>
      <w:r>
        <w:rPr>
          <w:rFonts w:ascii="宋体" w:hAnsi="宋体" w:cs="宋体" w:eastAsia="宋体" w:hint="default"/>
          <w:spacing w:val="-1"/>
        </w:rPr>
        <w:t>2017</w:t>
      </w:r>
      <w:r>
        <w:rPr>
          <w:spacing w:val="-1"/>
        </w:rPr>
        <w:t>年</w:t>
      </w:r>
      <w:r>
        <w:rPr>
          <w:rFonts w:ascii="宋体" w:hAnsi="宋体" w:cs="宋体" w:eastAsia="宋体" w:hint="default"/>
          <w:spacing w:val="-1"/>
        </w:rPr>
        <w:t>4</w:t>
      </w:r>
      <w:r>
        <w:rPr>
          <w:spacing w:val="-1"/>
        </w:rPr>
        <w:t>月</w:t>
      </w:r>
      <w:r>
        <w:rPr>
          <w:rFonts w:ascii="宋体" w:hAnsi="宋体" w:cs="宋体" w:eastAsia="宋体" w:hint="default"/>
          <w:spacing w:val="-1"/>
        </w:rPr>
        <w:t>6</w:t>
      </w:r>
      <w:r>
        <w:rPr>
          <w:spacing w:val="-1"/>
        </w:rPr>
        <w:t>日公司非公开发行的</w:t>
      </w:r>
      <w:r>
        <w:rPr>
          <w:rFonts w:ascii="宋体" w:hAnsi="宋体" w:cs="宋体" w:eastAsia="宋体" w:hint="default"/>
          <w:spacing w:val="-1"/>
        </w:rPr>
        <w:t>32,258,064</w:t>
      </w:r>
      <w:r>
        <w:rPr>
          <w:spacing w:val="-1"/>
        </w:rPr>
        <w:t>股在深圳证券交易所上市，公司的总股本由</w:t>
      </w:r>
      <w:r>
        <w:rPr>
          <w:rFonts w:ascii="宋体" w:hAnsi="宋体" w:cs="宋体" w:eastAsia="宋体" w:hint="default"/>
          <w:spacing w:val="-1"/>
        </w:rPr>
        <w:t>1,126,866,019</w:t>
      </w:r>
      <w:r>
        <w:rPr>
          <w:rFonts w:ascii="宋体" w:hAnsi="宋体" w:cs="宋体" w:eastAsia="宋体" w:hint="default"/>
          <w:spacing w:val="-70"/>
        </w:rPr>
        <w:t> </w:t>
      </w:r>
      <w:r>
        <w:rPr>
          <w:rFonts w:ascii="宋体" w:hAnsi="宋体" w:cs="宋体" w:eastAsia="宋体" w:hint="default"/>
          <w:spacing w:val="-70"/>
        </w:rPr>
      </w:r>
      <w:r>
        <w:rPr/>
        <w:t>股调整为</w:t>
      </w:r>
      <w:r>
        <w:rPr>
          <w:rFonts w:ascii="宋体" w:hAnsi="宋体" w:cs="宋体" w:eastAsia="宋体" w:hint="default"/>
        </w:rPr>
        <w:t>1,159,124,083</w:t>
      </w:r>
      <w:r>
        <w:rPr/>
        <w:t>股。</w:t>
      </w:r>
    </w:p>
    <w:p>
      <w:pPr>
        <w:pStyle w:val="BodyText"/>
        <w:spacing w:line="408" w:lineRule="auto" w:before="166"/>
        <w:ind w:right="1130"/>
        <w:jc w:val="both"/>
      </w:pPr>
      <w:r>
        <w:rPr>
          <w:rFonts w:ascii="宋体" w:hAnsi="宋体" w:cs="宋体" w:eastAsia="宋体" w:hint="default"/>
          <w:spacing w:val="-1"/>
        </w:rPr>
        <w:t>3</w:t>
      </w:r>
      <w:r>
        <w:rPr>
          <w:spacing w:val="-1"/>
        </w:rPr>
        <w:t>、公司于</w:t>
      </w:r>
      <w:r>
        <w:rPr>
          <w:rFonts w:ascii="宋体" w:hAnsi="宋体" w:cs="宋体" w:eastAsia="宋体" w:hint="default"/>
          <w:spacing w:val="-1"/>
        </w:rPr>
        <w:t>2017</w:t>
      </w:r>
      <w:r>
        <w:rPr>
          <w:spacing w:val="-1"/>
        </w:rPr>
        <w:t>年</w:t>
      </w:r>
      <w:r>
        <w:rPr>
          <w:rFonts w:ascii="宋体" w:hAnsi="宋体" w:cs="宋体" w:eastAsia="宋体" w:hint="default"/>
          <w:spacing w:val="-1"/>
        </w:rPr>
        <w:t>4</w:t>
      </w:r>
      <w:r>
        <w:rPr>
          <w:spacing w:val="-1"/>
        </w:rPr>
        <w:t>月</w:t>
      </w:r>
      <w:r>
        <w:rPr>
          <w:rFonts w:ascii="宋体" w:hAnsi="宋体" w:cs="宋体" w:eastAsia="宋体" w:hint="default"/>
          <w:spacing w:val="-1"/>
        </w:rPr>
        <w:t>24</w:t>
      </w:r>
      <w:r>
        <w:rPr>
          <w:spacing w:val="-1"/>
        </w:rPr>
        <w:t>日召开第二届董事会第五十四次会议和第二届监事会第二十五次会议分别审议通过</w:t>
      </w:r>
      <w:r>
        <w:rPr>
          <w:spacing w:val="-83"/>
        </w:rPr>
        <w:t> </w:t>
      </w:r>
      <w:r>
        <w:rPr>
          <w:spacing w:val="-83"/>
        </w:rPr>
      </w:r>
      <w:r>
        <w:rPr>
          <w:spacing w:val="-1"/>
        </w:rPr>
        <w:t>了《关于回购注销部分限制性股票的议案》。回购注销股份共计</w:t>
      </w:r>
      <w:r>
        <w:rPr>
          <w:rFonts w:ascii="宋体" w:hAnsi="宋体" w:cs="宋体" w:eastAsia="宋体" w:hint="default"/>
          <w:spacing w:val="-1"/>
        </w:rPr>
        <w:t>298,261</w:t>
      </w:r>
      <w:r>
        <w:rPr>
          <w:spacing w:val="-1"/>
        </w:rPr>
        <w:t>股，回购注销已于</w:t>
      </w:r>
      <w:r>
        <w:rPr>
          <w:rFonts w:ascii="宋体" w:hAnsi="宋体" w:cs="宋体" w:eastAsia="宋体" w:hint="default"/>
          <w:spacing w:val="-1"/>
        </w:rPr>
        <w:t>2017</w:t>
      </w:r>
      <w:r>
        <w:rPr>
          <w:spacing w:val="-1"/>
        </w:rPr>
        <w:t>年</w:t>
      </w:r>
      <w:r>
        <w:rPr>
          <w:rFonts w:ascii="宋体" w:hAnsi="宋体" w:cs="宋体" w:eastAsia="宋体" w:hint="default"/>
          <w:spacing w:val="-1"/>
        </w:rPr>
        <w:t>8</w:t>
      </w:r>
      <w:r>
        <w:rPr>
          <w:spacing w:val="-1"/>
        </w:rPr>
        <w:t>月</w:t>
      </w:r>
      <w:r>
        <w:rPr>
          <w:rFonts w:ascii="宋体" w:hAnsi="宋体" w:cs="宋体" w:eastAsia="宋体" w:hint="default"/>
          <w:spacing w:val="-1"/>
        </w:rPr>
        <w:t>23</w:t>
      </w:r>
      <w:r>
        <w:rPr>
          <w:spacing w:val="-1"/>
        </w:rPr>
        <w:t>日</w:t>
      </w:r>
      <w:r>
        <w:rPr>
          <w:spacing w:val="-80"/>
        </w:rPr>
        <w:t> </w:t>
      </w:r>
      <w:r>
        <w:rPr/>
        <w:t>完成。回购注销完成后，公司的总股本由</w:t>
      </w:r>
      <w:r>
        <w:rPr>
          <w:rFonts w:ascii="宋体" w:hAnsi="宋体" w:cs="宋体" w:eastAsia="宋体" w:hint="default"/>
        </w:rPr>
        <w:t>1,159,124,083</w:t>
      </w:r>
      <w:r>
        <w:rPr/>
        <w:t>股调整为</w:t>
      </w:r>
      <w:r>
        <w:rPr>
          <w:rFonts w:ascii="宋体" w:hAnsi="宋体" w:cs="宋体" w:eastAsia="宋体" w:hint="default"/>
        </w:rPr>
        <w:t>1,158,825,822</w:t>
      </w:r>
      <w:r>
        <w:rPr/>
        <w:t>股。</w:t>
      </w:r>
    </w:p>
    <w:p>
      <w:pPr>
        <w:pStyle w:val="BodyText"/>
        <w:spacing w:line="240" w:lineRule="auto" w:before="166"/>
        <w:ind w:right="0"/>
        <w:jc w:val="both"/>
      </w:pPr>
      <w:r>
        <w:rPr>
          <w:rFonts w:ascii="宋体" w:hAnsi="宋体" w:cs="宋体" w:eastAsia="宋体" w:hint="default"/>
        </w:rPr>
        <w:t>4</w:t>
      </w:r>
      <w:r>
        <w:rPr/>
        <w:t>、公司于</w:t>
      </w:r>
      <w:r>
        <w:rPr>
          <w:rFonts w:ascii="宋体" w:hAnsi="宋体" w:cs="宋体" w:eastAsia="宋体" w:hint="default"/>
        </w:rPr>
        <w:t>2017</w:t>
      </w:r>
      <w:r>
        <w:rPr/>
        <w:t>年</w:t>
      </w:r>
      <w:r>
        <w:rPr>
          <w:rFonts w:ascii="宋体" w:hAnsi="宋体" w:cs="宋体" w:eastAsia="宋体" w:hint="default"/>
        </w:rPr>
        <w:t>6</w:t>
      </w:r>
      <w:r>
        <w:rPr/>
        <w:t>月</w:t>
      </w:r>
      <w:r>
        <w:rPr>
          <w:rFonts w:ascii="宋体" w:hAnsi="宋体" w:cs="宋体" w:eastAsia="宋体" w:hint="default"/>
        </w:rPr>
        <w:t>22</w:t>
      </w:r>
      <w:r>
        <w:rPr/>
        <w:t>日召开第二届董事会第六十次会议和第二届监事会第二十七次会议分别审议通过了</w:t>
      </w:r>
    </w:p>
    <w:p>
      <w:pPr>
        <w:spacing w:line="240" w:lineRule="auto" w:before="10"/>
        <w:rPr>
          <w:rFonts w:ascii="宋体" w:hAnsi="宋体" w:cs="宋体" w:eastAsia="宋体" w:hint="default"/>
          <w:sz w:val="14"/>
          <w:szCs w:val="14"/>
        </w:rPr>
      </w:pPr>
    </w:p>
    <w:p>
      <w:pPr>
        <w:pStyle w:val="BodyText"/>
        <w:spacing w:line="408" w:lineRule="auto"/>
        <w:ind w:right="1133"/>
        <w:jc w:val="both"/>
      </w:pPr>
      <w:r>
        <w:rPr>
          <w:spacing w:val="13"/>
        </w:rPr>
        <w:t>《关于回购注销未达到第一期解锁条件的限制性股票的议案》，对第一个解锁期未达到解锁条件的</w:t>
      </w:r>
      <w:r>
        <w:rPr>
          <w:spacing w:val="-75"/>
        </w:rPr>
        <w:t> </w:t>
      </w:r>
      <w:r>
        <w:rPr>
          <w:spacing w:val="-75"/>
        </w:rPr>
      </w:r>
      <w:r>
        <w:rPr>
          <w:rFonts w:ascii="宋体" w:hAnsi="宋体" w:cs="宋体" w:eastAsia="宋体" w:hint="default"/>
        </w:rPr>
        <w:t>6,928,662</w:t>
      </w:r>
      <w:r>
        <w:rPr>
          <w:rFonts w:ascii="宋体" w:hAnsi="宋体" w:cs="宋体" w:eastAsia="宋体" w:hint="default"/>
          <w:spacing w:val="-83"/>
        </w:rPr>
        <w:t> </w:t>
      </w:r>
      <w:r>
        <w:rPr>
          <w:spacing w:val="16"/>
        </w:rPr>
        <w:t>股限制性股票进行回购注销，</w:t>
      </w:r>
      <w:r>
        <w:rPr>
          <w:spacing w:val="-85"/>
        </w:rPr>
        <w:t> </w:t>
      </w:r>
      <w:r>
        <w:rPr>
          <w:spacing w:val="15"/>
        </w:rPr>
        <w:t>本次回购注销已于</w:t>
      </w:r>
      <w:r>
        <w:rPr>
          <w:spacing w:val="-77"/>
        </w:rPr>
        <w:t> </w:t>
      </w:r>
      <w:r>
        <w:rPr>
          <w:rFonts w:ascii="宋体" w:hAnsi="宋体" w:cs="宋体" w:eastAsia="宋体" w:hint="default"/>
        </w:rPr>
        <w:t>2017</w:t>
      </w:r>
      <w:r>
        <w:rPr>
          <w:rFonts w:ascii="宋体" w:hAnsi="宋体" w:cs="宋体" w:eastAsia="宋体" w:hint="default"/>
          <w:spacing w:val="-83"/>
        </w:rPr>
        <w:t> </w:t>
      </w:r>
      <w:r>
        <w:rPr/>
        <w:t>年</w:t>
      </w:r>
      <w:r>
        <w:rPr>
          <w:spacing w:val="-84"/>
        </w:rPr>
        <w:t> </w:t>
      </w:r>
      <w:r>
        <w:rPr>
          <w:rFonts w:ascii="宋体" w:hAnsi="宋体" w:cs="宋体" w:eastAsia="宋体" w:hint="default"/>
        </w:rPr>
        <w:t>11</w:t>
      </w:r>
      <w:r>
        <w:rPr>
          <w:rFonts w:ascii="宋体" w:hAnsi="宋体" w:cs="宋体" w:eastAsia="宋体" w:hint="default"/>
          <w:spacing w:val="-84"/>
        </w:rPr>
        <w:t> </w:t>
      </w:r>
      <w:r>
        <w:rPr>
          <w:spacing w:val="6"/>
        </w:rPr>
        <w:t>月</w:t>
      </w:r>
      <w:r>
        <w:rPr>
          <w:rFonts w:ascii="宋体" w:hAnsi="宋体" w:cs="宋体" w:eastAsia="宋体" w:hint="default"/>
          <w:spacing w:val="6"/>
        </w:rPr>
        <w:t>13</w:t>
      </w:r>
      <w:r>
        <w:rPr>
          <w:rFonts w:ascii="宋体" w:hAnsi="宋体" w:cs="宋体" w:eastAsia="宋体" w:hint="default"/>
          <w:spacing w:val="-83"/>
        </w:rPr>
        <w:t> </w:t>
      </w:r>
      <w:r>
        <w:rPr>
          <w:spacing w:val="16"/>
        </w:rPr>
        <w:t>日完成，公司的总股本由</w:t>
      </w:r>
    </w:p>
    <w:p>
      <w:pPr>
        <w:pStyle w:val="BodyText"/>
        <w:spacing w:line="240" w:lineRule="auto" w:before="46"/>
        <w:ind w:right="0"/>
        <w:jc w:val="both"/>
      </w:pPr>
      <w:r>
        <w:rPr>
          <w:rFonts w:ascii="宋体" w:hAnsi="宋体" w:cs="宋体" w:eastAsia="宋体" w:hint="default"/>
        </w:rPr>
        <w:t>1,158,825,822</w:t>
      </w:r>
      <w:r>
        <w:rPr/>
        <w:t>股调整为</w:t>
      </w:r>
      <w:r>
        <w:rPr>
          <w:rFonts w:ascii="宋体" w:hAnsi="宋体" w:cs="宋体" w:eastAsia="宋体" w:hint="default"/>
        </w:rPr>
        <w:t>1,151,897,160</w:t>
      </w:r>
      <w:r>
        <w:rPr/>
        <w:t>股。</w:t>
      </w:r>
    </w:p>
    <w:p>
      <w:pPr>
        <w:spacing w:line="240" w:lineRule="auto" w:before="0"/>
        <w:rPr>
          <w:rFonts w:ascii="宋体" w:hAnsi="宋体" w:cs="宋体" w:eastAsia="宋体" w:hint="default"/>
          <w:sz w:val="20"/>
          <w:szCs w:val="20"/>
        </w:rPr>
      </w:pPr>
    </w:p>
    <w:p>
      <w:pPr>
        <w:pStyle w:val="Heading6"/>
        <w:spacing w:line="240" w:lineRule="auto" w:before="155"/>
        <w:ind w:left="1133" w:right="0"/>
        <w:jc w:val="both"/>
        <w:rPr>
          <w:b w:val="0"/>
          <w:bCs w:val="0"/>
        </w:rPr>
      </w:pPr>
      <w:bookmarkStart w:name="3、现存的内部职工股情况" w:id="112"/>
      <w:bookmarkEnd w:id="112"/>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before="0"/>
        <w:ind w:left="0" w:right="1104" w:firstLine="0"/>
        <w:jc w:val="right"/>
        <w:rPr>
          <w:rFonts w:ascii="宋体" w:hAnsi="宋体" w:cs="宋体" w:eastAsia="宋体" w:hint="default"/>
          <w:sz w:val="18"/>
          <w:szCs w:val="18"/>
        </w:rPr>
      </w:pPr>
      <w:r>
        <w:rPr/>
        <w:pict>
          <v:shape style="position:absolute;margin-left:57.66pt;margin-top:-44.808273pt;width:480.75pt;height:94.5pt;mso-position-horizontal-relative:page;mso-position-vertical-relative:paragraph;z-index:21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31"/>
                    <w:gridCol w:w="3848"/>
                    <w:gridCol w:w="3192"/>
                  </w:tblGrid>
                  <w:tr>
                    <w:trPr>
                      <w:trHeight w:val="415" w:hRule="exact"/>
                    </w:trPr>
                    <w:tc>
                      <w:tcPr>
                        <w:tcW w:w="2531"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349" w:right="0"/>
                          <w:jc w:val="left"/>
                          <w:rPr>
                            <w:rFonts w:ascii="宋体" w:hAnsi="宋体" w:cs="宋体" w:eastAsia="宋体" w:hint="default"/>
                            <w:sz w:val="18"/>
                            <w:szCs w:val="18"/>
                          </w:rPr>
                        </w:pPr>
                        <w:r>
                          <w:rPr>
                            <w:rFonts w:ascii="宋体" w:hAnsi="宋体" w:cs="宋体" w:eastAsia="宋体" w:hint="default"/>
                            <w:sz w:val="18"/>
                            <w:szCs w:val="18"/>
                          </w:rPr>
                          <w:t>内部职工股的发行日期</w:t>
                        </w:r>
                      </w:p>
                    </w:tc>
                    <w:tc>
                      <w:tcPr>
                        <w:tcW w:w="384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631" w:right="0"/>
                          <w:jc w:val="left"/>
                          <w:rPr>
                            <w:rFonts w:ascii="宋体" w:hAnsi="宋体" w:cs="宋体" w:eastAsia="宋体" w:hint="default"/>
                            <w:sz w:val="18"/>
                            <w:szCs w:val="18"/>
                          </w:rPr>
                        </w:pPr>
                        <w:r>
                          <w:rPr>
                            <w:rFonts w:ascii="宋体" w:hAnsi="宋体" w:cs="宋体" w:eastAsia="宋体" w:hint="default"/>
                            <w:sz w:val="18"/>
                            <w:szCs w:val="18"/>
                          </w:rPr>
                          <w:t>内部职工股的发行价格（元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3192"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418" w:right="0"/>
                          <w:jc w:val="left"/>
                          <w:rPr>
                            <w:rFonts w:ascii="宋体" w:hAnsi="宋体" w:cs="宋体" w:eastAsia="宋体" w:hint="default"/>
                            <w:sz w:val="18"/>
                            <w:szCs w:val="18"/>
                          </w:rPr>
                        </w:pPr>
                        <w:r>
                          <w:rPr>
                            <w:rFonts w:ascii="宋体" w:hAnsi="宋体" w:cs="宋体" w:eastAsia="宋体" w:hint="default"/>
                            <w:sz w:val="18"/>
                            <w:szCs w:val="18"/>
                          </w:rPr>
                          <w:t>内部职工股的发行数量（股）</w:t>
                        </w:r>
                      </w:p>
                    </w:tc>
                  </w:tr>
                  <w:tr>
                    <w:trPr>
                      <w:trHeight w:val="407" w:hRule="exact"/>
                    </w:trPr>
                    <w:tc>
                      <w:tcPr>
                        <w:tcW w:w="253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36.69</w:t>
                        </w:r>
                      </w:p>
                    </w:tc>
                    <w:tc>
                      <w:tcPr>
                        <w:tcW w:w="31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7,231,000</w:t>
                        </w:r>
                      </w:p>
                    </w:tc>
                  </w:tr>
                  <w:tr>
                    <w:trPr>
                      <w:trHeight w:val="1039" w:hRule="exact"/>
                    </w:trPr>
                    <w:tc>
                      <w:tcPr>
                        <w:tcW w:w="2531"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3" w:right="0"/>
                          <w:jc w:val="left"/>
                          <w:rPr>
                            <w:rFonts w:ascii="宋体" w:hAnsi="宋体" w:cs="宋体" w:eastAsia="宋体" w:hint="default"/>
                            <w:sz w:val="18"/>
                            <w:szCs w:val="18"/>
                          </w:rPr>
                        </w:pPr>
                        <w:r>
                          <w:rPr>
                            <w:rFonts w:ascii="宋体" w:hAnsi="宋体" w:cs="宋体" w:eastAsia="宋体" w:hint="default"/>
                            <w:sz w:val="18"/>
                            <w:szCs w:val="18"/>
                          </w:rPr>
                          <w:t>现存的内部职工股情况的说明</w:t>
                        </w:r>
                      </w:p>
                    </w:tc>
                    <w:tc>
                      <w:tcPr>
                        <w:tcW w:w="7039" w:type="dxa"/>
                        <w:gridSpan w:val="2"/>
                        <w:tcBorders>
                          <w:top w:val="single" w:sz="6" w:space="0" w:color="000000"/>
                          <w:left w:val="single" w:sz="6" w:space="0" w:color="000000"/>
                          <w:bottom w:val="single" w:sz="12" w:space="0" w:color="000000"/>
                          <w:right w:val="single" w:sz="12" w:space="0" w:color="000000"/>
                        </w:tcBorders>
                      </w:tcPr>
                      <w:p>
                        <w:pPr>
                          <w:pStyle w:val="TableParagraph"/>
                          <w:spacing w:line="300" w:lineRule="auto" w:before="52"/>
                          <w:ind w:left="20" w:right="11"/>
                          <w:jc w:val="left"/>
                          <w:rPr>
                            <w:rFonts w:ascii="宋体" w:hAnsi="宋体" w:cs="宋体" w:eastAsia="宋体" w:hint="default"/>
                            <w:sz w:val="18"/>
                            <w:szCs w:val="18"/>
                          </w:rPr>
                        </w:pPr>
                        <w:r>
                          <w:rPr>
                            <w:rFonts w:ascii="宋体" w:hAnsi="宋体" w:cs="宋体" w:eastAsia="宋体" w:hint="default"/>
                            <w:spacing w:val="-3"/>
                            <w:sz w:val="18"/>
                            <w:szCs w:val="18"/>
                          </w:rPr>
                          <w:t>公司向内部员工定向发行授予的股份，自发行日起的</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pacing w:val="-7"/>
                            <w:sz w:val="18"/>
                            <w:szCs w:val="18"/>
                          </w:rPr>
                          <w:t>个月为锁定期，之后每</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w:t>
                        </w:r>
                        <w:r>
                          <w:rPr>
                            <w:rFonts w:ascii="宋体" w:hAnsi="宋体" w:cs="宋体" w:eastAsia="宋体" w:hint="default"/>
                            <w:spacing w:val="-88"/>
                            <w:sz w:val="18"/>
                            <w:szCs w:val="18"/>
                          </w:rPr>
                          <w:t> </w:t>
                        </w:r>
                        <w:r>
                          <w:rPr>
                            <w:rFonts w:ascii="宋体" w:hAnsi="宋体" w:cs="宋体" w:eastAsia="宋体" w:hint="default"/>
                            <w:sz w:val="18"/>
                            <w:szCs w:val="18"/>
                          </w:rPr>
                          <w:t>持有内部职工股的员工可解锁所持股份的 </w:t>
                        </w:r>
                        <w:r>
                          <w:rPr>
                            <w:rFonts w:ascii="Times New Roman" w:hAnsi="Times New Roman" w:cs="Times New Roman" w:eastAsia="Times New Roman" w:hint="default"/>
                            <w:spacing w:val="-6"/>
                            <w:sz w:val="18"/>
                            <w:szCs w:val="18"/>
                          </w:rPr>
                          <w:t>25%</w:t>
                        </w:r>
                        <w:r>
                          <w:rPr>
                            <w:rFonts w:ascii="宋体" w:hAnsi="宋体" w:cs="宋体" w:eastAsia="宋体" w:hint="default"/>
                            <w:spacing w:val="-6"/>
                            <w:sz w:val="18"/>
                            <w:szCs w:val="18"/>
                          </w:rPr>
                          <w:t>。具体请参考本报告第五节</w:t>
                        </w:r>
                        <w:r>
                          <w:rPr>
                            <w:rFonts w:ascii="宋体" w:hAnsi="宋体" w:cs="宋体" w:eastAsia="宋体" w:hint="default"/>
                            <w:spacing w:val="7"/>
                            <w:sz w:val="18"/>
                            <w:szCs w:val="18"/>
                          </w:rPr>
                          <w:t> </w:t>
                        </w:r>
                        <w:r>
                          <w:rPr>
                            <w:rFonts w:ascii="宋体" w:hAnsi="宋体" w:cs="宋体" w:eastAsia="宋体" w:hint="default"/>
                            <w:spacing w:val="-1"/>
                            <w:w w:val="100"/>
                            <w:sz w:val="18"/>
                            <w:szCs w:val="18"/>
                          </w:rPr>
                          <w:t>重要事项的</w:t>
                        </w:r>
                        <w:r>
                          <w:rPr>
                            <w:rFonts w:ascii="Times New Roman" w:hAnsi="Times New Roman" w:cs="Times New Roman" w:eastAsia="Times New Roman" w:hint="default"/>
                            <w:spacing w:val="-1"/>
                            <w:w w:val="100"/>
                            <w:sz w:val="18"/>
                            <w:szCs w:val="18"/>
                          </w:rPr>
                          <w:t>“</w:t>
                        </w:r>
                        <w:r>
                          <w:rPr>
                            <w:rFonts w:ascii="宋体" w:hAnsi="宋体" w:cs="宋体" w:eastAsia="宋体" w:hint="default"/>
                            <w:spacing w:val="-1"/>
                            <w:w w:val="100"/>
                            <w:sz w:val="18"/>
                            <w:szCs w:val="18"/>
                          </w:rPr>
                          <w:t>十</w:t>
                        </w:r>
                        <w:r>
                          <w:rPr>
                            <w:rFonts w:ascii="宋体" w:hAnsi="宋体" w:cs="宋体" w:eastAsia="宋体" w:hint="default"/>
                            <w:sz w:val="18"/>
                            <w:szCs w:val="18"/>
                          </w:rPr>
                          <w:t> 四、公司股权激励计划、员工持股计划或其他员工激励措施的实施情况</w:t>
                        </w:r>
                        <w:r>
                          <w:rPr>
                            <w:rFonts w:ascii="Times New Roman" w:hAnsi="Times New Roman" w:cs="Times New Roman" w:eastAsia="Times New Roman" w:hint="default"/>
                            <w:sz w:val="18"/>
                            <w:szCs w:val="18"/>
                          </w:rPr>
                          <w:t>”</w:t>
                        </w:r>
                        <w:r>
                          <w:rPr>
                            <w:rFonts w:ascii="宋体" w:hAnsi="宋体" w:cs="宋体" w:eastAsia="宋体" w:hint="default"/>
                            <w:sz w:val="18"/>
                            <w:szCs w:val="18"/>
                          </w:rPr>
                          <w:t>描述。</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Heading4"/>
        <w:spacing w:line="240" w:lineRule="auto" w:before="26"/>
        <w:ind w:left="1134" w:right="998"/>
        <w:jc w:val="left"/>
        <w:rPr>
          <w:b w:val="0"/>
          <w:bCs w:val="0"/>
        </w:rPr>
      </w:pPr>
      <w:bookmarkStart w:name="三、股东和实际控制人情况" w:id="113"/>
      <w:bookmarkEnd w:id="113"/>
      <w:r>
        <w:rPr>
          <w:b w:val="0"/>
          <w:bCs w:val="0"/>
        </w:rPr>
      </w:r>
      <w:r>
        <w:rPr/>
        <w:t>三、股东和实际控制人情况</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公司股东数量及持股情况" w:id="114"/>
      <w:bookmarkEnd w:id="114"/>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pict>
          <v:shape style="position:absolute;margin-left:450.957001pt;margin-top:71.531723pt;width:85.25pt;height:31.2pt;mso-position-horizontal-relative:page;mso-position-vertical-relative:paragraph;z-index:-1135912" type="#_x0000_t202" filled="false" stroked="false">
            <v:textbox inset="0,0,0,0">
              <w:txbxContent>
                <w:p>
                  <w:pPr>
                    <w:spacing w:line="20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（如有）</w:t>
                  </w:r>
                </w:p>
              </w:txbxContent>
            </v:textbox>
            <w10:wrap type="none"/>
          </v:shape>
        </w:pict>
      </w:r>
      <w:r>
        <w:rPr/>
        <w:pict>
          <v:group style="position:absolute;margin-left:484.200012pt;margin-top:71.531723pt;width:52pt;height:31.2pt;mso-position-horizontal-relative:page;mso-position-vertical-relative:paragraph;z-index:-1135888" coordorigin="9684,1431" coordsize="1040,624">
            <v:shape style="position:absolute;left:9684;top:1431;width:1040;height:624" coordorigin="9684,1431" coordsize="1040,624" path="m9684,2055l10723,2055,10723,1431,9684,1431,9684,2055xe" filled="true" fillcolor="#ffffff" stroked="false">
              <v:path arrowok="t"/>
              <v:fill type="solid"/>
            </v:shape>
            <w10:wrap type="none"/>
          </v:group>
        </w:pict>
      </w:r>
      <w:r>
        <w:rPr>
          <w:rFonts w:ascii="宋体" w:hAnsi="宋体" w:cs="宋体" w:eastAsia="宋体" w:hint="default"/>
          <w:sz w:val="18"/>
          <w:szCs w:val="18"/>
        </w:rPr>
        <w:t>单位：股</w:t>
      </w:r>
    </w:p>
    <w:p>
      <w:pPr>
        <w:spacing w:line="240" w:lineRule="auto" w:before="13"/>
        <w:rPr>
          <w:rFonts w:ascii="宋体" w:hAnsi="宋体" w:cs="宋体" w:eastAsia="宋体" w:hint="default"/>
          <w:sz w:val="7"/>
          <w:szCs w:val="7"/>
        </w:rPr>
      </w:pPr>
    </w:p>
    <w:tbl>
      <w:tblPr>
        <w:tblW w:w="0" w:type="auto"/>
        <w:jc w:val="left"/>
        <w:tblInd w:w="1152" w:type="dxa"/>
        <w:tblLayout w:type="fixed"/>
        <w:tblCellMar>
          <w:top w:w="0" w:type="dxa"/>
          <w:left w:w="0" w:type="dxa"/>
          <w:bottom w:w="0" w:type="dxa"/>
          <w:right w:w="0" w:type="dxa"/>
        </w:tblCellMar>
        <w:tblLook w:val="01E0"/>
      </w:tblPr>
      <w:tblGrid>
        <w:gridCol w:w="1335"/>
        <w:gridCol w:w="796"/>
        <w:gridCol w:w="1463"/>
        <w:gridCol w:w="1052"/>
        <w:gridCol w:w="1472"/>
        <w:gridCol w:w="1074"/>
        <w:gridCol w:w="1318"/>
        <w:gridCol w:w="1061"/>
      </w:tblGrid>
      <w:tr>
        <w:trPr>
          <w:trHeight w:val="1671" w:hRule="exact"/>
        </w:trPr>
        <w:tc>
          <w:tcPr>
            <w:tcW w:w="1335" w:type="dxa"/>
            <w:tcBorders>
              <w:top w:val="single" w:sz="12" w:space="0" w:color="000000"/>
              <w:left w:val="single" w:sz="12" w:space="0" w:color="000000"/>
              <w:bottom w:val="single" w:sz="12"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3" w:right="36"/>
              <w:jc w:val="left"/>
              <w:rPr>
                <w:rFonts w:ascii="宋体" w:hAnsi="宋体" w:cs="宋体" w:eastAsia="宋体" w:hint="default"/>
                <w:sz w:val="18"/>
                <w:szCs w:val="18"/>
              </w:rPr>
            </w:pPr>
            <w:r>
              <w:rPr>
                <w:rFonts w:ascii="宋体" w:hAnsi="宋体" w:cs="宋体" w:eastAsia="宋体" w:hint="default"/>
                <w:sz w:val="18"/>
                <w:szCs w:val="18"/>
              </w:rPr>
              <w:t>报告期末普通股 股东总数</w:t>
            </w:r>
          </w:p>
        </w:tc>
        <w:tc>
          <w:tcPr>
            <w:tcW w:w="79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66" w:right="0"/>
              <w:jc w:val="left"/>
              <w:rPr>
                <w:rFonts w:ascii="Times New Roman" w:hAnsi="Times New Roman" w:cs="Times New Roman" w:eastAsia="Times New Roman" w:hint="default"/>
                <w:sz w:val="18"/>
                <w:szCs w:val="18"/>
              </w:rPr>
            </w:pPr>
            <w:r>
              <w:rPr>
                <w:rFonts w:ascii="Times New Roman"/>
                <w:sz w:val="18"/>
              </w:rPr>
              <w:t>89,797</w:t>
            </w:r>
          </w:p>
        </w:tc>
        <w:tc>
          <w:tcPr>
            <w:tcW w:w="1463"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1" w:right="164"/>
              <w:jc w:val="both"/>
              <w:rPr>
                <w:rFonts w:ascii="宋体" w:hAnsi="宋体" w:cs="宋体" w:eastAsia="宋体" w:hint="default"/>
                <w:sz w:val="18"/>
                <w:szCs w:val="18"/>
              </w:rPr>
            </w:pPr>
            <w:r>
              <w:rPr>
                <w:rFonts w:ascii="宋体" w:hAnsi="宋体" w:cs="宋体" w:eastAsia="宋体" w:hint="default"/>
                <w:sz w:val="18"/>
                <w:szCs w:val="18"/>
              </w:rPr>
              <w:t>年度报告披露日 前上一月末普通 股股东总数</w:t>
            </w:r>
          </w:p>
        </w:tc>
        <w:tc>
          <w:tcPr>
            <w:tcW w:w="10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522" w:right="0"/>
              <w:jc w:val="left"/>
              <w:rPr>
                <w:rFonts w:ascii="Times New Roman" w:hAnsi="Times New Roman" w:cs="Times New Roman" w:eastAsia="Times New Roman" w:hint="default"/>
                <w:sz w:val="18"/>
                <w:szCs w:val="18"/>
              </w:rPr>
            </w:pPr>
            <w:r>
              <w:rPr>
                <w:rFonts w:ascii="Times New Roman"/>
                <w:sz w:val="18"/>
              </w:rPr>
              <w:t>76,916</w:t>
            </w:r>
          </w:p>
        </w:tc>
        <w:tc>
          <w:tcPr>
            <w:tcW w:w="1472"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1" w:right="18"/>
              <w:jc w:val="left"/>
              <w:rPr>
                <w:rFonts w:ascii="宋体" w:hAnsi="宋体" w:cs="宋体" w:eastAsia="宋体" w:hint="default"/>
                <w:sz w:val="18"/>
                <w:szCs w:val="18"/>
              </w:rPr>
            </w:pPr>
            <w:r>
              <w:rPr>
                <w:rFonts w:ascii="宋体" w:hAnsi="宋体" w:cs="宋体" w:eastAsia="宋体" w:hint="default"/>
                <w:sz w:val="18"/>
                <w:szCs w:val="18"/>
              </w:rPr>
              <w:t>报告期末表决权 恢复的优先股股 </w:t>
            </w:r>
            <w:r>
              <w:rPr>
                <w:rFonts w:ascii="宋体" w:hAnsi="宋体" w:cs="宋体" w:eastAsia="宋体" w:hint="default"/>
                <w:spacing w:val="-23"/>
                <w:sz w:val="18"/>
                <w:szCs w:val="18"/>
              </w:rPr>
              <w:t>东总数（如有）（参</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1074" w:type="dxa"/>
            <w:tcBorders>
              <w:top w:val="single" w:sz="12" w:space="0" w:color="000000"/>
              <w:left w:val="single" w:sz="6" w:space="0" w:color="000000"/>
              <w:bottom w:val="single" w:sz="12" w:space="0" w:color="000000"/>
              <w:right w:val="single" w:sz="8"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0</w:t>
            </w:r>
          </w:p>
        </w:tc>
        <w:tc>
          <w:tcPr>
            <w:tcW w:w="1318" w:type="dxa"/>
            <w:tcBorders>
              <w:top w:val="single" w:sz="12" w:space="0" w:color="000000"/>
              <w:left w:val="single" w:sz="6" w:space="0" w:color="000000"/>
              <w:bottom w:val="single" w:sz="12" w:space="0" w:color="000000"/>
              <w:right w:val="single" w:sz="6" w:space="0" w:color="000000"/>
            </w:tcBorders>
            <w:shd w:val="clear" w:color="auto" w:fill="D2D2D2"/>
          </w:tcPr>
          <w:p>
            <w:pPr>
              <w:pStyle w:val="TableParagraph"/>
              <w:spacing w:line="316" w:lineRule="auto" w:before="51"/>
              <w:ind w:left="10" w:right="31"/>
              <w:jc w:val="both"/>
              <w:rPr>
                <w:rFonts w:ascii="宋体" w:hAnsi="宋体" w:cs="宋体" w:eastAsia="宋体" w:hint="default"/>
                <w:sz w:val="18"/>
                <w:szCs w:val="18"/>
              </w:rPr>
            </w:pPr>
            <w:r>
              <w:rPr>
                <w:rFonts w:ascii="宋体" w:hAnsi="宋体" w:cs="宋体" w:eastAsia="宋体" w:hint="default"/>
                <w:sz w:val="18"/>
                <w:szCs w:val="18"/>
              </w:rPr>
              <w:t>年度报告披露日 前上一月末表决 权恢复的优先股 股东总数</w:t>
            </w:r>
          </w:p>
          <w:p>
            <w:pPr>
              <w:pStyle w:val="TableParagraph"/>
              <w:spacing w:line="240" w:lineRule="auto" w:before="20"/>
              <w:ind w:left="10" w:right="0"/>
              <w:jc w:val="both"/>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1061" w:type="dxa"/>
            <w:tcBorders>
              <w:top w:val="single" w:sz="12" w:space="0" w:color="000000"/>
              <w:left w:val="single" w:sz="6"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100" w:bottom="1160" w:left="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151" w:type="dxa"/>
        <w:tblLayout w:type="fixed"/>
        <w:tblCellMar>
          <w:top w:w="0" w:type="dxa"/>
          <w:left w:w="0" w:type="dxa"/>
          <w:bottom w:w="0" w:type="dxa"/>
          <w:right w:w="0" w:type="dxa"/>
        </w:tblCellMar>
        <w:tblLook w:val="01E0"/>
      </w:tblPr>
      <w:tblGrid>
        <w:gridCol w:w="1471"/>
        <w:gridCol w:w="1410"/>
        <w:gridCol w:w="788"/>
        <w:gridCol w:w="976"/>
        <w:gridCol w:w="852"/>
        <w:gridCol w:w="992"/>
        <w:gridCol w:w="1134"/>
        <w:gridCol w:w="850"/>
        <w:gridCol w:w="1097"/>
      </w:tblGrid>
      <w:tr>
        <w:trPr>
          <w:trHeight w:val="415" w:hRule="exact"/>
        </w:trPr>
        <w:tc>
          <w:tcPr>
            <w:tcW w:w="9571" w:type="dxa"/>
            <w:gridSpan w:val="9"/>
            <w:tcBorders>
              <w:top w:val="single" w:sz="12"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1"/>
              <w:ind w:left="3053"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407" w:hRule="exact"/>
        </w:trPr>
        <w:tc>
          <w:tcPr>
            <w:tcW w:w="1471" w:type="dxa"/>
            <w:vMerge w:val="restart"/>
            <w:tcBorders>
              <w:top w:val="single" w:sz="6" w:space="0" w:color="000000"/>
              <w:left w:val="single" w:sz="12" w:space="0" w:color="000000"/>
              <w:right w:val="single" w:sz="6"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359"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10" w:type="dxa"/>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337"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88" w:type="dxa"/>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7"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976" w:type="dxa"/>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10" w:right="29" w:hanging="180"/>
              <w:jc w:val="left"/>
              <w:rPr>
                <w:rFonts w:ascii="宋体" w:hAnsi="宋体" w:cs="宋体" w:eastAsia="宋体" w:hint="default"/>
                <w:sz w:val="18"/>
                <w:szCs w:val="18"/>
              </w:rPr>
            </w:pPr>
            <w:r>
              <w:rPr>
                <w:rFonts w:ascii="宋体" w:hAnsi="宋体" w:cs="宋体" w:eastAsia="宋体" w:hint="default"/>
                <w:sz w:val="18"/>
                <w:szCs w:val="18"/>
              </w:rPr>
              <w:t>报告期末持 股数量</w:t>
            </w:r>
          </w:p>
        </w:tc>
        <w:tc>
          <w:tcPr>
            <w:tcW w:w="852" w:type="dxa"/>
            <w:vMerge w:val="restart"/>
            <w:tcBorders>
              <w:top w:val="single" w:sz="6" w:space="0" w:color="000000"/>
              <w:left w:val="single" w:sz="6" w:space="0" w:color="000000"/>
              <w:right w:val="single" w:sz="6" w:space="0" w:color="000000"/>
            </w:tcBorders>
            <w:shd w:val="clear" w:color="auto" w:fill="D2D2D2"/>
          </w:tcPr>
          <w:p>
            <w:pPr>
              <w:pStyle w:val="TableParagraph"/>
              <w:spacing w:line="316" w:lineRule="auto" w:before="51"/>
              <w:ind w:left="58" w:right="56"/>
              <w:jc w:val="center"/>
              <w:rPr>
                <w:rFonts w:ascii="宋体" w:hAnsi="宋体" w:cs="宋体" w:eastAsia="宋体" w:hint="default"/>
                <w:sz w:val="18"/>
                <w:szCs w:val="18"/>
              </w:rPr>
            </w:pPr>
            <w:r>
              <w:rPr>
                <w:rFonts w:ascii="宋体" w:hAnsi="宋体" w:cs="宋体" w:eastAsia="宋体" w:hint="default"/>
                <w:sz w:val="18"/>
                <w:szCs w:val="18"/>
              </w:rPr>
              <w:t>报告期内 增减变动 情况</w:t>
            </w:r>
          </w:p>
        </w:tc>
        <w:tc>
          <w:tcPr>
            <w:tcW w:w="992" w:type="dxa"/>
            <w:vMerge w:val="restart"/>
            <w:tcBorders>
              <w:top w:val="single" w:sz="6" w:space="0" w:color="000000"/>
              <w:left w:val="single" w:sz="6" w:space="0" w:color="000000"/>
              <w:right w:val="single" w:sz="6" w:space="0" w:color="000000"/>
            </w:tcBorders>
            <w:shd w:val="clear" w:color="auto" w:fill="D2D2D2"/>
          </w:tcPr>
          <w:p>
            <w:pPr>
              <w:pStyle w:val="TableParagraph"/>
              <w:spacing w:line="316" w:lineRule="auto" w:before="51"/>
              <w:ind w:left="39" w:right="36"/>
              <w:jc w:val="center"/>
              <w:rPr>
                <w:rFonts w:ascii="宋体" w:hAnsi="宋体" w:cs="宋体" w:eastAsia="宋体" w:hint="default"/>
                <w:sz w:val="18"/>
                <w:szCs w:val="18"/>
              </w:rPr>
            </w:pPr>
            <w:r>
              <w:rPr>
                <w:rFonts w:ascii="宋体" w:hAnsi="宋体" w:cs="宋体" w:eastAsia="宋体" w:hint="default"/>
                <w:sz w:val="18"/>
                <w:szCs w:val="18"/>
              </w:rPr>
              <w:t>持有有限售 条件的股份 数量</w:t>
            </w:r>
          </w:p>
        </w:tc>
        <w:tc>
          <w:tcPr>
            <w:tcW w:w="1134" w:type="dxa"/>
            <w:vMerge w:val="restart"/>
            <w:tcBorders>
              <w:top w:val="single" w:sz="6" w:space="0" w:color="000000"/>
              <w:left w:val="single" w:sz="6" w:space="0" w:color="000000"/>
              <w:right w:val="single" w:sz="6" w:space="0" w:color="000000"/>
            </w:tcBorders>
            <w:shd w:val="clear" w:color="auto" w:fill="D2D2D2"/>
          </w:tcPr>
          <w:p>
            <w:pPr>
              <w:pStyle w:val="TableParagraph"/>
              <w:spacing w:line="316" w:lineRule="auto" w:before="51"/>
              <w:ind w:left="109" w:right="108"/>
              <w:jc w:val="center"/>
              <w:rPr>
                <w:rFonts w:ascii="宋体" w:hAnsi="宋体" w:cs="宋体" w:eastAsia="宋体" w:hint="default"/>
                <w:sz w:val="18"/>
                <w:szCs w:val="18"/>
              </w:rPr>
            </w:pPr>
            <w:r>
              <w:rPr>
                <w:rFonts w:ascii="宋体" w:hAnsi="宋体" w:cs="宋体" w:eastAsia="宋体" w:hint="default"/>
                <w:sz w:val="18"/>
                <w:szCs w:val="18"/>
              </w:rPr>
              <w:t>持有无限售 条件的股份 数量</w:t>
            </w:r>
          </w:p>
        </w:tc>
        <w:tc>
          <w:tcPr>
            <w:tcW w:w="1947" w:type="dxa"/>
            <w:gridSpan w:val="2"/>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336"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624" w:hRule="exact"/>
        </w:trPr>
        <w:tc>
          <w:tcPr>
            <w:tcW w:w="1471" w:type="dxa"/>
            <w:vMerge/>
            <w:tcBorders>
              <w:left w:val="single" w:sz="12" w:space="0" w:color="000000"/>
              <w:bottom w:val="single" w:sz="6" w:space="0" w:color="000000"/>
              <w:right w:val="single" w:sz="6" w:space="0" w:color="000000"/>
            </w:tcBorders>
            <w:shd w:val="clear" w:color="auto" w:fill="D2D2D2"/>
          </w:tcPr>
          <w:p>
            <w:pPr/>
          </w:p>
        </w:tc>
        <w:tc>
          <w:tcPr>
            <w:tcW w:w="1410" w:type="dxa"/>
            <w:vMerge/>
            <w:tcBorders>
              <w:left w:val="single" w:sz="6" w:space="0" w:color="000000"/>
              <w:bottom w:val="single" w:sz="6" w:space="0" w:color="000000"/>
              <w:right w:val="single" w:sz="6" w:space="0" w:color="000000"/>
            </w:tcBorders>
            <w:shd w:val="clear" w:color="auto" w:fill="D2D2D2"/>
          </w:tcPr>
          <w:p>
            <w:pPr/>
          </w:p>
        </w:tc>
        <w:tc>
          <w:tcPr>
            <w:tcW w:w="788" w:type="dxa"/>
            <w:vMerge/>
            <w:tcBorders>
              <w:left w:val="single" w:sz="6" w:space="0" w:color="000000"/>
              <w:bottom w:val="single" w:sz="6" w:space="0" w:color="000000"/>
              <w:right w:val="single" w:sz="6" w:space="0" w:color="000000"/>
            </w:tcBorders>
            <w:shd w:val="clear" w:color="auto" w:fill="D2D2D2"/>
          </w:tcPr>
          <w:p>
            <w:pPr/>
          </w:p>
        </w:tc>
        <w:tc>
          <w:tcPr>
            <w:tcW w:w="976" w:type="dxa"/>
            <w:vMerge/>
            <w:tcBorders>
              <w:left w:val="single" w:sz="6" w:space="0" w:color="000000"/>
              <w:bottom w:val="single" w:sz="6" w:space="0" w:color="000000"/>
              <w:right w:val="single" w:sz="6" w:space="0" w:color="000000"/>
            </w:tcBorders>
            <w:shd w:val="clear" w:color="auto" w:fill="D2D2D2"/>
          </w:tcPr>
          <w:p>
            <w:pPr/>
          </w:p>
        </w:tc>
        <w:tc>
          <w:tcPr>
            <w:tcW w:w="852" w:type="dxa"/>
            <w:vMerge/>
            <w:tcBorders>
              <w:left w:val="single" w:sz="6" w:space="0" w:color="000000"/>
              <w:bottom w:val="single" w:sz="6" w:space="0" w:color="000000"/>
              <w:right w:val="single" w:sz="6" w:space="0" w:color="000000"/>
            </w:tcBorders>
            <w:shd w:val="clear" w:color="auto" w:fill="D2D2D2"/>
          </w:tcPr>
          <w:p>
            <w:pPr/>
          </w:p>
        </w:tc>
        <w:tc>
          <w:tcPr>
            <w:tcW w:w="992" w:type="dxa"/>
            <w:vMerge/>
            <w:tcBorders>
              <w:left w:val="single" w:sz="6" w:space="0" w:color="000000"/>
              <w:bottom w:val="single" w:sz="6" w:space="0" w:color="000000"/>
              <w:right w:val="single" w:sz="6" w:space="0" w:color="000000"/>
            </w:tcBorders>
            <w:shd w:val="clear" w:color="auto" w:fill="D2D2D2"/>
          </w:tcPr>
          <w:p>
            <w:pPr/>
          </w:p>
        </w:tc>
        <w:tc>
          <w:tcPr>
            <w:tcW w:w="1134" w:type="dxa"/>
            <w:vMerge/>
            <w:tcBorders>
              <w:left w:val="single" w:sz="6" w:space="0" w:color="000000"/>
              <w:bottom w:val="single" w:sz="6" w:space="0" w:color="000000"/>
              <w:right w:val="single" w:sz="6" w:space="0" w:color="000000"/>
            </w:tcBorders>
            <w:shd w:val="clear" w:color="auto" w:fill="D2D2D2"/>
          </w:tcPr>
          <w:p>
            <w:pPr/>
          </w:p>
        </w:tc>
        <w:tc>
          <w:tcPr>
            <w:tcW w:w="85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60"/>
              <w:ind w:left="57"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097"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160"/>
              <w:ind w:left="362"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407" w:hRule="exact"/>
        </w:trPr>
        <w:tc>
          <w:tcPr>
            <w:tcW w:w="147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李琼</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18.00%</w:t>
            </w:r>
          </w:p>
        </w:tc>
        <w:tc>
          <w:tcPr>
            <w:tcW w:w="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207,391,145</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21" w:right="0"/>
              <w:jc w:val="left"/>
              <w:rPr>
                <w:rFonts w:ascii="Times New Roman" w:hAnsi="Times New Roman" w:cs="Times New Roman" w:eastAsia="Times New Roman" w:hint="default"/>
                <w:sz w:val="18"/>
                <w:szCs w:val="18"/>
              </w:rPr>
            </w:pPr>
            <w:r>
              <w:rPr>
                <w:rFonts w:ascii="Times New Roman"/>
                <w:sz w:val="18"/>
              </w:rPr>
              <w:t>0</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207,391,145</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6" w:space="0" w:color="000000"/>
              <w:left w:val="single" w:sz="6" w:space="0" w:color="000000"/>
              <w:bottom w:val="single" w:sz="6" w:space="0" w:color="000000"/>
              <w:right w:val="single" w:sz="6" w:space="0" w:color="000000"/>
            </w:tcBorders>
          </w:tcPr>
          <w:p>
            <w:pPr/>
          </w:p>
        </w:tc>
        <w:tc>
          <w:tcPr>
            <w:tcW w:w="1097" w:type="dxa"/>
            <w:tcBorders>
              <w:top w:val="single" w:sz="6" w:space="0" w:color="000000"/>
              <w:left w:val="single" w:sz="6" w:space="0" w:color="000000"/>
              <w:bottom w:val="single" w:sz="6" w:space="0" w:color="000000"/>
              <w:right w:val="single" w:sz="12" w:space="0" w:color="000000"/>
            </w:tcBorders>
          </w:tcPr>
          <w:p>
            <w:pPr/>
          </w:p>
        </w:tc>
      </w:tr>
      <w:tr>
        <w:trPr>
          <w:trHeight w:val="1031" w:hRule="exact"/>
        </w:trPr>
        <w:tc>
          <w:tcPr>
            <w:tcW w:w="1471" w:type="dxa"/>
            <w:tcBorders>
              <w:top w:val="single" w:sz="6" w:space="0" w:color="000000"/>
              <w:left w:val="single" w:sz="12" w:space="0" w:color="000000"/>
              <w:bottom w:val="single" w:sz="6" w:space="0" w:color="000000"/>
              <w:right w:val="single" w:sz="6" w:space="0" w:color="000000"/>
            </w:tcBorders>
          </w:tcPr>
          <w:p>
            <w:pPr>
              <w:pStyle w:val="TableParagraph"/>
              <w:spacing w:line="319" w:lineRule="auto" w:before="51"/>
              <w:ind w:left="14" w:right="19"/>
              <w:jc w:val="left"/>
              <w:rPr>
                <w:rFonts w:ascii="宋体" w:hAnsi="宋体" w:cs="宋体" w:eastAsia="宋体" w:hint="default"/>
                <w:sz w:val="18"/>
                <w:szCs w:val="18"/>
              </w:rPr>
            </w:pPr>
            <w:r>
              <w:rPr>
                <w:rFonts w:ascii="宋体" w:hAnsi="宋体" w:cs="宋体" w:eastAsia="宋体" w:hint="default"/>
                <w:sz w:val="18"/>
                <w:szCs w:val="18"/>
              </w:rPr>
              <w:t>新余盈瑞世纪软 </w:t>
            </w:r>
            <w:r>
              <w:rPr>
                <w:rFonts w:ascii="宋体" w:hAnsi="宋体" w:cs="宋体" w:eastAsia="宋体" w:hint="default"/>
                <w:spacing w:val="-4"/>
                <w:sz w:val="18"/>
                <w:szCs w:val="18"/>
              </w:rPr>
              <w:t>件研发中心（有限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合伙）</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0"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17.40%</w:t>
            </w:r>
          </w:p>
        </w:tc>
        <w:tc>
          <w:tcPr>
            <w:tcW w:w="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1" w:right="0"/>
              <w:jc w:val="center"/>
              <w:rPr>
                <w:rFonts w:ascii="Times New Roman" w:hAnsi="Times New Roman" w:cs="Times New Roman" w:eastAsia="Times New Roman" w:hint="default"/>
                <w:sz w:val="18"/>
                <w:szCs w:val="18"/>
              </w:rPr>
            </w:pPr>
            <w:r>
              <w:rPr>
                <w:rFonts w:ascii="Times New Roman"/>
                <w:sz w:val="18"/>
              </w:rPr>
              <w:t>200,408,085</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1" w:right="0"/>
              <w:jc w:val="left"/>
              <w:rPr>
                <w:rFonts w:ascii="Times New Roman" w:hAnsi="Times New Roman" w:cs="Times New Roman" w:eastAsia="Times New Roman" w:hint="default"/>
                <w:sz w:val="18"/>
                <w:szCs w:val="18"/>
              </w:rPr>
            </w:pPr>
            <w:r>
              <w:rPr>
                <w:rFonts w:ascii="Times New Roman"/>
                <w:sz w:val="18"/>
              </w:rPr>
              <w:t>0</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200,408,085</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0"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56,000,000</w:t>
            </w:r>
          </w:p>
        </w:tc>
      </w:tr>
      <w:tr>
        <w:trPr>
          <w:trHeight w:val="407" w:hRule="exact"/>
        </w:trPr>
        <w:tc>
          <w:tcPr>
            <w:tcW w:w="147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16.37%</w:t>
            </w:r>
          </w:p>
        </w:tc>
        <w:tc>
          <w:tcPr>
            <w:tcW w:w="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21" w:right="0"/>
              <w:jc w:val="center"/>
              <w:rPr>
                <w:rFonts w:ascii="Times New Roman" w:hAnsi="Times New Roman" w:cs="Times New Roman" w:eastAsia="Times New Roman" w:hint="default"/>
                <w:sz w:val="18"/>
                <w:szCs w:val="18"/>
              </w:rPr>
            </w:pPr>
            <w:r>
              <w:rPr>
                <w:rFonts w:ascii="Times New Roman"/>
                <w:sz w:val="18"/>
              </w:rPr>
              <w:t>188,550,513</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21" w:right="0"/>
              <w:jc w:val="left"/>
              <w:rPr>
                <w:rFonts w:ascii="Times New Roman" w:hAnsi="Times New Roman" w:cs="Times New Roman" w:eastAsia="Times New Roman" w:hint="default"/>
                <w:sz w:val="18"/>
                <w:szCs w:val="18"/>
              </w:rPr>
            </w:pPr>
            <w:r>
              <w:rPr>
                <w:rFonts w:ascii="Times New Roman"/>
                <w:sz w:val="18"/>
              </w:rPr>
              <w:t>0</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188,171,613</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378,900</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173,141,613</w:t>
            </w:r>
          </w:p>
        </w:tc>
      </w:tr>
      <w:tr>
        <w:trPr>
          <w:trHeight w:val="407" w:hRule="exact"/>
        </w:trPr>
        <w:tc>
          <w:tcPr>
            <w:tcW w:w="147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5.07%</w:t>
            </w:r>
          </w:p>
        </w:tc>
        <w:tc>
          <w:tcPr>
            <w:tcW w:w="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111" w:right="0"/>
              <w:jc w:val="center"/>
              <w:rPr>
                <w:rFonts w:ascii="Times New Roman" w:hAnsi="Times New Roman" w:cs="Times New Roman" w:eastAsia="Times New Roman" w:hint="default"/>
                <w:sz w:val="18"/>
                <w:szCs w:val="18"/>
              </w:rPr>
            </w:pPr>
            <w:r>
              <w:rPr>
                <w:rFonts w:ascii="Times New Roman"/>
                <w:sz w:val="18"/>
              </w:rPr>
              <w:t>58,408,789</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21" w:right="0"/>
              <w:jc w:val="left"/>
              <w:rPr>
                <w:rFonts w:ascii="Times New Roman" w:hAnsi="Times New Roman" w:cs="Times New Roman" w:eastAsia="Times New Roman" w:hint="default"/>
                <w:sz w:val="18"/>
                <w:szCs w:val="18"/>
              </w:rPr>
            </w:pPr>
            <w:r>
              <w:rPr>
                <w:rFonts w:ascii="Times New Roman"/>
                <w:sz w:val="18"/>
              </w:rPr>
              <w:t>37500</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58,371,289</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37,500</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52,710,600</w:t>
            </w:r>
          </w:p>
        </w:tc>
      </w:tr>
      <w:tr>
        <w:trPr>
          <w:trHeight w:val="1656" w:hRule="exact"/>
        </w:trPr>
        <w:tc>
          <w:tcPr>
            <w:tcW w:w="1471"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52"/>
              <w:ind w:left="14" w:right="172"/>
              <w:jc w:val="both"/>
              <w:rPr>
                <w:rFonts w:ascii="宋体" w:hAnsi="宋体" w:cs="宋体" w:eastAsia="宋体" w:hint="default"/>
                <w:sz w:val="18"/>
                <w:szCs w:val="18"/>
              </w:rPr>
            </w:pPr>
            <w:r>
              <w:rPr>
                <w:rFonts w:ascii="宋体" w:hAnsi="宋体" w:cs="宋体" w:eastAsia="宋体" w:hint="default"/>
                <w:sz w:val="18"/>
                <w:szCs w:val="18"/>
              </w:rPr>
              <w:t>中国农业银行股 份有限公司－中 邮信息产业灵活 配置混合型证券 投资基金</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0.72%</w:t>
            </w:r>
          </w:p>
        </w:tc>
        <w:tc>
          <w:tcPr>
            <w:tcW w:w="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left="201" w:right="0"/>
              <w:jc w:val="center"/>
              <w:rPr>
                <w:rFonts w:ascii="Times New Roman" w:hAnsi="Times New Roman" w:cs="Times New Roman" w:eastAsia="Times New Roman" w:hint="default"/>
                <w:sz w:val="18"/>
                <w:szCs w:val="18"/>
              </w:rPr>
            </w:pPr>
            <w:r>
              <w:rPr>
                <w:rFonts w:ascii="Times New Roman"/>
                <w:sz w:val="18"/>
              </w:rPr>
              <w:t>8,276,500</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left="21" w:right="0"/>
              <w:jc w:val="left"/>
              <w:rPr>
                <w:rFonts w:ascii="Times New Roman" w:hAnsi="Times New Roman" w:cs="Times New Roman" w:eastAsia="Times New Roman" w:hint="default"/>
                <w:sz w:val="18"/>
                <w:szCs w:val="18"/>
              </w:rPr>
            </w:pPr>
            <w:r>
              <w:rPr>
                <w:rFonts w:ascii="Times New Roman"/>
                <w:sz w:val="18"/>
              </w:rPr>
              <w:t>-7296486</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8,276,500</w:t>
            </w:r>
          </w:p>
        </w:tc>
        <w:tc>
          <w:tcPr>
            <w:tcW w:w="850" w:type="dxa"/>
            <w:tcBorders>
              <w:top w:val="single" w:sz="6" w:space="0" w:color="000000"/>
              <w:left w:val="single" w:sz="6" w:space="0" w:color="000000"/>
              <w:bottom w:val="single" w:sz="6" w:space="0" w:color="000000"/>
              <w:right w:val="single" w:sz="6" w:space="0" w:color="000000"/>
            </w:tcBorders>
          </w:tcPr>
          <w:p>
            <w:pPr/>
          </w:p>
        </w:tc>
        <w:tc>
          <w:tcPr>
            <w:tcW w:w="1097" w:type="dxa"/>
            <w:tcBorders>
              <w:top w:val="single" w:sz="6" w:space="0" w:color="000000"/>
              <w:left w:val="single" w:sz="6" w:space="0" w:color="000000"/>
              <w:bottom w:val="single" w:sz="6" w:space="0" w:color="000000"/>
              <w:right w:val="single" w:sz="12" w:space="0" w:color="000000"/>
            </w:tcBorders>
          </w:tcPr>
          <w:p>
            <w:pPr/>
          </w:p>
        </w:tc>
      </w:tr>
      <w:tr>
        <w:trPr>
          <w:trHeight w:val="1031" w:hRule="exact"/>
        </w:trPr>
        <w:tc>
          <w:tcPr>
            <w:tcW w:w="1471"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51"/>
              <w:ind w:left="14" w:right="-6"/>
              <w:jc w:val="both"/>
              <w:rPr>
                <w:rFonts w:ascii="宋体" w:hAnsi="宋体" w:cs="宋体" w:eastAsia="宋体" w:hint="default"/>
                <w:sz w:val="18"/>
                <w:szCs w:val="18"/>
              </w:rPr>
            </w:pPr>
            <w:r>
              <w:rPr>
                <w:rFonts w:ascii="宋体" w:hAnsi="宋体" w:cs="宋体" w:eastAsia="宋体" w:hint="default"/>
                <w:sz w:val="18"/>
                <w:szCs w:val="18"/>
              </w:rPr>
              <w:t>东方富海（芜湖） </w:t>
            </w:r>
            <w:r>
              <w:rPr>
                <w:rFonts w:ascii="宋体" w:hAnsi="宋体" w:cs="宋体" w:eastAsia="宋体" w:hint="default"/>
                <w:spacing w:val="-4"/>
                <w:sz w:val="18"/>
                <w:szCs w:val="18"/>
              </w:rPr>
              <w:t>股权投资基金（有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限合伙）</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0"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0.70%</w:t>
            </w:r>
          </w:p>
        </w:tc>
        <w:tc>
          <w:tcPr>
            <w:tcW w:w="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01" w:right="0"/>
              <w:jc w:val="center"/>
              <w:rPr>
                <w:rFonts w:ascii="Times New Roman" w:hAnsi="Times New Roman" w:cs="Times New Roman" w:eastAsia="Times New Roman" w:hint="default"/>
                <w:sz w:val="18"/>
                <w:szCs w:val="18"/>
              </w:rPr>
            </w:pPr>
            <w:r>
              <w:rPr>
                <w:rFonts w:ascii="Times New Roman"/>
                <w:sz w:val="18"/>
              </w:rPr>
              <w:t>8,007,243</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1" w:right="0"/>
              <w:jc w:val="left"/>
              <w:rPr>
                <w:rFonts w:ascii="Times New Roman" w:hAnsi="Times New Roman" w:cs="Times New Roman" w:eastAsia="Times New Roman" w:hint="default"/>
                <w:sz w:val="18"/>
                <w:szCs w:val="18"/>
              </w:rPr>
            </w:pPr>
            <w:r>
              <w:rPr>
                <w:rFonts w:ascii="Times New Roman"/>
                <w:sz w:val="18"/>
              </w:rPr>
              <w:t>0</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8,007,243</w:t>
            </w:r>
          </w:p>
        </w:tc>
        <w:tc>
          <w:tcPr>
            <w:tcW w:w="850" w:type="dxa"/>
            <w:tcBorders>
              <w:top w:val="single" w:sz="6" w:space="0" w:color="000000"/>
              <w:left w:val="single" w:sz="6" w:space="0" w:color="000000"/>
              <w:bottom w:val="single" w:sz="6" w:space="0" w:color="000000"/>
              <w:right w:val="single" w:sz="6" w:space="0" w:color="000000"/>
            </w:tcBorders>
          </w:tcPr>
          <w:p>
            <w:pPr/>
          </w:p>
        </w:tc>
        <w:tc>
          <w:tcPr>
            <w:tcW w:w="1097" w:type="dxa"/>
            <w:tcBorders>
              <w:top w:val="single" w:sz="6" w:space="0" w:color="000000"/>
              <w:left w:val="single" w:sz="6" w:space="0" w:color="000000"/>
              <w:bottom w:val="single" w:sz="6" w:space="0" w:color="000000"/>
              <w:right w:val="single" w:sz="12" w:space="0" w:color="000000"/>
            </w:tcBorders>
          </w:tcPr>
          <w:p>
            <w:pPr/>
          </w:p>
        </w:tc>
      </w:tr>
      <w:tr>
        <w:trPr>
          <w:trHeight w:val="407" w:hRule="exact"/>
        </w:trPr>
        <w:tc>
          <w:tcPr>
            <w:tcW w:w="147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陈芳</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0.64%</w:t>
            </w:r>
          </w:p>
        </w:tc>
        <w:tc>
          <w:tcPr>
            <w:tcW w:w="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201" w:right="0"/>
              <w:jc w:val="center"/>
              <w:rPr>
                <w:rFonts w:ascii="Times New Roman" w:hAnsi="Times New Roman" w:cs="Times New Roman" w:eastAsia="Times New Roman" w:hint="default"/>
                <w:sz w:val="18"/>
                <w:szCs w:val="18"/>
              </w:rPr>
            </w:pPr>
            <w:r>
              <w:rPr>
                <w:rFonts w:ascii="Times New Roman"/>
                <w:sz w:val="18"/>
              </w:rPr>
              <w:t>7,358,392</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21" w:right="0"/>
              <w:jc w:val="left"/>
              <w:rPr>
                <w:rFonts w:ascii="Times New Roman" w:hAnsi="Times New Roman" w:cs="Times New Roman" w:eastAsia="Times New Roman" w:hint="default"/>
                <w:sz w:val="18"/>
                <w:szCs w:val="18"/>
              </w:rPr>
            </w:pPr>
            <w:r>
              <w:rPr>
                <w:rFonts w:ascii="Times New Roman"/>
                <w:sz w:val="18"/>
              </w:rPr>
              <w:t>-2452796</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4,905,596</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2,452,796</w:t>
            </w:r>
          </w:p>
        </w:tc>
        <w:tc>
          <w:tcPr>
            <w:tcW w:w="850" w:type="dxa"/>
            <w:tcBorders>
              <w:top w:val="single" w:sz="6" w:space="0" w:color="000000"/>
              <w:left w:val="single" w:sz="6" w:space="0" w:color="000000"/>
              <w:bottom w:val="single" w:sz="6" w:space="0" w:color="000000"/>
              <w:right w:val="single" w:sz="6" w:space="0" w:color="000000"/>
            </w:tcBorders>
          </w:tcPr>
          <w:p>
            <w:pPr/>
          </w:p>
        </w:tc>
        <w:tc>
          <w:tcPr>
            <w:tcW w:w="1097" w:type="dxa"/>
            <w:tcBorders>
              <w:top w:val="single" w:sz="6" w:space="0" w:color="000000"/>
              <w:left w:val="single" w:sz="6" w:space="0" w:color="000000"/>
              <w:bottom w:val="single" w:sz="6" w:space="0" w:color="000000"/>
              <w:right w:val="single" w:sz="12" w:space="0" w:color="000000"/>
            </w:tcBorders>
          </w:tcPr>
          <w:p>
            <w:pPr/>
          </w:p>
        </w:tc>
      </w:tr>
      <w:tr>
        <w:trPr>
          <w:trHeight w:val="1343" w:hRule="exact"/>
        </w:trPr>
        <w:tc>
          <w:tcPr>
            <w:tcW w:w="1471" w:type="dxa"/>
            <w:tcBorders>
              <w:top w:val="single" w:sz="6" w:space="0" w:color="000000"/>
              <w:left w:val="single" w:sz="12" w:space="0" w:color="000000"/>
              <w:bottom w:val="single" w:sz="6" w:space="0" w:color="000000"/>
              <w:right w:val="single" w:sz="6" w:space="0" w:color="000000"/>
            </w:tcBorders>
          </w:tcPr>
          <w:p>
            <w:pPr>
              <w:pStyle w:val="TableParagraph"/>
              <w:spacing w:line="319" w:lineRule="auto" w:before="51"/>
              <w:ind w:left="14" w:right="172"/>
              <w:jc w:val="both"/>
              <w:rPr>
                <w:rFonts w:ascii="宋体" w:hAnsi="宋体" w:cs="宋体" w:eastAsia="宋体" w:hint="default"/>
                <w:sz w:val="18"/>
                <w:szCs w:val="18"/>
              </w:rPr>
            </w:pPr>
            <w:r>
              <w:rPr>
                <w:rFonts w:ascii="宋体" w:hAnsi="宋体" w:cs="宋体" w:eastAsia="宋体" w:hint="default"/>
                <w:sz w:val="18"/>
                <w:szCs w:val="18"/>
              </w:rPr>
              <w:t>兴业银行股份有 限公司－中邮战 略新兴产业混合 型证券投资基金</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7"/>
              <w:jc w:val="right"/>
              <w:rPr>
                <w:rFonts w:ascii="Times New Roman" w:hAnsi="Times New Roman" w:cs="Times New Roman" w:eastAsia="Times New Roman" w:hint="default"/>
                <w:sz w:val="18"/>
                <w:szCs w:val="18"/>
              </w:rPr>
            </w:pPr>
            <w:r>
              <w:rPr>
                <w:rFonts w:ascii="Times New Roman"/>
                <w:sz w:val="18"/>
              </w:rPr>
              <w:t>0.64%</w:t>
            </w:r>
          </w:p>
        </w:tc>
        <w:tc>
          <w:tcPr>
            <w:tcW w:w="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201" w:right="0"/>
              <w:jc w:val="center"/>
              <w:rPr>
                <w:rFonts w:ascii="Times New Roman" w:hAnsi="Times New Roman" w:cs="Times New Roman" w:eastAsia="Times New Roman" w:hint="default"/>
                <w:sz w:val="18"/>
                <w:szCs w:val="18"/>
              </w:rPr>
            </w:pPr>
            <w:r>
              <w:rPr>
                <w:rFonts w:ascii="Times New Roman"/>
                <w:sz w:val="18"/>
              </w:rPr>
              <w:t>7,339,694</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21" w:right="0"/>
              <w:jc w:val="left"/>
              <w:rPr>
                <w:rFonts w:ascii="Times New Roman" w:hAnsi="Times New Roman" w:cs="Times New Roman" w:eastAsia="Times New Roman" w:hint="default"/>
                <w:sz w:val="18"/>
                <w:szCs w:val="18"/>
              </w:rPr>
            </w:pPr>
            <w:r>
              <w:rPr>
                <w:rFonts w:ascii="Times New Roman"/>
                <w:sz w:val="18"/>
              </w:rPr>
              <w:t>-14127166</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8"/>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7,339,694</w:t>
            </w:r>
          </w:p>
        </w:tc>
        <w:tc>
          <w:tcPr>
            <w:tcW w:w="850" w:type="dxa"/>
            <w:tcBorders>
              <w:top w:val="single" w:sz="6" w:space="0" w:color="000000"/>
              <w:left w:val="single" w:sz="6" w:space="0" w:color="000000"/>
              <w:bottom w:val="single" w:sz="6" w:space="0" w:color="000000"/>
              <w:right w:val="single" w:sz="6" w:space="0" w:color="000000"/>
            </w:tcBorders>
          </w:tcPr>
          <w:p>
            <w:pPr/>
          </w:p>
        </w:tc>
        <w:tc>
          <w:tcPr>
            <w:tcW w:w="1097" w:type="dxa"/>
            <w:tcBorders>
              <w:top w:val="single" w:sz="6" w:space="0" w:color="000000"/>
              <w:left w:val="single" w:sz="6" w:space="0" w:color="000000"/>
              <w:bottom w:val="single" w:sz="6" w:space="0" w:color="000000"/>
              <w:right w:val="single" w:sz="12" w:space="0" w:color="000000"/>
            </w:tcBorders>
          </w:tcPr>
          <w:p>
            <w:pPr/>
          </w:p>
        </w:tc>
      </w:tr>
      <w:tr>
        <w:trPr>
          <w:trHeight w:val="407" w:hRule="exact"/>
        </w:trPr>
        <w:tc>
          <w:tcPr>
            <w:tcW w:w="147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谭星</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0.57%</w:t>
            </w:r>
          </w:p>
        </w:tc>
        <w:tc>
          <w:tcPr>
            <w:tcW w:w="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201" w:right="0"/>
              <w:jc w:val="center"/>
              <w:rPr>
                <w:rFonts w:ascii="Times New Roman" w:hAnsi="Times New Roman" w:cs="Times New Roman" w:eastAsia="Times New Roman" w:hint="default"/>
                <w:sz w:val="18"/>
                <w:szCs w:val="18"/>
              </w:rPr>
            </w:pPr>
            <w:r>
              <w:rPr>
                <w:rFonts w:ascii="Times New Roman"/>
                <w:sz w:val="18"/>
              </w:rPr>
              <w:t>6,515,681</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21" w:right="0"/>
              <w:jc w:val="left"/>
              <w:rPr>
                <w:rFonts w:ascii="Times New Roman" w:hAnsi="Times New Roman" w:cs="Times New Roman" w:eastAsia="Times New Roman" w:hint="default"/>
                <w:sz w:val="18"/>
                <w:szCs w:val="18"/>
              </w:rPr>
            </w:pPr>
            <w:r>
              <w:rPr>
                <w:rFonts w:ascii="Times New Roman"/>
                <w:sz w:val="18"/>
              </w:rPr>
              <w:t>6515681</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6,515,681</w:t>
            </w:r>
          </w:p>
        </w:tc>
        <w:tc>
          <w:tcPr>
            <w:tcW w:w="850" w:type="dxa"/>
            <w:tcBorders>
              <w:top w:val="single" w:sz="6" w:space="0" w:color="000000"/>
              <w:left w:val="single" w:sz="6" w:space="0" w:color="000000"/>
              <w:bottom w:val="single" w:sz="6" w:space="0" w:color="000000"/>
              <w:right w:val="single" w:sz="6" w:space="0" w:color="000000"/>
            </w:tcBorders>
          </w:tcPr>
          <w:p>
            <w:pPr/>
          </w:p>
        </w:tc>
        <w:tc>
          <w:tcPr>
            <w:tcW w:w="1097" w:type="dxa"/>
            <w:tcBorders>
              <w:top w:val="single" w:sz="6" w:space="0" w:color="000000"/>
              <w:left w:val="single" w:sz="6" w:space="0" w:color="000000"/>
              <w:bottom w:val="single" w:sz="6" w:space="0" w:color="000000"/>
              <w:right w:val="single" w:sz="12" w:space="0" w:color="000000"/>
            </w:tcBorders>
          </w:tcPr>
          <w:p>
            <w:pPr/>
          </w:p>
        </w:tc>
      </w:tr>
      <w:tr>
        <w:trPr>
          <w:trHeight w:val="1343" w:hRule="exact"/>
        </w:trPr>
        <w:tc>
          <w:tcPr>
            <w:tcW w:w="1471"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52"/>
              <w:ind w:left="14" w:right="172"/>
              <w:jc w:val="left"/>
              <w:rPr>
                <w:rFonts w:ascii="宋体" w:hAnsi="宋体" w:cs="宋体" w:eastAsia="宋体" w:hint="default"/>
                <w:sz w:val="18"/>
                <w:szCs w:val="18"/>
              </w:rPr>
            </w:pPr>
            <w:r>
              <w:rPr>
                <w:rFonts w:ascii="宋体" w:hAnsi="宋体" w:cs="宋体" w:eastAsia="宋体" w:hint="default"/>
                <w:sz w:val="18"/>
                <w:szCs w:val="18"/>
              </w:rPr>
              <w:t>深圳天风天成资 产管理有限公司</w:t>
            </w:r>
          </w:p>
          <w:p>
            <w:pPr>
              <w:pStyle w:val="TableParagraph"/>
              <w:spacing w:line="302" w:lineRule="auto" w:before="19"/>
              <w:ind w:left="14" w:right="82"/>
              <w:jc w:val="left"/>
              <w:rPr>
                <w:rFonts w:ascii="宋体" w:hAnsi="宋体" w:cs="宋体" w:eastAsia="宋体" w:hint="default"/>
                <w:sz w:val="18"/>
                <w:szCs w:val="18"/>
              </w:rPr>
            </w:pPr>
            <w:r>
              <w:rPr>
                <w:rFonts w:ascii="宋体" w:hAnsi="宋体" w:cs="宋体" w:eastAsia="宋体" w:hint="default"/>
                <w:sz w:val="18"/>
                <w:szCs w:val="18"/>
              </w:rPr>
              <w:t>－天富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号资产 管理计划</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6"/>
              <w:ind w:right="17"/>
              <w:jc w:val="right"/>
              <w:rPr>
                <w:rFonts w:ascii="Times New Roman" w:hAnsi="Times New Roman" w:cs="Times New Roman" w:eastAsia="Times New Roman" w:hint="default"/>
                <w:sz w:val="18"/>
                <w:szCs w:val="18"/>
              </w:rPr>
            </w:pPr>
            <w:r>
              <w:rPr>
                <w:rFonts w:ascii="Times New Roman"/>
                <w:sz w:val="18"/>
              </w:rPr>
              <w:t>0.56%</w:t>
            </w:r>
          </w:p>
        </w:tc>
        <w:tc>
          <w:tcPr>
            <w:tcW w:w="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6"/>
              <w:ind w:left="201" w:right="0"/>
              <w:jc w:val="center"/>
              <w:rPr>
                <w:rFonts w:ascii="Times New Roman" w:hAnsi="Times New Roman" w:cs="Times New Roman" w:eastAsia="Times New Roman" w:hint="default"/>
                <w:sz w:val="18"/>
                <w:szCs w:val="18"/>
              </w:rPr>
            </w:pPr>
            <w:r>
              <w:rPr>
                <w:rFonts w:ascii="Times New Roman"/>
                <w:sz w:val="18"/>
              </w:rPr>
              <w:t>6,451,613</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6"/>
              <w:ind w:left="21" w:right="0"/>
              <w:jc w:val="left"/>
              <w:rPr>
                <w:rFonts w:ascii="Times New Roman" w:hAnsi="Times New Roman" w:cs="Times New Roman" w:eastAsia="Times New Roman" w:hint="default"/>
                <w:sz w:val="18"/>
                <w:szCs w:val="18"/>
              </w:rPr>
            </w:pPr>
            <w:r>
              <w:rPr>
                <w:rFonts w:ascii="Times New Roman"/>
                <w:sz w:val="18"/>
              </w:rPr>
              <w:t>6451613</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6"/>
              <w:ind w:right="17"/>
              <w:jc w:val="right"/>
              <w:rPr>
                <w:rFonts w:ascii="Times New Roman" w:hAnsi="Times New Roman" w:cs="Times New Roman" w:eastAsia="Times New Roman" w:hint="default"/>
                <w:sz w:val="18"/>
                <w:szCs w:val="18"/>
              </w:rPr>
            </w:pPr>
            <w:r>
              <w:rPr>
                <w:rFonts w:ascii="Times New Roman"/>
                <w:sz w:val="18"/>
              </w:rPr>
              <w:t>6,451,613</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6"/>
              <w:ind w:right="19"/>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6" w:space="0" w:color="000000"/>
              <w:left w:val="single" w:sz="6" w:space="0" w:color="000000"/>
              <w:bottom w:val="single" w:sz="6" w:space="0" w:color="000000"/>
              <w:right w:val="single" w:sz="6" w:space="0" w:color="000000"/>
            </w:tcBorders>
          </w:tcPr>
          <w:p>
            <w:pPr/>
          </w:p>
        </w:tc>
        <w:tc>
          <w:tcPr>
            <w:tcW w:w="1097" w:type="dxa"/>
            <w:tcBorders>
              <w:top w:val="single" w:sz="6" w:space="0" w:color="000000"/>
              <w:left w:val="single" w:sz="6" w:space="0" w:color="000000"/>
              <w:bottom w:val="single" w:sz="6" w:space="0" w:color="000000"/>
              <w:right w:val="single" w:sz="12" w:space="0" w:color="000000"/>
            </w:tcBorders>
          </w:tcPr>
          <w:p>
            <w:pPr/>
          </w:p>
        </w:tc>
      </w:tr>
      <w:tr>
        <w:trPr>
          <w:trHeight w:val="1032" w:hRule="exact"/>
        </w:trPr>
        <w:tc>
          <w:tcPr>
            <w:tcW w:w="2881" w:type="dxa"/>
            <w:gridSpan w:val="2"/>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09" w:lineRule="auto" w:before="52"/>
              <w:ind w:left="14" w:right="17"/>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 成为前</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pacing w:val="-13"/>
                <w:sz w:val="18"/>
                <w:szCs w:val="18"/>
              </w:rPr>
              <w:t>名股东的情况（如有）（参</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6690" w:type="dxa"/>
            <w:gridSpan w:val="7"/>
            <w:tcBorders>
              <w:top w:val="single" w:sz="6" w:space="0" w:color="000000"/>
              <w:left w:val="single" w:sz="8" w:space="0" w:color="D2D2D2"/>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18"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19" w:hRule="exact"/>
        </w:trPr>
        <w:tc>
          <w:tcPr>
            <w:tcW w:w="2881" w:type="dxa"/>
            <w:gridSpan w:val="2"/>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6" w:lineRule="auto" w:before="51"/>
              <w:ind w:left="14" w:right="142"/>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 明</w:t>
            </w:r>
          </w:p>
        </w:tc>
        <w:tc>
          <w:tcPr>
            <w:tcW w:w="6690" w:type="dxa"/>
            <w:gridSpan w:val="7"/>
            <w:tcBorders>
              <w:top w:val="single" w:sz="6" w:space="0" w:color="000000"/>
              <w:left w:val="single" w:sz="8" w:space="0" w:color="D2D2D2"/>
              <w:bottom w:val="single" w:sz="6" w:space="0" w:color="000000"/>
              <w:right w:val="single" w:sz="12"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8"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6" w:hRule="exact"/>
        </w:trPr>
        <w:tc>
          <w:tcPr>
            <w:tcW w:w="9571" w:type="dxa"/>
            <w:gridSpan w:val="9"/>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211" w:hRule="exact"/>
        </w:trPr>
        <w:tc>
          <w:tcPr>
            <w:tcW w:w="2881" w:type="dxa"/>
            <w:gridSpan w:val="2"/>
            <w:tcBorders>
              <w:top w:val="single" w:sz="6" w:space="0" w:color="000000"/>
              <w:left w:val="single" w:sz="12" w:space="0" w:color="000000"/>
              <w:bottom w:val="nil" w:sz="6" w:space="0" w:color="auto"/>
              <w:right w:val="single" w:sz="6" w:space="0" w:color="000000"/>
            </w:tcBorders>
            <w:shd w:val="clear" w:color="auto" w:fill="D2D2D2"/>
          </w:tcPr>
          <w:p>
            <w:pPr/>
          </w:p>
        </w:tc>
        <w:tc>
          <w:tcPr>
            <w:tcW w:w="4743" w:type="dxa"/>
            <w:gridSpan w:val="5"/>
            <w:tcBorders>
              <w:top w:val="single" w:sz="6" w:space="0" w:color="000000"/>
              <w:left w:val="single" w:sz="6" w:space="0" w:color="000000"/>
              <w:bottom w:val="nil" w:sz="6" w:space="0" w:color="auto"/>
              <w:right w:val="single" w:sz="6" w:space="0" w:color="000000"/>
            </w:tcBorders>
            <w:shd w:val="clear" w:color="auto" w:fill="D2D2D2"/>
          </w:tcPr>
          <w:p>
            <w:pPr/>
          </w:p>
        </w:tc>
        <w:tc>
          <w:tcPr>
            <w:tcW w:w="1947" w:type="dxa"/>
            <w:gridSpan w:val="2"/>
            <w:vMerge w:val="restart"/>
            <w:tcBorders>
              <w:top w:val="single" w:sz="6" w:space="0" w:color="000000"/>
              <w:left w:val="single" w:sz="6" w:space="0" w:color="000000"/>
              <w:right w:val="single" w:sz="12" w:space="0" w:color="000000"/>
            </w:tcBorders>
            <w:shd w:val="clear" w:color="auto" w:fill="D2D2D2"/>
          </w:tcPr>
          <w:p>
            <w:pPr>
              <w:pStyle w:val="TableParagraph"/>
              <w:spacing w:line="240" w:lineRule="auto" w:before="51"/>
              <w:ind w:left="606" w:right="0"/>
              <w:jc w:val="left"/>
              <w:rPr>
                <w:rFonts w:ascii="宋体" w:hAnsi="宋体" w:cs="宋体" w:eastAsia="宋体" w:hint="default"/>
                <w:sz w:val="18"/>
                <w:szCs w:val="18"/>
              </w:rPr>
            </w:pPr>
            <w:r>
              <w:rPr>
                <w:rFonts w:ascii="宋体" w:hAnsi="宋体" w:cs="宋体" w:eastAsia="宋体" w:hint="default"/>
                <w:sz w:val="18"/>
                <w:szCs w:val="18"/>
              </w:rPr>
              <w:t>股份种类</w:t>
            </w:r>
          </w:p>
        </w:tc>
      </w:tr>
      <w:tr>
        <w:trPr>
          <w:trHeight w:val="188" w:hRule="exact"/>
        </w:trPr>
        <w:tc>
          <w:tcPr>
            <w:tcW w:w="2881" w:type="dxa"/>
            <w:gridSpan w:val="2"/>
            <w:vMerge w:val="restart"/>
            <w:tcBorders>
              <w:top w:val="nil" w:sz="6" w:space="0" w:color="auto"/>
              <w:left w:val="single" w:sz="12" w:space="0" w:color="000000"/>
              <w:right w:val="single" w:sz="6" w:space="0" w:color="000000"/>
            </w:tcBorders>
            <w:shd w:val="clear" w:color="auto" w:fill="D2D2D2"/>
          </w:tcPr>
          <w:p>
            <w:pPr>
              <w:pStyle w:val="TableParagraph"/>
              <w:spacing w:line="240" w:lineRule="auto" w:before="51"/>
              <w:ind w:right="4"/>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4743" w:type="dxa"/>
            <w:gridSpan w:val="5"/>
            <w:vMerge w:val="restart"/>
            <w:tcBorders>
              <w:top w:val="nil" w:sz="6" w:space="0" w:color="auto"/>
              <w:left w:val="single" w:sz="6" w:space="0" w:color="000000"/>
              <w:right w:val="single" w:sz="6" w:space="0" w:color="000000"/>
            </w:tcBorders>
            <w:shd w:val="clear" w:color="auto" w:fill="D2D2D2"/>
          </w:tcPr>
          <w:p>
            <w:pPr>
              <w:pStyle w:val="TableParagraph"/>
              <w:spacing w:line="240" w:lineRule="auto" w:before="51"/>
              <w:ind w:left="1014"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1947" w:type="dxa"/>
            <w:gridSpan w:val="2"/>
            <w:vMerge/>
            <w:tcBorders>
              <w:left w:val="single" w:sz="6" w:space="0" w:color="000000"/>
              <w:bottom w:val="single" w:sz="6" w:space="0" w:color="000000"/>
              <w:right w:val="single" w:sz="12" w:space="0" w:color="000000"/>
            </w:tcBorders>
            <w:shd w:val="clear" w:color="auto" w:fill="D2D2D2"/>
          </w:tcPr>
          <w:p>
            <w:pPr/>
          </w:p>
        </w:tc>
      </w:tr>
      <w:tr>
        <w:trPr>
          <w:trHeight w:val="204" w:hRule="exact"/>
        </w:trPr>
        <w:tc>
          <w:tcPr>
            <w:tcW w:w="2881" w:type="dxa"/>
            <w:gridSpan w:val="2"/>
            <w:vMerge/>
            <w:tcBorders>
              <w:left w:val="single" w:sz="12" w:space="0" w:color="000000"/>
              <w:bottom w:val="nil" w:sz="6" w:space="0" w:color="auto"/>
              <w:right w:val="single" w:sz="6" w:space="0" w:color="000000"/>
            </w:tcBorders>
            <w:shd w:val="clear" w:color="auto" w:fill="D2D2D2"/>
          </w:tcPr>
          <w:p>
            <w:pPr/>
          </w:p>
        </w:tc>
        <w:tc>
          <w:tcPr>
            <w:tcW w:w="4743" w:type="dxa"/>
            <w:gridSpan w:val="5"/>
            <w:vMerge/>
            <w:tcBorders>
              <w:left w:val="single" w:sz="6" w:space="0" w:color="000000"/>
              <w:bottom w:val="nil" w:sz="6" w:space="0" w:color="auto"/>
              <w:right w:val="single" w:sz="6" w:space="0" w:color="000000"/>
            </w:tcBorders>
            <w:shd w:val="clear" w:color="auto" w:fill="D2D2D2"/>
          </w:tcPr>
          <w:p>
            <w:pPr/>
          </w:p>
        </w:tc>
        <w:tc>
          <w:tcPr>
            <w:tcW w:w="850" w:type="dxa"/>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before="60"/>
              <w:ind w:left="57"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097" w:type="dxa"/>
            <w:vMerge w:val="restart"/>
            <w:tcBorders>
              <w:top w:val="single" w:sz="6" w:space="0" w:color="000000"/>
              <w:left w:val="single" w:sz="6" w:space="0" w:color="000000"/>
              <w:right w:val="single" w:sz="12" w:space="0" w:color="000000"/>
            </w:tcBorders>
            <w:shd w:val="clear" w:color="auto" w:fill="D2D2D2"/>
          </w:tcPr>
          <w:p>
            <w:pPr>
              <w:pStyle w:val="TableParagraph"/>
              <w:spacing w:line="240" w:lineRule="auto" w:before="60"/>
              <w:ind w:left="362"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210" w:hRule="exact"/>
        </w:trPr>
        <w:tc>
          <w:tcPr>
            <w:tcW w:w="2881" w:type="dxa"/>
            <w:gridSpan w:val="2"/>
            <w:tcBorders>
              <w:top w:val="nil" w:sz="6" w:space="0" w:color="auto"/>
              <w:left w:val="single" w:sz="12" w:space="0" w:color="000000"/>
              <w:bottom w:val="single" w:sz="6" w:space="0" w:color="000000"/>
              <w:right w:val="single" w:sz="6" w:space="0" w:color="000000"/>
            </w:tcBorders>
            <w:shd w:val="clear" w:color="auto" w:fill="D2D2D2"/>
          </w:tcPr>
          <w:p>
            <w:pPr/>
          </w:p>
        </w:tc>
        <w:tc>
          <w:tcPr>
            <w:tcW w:w="4743" w:type="dxa"/>
            <w:gridSpan w:val="5"/>
            <w:tcBorders>
              <w:top w:val="nil" w:sz="6" w:space="0" w:color="auto"/>
              <w:left w:val="single" w:sz="6" w:space="0" w:color="000000"/>
              <w:bottom w:val="single" w:sz="6" w:space="0" w:color="000000"/>
              <w:right w:val="single" w:sz="6" w:space="0" w:color="000000"/>
            </w:tcBorders>
            <w:shd w:val="clear" w:color="auto" w:fill="D2D2D2"/>
          </w:tcPr>
          <w:p>
            <w:pPr/>
          </w:p>
        </w:tc>
        <w:tc>
          <w:tcPr>
            <w:tcW w:w="850" w:type="dxa"/>
            <w:vMerge/>
            <w:tcBorders>
              <w:left w:val="single" w:sz="6" w:space="0" w:color="000000"/>
              <w:bottom w:val="single" w:sz="6" w:space="0" w:color="000000"/>
              <w:right w:val="single" w:sz="6" w:space="0" w:color="000000"/>
            </w:tcBorders>
            <w:shd w:val="clear" w:color="auto" w:fill="D2D2D2"/>
          </w:tcPr>
          <w:p>
            <w:pPr/>
          </w:p>
        </w:tc>
        <w:tc>
          <w:tcPr>
            <w:tcW w:w="1097" w:type="dxa"/>
            <w:vMerge/>
            <w:tcBorders>
              <w:left w:val="single" w:sz="6" w:space="0" w:color="000000"/>
              <w:bottom w:val="single" w:sz="6" w:space="0" w:color="000000"/>
              <w:right w:val="single" w:sz="12" w:space="0" w:color="000000"/>
            </w:tcBorders>
            <w:shd w:val="clear" w:color="auto" w:fill="D2D2D2"/>
          </w:tcPr>
          <w:p>
            <w:pPr/>
          </w:p>
        </w:tc>
      </w:tr>
      <w:tr>
        <w:trPr>
          <w:trHeight w:val="1039" w:hRule="exact"/>
        </w:trPr>
        <w:tc>
          <w:tcPr>
            <w:tcW w:w="2881" w:type="dxa"/>
            <w:gridSpan w:val="2"/>
            <w:tcBorders>
              <w:top w:val="single" w:sz="6" w:space="0" w:color="000000"/>
              <w:left w:val="single" w:sz="12" w:space="0" w:color="000000"/>
              <w:bottom w:val="single" w:sz="12" w:space="0" w:color="000000"/>
              <w:right w:val="single" w:sz="6" w:space="0" w:color="000000"/>
            </w:tcBorders>
          </w:tcPr>
          <w:p>
            <w:pPr>
              <w:pStyle w:val="TableParagraph"/>
              <w:spacing w:line="316" w:lineRule="auto" w:before="52"/>
              <w:ind w:left="14" w:right="142"/>
              <w:jc w:val="both"/>
              <w:rPr>
                <w:rFonts w:ascii="宋体" w:hAnsi="宋体" w:cs="宋体" w:eastAsia="宋体" w:hint="default"/>
                <w:sz w:val="18"/>
                <w:szCs w:val="18"/>
              </w:rPr>
            </w:pPr>
            <w:r>
              <w:rPr>
                <w:rFonts w:ascii="宋体" w:hAnsi="宋体" w:cs="宋体" w:eastAsia="宋体" w:hint="default"/>
                <w:sz w:val="18"/>
                <w:szCs w:val="18"/>
              </w:rPr>
              <w:t>中国农业银行股份有限公司－中邮 信息产业灵活配置混合型证券投资 基金</w:t>
            </w:r>
          </w:p>
        </w:tc>
        <w:tc>
          <w:tcPr>
            <w:tcW w:w="4743" w:type="dxa"/>
            <w:gridSpan w:val="5"/>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8,276,500</w:t>
            </w:r>
          </w:p>
        </w:tc>
        <w:tc>
          <w:tcPr>
            <w:tcW w:w="85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316" w:lineRule="auto"/>
              <w:ind w:left="20" w:right="92"/>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9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8,276,500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100" w:bottom="1160" w:left="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151" w:type="dxa"/>
        <w:tblLayout w:type="fixed"/>
        <w:tblCellMar>
          <w:top w:w="0" w:type="dxa"/>
          <w:left w:w="0" w:type="dxa"/>
          <w:bottom w:w="0" w:type="dxa"/>
          <w:right w:w="0" w:type="dxa"/>
        </w:tblCellMar>
        <w:tblLook w:val="01E0"/>
      </w:tblPr>
      <w:tblGrid>
        <w:gridCol w:w="2881"/>
        <w:gridCol w:w="4743"/>
        <w:gridCol w:w="850"/>
        <w:gridCol w:w="1097"/>
      </w:tblGrid>
      <w:tr>
        <w:trPr>
          <w:trHeight w:val="727" w:hRule="exact"/>
        </w:trPr>
        <w:tc>
          <w:tcPr>
            <w:tcW w:w="2881" w:type="dxa"/>
            <w:tcBorders>
              <w:top w:val="single" w:sz="12" w:space="0" w:color="000000"/>
              <w:left w:val="single" w:sz="12" w:space="0" w:color="000000"/>
              <w:bottom w:val="single" w:sz="6" w:space="0" w:color="000000"/>
              <w:right w:val="single" w:sz="6" w:space="0" w:color="000000"/>
            </w:tcBorders>
          </w:tcPr>
          <w:p>
            <w:pPr>
              <w:pStyle w:val="TableParagraph"/>
              <w:spacing w:line="316" w:lineRule="auto" w:before="51"/>
              <w:ind w:left="14" w:right="20"/>
              <w:jc w:val="left"/>
              <w:rPr>
                <w:rFonts w:ascii="宋体" w:hAnsi="宋体" w:cs="宋体" w:eastAsia="宋体" w:hint="default"/>
                <w:sz w:val="18"/>
                <w:szCs w:val="18"/>
              </w:rPr>
            </w:pPr>
            <w:r>
              <w:rPr>
                <w:rFonts w:ascii="宋体" w:hAnsi="宋体" w:cs="宋体" w:eastAsia="宋体" w:hint="default"/>
                <w:spacing w:val="-4"/>
                <w:sz w:val="18"/>
                <w:szCs w:val="18"/>
              </w:rPr>
              <w:t>东方富海（芜湖）股权投资基金（有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限合伙）</w:t>
            </w:r>
          </w:p>
        </w:tc>
        <w:tc>
          <w:tcPr>
            <w:tcW w:w="474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8,007,243</w:t>
            </w:r>
          </w:p>
        </w:tc>
        <w:tc>
          <w:tcPr>
            <w:tcW w:w="850"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51"/>
              <w:ind w:left="20" w:right="92"/>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9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8,007,243</w:t>
            </w:r>
          </w:p>
        </w:tc>
      </w:tr>
      <w:tr>
        <w:trPr>
          <w:trHeight w:val="719" w:hRule="exact"/>
        </w:trPr>
        <w:tc>
          <w:tcPr>
            <w:tcW w:w="2881"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51"/>
              <w:ind w:left="14" w:right="142"/>
              <w:jc w:val="left"/>
              <w:rPr>
                <w:rFonts w:ascii="宋体" w:hAnsi="宋体" w:cs="宋体" w:eastAsia="宋体" w:hint="default"/>
                <w:sz w:val="18"/>
                <w:szCs w:val="18"/>
              </w:rPr>
            </w:pPr>
            <w:r>
              <w:rPr>
                <w:rFonts w:ascii="宋体" w:hAnsi="宋体" w:cs="宋体" w:eastAsia="宋体" w:hint="default"/>
                <w:sz w:val="18"/>
                <w:szCs w:val="18"/>
              </w:rPr>
              <w:t>兴业银行股份有限公司－中邮战略 新兴产业混合型证券投资基金</w:t>
            </w:r>
          </w:p>
        </w:tc>
        <w:tc>
          <w:tcPr>
            <w:tcW w:w="47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7,339,694</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1"/>
              <w:ind w:left="20" w:right="92"/>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7,339,694</w:t>
            </w:r>
          </w:p>
        </w:tc>
      </w:tr>
      <w:tr>
        <w:trPr>
          <w:trHeight w:val="719" w:hRule="exact"/>
        </w:trPr>
        <w:tc>
          <w:tcPr>
            <w:tcW w:w="28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谭星</w:t>
            </w:r>
          </w:p>
        </w:tc>
        <w:tc>
          <w:tcPr>
            <w:tcW w:w="47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6,515,681</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51"/>
              <w:ind w:left="20" w:right="92"/>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6,515,681</w:t>
            </w:r>
          </w:p>
        </w:tc>
      </w:tr>
      <w:tr>
        <w:trPr>
          <w:trHeight w:val="719" w:hRule="exact"/>
        </w:trPr>
        <w:tc>
          <w:tcPr>
            <w:tcW w:w="28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广东恒阔投资管理有限公司</w:t>
            </w:r>
          </w:p>
        </w:tc>
        <w:tc>
          <w:tcPr>
            <w:tcW w:w="47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5,547,100</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51"/>
              <w:ind w:left="20" w:right="92"/>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5,547,100</w:t>
            </w:r>
          </w:p>
        </w:tc>
      </w:tr>
      <w:tr>
        <w:trPr>
          <w:trHeight w:val="719" w:hRule="exact"/>
        </w:trPr>
        <w:tc>
          <w:tcPr>
            <w:tcW w:w="28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姚晓云</w:t>
            </w:r>
          </w:p>
        </w:tc>
        <w:tc>
          <w:tcPr>
            <w:tcW w:w="47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4,880,957</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2"/>
              <w:ind w:left="20" w:right="92"/>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4,880,957</w:t>
            </w:r>
          </w:p>
        </w:tc>
      </w:tr>
      <w:tr>
        <w:trPr>
          <w:trHeight w:val="719" w:hRule="exact"/>
        </w:trPr>
        <w:tc>
          <w:tcPr>
            <w:tcW w:w="2881"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52"/>
              <w:ind w:left="14" w:right="142"/>
              <w:jc w:val="left"/>
              <w:rPr>
                <w:rFonts w:ascii="宋体" w:hAnsi="宋体" w:cs="宋体" w:eastAsia="宋体" w:hint="default"/>
                <w:sz w:val="18"/>
                <w:szCs w:val="18"/>
              </w:rPr>
            </w:pPr>
            <w:r>
              <w:rPr>
                <w:rFonts w:ascii="宋体" w:hAnsi="宋体" w:cs="宋体" w:eastAsia="宋体" w:hint="default"/>
                <w:sz w:val="18"/>
                <w:szCs w:val="18"/>
              </w:rPr>
              <w:t>中国建设银行股份有限公司－华商 盛世成长混合型证券投资基金</w:t>
            </w:r>
          </w:p>
        </w:tc>
        <w:tc>
          <w:tcPr>
            <w:tcW w:w="47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4,250,009</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2"/>
              <w:ind w:left="20" w:right="92"/>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4,250,009</w:t>
            </w:r>
          </w:p>
        </w:tc>
      </w:tr>
      <w:tr>
        <w:trPr>
          <w:trHeight w:val="720" w:hRule="exact"/>
        </w:trPr>
        <w:tc>
          <w:tcPr>
            <w:tcW w:w="28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国盛证券有限责任公司</w:t>
            </w:r>
          </w:p>
        </w:tc>
        <w:tc>
          <w:tcPr>
            <w:tcW w:w="47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3,819,094</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2"/>
              <w:ind w:left="20" w:right="92"/>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3,819,094</w:t>
            </w:r>
          </w:p>
        </w:tc>
      </w:tr>
      <w:tr>
        <w:trPr>
          <w:trHeight w:val="719" w:hRule="exact"/>
        </w:trPr>
        <w:tc>
          <w:tcPr>
            <w:tcW w:w="28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pacing w:val="-4"/>
                <w:sz w:val="18"/>
                <w:szCs w:val="18"/>
              </w:rPr>
              <w:t>东方富海（芜湖）二号股权投资基金</w:t>
            </w:r>
          </w:p>
          <w:p>
            <w:pPr>
              <w:pStyle w:val="TableParagraph"/>
              <w:spacing w:line="240" w:lineRule="auto" w:before="76"/>
              <w:ind w:left="14" w:right="0"/>
              <w:jc w:val="left"/>
              <w:rPr>
                <w:rFonts w:ascii="宋体" w:hAnsi="宋体" w:cs="宋体" w:eastAsia="宋体" w:hint="default"/>
                <w:sz w:val="18"/>
                <w:szCs w:val="18"/>
              </w:rPr>
            </w:pPr>
            <w:r>
              <w:rPr>
                <w:rFonts w:ascii="宋体" w:hAnsi="宋体" w:cs="宋体" w:eastAsia="宋体" w:hint="default"/>
                <w:sz w:val="18"/>
                <w:szCs w:val="18"/>
              </w:rPr>
              <w:t>（有限合伙）</w:t>
            </w:r>
          </w:p>
        </w:tc>
        <w:tc>
          <w:tcPr>
            <w:tcW w:w="47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3,472,705</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1"/>
              <w:ind w:left="20" w:right="92"/>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3,472,705</w:t>
            </w:r>
          </w:p>
        </w:tc>
      </w:tr>
      <w:tr>
        <w:trPr>
          <w:trHeight w:val="719" w:hRule="exact"/>
        </w:trPr>
        <w:tc>
          <w:tcPr>
            <w:tcW w:w="28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4" w:right="-36"/>
              <w:jc w:val="left"/>
              <w:rPr>
                <w:rFonts w:ascii="宋体" w:hAnsi="宋体" w:cs="宋体" w:eastAsia="宋体" w:hint="default"/>
                <w:sz w:val="18"/>
                <w:szCs w:val="18"/>
              </w:rPr>
            </w:pPr>
            <w:r>
              <w:rPr>
                <w:rFonts w:ascii="宋体" w:hAnsi="宋体" w:cs="宋体" w:eastAsia="宋体" w:hint="default"/>
                <w:sz w:val="18"/>
                <w:szCs w:val="18"/>
              </w:rPr>
              <w:t>北京银德创业投资中心（有限合伙）</w:t>
            </w:r>
          </w:p>
        </w:tc>
        <w:tc>
          <w:tcPr>
            <w:tcW w:w="47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2,827,724</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51"/>
              <w:ind w:left="20" w:right="92"/>
              <w:jc w:val="left"/>
              <w:rPr>
                <w:rFonts w:ascii="宋体" w:hAnsi="宋体" w:cs="宋体" w:eastAsia="宋体" w:hint="default"/>
                <w:sz w:val="18"/>
                <w:szCs w:val="18"/>
              </w:rPr>
            </w:pPr>
            <w:r>
              <w:rPr>
                <w:rFonts w:ascii="宋体" w:hAnsi="宋体" w:cs="宋体" w:eastAsia="宋体" w:hint="default"/>
                <w:sz w:val="18"/>
                <w:szCs w:val="18"/>
              </w:rPr>
              <w:t>人民币普 通股</w:t>
            </w:r>
          </w:p>
        </w:tc>
        <w:tc>
          <w:tcPr>
            <w:tcW w:w="1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2,827,724</w:t>
            </w:r>
          </w:p>
        </w:tc>
      </w:tr>
      <w:tr>
        <w:trPr>
          <w:trHeight w:val="1343" w:hRule="exact"/>
        </w:trPr>
        <w:tc>
          <w:tcPr>
            <w:tcW w:w="288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名无限售流通股股东之间，以</w:t>
            </w:r>
          </w:p>
          <w:p>
            <w:pPr>
              <w:pStyle w:val="TableParagraph"/>
              <w:spacing w:line="309" w:lineRule="auto" w:before="63"/>
              <w:ind w:left="14" w:right="18"/>
              <w:jc w:val="left"/>
              <w:rPr>
                <w:rFonts w:ascii="宋体" w:hAnsi="宋体" w:cs="宋体" w:eastAsia="宋体" w:hint="default"/>
                <w:sz w:val="18"/>
                <w:szCs w:val="18"/>
              </w:rPr>
            </w:pPr>
            <w:r>
              <w:rPr>
                <w:rFonts w:ascii="宋体" w:hAnsi="宋体" w:cs="宋体" w:eastAsia="宋体" w:hint="default"/>
                <w:sz w:val="18"/>
                <w:szCs w:val="18"/>
              </w:rPr>
              <w:t>及前</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名无限售流通股股东和前</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名股东之间关联关系或一致行动的 说明</w:t>
            </w:r>
          </w:p>
        </w:tc>
        <w:tc>
          <w:tcPr>
            <w:tcW w:w="6690" w:type="dxa"/>
            <w:gridSpan w:val="3"/>
            <w:tcBorders>
              <w:top w:val="single" w:sz="6" w:space="0" w:color="000000"/>
              <w:left w:val="single" w:sz="8" w:space="0" w:color="D2D2D2"/>
              <w:bottom w:val="single" w:sz="6" w:space="0" w:color="000000"/>
              <w:right w:val="single" w:sz="12" w:space="0" w:color="000000"/>
            </w:tcBorders>
          </w:tcPr>
          <w:p>
            <w:pPr>
              <w:pStyle w:val="TableParagraph"/>
              <w:spacing w:line="240" w:lineRule="auto" w:before="51"/>
              <w:ind w:left="18" w:right="0"/>
              <w:jc w:val="left"/>
              <w:rPr>
                <w:rFonts w:ascii="宋体" w:hAnsi="宋体" w:cs="宋体" w:eastAsia="宋体" w:hint="default"/>
                <w:sz w:val="18"/>
                <w:szCs w:val="18"/>
              </w:rPr>
            </w:pPr>
            <w:r>
              <w:rPr>
                <w:rFonts w:ascii="宋体" w:hAnsi="宋体" w:cs="宋体" w:eastAsia="宋体" w:hint="default"/>
                <w:spacing w:val="-1"/>
                <w:sz w:val="18"/>
                <w:szCs w:val="18"/>
              </w:rPr>
              <w:t>东方富海（芜湖）股权投资基金（有限合伙）和东方富海（芜湖）二号股权投资基金</w:t>
            </w:r>
          </w:p>
          <w:p>
            <w:pPr>
              <w:pStyle w:val="TableParagraph"/>
              <w:spacing w:line="319" w:lineRule="auto" w:before="77"/>
              <w:ind w:left="18" w:right="13"/>
              <w:jc w:val="left"/>
              <w:rPr>
                <w:rFonts w:ascii="宋体" w:hAnsi="宋体" w:cs="宋体" w:eastAsia="宋体" w:hint="default"/>
                <w:sz w:val="18"/>
                <w:szCs w:val="18"/>
              </w:rPr>
            </w:pPr>
            <w:r>
              <w:rPr>
                <w:rFonts w:ascii="宋体" w:hAnsi="宋体" w:cs="宋体" w:eastAsia="宋体" w:hint="default"/>
                <w:spacing w:val="-1"/>
                <w:sz w:val="18"/>
                <w:szCs w:val="18"/>
              </w:rPr>
              <w:t>（有限合伙）的执行事务合伙人均为陈玮，公司未知前十名无限售条件股东之间，以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及前十名无限售条件股东和前十名股东之间是否存在其它关联关系或一致行动人的 情况。</w:t>
            </w:r>
          </w:p>
        </w:tc>
      </w:tr>
      <w:tr>
        <w:trPr>
          <w:trHeight w:val="727" w:hRule="exact"/>
        </w:trPr>
        <w:tc>
          <w:tcPr>
            <w:tcW w:w="2881"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316" w:lineRule="auto" w:before="52"/>
              <w:ind w:left="14" w:right="18"/>
              <w:jc w:val="left"/>
              <w:rPr>
                <w:rFonts w:ascii="宋体" w:hAnsi="宋体" w:cs="宋体" w:eastAsia="宋体" w:hint="default"/>
                <w:sz w:val="18"/>
                <w:szCs w:val="18"/>
              </w:rPr>
            </w:pPr>
            <w:r>
              <w:rPr>
                <w:rFonts w:ascii="宋体" w:hAnsi="宋体" w:cs="宋体" w:eastAsia="宋体" w:hint="default"/>
                <w:spacing w:val="-4"/>
                <w:sz w:val="18"/>
                <w:szCs w:val="18"/>
              </w:rPr>
              <w:t>参与融资融券业务股东情况说明（如</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5"/>
                <w:sz w:val="18"/>
                <w:szCs w:val="18"/>
              </w:rPr>
              <w:t>有）（参见注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6690" w:type="dxa"/>
            <w:gridSpan w:val="3"/>
            <w:tcBorders>
              <w:top w:val="single" w:sz="6" w:space="0" w:color="000000"/>
              <w:left w:val="single" w:sz="8" w:space="0" w:color="D2D2D2"/>
              <w:bottom w:val="single" w:sz="12" w:space="0" w:color="000000"/>
              <w:right w:val="single" w:sz="12" w:space="0" w:color="000000"/>
            </w:tcBorders>
          </w:tcPr>
          <w:p>
            <w:pPr>
              <w:pStyle w:val="TableParagraph"/>
              <w:spacing w:line="240" w:lineRule="auto" w:before="52"/>
              <w:ind w:left="18" w:right="0"/>
              <w:jc w:val="left"/>
              <w:rPr>
                <w:rFonts w:ascii="宋体" w:hAnsi="宋体" w:cs="宋体" w:eastAsia="宋体" w:hint="default"/>
                <w:sz w:val="18"/>
                <w:szCs w:val="18"/>
              </w:rPr>
            </w:pPr>
            <w:r>
              <w:rPr>
                <w:rFonts w:ascii="宋体" w:hAnsi="宋体" w:cs="宋体" w:eastAsia="宋体" w:hint="default"/>
                <w:sz w:val="18"/>
                <w:szCs w:val="18"/>
              </w:rPr>
              <w:t>股东姚晓云除通过普通证券账户持有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5,600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股外，还通过华泰证券股份有限公司客户</w:t>
            </w:r>
          </w:p>
          <w:p>
            <w:pPr>
              <w:pStyle w:val="TableParagraph"/>
              <w:spacing w:line="240" w:lineRule="auto" w:before="63"/>
              <w:ind w:left="18" w:right="0"/>
              <w:jc w:val="left"/>
              <w:rPr>
                <w:rFonts w:ascii="宋体" w:hAnsi="宋体" w:cs="宋体" w:eastAsia="宋体" w:hint="default"/>
                <w:sz w:val="18"/>
                <w:szCs w:val="18"/>
              </w:rPr>
            </w:pPr>
            <w:r>
              <w:rPr>
                <w:rFonts w:ascii="宋体" w:hAnsi="宋体" w:cs="宋体" w:eastAsia="宋体" w:hint="default"/>
                <w:sz w:val="18"/>
                <w:szCs w:val="18"/>
              </w:rPr>
              <w:t>信用交易担保证券账户持有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4,875,357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r>
              <w:rPr>
                <w:rFonts w:ascii="宋体" w:hAnsi="宋体" w:cs="宋体" w:eastAsia="宋体" w:hint="default"/>
                <w:sz w:val="18"/>
                <w:szCs w:val="18"/>
              </w:rPr>
              <w:t>实际合计持有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4,880,957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名无限售条件普通股股东在报告期内是否进行约定购回交易</w:t>
      </w:r>
    </w:p>
    <w:p>
      <w:pPr>
        <w:spacing w:before="103"/>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before="102"/>
        <w:ind w:left="1133" w:right="998"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名无限售条件普通股股东在报告期内未进行约定购回交易。</w:t>
      </w:r>
    </w:p>
    <w:p>
      <w:pPr>
        <w:spacing w:line="240" w:lineRule="auto" w:before="10"/>
        <w:rPr>
          <w:rFonts w:ascii="宋体" w:hAnsi="宋体" w:cs="宋体" w:eastAsia="宋体" w:hint="default"/>
          <w:sz w:val="25"/>
          <w:szCs w:val="25"/>
        </w:rPr>
      </w:pPr>
    </w:p>
    <w:p>
      <w:pPr>
        <w:pStyle w:val="Heading6"/>
        <w:spacing w:line="240" w:lineRule="auto"/>
        <w:ind w:left="1133" w:right="998"/>
        <w:jc w:val="left"/>
        <w:rPr>
          <w:b w:val="0"/>
          <w:bCs w:val="0"/>
        </w:rPr>
      </w:pPr>
      <w:bookmarkStart w:name="2、公司控股股东情况" w:id="115"/>
      <w:bookmarkEnd w:id="115"/>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8"/>
        <w:rPr>
          <w:rFonts w:ascii="宋体" w:hAnsi="宋体" w:cs="宋体" w:eastAsia="宋体" w:hint="default"/>
          <w:b/>
          <w:bCs/>
          <w:sz w:val="26"/>
          <w:szCs w:val="26"/>
        </w:rPr>
      </w:pPr>
    </w:p>
    <w:p>
      <w:pPr>
        <w:spacing w:line="360" w:lineRule="auto" w:before="0"/>
        <w:ind w:left="1133" w:right="8593" w:firstLine="0"/>
        <w:jc w:val="left"/>
        <w:rPr>
          <w:rFonts w:ascii="宋体" w:hAnsi="宋体" w:cs="宋体" w:eastAsia="宋体" w:hint="default"/>
          <w:sz w:val="18"/>
          <w:szCs w:val="18"/>
        </w:rPr>
      </w:pPr>
      <w:r>
        <w:rPr>
          <w:rFonts w:ascii="宋体" w:hAnsi="宋体" w:cs="宋体" w:eastAsia="宋体" w:hint="default"/>
          <w:sz w:val="18"/>
          <w:szCs w:val="18"/>
        </w:rPr>
        <w:t>控股股东性质：自然人控股 控股股东类型：自然人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9"/>
          <w:szCs w:val="29"/>
        </w:rPr>
      </w:pPr>
    </w:p>
    <w:p>
      <w:pPr>
        <w:spacing w:before="44"/>
        <w:ind w:left="0" w:right="1105" w:firstLine="0"/>
        <w:jc w:val="right"/>
        <w:rPr>
          <w:rFonts w:ascii="宋体" w:hAnsi="宋体" w:cs="宋体" w:eastAsia="宋体" w:hint="default"/>
          <w:sz w:val="18"/>
          <w:szCs w:val="18"/>
        </w:rPr>
      </w:pPr>
      <w:r>
        <w:rPr/>
        <w:pict>
          <v:shape style="position:absolute;margin-left:57.66pt;margin-top:-58.168278pt;width:480.7pt;height:125.75pt;mso-position-horizontal-relative:page;mso-position-vertical-relative:paragraph;z-index:21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19"/>
                    <w:gridCol w:w="2030"/>
                    <w:gridCol w:w="4121"/>
                  </w:tblGrid>
                  <w:tr>
                    <w:trPr>
                      <w:trHeight w:val="415" w:hRule="exact"/>
                    </w:trPr>
                    <w:tc>
                      <w:tcPr>
                        <w:tcW w:w="3419"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right="7"/>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03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4121"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793"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7" w:hRule="exact"/>
                    </w:trPr>
                    <w:tc>
                      <w:tcPr>
                        <w:tcW w:w="34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20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41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663" w:hRule="exact"/>
                    </w:trPr>
                    <w:tc>
                      <w:tcPr>
                        <w:tcW w:w="3419"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0" w:type="dxa"/>
                        <w:gridSpan w:val="2"/>
                        <w:tcBorders>
                          <w:top w:val="single" w:sz="6" w:space="0" w:color="000000"/>
                          <w:left w:val="single" w:sz="6" w:space="0" w:color="000000"/>
                          <w:bottom w:val="single" w:sz="12" w:space="0" w:color="000000"/>
                          <w:right w:val="single" w:sz="12" w:space="0" w:color="000000"/>
                        </w:tcBorders>
                      </w:tcPr>
                      <w:p>
                        <w:pPr>
                          <w:pStyle w:val="TableParagraph"/>
                          <w:spacing w:line="314" w:lineRule="auto" w:before="51"/>
                          <w:ind w:left="20" w:right="12"/>
                          <w:jc w:val="left"/>
                          <w:rPr>
                            <w:rFonts w:ascii="宋体" w:hAnsi="宋体" w:cs="宋体" w:eastAsia="宋体" w:hint="default"/>
                            <w:sz w:val="18"/>
                            <w:szCs w:val="18"/>
                          </w:rPr>
                        </w:pPr>
                        <w:r>
                          <w:rPr>
                            <w:rFonts w:ascii="宋体" w:hAnsi="宋体" w:cs="宋体" w:eastAsia="宋体" w:hint="default"/>
                            <w:spacing w:val="-1"/>
                            <w:sz w:val="18"/>
                            <w:szCs w:val="18"/>
                          </w:rPr>
                          <w:t>昆仑万维董事长、总经理，昆仑在线执行董事、经理，广州昆仑执行董事、经</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4"/>
                            <w:sz w:val="18"/>
                            <w:szCs w:val="18"/>
                          </w:rPr>
                          <w:t>理，昆仑乐享执行董事、经理，昆仑日本董事，昆仑集团董事，昆仑韩国董事</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4"/>
                            <w:sz w:val="18"/>
                            <w:szCs w:val="18"/>
                          </w:rPr>
                          <w:t>昆仑马来董事，昆仑美国董事长、首席执行官，昆仑欧洲董事，游景蓝图董事</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网潮香港董事，香港万维董事，盈瑞世纪执行事务合伙人， </w:t>
                        </w:r>
                        <w:r>
                          <w:rPr>
                            <w:rFonts w:ascii="Times New Roman" w:hAnsi="Times New Roman" w:cs="Times New Roman" w:eastAsia="Times New Roman" w:hint="default"/>
                            <w:sz w:val="18"/>
                            <w:szCs w:val="18"/>
                          </w:rPr>
                          <w:t>Talktalk</w:t>
                        </w:r>
                        <w:r>
                          <w:rPr>
                            <w:rFonts w:ascii="Times New Roman" w:hAnsi="Times New Roman" w:cs="Times New Roman" w:eastAsia="Times New Roman" w:hint="default"/>
                            <w:spacing w:val="36"/>
                            <w:sz w:val="18"/>
                            <w:szCs w:val="18"/>
                          </w:rPr>
                          <w:t> </w:t>
                        </w:r>
                        <w:r>
                          <w:rPr>
                            <w:rFonts w:ascii="宋体" w:hAnsi="宋体" w:cs="宋体" w:eastAsia="宋体" w:hint="default"/>
                            <w:sz w:val="18"/>
                            <w:szCs w:val="18"/>
                          </w:rPr>
                          <w:t>董事， </w:t>
                        </w:r>
                        <w:r>
                          <w:rPr>
                            <w:rFonts w:ascii="Times New Roman" w:hAnsi="Times New Roman" w:cs="Times New Roman" w:eastAsia="Times New Roman" w:hint="default"/>
                            <w:sz w:val="18"/>
                            <w:szCs w:val="18"/>
                          </w:rPr>
                          <w:t>RaidCall(HK) Limited</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董事，畅游瑞科董事等。</w:t>
                        </w:r>
                      </w:p>
                    </w:tc>
                  </w:tr>
                </w:tbl>
                <w:p>
                  <w:pPr/>
                </w:p>
              </w:txbxContent>
            </v:textbox>
            <w10:wrap type="none"/>
          </v:shape>
        </w:pict>
      </w:r>
      <w:r>
        <w:rPr>
          <w:rFonts w:ascii="宋体" w:hAnsi="宋体" w:cs="宋体" w:eastAsia="宋体" w:hint="default"/>
          <w:sz w:val="18"/>
          <w:szCs w:val="18"/>
        </w:rPr>
        <w:t>，</w:t>
      </w:r>
    </w:p>
    <w:p>
      <w:pPr>
        <w:spacing w:before="76"/>
        <w:ind w:left="0" w:right="1105" w:firstLine="0"/>
        <w:jc w:val="right"/>
        <w:rPr>
          <w:rFonts w:ascii="宋体" w:hAnsi="宋体" w:cs="宋体" w:eastAsia="宋体" w:hint="default"/>
          <w:sz w:val="18"/>
          <w:szCs w:val="18"/>
        </w:rPr>
      </w:pP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877" w:footer="979" w:top="1100" w:bottom="1160" w:left="0" w:right="0"/>
        </w:sectPr>
      </w:pPr>
    </w:p>
    <w:p>
      <w:pPr>
        <w:spacing w:line="240" w:lineRule="auto" w:before="12"/>
        <w:rPr>
          <w:rFonts w:ascii="宋体" w:hAnsi="宋体" w:cs="宋体" w:eastAsia="宋体" w:hint="default"/>
          <w:sz w:val="2"/>
          <w:szCs w:val="2"/>
        </w:rPr>
      </w:pPr>
    </w:p>
    <w:tbl>
      <w:tblPr>
        <w:tblW w:w="0" w:type="auto"/>
        <w:jc w:val="left"/>
        <w:tblInd w:w="1159" w:type="dxa"/>
        <w:tblLayout w:type="fixed"/>
        <w:tblCellMar>
          <w:top w:w="0" w:type="dxa"/>
          <w:left w:w="0" w:type="dxa"/>
          <w:bottom w:w="0" w:type="dxa"/>
          <w:right w:w="0" w:type="dxa"/>
        </w:tblCellMar>
        <w:tblLook w:val="01E0"/>
      </w:tblPr>
      <w:tblGrid>
        <w:gridCol w:w="3412"/>
        <w:gridCol w:w="6150"/>
      </w:tblGrid>
      <w:tr>
        <w:trPr>
          <w:trHeight w:val="343" w:hRule="exact"/>
        </w:trPr>
        <w:tc>
          <w:tcPr>
            <w:tcW w:w="3412" w:type="dxa"/>
            <w:tcBorders>
              <w:top w:val="single" w:sz="6" w:space="0" w:color="000000"/>
              <w:left w:val="nil" w:sz="6" w:space="0" w:color="auto"/>
              <w:bottom w:val="single" w:sz="12" w:space="0" w:color="000000"/>
              <w:right w:val="nil" w:sz="6" w:space="0" w:color="auto"/>
            </w:tcBorders>
          </w:tcPr>
          <w:p>
            <w:pPr/>
          </w:p>
        </w:tc>
        <w:tc>
          <w:tcPr>
            <w:tcW w:w="6150" w:type="dxa"/>
            <w:tcBorders>
              <w:top w:val="single" w:sz="6" w:space="0" w:color="000000"/>
              <w:left w:val="nil" w:sz="6" w:space="0" w:color="auto"/>
              <w:bottom w:val="single" w:sz="12" w:space="0" w:color="000000"/>
              <w:right w:val="nil" w:sz="6" w:space="0" w:color="auto"/>
            </w:tcBorders>
          </w:tcPr>
          <w:p>
            <w:pPr/>
          </w:p>
        </w:tc>
      </w:tr>
      <w:tr>
        <w:trPr>
          <w:trHeight w:val="734" w:hRule="exact"/>
        </w:trPr>
        <w:tc>
          <w:tcPr>
            <w:tcW w:w="3412" w:type="dxa"/>
            <w:tcBorders>
              <w:top w:val="single" w:sz="12" w:space="0" w:color="000000"/>
              <w:left w:val="single" w:sz="12" w:space="0" w:color="000000"/>
              <w:bottom w:val="single" w:sz="12" w:space="0" w:color="000000"/>
              <w:right w:val="single" w:sz="6" w:space="0" w:color="000000"/>
            </w:tcBorders>
            <w:shd w:val="clear" w:color="auto" w:fill="D2D2D2"/>
          </w:tcPr>
          <w:p>
            <w:pPr>
              <w:pStyle w:val="TableParagraph"/>
              <w:spacing w:line="316" w:lineRule="auto" w:before="51"/>
              <w:ind w:left="6" w:right="141"/>
              <w:jc w:val="left"/>
              <w:rPr>
                <w:rFonts w:ascii="宋体" w:hAnsi="宋体" w:cs="宋体" w:eastAsia="宋体" w:hint="default"/>
                <w:sz w:val="18"/>
                <w:szCs w:val="18"/>
              </w:rPr>
            </w:pPr>
            <w:r>
              <w:rPr>
                <w:rFonts w:ascii="宋体" w:hAnsi="宋体" w:cs="宋体" w:eastAsia="宋体" w:hint="default"/>
                <w:sz w:val="18"/>
                <w:szCs w:val="18"/>
              </w:rPr>
              <w:t>报告期内控股和参股的其他境内外上市公 司的股权情况</w:t>
            </w:r>
          </w:p>
        </w:tc>
        <w:tc>
          <w:tcPr>
            <w:tcW w:w="6150" w:type="dxa"/>
            <w:tcBorders>
              <w:top w:val="single" w:sz="12" w:space="0" w:color="000000"/>
              <w:left w:val="single" w:sz="6" w:space="0" w:color="000000"/>
              <w:bottom w:val="single" w:sz="12"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控股股东报告期内变更</w:t>
      </w:r>
    </w:p>
    <w:p>
      <w:pPr>
        <w:spacing w:line="340" w:lineRule="auto" w:before="116"/>
        <w:ind w:left="1133" w:right="80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公司报告期控股股东未发生变更。</w:t>
      </w:r>
    </w:p>
    <w:p>
      <w:pPr>
        <w:spacing w:line="240" w:lineRule="auto" w:before="12"/>
        <w:rPr>
          <w:rFonts w:ascii="宋体" w:hAnsi="宋体" w:cs="宋体" w:eastAsia="宋体" w:hint="default"/>
          <w:sz w:val="20"/>
          <w:szCs w:val="20"/>
        </w:rPr>
      </w:pPr>
    </w:p>
    <w:p>
      <w:pPr>
        <w:pStyle w:val="Heading6"/>
        <w:spacing w:line="240" w:lineRule="auto"/>
        <w:ind w:left="1133" w:right="998"/>
        <w:jc w:val="left"/>
        <w:rPr>
          <w:b w:val="0"/>
          <w:bCs w:val="0"/>
        </w:rPr>
      </w:pPr>
      <w:bookmarkStart w:name="3、公司实际控制人情况" w:id="116"/>
      <w:bookmarkEnd w:id="116"/>
      <w:r>
        <w:rPr>
          <w:b w:val="0"/>
          <w:bCs w:val="0"/>
        </w:rPr>
      </w:r>
      <w:r>
        <w:rPr>
          <w:rFonts w:ascii="Times New Roman" w:hAnsi="Times New Roman" w:cs="Times New Roman" w:eastAsia="Times New Roman" w:hint="default"/>
        </w:rPr>
        <w:t>3</w:t>
      </w:r>
      <w:r>
        <w:rPr/>
        <w:t>、公司实际控制人情况</w:t>
      </w:r>
      <w:r>
        <w:rPr>
          <w:b w:val="0"/>
          <w:bCs w:val="0"/>
        </w:rPr>
      </w:r>
    </w:p>
    <w:p>
      <w:pPr>
        <w:spacing w:line="240" w:lineRule="auto" w:before="9"/>
        <w:rPr>
          <w:rFonts w:ascii="宋体" w:hAnsi="宋体" w:cs="宋体" w:eastAsia="宋体" w:hint="default"/>
          <w:b/>
          <w:bCs/>
          <w:sz w:val="26"/>
          <w:szCs w:val="26"/>
        </w:rPr>
      </w:pPr>
    </w:p>
    <w:p>
      <w:pPr>
        <w:spacing w:line="357" w:lineRule="auto" w:before="0"/>
        <w:ind w:left="1133" w:right="8413" w:firstLine="0"/>
        <w:jc w:val="left"/>
        <w:rPr>
          <w:rFonts w:ascii="宋体" w:hAnsi="宋体" w:cs="宋体" w:eastAsia="宋体" w:hint="default"/>
          <w:sz w:val="18"/>
          <w:szCs w:val="18"/>
        </w:rPr>
      </w:pPr>
      <w:r>
        <w:rPr>
          <w:rFonts w:ascii="宋体" w:hAnsi="宋体" w:cs="宋体" w:eastAsia="宋体" w:hint="default"/>
          <w:sz w:val="18"/>
          <w:szCs w:val="18"/>
        </w:rPr>
        <w:t>实际控制人性质：境内自然人 实际控制人类型：自然人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3"/>
          <w:szCs w:val="13"/>
        </w:rPr>
      </w:pPr>
    </w:p>
    <w:p>
      <w:pPr>
        <w:spacing w:before="0"/>
        <w:ind w:left="0" w:right="1105" w:firstLine="0"/>
        <w:jc w:val="right"/>
        <w:rPr>
          <w:rFonts w:ascii="宋体" w:hAnsi="宋体" w:cs="宋体" w:eastAsia="宋体" w:hint="default"/>
          <w:sz w:val="18"/>
          <w:szCs w:val="18"/>
        </w:rPr>
      </w:pPr>
      <w:r>
        <w:rPr/>
        <w:pict>
          <v:shape style="position:absolute;margin-left:57.689999pt;margin-top:-60.34827pt;width:480.75pt;height:146.1pt;mso-position-horizontal-relative:page;mso-position-vertical-relative:paragraph;z-index:21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335"/>
                    <w:gridCol w:w="2058"/>
                    <w:gridCol w:w="4176"/>
                  </w:tblGrid>
                  <w:tr>
                    <w:trPr>
                      <w:trHeight w:val="415" w:hRule="exact"/>
                    </w:trPr>
                    <w:tc>
                      <w:tcPr>
                        <w:tcW w:w="3335"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1022"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05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4176"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819"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7" w:hRule="exact"/>
                    </w:trPr>
                    <w:tc>
                      <w:tcPr>
                        <w:tcW w:w="333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417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655" w:hRule="exact"/>
                    </w:trPr>
                    <w:tc>
                      <w:tcPr>
                        <w:tcW w:w="3335"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234" w:type="dxa"/>
                        <w:gridSpan w:val="2"/>
                        <w:tcBorders>
                          <w:top w:val="single" w:sz="6" w:space="0" w:color="000000"/>
                          <w:left w:val="single" w:sz="6" w:space="0" w:color="000000"/>
                          <w:bottom w:val="single" w:sz="6" w:space="0" w:color="000000"/>
                          <w:right w:val="single" w:sz="12" w:space="0" w:color="000000"/>
                        </w:tcBorders>
                      </w:tcPr>
                      <w:p>
                        <w:pPr>
                          <w:pStyle w:val="TableParagraph"/>
                          <w:spacing w:line="314" w:lineRule="auto" w:before="52"/>
                          <w:ind w:left="21" w:right="68"/>
                          <w:jc w:val="left"/>
                          <w:rPr>
                            <w:rFonts w:ascii="宋体" w:hAnsi="宋体" w:cs="宋体" w:eastAsia="宋体" w:hint="default"/>
                            <w:sz w:val="18"/>
                            <w:szCs w:val="18"/>
                          </w:rPr>
                        </w:pPr>
                        <w:r>
                          <w:rPr>
                            <w:rFonts w:ascii="宋体" w:hAnsi="宋体" w:cs="宋体" w:eastAsia="宋体" w:hint="default"/>
                            <w:sz w:val="18"/>
                            <w:szCs w:val="18"/>
                          </w:rPr>
                          <w:t>昆仑万维董事长、总经理，昆仑在线执行董事、经理，广州昆仑执行董事、经 理，昆仑乐享执行董事、经理，昆仑日本董事，昆仑集团董事，昆仑韩国董事 昆仑马来董事，昆仑美国董事长、首席执行官，昆仑欧洲董事，游景蓝图董事 网潮香港董事，香港万维董事，盈瑞世纪执行事务合伙人， </w:t>
                        </w:r>
                        <w:r>
                          <w:rPr>
                            <w:rFonts w:ascii="Times New Roman" w:hAnsi="Times New Roman" w:cs="Times New Roman" w:eastAsia="Times New Roman" w:hint="default"/>
                            <w:sz w:val="18"/>
                            <w:szCs w:val="18"/>
                          </w:rPr>
                          <w:t>Talktalk</w:t>
                        </w:r>
                        <w:r>
                          <w:rPr>
                            <w:rFonts w:ascii="Times New Roman" w:hAnsi="Times New Roman" w:cs="Times New Roman" w:eastAsia="Times New Roman" w:hint="default"/>
                            <w:spacing w:val="36"/>
                            <w:sz w:val="18"/>
                            <w:szCs w:val="18"/>
                          </w:rPr>
                          <w:t> </w:t>
                        </w:r>
                        <w:r>
                          <w:rPr>
                            <w:rFonts w:ascii="宋体" w:hAnsi="宋体" w:cs="宋体" w:eastAsia="宋体" w:hint="default"/>
                            <w:sz w:val="18"/>
                            <w:szCs w:val="18"/>
                          </w:rPr>
                          <w:t>董事， </w:t>
                        </w:r>
                        <w:r>
                          <w:rPr>
                            <w:rFonts w:ascii="Times New Roman" w:hAnsi="Times New Roman" w:cs="Times New Roman" w:eastAsia="Times New Roman" w:hint="default"/>
                            <w:sz w:val="18"/>
                            <w:szCs w:val="18"/>
                          </w:rPr>
                          <w:t>RaidCall(HK) Limited</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董事，畅游瑞科董事等。</w:t>
                        </w:r>
                      </w:p>
                    </w:tc>
                  </w:tr>
                  <w:tr>
                    <w:trPr>
                      <w:trHeight w:val="416" w:hRule="exact"/>
                    </w:trPr>
                    <w:tc>
                      <w:tcPr>
                        <w:tcW w:w="3335"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年曾控股的境内外上市公司情况</w:t>
                        </w:r>
                      </w:p>
                    </w:tc>
                    <w:tc>
                      <w:tcPr>
                        <w:tcW w:w="6234" w:type="dxa"/>
                        <w:gridSpan w:val="2"/>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
              </w:txbxContent>
            </v:textbox>
            <w10:wrap type="none"/>
          </v:shape>
        </w:pict>
      </w:r>
      <w:r>
        <w:rPr>
          <w:rFonts w:ascii="宋体" w:hAnsi="宋体" w:cs="宋体" w:eastAsia="宋体" w:hint="default"/>
          <w:sz w:val="18"/>
          <w:szCs w:val="18"/>
        </w:rPr>
        <w:t>，</w:t>
      </w:r>
    </w:p>
    <w:p>
      <w:pPr>
        <w:spacing w:before="76"/>
        <w:ind w:left="0" w:right="1105"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9"/>
          <w:szCs w:val="29"/>
        </w:rPr>
      </w:pPr>
    </w:p>
    <w:p>
      <w:pPr>
        <w:spacing w:before="44"/>
        <w:ind w:left="1134" w:right="998" w:firstLine="0"/>
        <w:jc w:val="left"/>
        <w:rPr>
          <w:rFonts w:ascii="宋体" w:hAnsi="宋体" w:cs="宋体" w:eastAsia="宋体" w:hint="default"/>
          <w:sz w:val="18"/>
          <w:szCs w:val="18"/>
        </w:rPr>
      </w:pPr>
      <w:r>
        <w:rPr>
          <w:rFonts w:ascii="宋体" w:hAnsi="宋体" w:cs="宋体" w:eastAsia="宋体" w:hint="default"/>
          <w:sz w:val="18"/>
          <w:szCs w:val="18"/>
        </w:rPr>
        <w:t>实际控制人报告期内变更</w:t>
      </w:r>
    </w:p>
    <w:p>
      <w:pPr>
        <w:spacing w:line="348" w:lineRule="auto" w:before="116"/>
        <w:ind w:left="1133" w:right="67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公司报告期实际控制人未发生变更。 公司与实际控制人之间的产权及控制关系的方框图</w:t>
      </w:r>
    </w:p>
    <w:p>
      <w:pPr>
        <w:spacing w:line="240" w:lineRule="auto" w:before="1"/>
        <w:rPr>
          <w:rFonts w:ascii="宋体" w:hAnsi="宋体" w:cs="宋体" w:eastAsia="宋体" w:hint="default"/>
          <w:sz w:val="19"/>
          <w:szCs w:val="19"/>
        </w:rPr>
      </w:pPr>
    </w:p>
    <w:p>
      <w:pPr>
        <w:spacing w:line="5790" w:lineRule="exact"/>
        <w:ind w:left="2336" w:right="0" w:firstLine="0"/>
        <w:rPr>
          <w:rFonts w:ascii="宋体" w:hAnsi="宋体" w:cs="宋体" w:eastAsia="宋体" w:hint="default"/>
          <w:sz w:val="20"/>
          <w:szCs w:val="20"/>
        </w:rPr>
      </w:pPr>
      <w:r>
        <w:rPr>
          <w:rFonts w:ascii="宋体" w:hAnsi="宋体" w:cs="宋体" w:eastAsia="宋体" w:hint="default"/>
          <w:position w:val="-115"/>
          <w:sz w:val="20"/>
          <w:szCs w:val="20"/>
        </w:rPr>
        <w:drawing>
          <wp:inline distT="0" distB="0" distL="0" distR="0">
            <wp:extent cx="4592003" cy="3676650"/>
            <wp:effectExtent l="0" t="0" r="0" b="0"/>
            <wp:docPr id="11" name="image8.jpeg" descr=""/>
            <wp:cNvGraphicFramePr>
              <a:graphicFrameLocks noChangeAspect="1"/>
            </wp:cNvGraphicFramePr>
            <a:graphic>
              <a:graphicData uri="http://schemas.openxmlformats.org/drawingml/2006/picture">
                <pic:pic>
                  <pic:nvPicPr>
                    <pic:cNvPr id="12" name="image8.jpeg"/>
                    <pic:cNvPicPr/>
                  </pic:nvPicPr>
                  <pic:blipFill>
                    <a:blip r:embed="rId32" cstate="print"/>
                    <a:stretch>
                      <a:fillRect/>
                    </a:stretch>
                  </pic:blipFill>
                  <pic:spPr>
                    <a:xfrm>
                      <a:off x="0" y="0"/>
                      <a:ext cx="4592003" cy="3676650"/>
                    </a:xfrm>
                    <a:prstGeom prst="rect">
                      <a:avLst/>
                    </a:prstGeom>
                  </pic:spPr>
                </pic:pic>
              </a:graphicData>
            </a:graphic>
          </wp:inline>
        </w:drawing>
      </w:r>
      <w:r>
        <w:rPr>
          <w:rFonts w:ascii="宋体" w:hAnsi="宋体" w:cs="宋体" w:eastAsia="宋体" w:hint="default"/>
          <w:position w:val="-115"/>
          <w:sz w:val="20"/>
          <w:szCs w:val="20"/>
        </w:rPr>
      </w:r>
    </w:p>
    <w:p>
      <w:pPr>
        <w:spacing w:after="0" w:line="5790" w:lineRule="exact"/>
        <w:rPr>
          <w:rFonts w:ascii="宋体" w:hAnsi="宋体" w:cs="宋体" w:eastAsia="宋体" w:hint="default"/>
          <w:sz w:val="20"/>
          <w:szCs w:val="20"/>
        </w:rPr>
        <w:sectPr>
          <w:pgSz w:w="11910" w:h="16840"/>
          <w:pgMar w:header="877" w:footer="979" w:top="106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19"/>
          <w:szCs w:val="19"/>
        </w:rPr>
      </w:pPr>
    </w:p>
    <w:p>
      <w:pPr>
        <w:pStyle w:val="Heading5"/>
        <w:spacing w:line="240" w:lineRule="auto"/>
        <w:ind w:right="998"/>
        <w:jc w:val="left"/>
      </w:pPr>
      <w:r>
        <w:rPr/>
        <w:t>实际控制人通过信托或其他资产管理方式控制公司</w:t>
      </w:r>
    </w:p>
    <w:p>
      <w:pPr>
        <w:spacing w:line="240" w:lineRule="auto" w:before="1"/>
        <w:rPr>
          <w:rFonts w:ascii="宋体" w:hAnsi="宋体" w:cs="宋体" w:eastAsia="宋体" w:hint="default"/>
          <w:sz w:val="19"/>
          <w:szCs w:val="19"/>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6"/>
        <w:spacing w:line="240" w:lineRule="auto"/>
        <w:ind w:left="1133" w:right="998"/>
        <w:jc w:val="left"/>
        <w:rPr>
          <w:b w:val="0"/>
          <w:bCs w:val="0"/>
        </w:rPr>
      </w:pPr>
      <w:bookmarkStart w:name="4、其他持股在10%以上的法人股东" w:id="117"/>
      <w:bookmarkEnd w:id="117"/>
      <w:r>
        <w:rPr>
          <w:b w:val="0"/>
          <w:bCs w:val="0"/>
        </w:rPr>
      </w:r>
      <w:r>
        <w:rPr>
          <w:rFonts w:ascii="Times New Roman" w:hAnsi="Times New Roman" w:cs="Times New Roman" w:eastAsia="Times New Roman" w:hint="default"/>
        </w:rPr>
        <w:t>4</w:t>
      </w:r>
      <w:r>
        <w:rPr/>
        <w:t>、其他持股在</w:t>
      </w:r>
      <w:r>
        <w:rPr>
          <w:spacing w:val="-57"/>
        </w:rPr>
        <w:t> </w:t>
      </w:r>
      <w:r>
        <w:rPr>
          <w:rFonts w:ascii="Times New Roman" w:hAnsi="Times New Roman" w:cs="Times New Roman" w:eastAsia="Times New Roman" w:hint="default"/>
        </w:rPr>
        <w:t>10%</w:t>
      </w:r>
      <w:r>
        <w:rPr/>
        <w:t>以上的法人股东</w:t>
      </w:r>
      <w:r>
        <w:rPr>
          <w:b w:val="0"/>
          <w:bCs w:val="0"/>
        </w:rPr>
      </w:r>
    </w:p>
    <w:p>
      <w:pPr>
        <w:spacing w:line="240" w:lineRule="auto" w:before="9"/>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6"/>
        <w:spacing w:line="240" w:lineRule="auto"/>
        <w:ind w:left="1133" w:right="998"/>
        <w:jc w:val="left"/>
        <w:rPr>
          <w:b w:val="0"/>
          <w:bCs w:val="0"/>
        </w:rPr>
      </w:pPr>
      <w:bookmarkStart w:name="5、控股股东、实际控制人、重组方及其他承诺主体股份限制减持情况" w:id="118"/>
      <w:bookmarkEnd w:id="118"/>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9"/>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3403"/>
        <w:jc w:val="center"/>
        <w:rPr>
          <w:b w:val="0"/>
          <w:bCs w:val="0"/>
        </w:rPr>
      </w:pPr>
      <w:bookmarkStart w:name="_TOC_250005" w:id="119"/>
      <w:bookmarkStart w:name="第七节 优先股相关情况" w:id="120"/>
      <w:r>
        <w:rPr>
          <w:b w:val="0"/>
          <w:bCs w:val="0"/>
        </w:rPr>
      </w:r>
      <w:r>
        <w:rPr/>
        <w:t>第七节</w:t>
      </w:r>
      <w:r>
        <w:rPr>
          <w:spacing w:val="-8"/>
        </w:rPr>
        <w:t> </w:t>
      </w:r>
      <w:r>
        <w:rPr/>
        <w:t>优先股相关情况</w:t>
      </w:r>
      <w:bookmarkEnd w:id="119"/>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9"/>
          <w:szCs w:val="19"/>
        </w:rPr>
      </w:pPr>
    </w:p>
    <w:p>
      <w:pPr>
        <w:spacing w:line="338" w:lineRule="auto" w:before="44"/>
        <w:ind w:left="1133" w:right="85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报告期公司不存在优先股。</w:t>
      </w:r>
    </w:p>
    <w:p>
      <w:pPr>
        <w:spacing w:after="0" w:line="338"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2660" w:right="998"/>
        <w:jc w:val="left"/>
        <w:rPr>
          <w:b w:val="0"/>
          <w:bCs w:val="0"/>
        </w:rPr>
      </w:pPr>
      <w:bookmarkStart w:name="_TOC_250004" w:id="121"/>
      <w:bookmarkStart w:name="第八节 董事、监事、高级管理人员和员工情况" w:id="122"/>
      <w:r>
        <w:rPr>
          <w:b w:val="0"/>
          <w:bCs w:val="0"/>
        </w:rPr>
      </w:r>
      <w:r>
        <w:rPr/>
        <w:t>第八节</w:t>
      </w:r>
      <w:r>
        <w:rPr>
          <w:spacing w:val="-16"/>
        </w:rPr>
        <w:t> </w:t>
      </w:r>
      <w:r>
        <w:rPr/>
        <w:t>董事、监事、高级管理人员和员工情况</w:t>
      </w:r>
      <w:bookmarkEnd w:id="121"/>
      <w:r>
        <w:rPr>
          <w:b w:val="0"/>
          <w:bCs w:val="0"/>
        </w:rPr>
      </w:r>
    </w:p>
    <w:p>
      <w:pPr>
        <w:spacing w:line="240" w:lineRule="auto" w:before="12"/>
        <w:rPr>
          <w:rFonts w:ascii="宋体" w:hAnsi="宋体" w:cs="宋体" w:eastAsia="宋体" w:hint="default"/>
          <w:b/>
          <w:bCs/>
          <w:sz w:val="38"/>
          <w:szCs w:val="38"/>
        </w:rPr>
      </w:pPr>
    </w:p>
    <w:p>
      <w:pPr>
        <w:pStyle w:val="Heading4"/>
        <w:spacing w:line="240" w:lineRule="auto"/>
        <w:ind w:right="998"/>
        <w:jc w:val="left"/>
        <w:rPr>
          <w:b w:val="0"/>
          <w:bCs w:val="0"/>
        </w:rPr>
      </w:pPr>
      <w:bookmarkStart w:name="一、董事、监事和高级管理人员持股变动" w:id="123"/>
      <w:bookmarkEnd w:id="123"/>
      <w:r>
        <w:rPr>
          <w:b w:val="0"/>
          <w:bCs w:val="0"/>
        </w:rPr>
      </w: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151" w:type="dxa"/>
        <w:tblLayout w:type="fixed"/>
        <w:tblCellMar>
          <w:top w:w="0" w:type="dxa"/>
          <w:left w:w="0" w:type="dxa"/>
          <w:bottom w:w="0" w:type="dxa"/>
          <w:right w:w="0" w:type="dxa"/>
        </w:tblCellMar>
        <w:tblLook w:val="01E0"/>
      </w:tblPr>
      <w:tblGrid>
        <w:gridCol w:w="799"/>
        <w:gridCol w:w="797"/>
        <w:gridCol w:w="797"/>
        <w:gridCol w:w="797"/>
        <w:gridCol w:w="798"/>
        <w:gridCol w:w="797"/>
        <w:gridCol w:w="798"/>
        <w:gridCol w:w="798"/>
        <w:gridCol w:w="798"/>
        <w:gridCol w:w="798"/>
        <w:gridCol w:w="798"/>
        <w:gridCol w:w="797"/>
      </w:tblGrid>
      <w:tr>
        <w:trPr>
          <w:trHeight w:val="1039" w:hRule="exact"/>
        </w:trPr>
        <w:tc>
          <w:tcPr>
            <w:tcW w:w="799"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0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1"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1"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79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1"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79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1"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79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211" w:right="29"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79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212" w:right="29"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79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2" w:right="29"/>
              <w:jc w:val="left"/>
              <w:rPr>
                <w:rFonts w:ascii="宋体" w:hAnsi="宋体" w:cs="宋体" w:eastAsia="宋体" w:hint="default"/>
                <w:sz w:val="18"/>
                <w:szCs w:val="18"/>
              </w:rPr>
            </w:pPr>
            <w:r>
              <w:rPr>
                <w:rFonts w:ascii="宋体" w:hAnsi="宋体" w:cs="宋体" w:eastAsia="宋体" w:hint="default"/>
                <w:sz w:val="18"/>
                <w:szCs w:val="18"/>
              </w:rPr>
              <w:t>期初持股 数（股）</w:t>
            </w:r>
          </w:p>
        </w:tc>
        <w:tc>
          <w:tcPr>
            <w:tcW w:w="79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32" w:right="29"/>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32" w:right="29"/>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21" w:right="-47" w:firstLine="10"/>
              <w:jc w:val="left"/>
              <w:rPr>
                <w:rFonts w:ascii="宋体" w:hAnsi="宋体" w:cs="宋体" w:eastAsia="宋体" w:hint="default"/>
                <w:sz w:val="18"/>
                <w:szCs w:val="18"/>
              </w:rPr>
            </w:pPr>
            <w:r>
              <w:rPr>
                <w:rFonts w:ascii="宋体" w:hAnsi="宋体" w:cs="宋体" w:eastAsia="宋体" w:hint="default"/>
                <w:sz w:val="18"/>
                <w:szCs w:val="18"/>
              </w:rPr>
              <w:t>其他增减 </w:t>
            </w:r>
            <w:r>
              <w:rPr>
                <w:rFonts w:ascii="宋体" w:hAnsi="宋体" w:cs="宋体" w:eastAsia="宋体" w:hint="default"/>
                <w:spacing w:val="-19"/>
                <w:sz w:val="18"/>
                <w:szCs w:val="18"/>
              </w:rPr>
              <w:t>变动（股）</w:t>
            </w:r>
            <w:r>
              <w:rPr>
                <w:rFonts w:ascii="宋体" w:hAnsi="宋体" w:cs="宋体" w:eastAsia="宋体" w:hint="default"/>
                <w:sz w:val="18"/>
                <w:szCs w:val="18"/>
              </w:rPr>
            </w:r>
          </w:p>
        </w:tc>
        <w:tc>
          <w:tcPr>
            <w:tcW w:w="797"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2" w:right="20"/>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1031" w:hRule="exact"/>
        </w:trPr>
        <w:tc>
          <w:tcPr>
            <w:tcW w:w="7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20" w:right="41"/>
              <w:jc w:val="left"/>
              <w:rPr>
                <w:rFonts w:ascii="宋体" w:hAnsi="宋体" w:cs="宋体" w:eastAsia="宋体" w:hint="default"/>
                <w:sz w:val="18"/>
                <w:szCs w:val="18"/>
              </w:rPr>
            </w:pPr>
            <w:r>
              <w:rPr>
                <w:rFonts w:ascii="宋体" w:hAnsi="宋体" w:cs="宋体" w:eastAsia="宋体" w:hint="default"/>
                <w:sz w:val="18"/>
                <w:szCs w:val="18"/>
              </w:rPr>
              <w:t>董事长、 总经理</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41</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188,550,5</w:t>
            </w:r>
          </w:p>
          <w:p>
            <w:pPr>
              <w:pStyle w:val="TableParagraph"/>
              <w:spacing w:line="240" w:lineRule="auto" w:before="106"/>
              <w:ind w:right="18"/>
              <w:jc w:val="right"/>
              <w:rPr>
                <w:rFonts w:ascii="Times New Roman" w:hAnsi="Times New Roman" w:cs="Times New Roman" w:eastAsia="Times New Roman" w:hint="default"/>
                <w:sz w:val="18"/>
                <w:szCs w:val="18"/>
              </w:rPr>
            </w:pPr>
            <w:r>
              <w:rPr>
                <w:rFonts w:ascii="Times New Roman"/>
                <w:sz w:val="18"/>
              </w:rPr>
              <w:t>13</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188,550,5</w:t>
            </w:r>
          </w:p>
          <w:p>
            <w:pPr>
              <w:pStyle w:val="TableParagraph"/>
              <w:spacing w:line="240" w:lineRule="auto" w:before="106"/>
              <w:ind w:right="11"/>
              <w:jc w:val="right"/>
              <w:rPr>
                <w:rFonts w:ascii="Times New Roman" w:hAnsi="Times New Roman" w:cs="Times New Roman" w:eastAsia="Times New Roman" w:hint="default"/>
                <w:sz w:val="18"/>
                <w:szCs w:val="18"/>
              </w:rPr>
            </w:pPr>
            <w:r>
              <w:rPr>
                <w:rFonts w:ascii="Times New Roman"/>
                <w:sz w:val="18"/>
              </w:rPr>
              <w:t>13</w:t>
            </w:r>
          </w:p>
        </w:tc>
      </w:tr>
      <w:tr>
        <w:trPr>
          <w:trHeight w:val="1031" w:hRule="exact"/>
        </w:trPr>
        <w:tc>
          <w:tcPr>
            <w:tcW w:w="7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3"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2"/>
              <w:ind w:left="20" w:right="41"/>
              <w:jc w:val="both"/>
              <w:rPr>
                <w:rFonts w:ascii="宋体" w:hAnsi="宋体" w:cs="宋体" w:eastAsia="宋体" w:hint="default"/>
                <w:sz w:val="18"/>
                <w:szCs w:val="18"/>
              </w:rPr>
            </w:pPr>
            <w:r>
              <w:rPr>
                <w:rFonts w:ascii="宋体" w:hAnsi="宋体" w:cs="宋体" w:eastAsia="宋体" w:hint="default"/>
                <w:sz w:val="18"/>
                <w:szCs w:val="18"/>
              </w:rPr>
              <w:t>董事、副 总经理、 财务总监</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39</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58,371,28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9</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37,500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58,408,78</w:t>
            </w:r>
          </w:p>
          <w:p>
            <w:pPr>
              <w:pStyle w:val="TableParagraph"/>
              <w:spacing w:line="240" w:lineRule="auto" w:before="105"/>
              <w:ind w:right="11"/>
              <w:jc w:val="right"/>
              <w:rPr>
                <w:rFonts w:ascii="Times New Roman" w:hAnsi="Times New Roman" w:cs="Times New Roman" w:eastAsia="Times New Roman" w:hint="default"/>
                <w:sz w:val="18"/>
                <w:szCs w:val="18"/>
              </w:rPr>
            </w:pPr>
            <w:r>
              <w:rPr>
                <w:rFonts w:ascii="Times New Roman"/>
                <w:sz w:val="18"/>
              </w:rPr>
              <w:t>9</w:t>
            </w:r>
          </w:p>
        </w:tc>
      </w:tr>
      <w:tr>
        <w:trPr>
          <w:trHeight w:val="1031" w:hRule="exact"/>
        </w:trPr>
        <w:tc>
          <w:tcPr>
            <w:tcW w:w="7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w:t>
            </w:r>
          </w:p>
          <w:p>
            <w:pPr>
              <w:pStyle w:val="TableParagraph"/>
              <w:spacing w:line="240" w:lineRule="auto" w:before="64"/>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0</w:t>
            </w:r>
          </w:p>
        </w:tc>
      </w:tr>
      <w:tr>
        <w:trPr>
          <w:trHeight w:val="1032" w:hRule="exact"/>
        </w:trPr>
        <w:tc>
          <w:tcPr>
            <w:tcW w:w="7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3" w:right="0"/>
              <w:jc w:val="left"/>
              <w:rPr>
                <w:rFonts w:ascii="宋体" w:hAnsi="宋体" w:cs="宋体" w:eastAsia="宋体" w:hint="default"/>
                <w:sz w:val="18"/>
                <w:szCs w:val="18"/>
              </w:rPr>
            </w:pPr>
            <w:r>
              <w:rPr>
                <w:rFonts w:ascii="宋体" w:hAnsi="宋体" w:cs="宋体" w:eastAsia="宋体" w:hint="default"/>
                <w:sz w:val="18"/>
                <w:szCs w:val="18"/>
              </w:rPr>
              <w:t>张霆</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0</w:t>
            </w:r>
          </w:p>
        </w:tc>
      </w:tr>
      <w:tr>
        <w:trPr>
          <w:trHeight w:val="1031" w:hRule="exact"/>
        </w:trPr>
        <w:tc>
          <w:tcPr>
            <w:tcW w:w="7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3" w:right="0"/>
              <w:jc w:val="left"/>
              <w:rPr>
                <w:rFonts w:ascii="宋体" w:hAnsi="宋体" w:cs="宋体" w:eastAsia="宋体" w:hint="default"/>
                <w:sz w:val="18"/>
                <w:szCs w:val="18"/>
              </w:rPr>
            </w:pPr>
            <w:r>
              <w:rPr>
                <w:rFonts w:ascii="宋体" w:hAnsi="宋体" w:cs="宋体" w:eastAsia="宋体" w:hint="default"/>
                <w:sz w:val="18"/>
                <w:szCs w:val="18"/>
              </w:rPr>
              <w:t>赵保卿</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60</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w:t>
            </w:r>
          </w:p>
          <w:p>
            <w:pPr>
              <w:pStyle w:val="TableParagraph"/>
              <w:spacing w:line="240" w:lineRule="auto" w:before="64"/>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0</w:t>
            </w:r>
          </w:p>
        </w:tc>
      </w:tr>
      <w:tr>
        <w:trPr>
          <w:trHeight w:val="1031" w:hRule="exact"/>
        </w:trPr>
        <w:tc>
          <w:tcPr>
            <w:tcW w:w="7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52</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w:t>
            </w:r>
          </w:p>
          <w:p>
            <w:pPr>
              <w:pStyle w:val="TableParagraph"/>
              <w:spacing w:line="240" w:lineRule="auto" w:before="64"/>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0</w:t>
            </w:r>
          </w:p>
        </w:tc>
      </w:tr>
      <w:tr>
        <w:trPr>
          <w:trHeight w:val="1031" w:hRule="exact"/>
        </w:trPr>
        <w:tc>
          <w:tcPr>
            <w:tcW w:w="7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3" w:right="0"/>
              <w:jc w:val="left"/>
              <w:rPr>
                <w:rFonts w:ascii="宋体" w:hAnsi="宋体" w:cs="宋体" w:eastAsia="宋体" w:hint="default"/>
                <w:sz w:val="18"/>
                <w:szCs w:val="18"/>
              </w:rPr>
            </w:pPr>
            <w:r>
              <w:rPr>
                <w:rFonts w:ascii="宋体" w:hAnsi="宋体" w:cs="宋体" w:eastAsia="宋体" w:hint="default"/>
                <w:sz w:val="18"/>
                <w:szCs w:val="18"/>
              </w:rPr>
              <w:t>薛镭</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58</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0</w:t>
            </w:r>
          </w:p>
        </w:tc>
      </w:tr>
      <w:tr>
        <w:trPr>
          <w:trHeight w:val="1031" w:hRule="exact"/>
        </w:trPr>
        <w:tc>
          <w:tcPr>
            <w:tcW w:w="7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3" w:right="0"/>
              <w:jc w:val="left"/>
              <w:rPr>
                <w:rFonts w:ascii="宋体" w:hAnsi="宋体" w:cs="宋体" w:eastAsia="宋体" w:hint="default"/>
                <w:sz w:val="18"/>
                <w:szCs w:val="18"/>
              </w:rPr>
            </w:pPr>
            <w:r>
              <w:rPr>
                <w:rFonts w:ascii="宋体" w:hAnsi="宋体" w:cs="宋体" w:eastAsia="宋体" w:hint="default"/>
                <w:sz w:val="18"/>
                <w:szCs w:val="18"/>
              </w:rPr>
              <w:t>罗建北</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73</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0</w:t>
            </w:r>
          </w:p>
        </w:tc>
      </w:tr>
      <w:tr>
        <w:trPr>
          <w:trHeight w:val="1031" w:hRule="exact"/>
        </w:trPr>
        <w:tc>
          <w:tcPr>
            <w:tcW w:w="7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3" w:right="0"/>
              <w:jc w:val="left"/>
              <w:rPr>
                <w:rFonts w:ascii="宋体" w:hAnsi="宋体" w:cs="宋体" w:eastAsia="宋体" w:hint="default"/>
                <w:sz w:val="18"/>
                <w:szCs w:val="18"/>
              </w:rPr>
            </w:pPr>
            <w:r>
              <w:rPr>
                <w:rFonts w:ascii="宋体" w:hAnsi="宋体" w:cs="宋体" w:eastAsia="宋体" w:hint="default"/>
                <w:sz w:val="18"/>
                <w:szCs w:val="18"/>
              </w:rPr>
              <w:t>毛杭军</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37</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p>
          <w:p>
            <w:pPr>
              <w:pStyle w:val="TableParagraph"/>
              <w:spacing w:line="240" w:lineRule="auto" w:before="64"/>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0</w:t>
            </w:r>
          </w:p>
        </w:tc>
      </w:tr>
      <w:tr>
        <w:trPr>
          <w:trHeight w:val="1031" w:hRule="exact"/>
        </w:trPr>
        <w:tc>
          <w:tcPr>
            <w:tcW w:w="7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3" w:right="0"/>
              <w:jc w:val="left"/>
              <w:rPr>
                <w:rFonts w:ascii="宋体" w:hAnsi="宋体" w:cs="宋体" w:eastAsia="宋体" w:hint="default"/>
                <w:sz w:val="18"/>
                <w:szCs w:val="18"/>
              </w:rPr>
            </w:pPr>
            <w:r>
              <w:rPr>
                <w:rFonts w:ascii="宋体" w:hAnsi="宋体" w:cs="宋体" w:eastAsia="宋体" w:hint="default"/>
                <w:sz w:val="18"/>
                <w:szCs w:val="18"/>
              </w:rPr>
              <w:t>孙骞</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40</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0</w:t>
            </w:r>
          </w:p>
        </w:tc>
      </w:tr>
      <w:tr>
        <w:trPr>
          <w:trHeight w:val="416" w:hRule="exact"/>
        </w:trPr>
        <w:tc>
          <w:tcPr>
            <w:tcW w:w="79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由宏伟</w:t>
            </w:r>
          </w:p>
        </w:tc>
        <w:tc>
          <w:tcPr>
            <w:tcW w:w="79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39</w:t>
            </w:r>
          </w:p>
        </w:tc>
        <w:tc>
          <w:tcPr>
            <w:tcW w:w="79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3"/>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3"/>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2"/>
              <w:ind w:right="11"/>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b/>
          <w:bCs/>
          <w:sz w:val="28"/>
          <w:szCs w:val="28"/>
        </w:rPr>
      </w:pPr>
    </w:p>
    <w:tbl>
      <w:tblPr>
        <w:tblW w:w="0" w:type="auto"/>
        <w:jc w:val="left"/>
        <w:tblInd w:w="1151" w:type="dxa"/>
        <w:tblLayout w:type="fixed"/>
        <w:tblCellMar>
          <w:top w:w="0" w:type="dxa"/>
          <w:left w:w="0" w:type="dxa"/>
          <w:bottom w:w="0" w:type="dxa"/>
          <w:right w:w="0" w:type="dxa"/>
        </w:tblCellMar>
        <w:tblLook w:val="01E0"/>
      </w:tblPr>
      <w:tblGrid>
        <w:gridCol w:w="799"/>
        <w:gridCol w:w="797"/>
        <w:gridCol w:w="797"/>
        <w:gridCol w:w="797"/>
        <w:gridCol w:w="798"/>
        <w:gridCol w:w="797"/>
        <w:gridCol w:w="798"/>
        <w:gridCol w:w="798"/>
        <w:gridCol w:w="798"/>
        <w:gridCol w:w="798"/>
        <w:gridCol w:w="798"/>
        <w:gridCol w:w="797"/>
      </w:tblGrid>
      <w:tr>
        <w:trPr>
          <w:trHeight w:val="686" w:hRule="exact"/>
        </w:trPr>
        <w:tc>
          <w:tcPr>
            <w:tcW w:w="799" w:type="dxa"/>
            <w:tcBorders>
              <w:top w:val="single" w:sz="12" w:space="0" w:color="000000"/>
              <w:left w:val="single" w:sz="12" w:space="0" w:color="000000"/>
              <w:bottom w:val="single" w:sz="6" w:space="0" w:color="000000"/>
              <w:right w:val="single" w:sz="6" w:space="0" w:color="000000"/>
            </w:tcBorders>
          </w:tcPr>
          <w:p>
            <w:pPr/>
          </w:p>
        </w:tc>
        <w:tc>
          <w:tcPr>
            <w:tcW w:w="797" w:type="dxa"/>
            <w:tcBorders>
              <w:top w:val="single" w:sz="12" w:space="0" w:color="000000"/>
              <w:left w:val="single" w:sz="6" w:space="0" w:color="000000"/>
              <w:bottom w:val="single" w:sz="6" w:space="0" w:color="000000"/>
              <w:right w:val="single" w:sz="6" w:space="0" w:color="000000"/>
            </w:tcBorders>
          </w:tcPr>
          <w:p>
            <w:pPr/>
          </w:p>
        </w:tc>
        <w:tc>
          <w:tcPr>
            <w:tcW w:w="797" w:type="dxa"/>
            <w:tcBorders>
              <w:top w:val="single" w:sz="12" w:space="0" w:color="000000"/>
              <w:left w:val="single" w:sz="6" w:space="0" w:color="000000"/>
              <w:bottom w:val="single" w:sz="6" w:space="0" w:color="000000"/>
              <w:right w:val="single" w:sz="6" w:space="0" w:color="000000"/>
            </w:tcBorders>
          </w:tcPr>
          <w:p>
            <w:pPr/>
          </w:p>
        </w:tc>
        <w:tc>
          <w:tcPr>
            <w:tcW w:w="797" w:type="dxa"/>
            <w:tcBorders>
              <w:top w:val="single" w:sz="12" w:space="0" w:color="000000"/>
              <w:left w:val="single" w:sz="6" w:space="0" w:color="000000"/>
              <w:bottom w:val="single" w:sz="6" w:space="0" w:color="000000"/>
              <w:right w:val="single" w:sz="6" w:space="0" w:color="000000"/>
            </w:tcBorders>
          </w:tcPr>
          <w:p>
            <w:pPr/>
          </w:p>
        </w:tc>
        <w:tc>
          <w:tcPr>
            <w:tcW w:w="798" w:type="dxa"/>
            <w:tcBorders>
              <w:top w:val="single" w:sz="12" w:space="0" w:color="000000"/>
              <w:left w:val="single" w:sz="6" w:space="0" w:color="000000"/>
              <w:bottom w:val="single" w:sz="6" w:space="0" w:color="000000"/>
              <w:right w:val="single" w:sz="6" w:space="0" w:color="000000"/>
            </w:tcBorders>
          </w:tcPr>
          <w:p>
            <w:pPr/>
          </w:p>
        </w:tc>
        <w:tc>
          <w:tcPr>
            <w:tcW w:w="79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12" w:space="0" w:color="000000"/>
              <w:left w:val="single" w:sz="6" w:space="0" w:color="000000"/>
              <w:bottom w:val="single" w:sz="6" w:space="0" w:color="000000"/>
              <w:right w:val="single" w:sz="6" w:space="0" w:color="000000"/>
            </w:tcBorders>
          </w:tcPr>
          <w:p>
            <w:pPr/>
          </w:p>
        </w:tc>
        <w:tc>
          <w:tcPr>
            <w:tcW w:w="798" w:type="dxa"/>
            <w:tcBorders>
              <w:top w:val="single" w:sz="12" w:space="0" w:color="000000"/>
              <w:left w:val="single" w:sz="6" w:space="0" w:color="000000"/>
              <w:bottom w:val="single" w:sz="6" w:space="0" w:color="000000"/>
              <w:right w:val="single" w:sz="6" w:space="0" w:color="000000"/>
            </w:tcBorders>
          </w:tcPr>
          <w:p>
            <w:pPr/>
          </w:p>
        </w:tc>
        <w:tc>
          <w:tcPr>
            <w:tcW w:w="798" w:type="dxa"/>
            <w:tcBorders>
              <w:top w:val="single" w:sz="12" w:space="0" w:color="000000"/>
              <w:left w:val="single" w:sz="6" w:space="0" w:color="000000"/>
              <w:bottom w:val="single" w:sz="6" w:space="0" w:color="000000"/>
              <w:right w:val="single" w:sz="6" w:space="0" w:color="000000"/>
            </w:tcBorders>
          </w:tcPr>
          <w:p>
            <w:pPr/>
          </w:p>
        </w:tc>
        <w:tc>
          <w:tcPr>
            <w:tcW w:w="798" w:type="dxa"/>
            <w:tcBorders>
              <w:top w:val="single" w:sz="12" w:space="0" w:color="000000"/>
              <w:left w:val="single" w:sz="6" w:space="0" w:color="000000"/>
              <w:bottom w:val="single" w:sz="6" w:space="0" w:color="000000"/>
              <w:right w:val="single" w:sz="6" w:space="0" w:color="000000"/>
            </w:tcBorders>
          </w:tcPr>
          <w:p>
            <w:pPr/>
          </w:p>
        </w:tc>
        <w:tc>
          <w:tcPr>
            <w:tcW w:w="797" w:type="dxa"/>
            <w:tcBorders>
              <w:top w:val="single" w:sz="12" w:space="0" w:color="000000"/>
              <w:left w:val="single" w:sz="6" w:space="0" w:color="000000"/>
              <w:bottom w:val="single" w:sz="6" w:space="0" w:color="000000"/>
              <w:right w:val="single" w:sz="12" w:space="0" w:color="000000"/>
            </w:tcBorders>
          </w:tcPr>
          <w:p>
            <w:pPr/>
          </w:p>
        </w:tc>
      </w:tr>
      <w:tr>
        <w:trPr>
          <w:trHeight w:val="1031" w:hRule="exact"/>
        </w:trPr>
        <w:tc>
          <w:tcPr>
            <w:tcW w:w="7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3" w:right="0"/>
              <w:jc w:val="left"/>
              <w:rPr>
                <w:rFonts w:ascii="宋体" w:hAnsi="宋体" w:cs="宋体" w:eastAsia="宋体" w:hint="default"/>
                <w:sz w:val="18"/>
                <w:szCs w:val="18"/>
              </w:rPr>
            </w:pPr>
            <w:r>
              <w:rPr>
                <w:rFonts w:ascii="宋体" w:hAnsi="宋体" w:cs="宋体" w:eastAsia="宋体" w:hint="default"/>
                <w:sz w:val="18"/>
                <w:szCs w:val="18"/>
              </w:rPr>
              <w:t>陈芳</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9"/>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39</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9,811,188</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w w:val="95"/>
                <w:sz w:val="18"/>
              </w:rPr>
              <w:t>-2,452,79</w:t>
            </w:r>
            <w:r>
              <w:rPr>
                <w:rFonts w:ascii="Times New Roman"/>
                <w:sz w:val="18"/>
              </w:rPr>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6</w:t>
            </w:r>
          </w:p>
        </w:tc>
        <w:tc>
          <w:tcPr>
            <w:tcW w:w="7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7,358,392</w:t>
            </w:r>
          </w:p>
        </w:tc>
      </w:tr>
      <w:tr>
        <w:trPr>
          <w:trHeight w:val="1032" w:hRule="exact"/>
        </w:trPr>
        <w:tc>
          <w:tcPr>
            <w:tcW w:w="7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3" w:right="0"/>
              <w:jc w:val="left"/>
              <w:rPr>
                <w:rFonts w:ascii="宋体" w:hAnsi="宋体" w:cs="宋体" w:eastAsia="宋体" w:hint="default"/>
                <w:sz w:val="18"/>
                <w:szCs w:val="18"/>
              </w:rPr>
            </w:pPr>
            <w:r>
              <w:rPr>
                <w:rFonts w:ascii="宋体" w:hAnsi="宋体" w:cs="宋体" w:eastAsia="宋体" w:hint="default"/>
                <w:sz w:val="18"/>
                <w:szCs w:val="18"/>
              </w:rPr>
              <w:t>金天</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2"/>
              <w:ind w:left="20" w:right="41"/>
              <w:jc w:val="left"/>
              <w:rPr>
                <w:rFonts w:ascii="宋体" w:hAnsi="宋体" w:cs="宋体" w:eastAsia="宋体" w:hint="default"/>
                <w:sz w:val="18"/>
                <w:szCs w:val="18"/>
              </w:rPr>
            </w:pPr>
            <w:r>
              <w:rPr>
                <w:rFonts w:ascii="宋体" w:hAnsi="宋体" w:cs="宋体" w:eastAsia="宋体" w:hint="default"/>
                <w:sz w:val="18"/>
                <w:szCs w:val="18"/>
              </w:rPr>
              <w:t>副总经 理、董事 会秘书</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38</w:t>
            </w:r>
          </w:p>
        </w:tc>
        <w:tc>
          <w:tcPr>
            <w:tcW w:w="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p>
          <w:p>
            <w:pPr>
              <w:pStyle w:val="TableParagraph"/>
              <w:spacing w:line="240" w:lineRule="auto" w:before="64"/>
              <w:ind w:left="2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z w:val="18"/>
              </w:rPr>
              <w:t>0</w:t>
            </w:r>
          </w:p>
        </w:tc>
      </w:tr>
      <w:tr>
        <w:trPr>
          <w:trHeight w:val="727" w:hRule="exact"/>
        </w:trPr>
        <w:tc>
          <w:tcPr>
            <w:tcW w:w="799"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256,732,9</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90</w:t>
            </w:r>
          </w:p>
        </w:tc>
        <w:tc>
          <w:tcPr>
            <w:tcW w:w="7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37,500</w:t>
            </w:r>
          </w:p>
        </w:tc>
        <w:tc>
          <w:tcPr>
            <w:tcW w:w="7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w w:val="95"/>
                <w:sz w:val="18"/>
              </w:rPr>
              <w:t>-2,452,79</w:t>
            </w:r>
            <w:r>
              <w:rPr>
                <w:rFonts w:ascii="Times New Roman"/>
                <w:sz w:val="18"/>
              </w:rPr>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6</w:t>
            </w:r>
          </w:p>
        </w:tc>
        <w:tc>
          <w:tcPr>
            <w:tcW w:w="79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254,317,6</w:t>
            </w:r>
          </w:p>
          <w:p>
            <w:pPr>
              <w:pStyle w:val="TableParagraph"/>
              <w:spacing w:line="240" w:lineRule="auto" w:before="105"/>
              <w:ind w:right="11"/>
              <w:jc w:val="right"/>
              <w:rPr>
                <w:rFonts w:ascii="Times New Roman" w:hAnsi="Times New Roman" w:cs="Times New Roman" w:eastAsia="Times New Roman" w:hint="default"/>
                <w:sz w:val="18"/>
                <w:szCs w:val="18"/>
              </w:rPr>
            </w:pPr>
            <w:r>
              <w:rPr>
                <w:rFonts w:ascii="Times New Roman"/>
                <w:sz w:val="18"/>
              </w:rPr>
              <w:t>94</w:t>
            </w:r>
          </w:p>
        </w:tc>
      </w:tr>
    </w:tbl>
    <w:p>
      <w:pPr>
        <w:spacing w:line="240" w:lineRule="auto" w:before="2"/>
        <w:rPr>
          <w:rFonts w:ascii="宋体" w:hAnsi="宋体" w:cs="宋体" w:eastAsia="宋体" w:hint="default"/>
          <w:b/>
          <w:bCs/>
          <w:sz w:val="18"/>
          <w:szCs w:val="18"/>
        </w:rPr>
      </w:pPr>
    </w:p>
    <w:p>
      <w:pPr>
        <w:pStyle w:val="Heading4"/>
        <w:spacing w:line="240" w:lineRule="auto" w:before="26"/>
        <w:ind w:left="1134" w:right="998"/>
        <w:jc w:val="left"/>
        <w:rPr>
          <w:b w:val="0"/>
          <w:bCs w:val="0"/>
        </w:rPr>
      </w:pPr>
      <w:bookmarkStart w:name="二、公司董事、监事、高级管理人员变动情况" w:id="124"/>
      <w:bookmarkEnd w:id="124"/>
      <w:r>
        <w:rPr>
          <w:b w:val="0"/>
          <w:bCs w:val="0"/>
        </w:rPr>
      </w:r>
      <w:r>
        <w:rPr/>
        <w:t>二、公司董事、监事、高级管理人员变动情况</w:t>
      </w:r>
      <w:r>
        <w:rPr>
          <w:b w:val="0"/>
          <w:bCs w:val="0"/>
        </w:rPr>
      </w:r>
    </w:p>
    <w:p>
      <w:pPr>
        <w:spacing w:line="240" w:lineRule="auto" w:before="7"/>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153" w:type="dxa"/>
        <w:tblLayout w:type="fixed"/>
        <w:tblCellMar>
          <w:top w:w="0" w:type="dxa"/>
          <w:left w:w="0" w:type="dxa"/>
          <w:bottom w:w="0" w:type="dxa"/>
          <w:right w:w="0" w:type="dxa"/>
        </w:tblCellMar>
        <w:tblLook w:val="01E0"/>
      </w:tblPr>
      <w:tblGrid>
        <w:gridCol w:w="1331"/>
        <w:gridCol w:w="1330"/>
        <w:gridCol w:w="1330"/>
        <w:gridCol w:w="1331"/>
        <w:gridCol w:w="4248"/>
      </w:tblGrid>
      <w:tr>
        <w:trPr>
          <w:trHeight w:val="415" w:hRule="exact"/>
        </w:trPr>
        <w:tc>
          <w:tcPr>
            <w:tcW w:w="1331"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right="7"/>
              <w:jc w:val="center"/>
              <w:rPr>
                <w:rFonts w:ascii="宋体" w:hAnsi="宋体" w:cs="宋体" w:eastAsia="宋体" w:hint="default"/>
                <w:sz w:val="18"/>
                <w:szCs w:val="18"/>
              </w:rPr>
            </w:pPr>
            <w:r>
              <w:rPr>
                <w:rFonts w:ascii="宋体" w:hAnsi="宋体" w:cs="宋体" w:eastAsia="宋体" w:hint="default"/>
                <w:sz w:val="18"/>
                <w:szCs w:val="18"/>
              </w:rPr>
              <w:t>姓名</w:t>
            </w:r>
          </w:p>
        </w:tc>
        <w:tc>
          <w:tcPr>
            <w:tcW w:w="133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207"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33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331"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4248"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6"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727" w:hRule="exact"/>
        </w:trPr>
        <w:tc>
          <w:tcPr>
            <w:tcW w:w="133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罗建北</w:t>
            </w:r>
          </w:p>
        </w:tc>
        <w:tc>
          <w:tcPr>
            <w:tcW w:w="133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33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2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换届选举</w:t>
            </w:r>
          </w:p>
        </w:tc>
      </w:tr>
    </w:tbl>
    <w:p>
      <w:pPr>
        <w:spacing w:line="240" w:lineRule="auto" w:before="2"/>
        <w:rPr>
          <w:rFonts w:ascii="宋体" w:hAnsi="宋体" w:cs="宋体" w:eastAsia="宋体" w:hint="default"/>
          <w:sz w:val="18"/>
          <w:szCs w:val="18"/>
        </w:rPr>
      </w:pPr>
    </w:p>
    <w:p>
      <w:pPr>
        <w:pStyle w:val="Heading4"/>
        <w:spacing w:line="240" w:lineRule="auto" w:before="26"/>
        <w:ind w:left="1134" w:right="998"/>
        <w:jc w:val="left"/>
        <w:rPr>
          <w:b w:val="0"/>
          <w:bCs w:val="0"/>
        </w:rPr>
      </w:pPr>
      <w:bookmarkStart w:name="三、任职情况" w:id="125"/>
      <w:bookmarkEnd w:id="125"/>
      <w:r>
        <w:rPr>
          <w:b w:val="0"/>
          <w:bCs w:val="0"/>
        </w:rPr>
      </w:r>
      <w:r>
        <w:rPr/>
        <w:t>三、任职情况</w:t>
      </w:r>
      <w:r>
        <w:rPr>
          <w:b w:val="0"/>
          <w:bCs w:val="0"/>
        </w:rPr>
      </w:r>
    </w:p>
    <w:p>
      <w:pPr>
        <w:spacing w:line="240" w:lineRule="auto" w:before="8"/>
        <w:rPr>
          <w:rFonts w:ascii="宋体" w:hAnsi="宋体" w:cs="宋体" w:eastAsia="宋体" w:hint="default"/>
          <w:b/>
          <w:bCs/>
          <w:sz w:val="30"/>
          <w:szCs w:val="30"/>
        </w:rPr>
      </w:pPr>
    </w:p>
    <w:p>
      <w:pPr>
        <w:pStyle w:val="BodyText"/>
        <w:spacing w:line="444" w:lineRule="auto"/>
        <w:ind w:right="2353"/>
        <w:jc w:val="left"/>
      </w:pPr>
      <w:r>
        <w:rPr/>
        <w:t>公司现任董事、监事、高级管理人员专业背景、主要工作经历以及目前在公司的主要职责。 至本报告期末（</w:t>
      </w:r>
      <w:r>
        <w:rPr>
          <w:rFonts w:ascii="宋体" w:hAnsi="宋体" w:cs="宋体" w:eastAsia="宋体" w:hint="default"/>
        </w:rPr>
        <w:t>2017</w:t>
      </w:r>
      <w:r>
        <w:rPr>
          <w:rFonts w:ascii="宋体" w:hAnsi="宋体" w:cs="宋体" w:eastAsia="宋体" w:hint="default"/>
          <w:spacing w:val="-49"/>
        </w:rPr>
        <w:t> </w:t>
      </w:r>
      <w:r>
        <w:rPr/>
        <w:t>年</w:t>
      </w:r>
      <w:r>
        <w:rPr>
          <w:spacing w:val="-51"/>
        </w:rPr>
        <w:t> </w:t>
      </w:r>
      <w:r>
        <w:rPr>
          <w:rFonts w:ascii="宋体" w:hAnsi="宋体" w:cs="宋体" w:eastAsia="宋体" w:hint="default"/>
        </w:rPr>
        <w:t>12</w:t>
      </w:r>
      <w:r>
        <w:rPr>
          <w:rFonts w:ascii="宋体" w:hAnsi="宋体" w:cs="宋体" w:eastAsia="宋体" w:hint="default"/>
          <w:spacing w:val="-49"/>
        </w:rPr>
        <w:t> </w:t>
      </w:r>
      <w:r>
        <w:rPr/>
        <w:t>月</w:t>
      </w:r>
      <w:r>
        <w:rPr>
          <w:spacing w:val="-49"/>
        </w:rPr>
        <w:t> </w:t>
      </w:r>
      <w:r>
        <w:rPr>
          <w:rFonts w:ascii="宋体" w:hAnsi="宋体" w:cs="宋体" w:eastAsia="宋体" w:hint="default"/>
          <w:spacing w:val="-1"/>
        </w:rPr>
        <w:t>31</w:t>
      </w:r>
      <w:r>
        <w:rPr>
          <w:rFonts w:ascii="宋体" w:hAnsi="宋体" w:cs="宋体" w:eastAsia="宋体" w:hint="default"/>
          <w:spacing w:val="-48"/>
        </w:rPr>
        <w:t> </w:t>
      </w:r>
      <w:r>
        <w:rPr>
          <w:spacing w:val="-5"/>
        </w:rPr>
        <w:t>日），公司的董事、监事、高级管理人员任职情况如下：</w:t>
      </w:r>
    </w:p>
    <w:p>
      <w:pPr>
        <w:pStyle w:val="BodyText"/>
        <w:spacing w:line="408" w:lineRule="auto" w:before="54"/>
        <w:ind w:right="998"/>
        <w:jc w:val="left"/>
      </w:pPr>
      <w:r>
        <w:rPr>
          <w:rFonts w:ascii="宋体" w:hAnsi="宋体" w:cs="宋体" w:eastAsia="宋体" w:hint="default"/>
          <w:b/>
          <w:bCs/>
        </w:rPr>
        <w:t>（一）董事</w:t>
      </w:r>
      <w:r>
        <w:rPr>
          <w:rFonts w:ascii="宋体" w:hAnsi="宋体" w:cs="宋体" w:eastAsia="宋体" w:hint="default"/>
          <w:b/>
          <w:bCs/>
          <w:w w:val="99"/>
        </w:rPr>
        <w:t> </w:t>
      </w:r>
      <w:r>
        <w:rPr/>
        <w:t>本公司设董事会，由</w:t>
      </w:r>
      <w:r>
        <w:rPr>
          <w:rFonts w:ascii="宋体" w:hAnsi="宋体" w:cs="宋体" w:eastAsia="宋体" w:hint="default"/>
        </w:rPr>
        <w:t>7</w:t>
      </w:r>
      <w:r>
        <w:rPr/>
        <w:t>名董事组成成，设董事长</w:t>
      </w:r>
      <w:r>
        <w:rPr>
          <w:rFonts w:ascii="宋体" w:hAnsi="宋体" w:cs="宋体" w:eastAsia="宋体" w:hint="default"/>
        </w:rPr>
        <w:t>1</w:t>
      </w:r>
      <w:r>
        <w:rPr/>
        <w:t>名，独立董事</w:t>
      </w:r>
      <w:r>
        <w:rPr>
          <w:rFonts w:ascii="宋体" w:hAnsi="宋体" w:cs="宋体" w:eastAsia="宋体" w:hint="default"/>
        </w:rPr>
        <w:t>3</w:t>
      </w:r>
      <w:r>
        <w:rPr/>
        <w:t>名。董事由股东大会选举或更换，任期三 年。董事任期届满，可连选连任。董事会成员如下： </w:t>
      </w:r>
      <w:r>
        <w:rPr>
          <w:spacing w:val="-3"/>
        </w:rPr>
        <w:t>周亚辉，男，</w:t>
      </w:r>
      <w:r>
        <w:rPr>
          <w:rFonts w:ascii="宋体" w:hAnsi="宋体" w:cs="宋体" w:eastAsia="宋体" w:hint="default"/>
          <w:spacing w:val="-3"/>
        </w:rPr>
        <w:t>1977</w:t>
      </w:r>
      <w:r>
        <w:rPr>
          <w:spacing w:val="-3"/>
        </w:rPr>
        <w:t>年</w:t>
      </w:r>
      <w:r>
        <w:rPr>
          <w:rFonts w:ascii="宋体" w:hAnsi="宋体" w:cs="宋体" w:eastAsia="宋体" w:hint="default"/>
          <w:spacing w:val="-3"/>
        </w:rPr>
        <w:t>2</w:t>
      </w:r>
      <w:r>
        <w:rPr>
          <w:spacing w:val="-3"/>
        </w:rPr>
        <w:t>月出生，中国国籍，无永久境外居留权，清华大学精密仪器系毕业，硕士学历。</w:t>
      </w:r>
      <w:r>
        <w:rPr>
          <w:rFonts w:ascii="宋体" w:hAnsi="宋体" w:cs="宋体" w:eastAsia="宋体" w:hint="default"/>
          <w:spacing w:val="-3"/>
        </w:rPr>
        <w:t>2000</w:t>
      </w:r>
      <w:r>
        <w:rPr>
          <w:rFonts w:ascii="宋体" w:hAnsi="宋体" w:cs="宋体" w:eastAsia="宋体" w:hint="default"/>
          <w:spacing w:val="-85"/>
        </w:rPr>
        <w:t> </w:t>
      </w:r>
      <w:r>
        <w:rPr/>
        <w:t>年</w:t>
      </w:r>
      <w:r>
        <w:rPr>
          <w:rFonts w:ascii="宋体" w:hAnsi="宋体" w:cs="宋体" w:eastAsia="宋体" w:hint="default"/>
        </w:rPr>
        <w:t>9</w:t>
      </w:r>
      <w:r>
        <w:rPr/>
        <w:t>月至</w:t>
      </w:r>
      <w:r>
        <w:rPr>
          <w:rFonts w:ascii="宋体" w:hAnsi="宋体" w:cs="宋体" w:eastAsia="宋体" w:hint="default"/>
        </w:rPr>
        <w:t>2004</w:t>
      </w:r>
      <w:r>
        <w:rPr/>
        <w:t>年</w:t>
      </w:r>
      <w:r>
        <w:rPr>
          <w:rFonts w:ascii="宋体" w:hAnsi="宋体" w:cs="宋体" w:eastAsia="宋体" w:hint="default"/>
        </w:rPr>
        <w:t>1</w:t>
      </w:r>
      <w:r>
        <w:rPr/>
        <w:t>月任北京火神互动网络科技有限公司经理，负责公司整体运营；</w:t>
      </w:r>
      <w:r>
        <w:rPr>
          <w:rFonts w:ascii="宋体" w:hAnsi="宋体" w:cs="宋体" w:eastAsia="宋体" w:hint="default"/>
        </w:rPr>
        <w:t>2004</w:t>
      </w:r>
      <w:r>
        <w:rPr/>
        <w:t>年</w:t>
      </w:r>
      <w:r>
        <w:rPr>
          <w:rFonts w:ascii="宋体" w:hAnsi="宋体" w:cs="宋体" w:eastAsia="宋体" w:hint="default"/>
        </w:rPr>
        <w:t>3</w:t>
      </w:r>
      <w:r>
        <w:rPr/>
        <w:t>月至</w:t>
      </w:r>
      <w:r>
        <w:rPr>
          <w:rFonts w:ascii="宋体" w:hAnsi="宋体" w:cs="宋体" w:eastAsia="宋体" w:hint="default"/>
        </w:rPr>
        <w:t>2006</w:t>
      </w:r>
      <w:r>
        <w:rPr/>
        <w:t>年</w:t>
      </w:r>
      <w:r>
        <w:rPr>
          <w:rFonts w:ascii="宋体" w:hAnsi="宋体" w:cs="宋体" w:eastAsia="宋体" w:hint="default"/>
        </w:rPr>
        <w:t>7</w:t>
      </w:r>
      <w:r>
        <w:rPr/>
        <w:t>月，</w:t>
      </w:r>
      <w:r>
        <w:rPr>
          <w:spacing w:val="1"/>
        </w:rPr>
        <w:t> </w:t>
      </w:r>
      <w:r>
        <w:rPr/>
        <w:t>清华大学完成硕士学业；</w:t>
      </w:r>
      <w:r>
        <w:rPr>
          <w:rFonts w:ascii="宋体" w:hAnsi="宋体" w:cs="宋体" w:eastAsia="宋体" w:hint="default"/>
        </w:rPr>
        <w:t>2005</w:t>
      </w:r>
      <w:r>
        <w:rPr/>
        <w:t>年</w:t>
      </w:r>
      <w:r>
        <w:rPr>
          <w:rFonts w:ascii="宋体" w:hAnsi="宋体" w:cs="宋体" w:eastAsia="宋体" w:hint="default"/>
        </w:rPr>
        <w:t>11</w:t>
      </w:r>
      <w:r>
        <w:rPr/>
        <w:t>月至</w:t>
      </w:r>
      <w:r>
        <w:rPr>
          <w:rFonts w:ascii="宋体" w:hAnsi="宋体" w:cs="宋体" w:eastAsia="宋体" w:hint="default"/>
        </w:rPr>
        <w:t>2007</w:t>
      </w:r>
      <w:r>
        <w:rPr/>
        <w:t>年</w:t>
      </w:r>
      <w:r>
        <w:rPr>
          <w:rFonts w:ascii="宋体" w:hAnsi="宋体" w:cs="宋体" w:eastAsia="宋体" w:hint="default"/>
        </w:rPr>
        <w:t>3</w:t>
      </w:r>
      <w:r>
        <w:rPr/>
        <w:t>月任千橡世纪科技发展（北京）有限公司总监，负责新业 务拓展；</w:t>
      </w:r>
      <w:r>
        <w:rPr>
          <w:rFonts w:ascii="宋体" w:hAnsi="宋体" w:cs="宋体" w:eastAsia="宋体" w:hint="default"/>
        </w:rPr>
        <w:t>2007</w:t>
      </w:r>
      <w:r>
        <w:rPr/>
        <w:t>年</w:t>
      </w:r>
      <w:r>
        <w:rPr>
          <w:rFonts w:ascii="宋体" w:hAnsi="宋体" w:cs="宋体" w:eastAsia="宋体" w:hint="default"/>
        </w:rPr>
        <w:t>3</w:t>
      </w:r>
      <w:r>
        <w:rPr/>
        <w:t>月至</w:t>
      </w:r>
      <w:r>
        <w:rPr>
          <w:rFonts w:ascii="宋体" w:hAnsi="宋体" w:cs="宋体" w:eastAsia="宋体" w:hint="default"/>
        </w:rPr>
        <w:t>2008</w:t>
      </w:r>
      <w:r>
        <w:rPr/>
        <w:t>年</w:t>
      </w:r>
      <w:r>
        <w:rPr>
          <w:rFonts w:ascii="宋体" w:hAnsi="宋体" w:cs="宋体" w:eastAsia="宋体" w:hint="default"/>
        </w:rPr>
        <w:t>3</w:t>
      </w:r>
      <w:r>
        <w:rPr/>
        <w:t>月任北京基耐特互联科技发展有限公司经理，负责公司总体规划；</w:t>
      </w:r>
      <w:r>
        <w:rPr>
          <w:rFonts w:ascii="宋体" w:hAnsi="宋体" w:cs="宋体" w:eastAsia="宋体" w:hint="default"/>
        </w:rPr>
        <w:t>2008</w:t>
      </w:r>
      <w:r>
        <w:rPr/>
        <w:t>年</w:t>
      </w:r>
      <w:r>
        <w:rPr>
          <w:rFonts w:ascii="宋体" w:hAnsi="宋体" w:cs="宋体" w:eastAsia="宋体" w:hint="default"/>
        </w:rPr>
        <w:t>3 </w:t>
      </w:r>
      <w:r>
        <w:rPr/>
        <w:t>月至</w:t>
      </w:r>
      <w:r>
        <w:rPr>
          <w:rFonts w:ascii="宋体" w:hAnsi="宋体" w:cs="宋体" w:eastAsia="宋体" w:hint="default"/>
        </w:rPr>
        <w:t>2011</w:t>
      </w:r>
      <w:r>
        <w:rPr/>
        <w:t>年</w:t>
      </w:r>
      <w:r>
        <w:rPr>
          <w:rFonts w:ascii="宋体" w:hAnsi="宋体" w:cs="宋体" w:eastAsia="宋体" w:hint="default"/>
        </w:rPr>
        <w:t>3</w:t>
      </w:r>
      <w:r>
        <w:rPr/>
        <w:t>月，任北京昆仑万维科技有限公司执行董事、经理；</w:t>
      </w:r>
      <w:r>
        <w:rPr>
          <w:rFonts w:ascii="宋体" w:hAnsi="宋体" w:cs="宋体" w:eastAsia="宋体" w:hint="default"/>
        </w:rPr>
        <w:t>2011</w:t>
      </w:r>
      <w:r>
        <w:rPr/>
        <w:t>年</w:t>
      </w:r>
      <w:r>
        <w:rPr>
          <w:rFonts w:ascii="宋体" w:hAnsi="宋体" w:cs="宋体" w:eastAsia="宋体" w:hint="default"/>
        </w:rPr>
        <w:t>3</w:t>
      </w:r>
      <w:r>
        <w:rPr/>
        <w:t>月至</w:t>
      </w:r>
      <w:r>
        <w:rPr>
          <w:rFonts w:ascii="宋体" w:hAnsi="宋体" w:cs="宋体" w:eastAsia="宋体" w:hint="default"/>
        </w:rPr>
        <w:t>2011</w:t>
      </w:r>
      <w:r>
        <w:rPr/>
        <w:t>年</w:t>
      </w:r>
      <w:r>
        <w:rPr>
          <w:rFonts w:ascii="宋体" w:hAnsi="宋体" w:cs="宋体" w:eastAsia="宋体" w:hint="default"/>
        </w:rPr>
        <w:t>6</w:t>
      </w:r>
      <w:r>
        <w:rPr/>
        <w:t>月，任北京昆仑万 维科技有限公司董事长、总经理。现任公司董事长、总经理。 </w:t>
      </w:r>
      <w:r>
        <w:rPr>
          <w:spacing w:val="-1"/>
        </w:rPr>
        <w:t>王立伟，男，</w:t>
      </w:r>
      <w:r>
        <w:rPr>
          <w:rFonts w:ascii="宋体" w:hAnsi="宋体" w:cs="宋体" w:eastAsia="宋体" w:hint="default"/>
          <w:spacing w:val="-1"/>
        </w:rPr>
        <w:t>1979</w:t>
      </w:r>
      <w:r>
        <w:rPr>
          <w:spacing w:val="-1"/>
        </w:rPr>
        <w:t>年</w:t>
      </w:r>
      <w:r>
        <w:rPr>
          <w:rFonts w:ascii="宋体" w:hAnsi="宋体" w:cs="宋体" w:eastAsia="宋体" w:hint="default"/>
          <w:spacing w:val="-1"/>
        </w:rPr>
        <w:t>2</w:t>
      </w:r>
      <w:r>
        <w:rPr>
          <w:spacing w:val="-1"/>
        </w:rPr>
        <w:t>月出生，中国国籍，无永久境外居留权，天津理工大学计算机科学与工程专业毕业，</w:t>
      </w:r>
      <w:r>
        <w:rPr>
          <w:spacing w:val="-81"/>
        </w:rPr>
        <w:t> </w:t>
      </w:r>
      <w:r>
        <w:rPr>
          <w:spacing w:val="-81"/>
        </w:rPr>
      </w:r>
      <w:r>
        <w:rPr/>
        <w:t>本科学历。</w:t>
      </w:r>
      <w:r>
        <w:rPr>
          <w:rFonts w:ascii="宋体" w:hAnsi="宋体" w:cs="宋体" w:eastAsia="宋体" w:hint="default"/>
        </w:rPr>
        <w:t>2002</w:t>
      </w:r>
      <w:r>
        <w:rPr/>
        <w:t>年</w:t>
      </w:r>
      <w:r>
        <w:rPr>
          <w:rFonts w:ascii="宋体" w:hAnsi="宋体" w:cs="宋体" w:eastAsia="宋体" w:hint="default"/>
        </w:rPr>
        <w:t>7</w:t>
      </w:r>
      <w:r>
        <w:rPr/>
        <w:t>月至</w:t>
      </w:r>
      <w:r>
        <w:rPr>
          <w:rFonts w:ascii="宋体" w:hAnsi="宋体" w:cs="宋体" w:eastAsia="宋体" w:hint="default"/>
        </w:rPr>
        <w:t>2007</w:t>
      </w:r>
      <w:r>
        <w:rPr/>
        <w:t>年</w:t>
      </w:r>
      <w:r>
        <w:rPr>
          <w:rFonts w:ascii="宋体" w:hAnsi="宋体" w:cs="宋体" w:eastAsia="宋体" w:hint="default"/>
        </w:rPr>
        <w:t>3</w:t>
      </w:r>
      <w:r>
        <w:rPr/>
        <w:t>月为自由职业者；</w:t>
      </w:r>
      <w:r>
        <w:rPr>
          <w:rFonts w:ascii="宋体" w:hAnsi="宋体" w:cs="宋体" w:eastAsia="宋体" w:hint="default"/>
        </w:rPr>
        <w:t>2007</w:t>
      </w:r>
      <w:r>
        <w:rPr/>
        <w:t>年</w:t>
      </w:r>
      <w:r>
        <w:rPr>
          <w:rFonts w:ascii="宋体" w:hAnsi="宋体" w:cs="宋体" w:eastAsia="宋体" w:hint="default"/>
        </w:rPr>
        <w:t>3</w:t>
      </w:r>
      <w:r>
        <w:rPr/>
        <w:t>月至</w:t>
      </w:r>
      <w:r>
        <w:rPr>
          <w:rFonts w:ascii="宋体" w:hAnsi="宋体" w:cs="宋体" w:eastAsia="宋体" w:hint="default"/>
        </w:rPr>
        <w:t>2008</w:t>
      </w:r>
      <w:r>
        <w:rPr/>
        <w:t>年</w:t>
      </w:r>
      <w:r>
        <w:rPr>
          <w:rFonts w:ascii="宋体" w:hAnsi="宋体" w:cs="宋体" w:eastAsia="宋体" w:hint="default"/>
        </w:rPr>
        <w:t>3</w:t>
      </w:r>
      <w:r>
        <w:rPr/>
        <w:t>月任北京基耐特互联科技发展有限 公司监事职务，负责行政人事管理；</w:t>
      </w:r>
      <w:r>
        <w:rPr>
          <w:rFonts w:ascii="宋体" w:hAnsi="宋体" w:cs="宋体" w:eastAsia="宋体" w:hint="default"/>
        </w:rPr>
        <w:t>2008</w:t>
      </w:r>
      <w:r>
        <w:rPr/>
        <w:t>年</w:t>
      </w:r>
      <w:r>
        <w:rPr>
          <w:rFonts w:ascii="宋体" w:hAnsi="宋体" w:cs="宋体" w:eastAsia="宋体" w:hint="default"/>
        </w:rPr>
        <w:t>3</w:t>
      </w:r>
      <w:r>
        <w:rPr/>
        <w:t>月加入北京昆仑万维科技有限公司，负责互联网事业部的管 理工作。现任公司董事、副总经理、财务负责人。</w:t>
      </w:r>
    </w:p>
    <w:p>
      <w:pPr>
        <w:spacing w:after="0" w:line="408" w:lineRule="auto"/>
        <w:jc w:val="left"/>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pStyle w:val="BodyText"/>
        <w:spacing w:line="408" w:lineRule="auto" w:before="174"/>
        <w:ind w:right="1024"/>
        <w:jc w:val="left"/>
      </w:pPr>
      <w:r>
        <w:rPr/>
        <w:t>黄国强，男，</w:t>
      </w:r>
      <w:r>
        <w:rPr>
          <w:rFonts w:ascii="宋体" w:hAnsi="宋体" w:cs="宋体" w:eastAsia="宋体" w:hint="default"/>
        </w:rPr>
        <w:t>1973</w:t>
      </w:r>
      <w:r>
        <w:rPr/>
        <w:t>年</w:t>
      </w:r>
      <w:r>
        <w:rPr>
          <w:rFonts w:ascii="宋体" w:hAnsi="宋体" w:cs="宋体" w:eastAsia="宋体" w:hint="default"/>
        </w:rPr>
        <w:t>2</w:t>
      </w:r>
      <w:r>
        <w:rPr/>
        <w:t>月出生，中国国籍，无永久境外居留权，香港中文大学金融</w:t>
      </w:r>
      <w:r>
        <w:rPr>
          <w:rFonts w:ascii="宋体" w:hAnsi="宋体" w:cs="宋体" w:eastAsia="宋体" w:hint="default"/>
        </w:rPr>
        <w:t>MBA</w:t>
      </w:r>
      <w:r>
        <w:rPr/>
        <w:t>毕业，硕士学历。曾 任职于上海贝尔阿尔卡特股份有限公司、美国速驰无线公司北京代表处、加拿大运通通信公司、硅谷动力 网络技术有限公司。现任东方富海投资管理股份有限公司董事、副总经理。现任公司董事。 张霆，男，</w:t>
      </w:r>
      <w:r>
        <w:rPr>
          <w:rFonts w:ascii="宋体" w:hAnsi="宋体" w:cs="宋体" w:eastAsia="宋体" w:hint="default"/>
        </w:rPr>
        <w:t>1973</w:t>
      </w:r>
      <w:r>
        <w:rPr/>
        <w:t>年</w:t>
      </w:r>
      <w:r>
        <w:rPr>
          <w:rFonts w:ascii="宋体" w:hAnsi="宋体" w:cs="宋体" w:eastAsia="宋体" w:hint="default"/>
        </w:rPr>
        <w:t>10</w:t>
      </w:r>
      <w:r>
        <w:rPr/>
        <w:t>月出生，中国国籍，无永久境外居留权，山东财政学院国际会计学专业毕业，本科学 历。曾任职于海辉国际软件集团公司、中国网络通信公司及清华同方技术股份有限公司、澜讯科信财务经 </w:t>
      </w:r>
      <w:r>
        <w:rPr>
          <w:spacing w:val="-3"/>
        </w:rPr>
        <w:t>理、开信创业投资有限公司投资经理。现任北京万维博石农业科技有限公司总经理。</w:t>
      </w:r>
      <w:r>
        <w:rPr>
          <w:rFonts w:ascii="宋体" w:hAnsi="宋体" w:cs="宋体" w:eastAsia="宋体" w:hint="default"/>
          <w:spacing w:val="-3"/>
        </w:rPr>
        <w:t>2014</w:t>
      </w:r>
      <w:r>
        <w:rPr>
          <w:spacing w:val="-3"/>
        </w:rPr>
        <w:t>年</w:t>
      </w:r>
      <w:r>
        <w:rPr>
          <w:rFonts w:ascii="宋体" w:hAnsi="宋体" w:cs="宋体" w:eastAsia="宋体" w:hint="default"/>
          <w:spacing w:val="-3"/>
        </w:rPr>
        <w:t>6</w:t>
      </w:r>
      <w:r>
        <w:rPr>
          <w:spacing w:val="-3"/>
        </w:rPr>
        <w:t>月</w:t>
      </w:r>
      <w:r>
        <w:rPr>
          <w:rFonts w:ascii="宋体" w:hAnsi="宋体" w:cs="宋体" w:eastAsia="宋体" w:hint="default"/>
          <w:spacing w:val="-3"/>
        </w:rPr>
        <w:t>23</w:t>
      </w:r>
      <w:r>
        <w:rPr>
          <w:spacing w:val="-3"/>
        </w:rPr>
        <w:t>日至</w:t>
      </w:r>
      <w:r>
        <w:rPr>
          <w:rFonts w:ascii="宋体" w:hAnsi="宋体" w:cs="宋体" w:eastAsia="宋体" w:hint="default"/>
          <w:spacing w:val="-3"/>
        </w:rPr>
        <w:t>2018</w:t>
      </w:r>
      <w:r>
        <w:rPr>
          <w:rFonts w:ascii="宋体" w:hAnsi="宋体" w:cs="宋体" w:eastAsia="宋体" w:hint="default"/>
          <w:spacing w:val="-78"/>
        </w:rPr>
        <w:t> </w:t>
      </w:r>
      <w:r>
        <w:rPr/>
        <w:t>年</w:t>
      </w:r>
      <w:r>
        <w:rPr>
          <w:rFonts w:ascii="宋体" w:hAnsi="宋体" w:cs="宋体" w:eastAsia="宋体" w:hint="default"/>
        </w:rPr>
        <w:t>4</w:t>
      </w:r>
      <w:r>
        <w:rPr/>
        <w:t>月</w:t>
      </w:r>
      <w:r>
        <w:rPr>
          <w:rFonts w:ascii="宋体" w:hAnsi="宋体" w:cs="宋体" w:eastAsia="宋体" w:hint="default"/>
        </w:rPr>
        <w:t>11</w:t>
      </w:r>
      <w:r>
        <w:rPr/>
        <w:t>日任公司董事。 赵保卿，男，</w:t>
      </w:r>
      <w:r>
        <w:rPr>
          <w:rFonts w:ascii="宋体" w:hAnsi="宋体" w:cs="宋体" w:eastAsia="宋体" w:hint="default"/>
        </w:rPr>
        <w:t>1958</w:t>
      </w:r>
      <w:r>
        <w:rPr/>
        <w:t>年</w:t>
      </w:r>
      <w:r>
        <w:rPr>
          <w:rFonts w:ascii="宋体" w:hAnsi="宋体" w:cs="宋体" w:eastAsia="宋体" w:hint="default"/>
        </w:rPr>
        <w:t>11</w:t>
      </w:r>
      <w:r>
        <w:rPr/>
        <w:t>月出生，中国国籍，无永久境外居留权，中国人民大学财务会计专业毕业，博士学 位。现任北京工商大学商学院教授，中国审计学会理事，北京审计学会理事，中央广播电视大学“审计案 例研究”和“审计学”课程主讲与教材主编，审计署高级审计师评审委员会委员。现任利欧集团股份有限 公司独立董事、北京首航艾启威节能技术股份有限公司独立董事。现任公司独立董事。 陈浩，男，</w:t>
      </w:r>
      <w:r>
        <w:rPr>
          <w:rFonts w:ascii="宋体" w:hAnsi="宋体" w:cs="宋体" w:eastAsia="宋体" w:hint="default"/>
        </w:rPr>
        <w:t>1966</w:t>
      </w:r>
      <w:r>
        <w:rPr/>
        <w:t>年</w:t>
      </w:r>
      <w:r>
        <w:rPr>
          <w:rFonts w:ascii="宋体" w:hAnsi="宋体" w:cs="宋体" w:eastAsia="宋体" w:hint="default"/>
        </w:rPr>
        <w:t>5</w:t>
      </w:r>
      <w:r>
        <w:rPr/>
        <w:t>月出生，中国国籍，无永久境外居留权，华中科技大学计算机系毕业，本科学历。曾 任深圳赛格集团赛格计算机有限公司经理，曾任联想集团小型机事业部经理、联想集成系统有限公司华东 </w:t>
      </w:r>
      <w:r>
        <w:rPr>
          <w:spacing w:val="-3"/>
        </w:rPr>
        <w:t>区总经理、副总裁，联想集团企划办副主任、人力资源部总经理，君联资本管理股份有限公司董事总经理、</w:t>
      </w:r>
      <w:r>
        <w:rPr>
          <w:spacing w:val="-96"/>
        </w:rPr>
        <w:t> </w:t>
      </w:r>
      <w:r>
        <w:rPr>
          <w:spacing w:val="-96"/>
        </w:rPr>
      </w:r>
      <w:r>
        <w:rPr/>
        <w:t>首席投资官。现任君联资本管理股份有限公司总裁。现任公司独立董事。 </w:t>
      </w:r>
      <w:r>
        <w:rPr>
          <w:spacing w:val="-3"/>
        </w:rPr>
        <w:t>薛镭，男，</w:t>
      </w:r>
      <w:r>
        <w:rPr>
          <w:rFonts w:ascii="宋体" w:hAnsi="宋体" w:cs="宋体" w:eastAsia="宋体" w:hint="default"/>
          <w:spacing w:val="-3"/>
        </w:rPr>
        <w:t>1960</w:t>
      </w:r>
      <w:r>
        <w:rPr>
          <w:spacing w:val="-3"/>
        </w:rPr>
        <w:t>年</w:t>
      </w:r>
      <w:r>
        <w:rPr>
          <w:rFonts w:ascii="宋体" w:hAnsi="宋体" w:cs="宋体" w:eastAsia="宋体" w:hint="default"/>
          <w:spacing w:val="-3"/>
        </w:rPr>
        <w:t>9</w:t>
      </w:r>
      <w:r>
        <w:rPr>
          <w:spacing w:val="-3"/>
        </w:rPr>
        <w:t>月出生，中国国籍，无永久境外居留权，清华大学工商管理专业毕业，博士学位。</w:t>
      </w:r>
      <w:r>
        <w:rPr>
          <w:rFonts w:ascii="宋体" w:hAnsi="宋体" w:cs="宋体" w:eastAsia="宋体" w:hint="default"/>
          <w:spacing w:val="-3"/>
        </w:rPr>
        <w:t>1998</w:t>
      </w:r>
      <w:r>
        <w:rPr>
          <w:rFonts w:ascii="宋体" w:hAnsi="宋体" w:cs="宋体" w:eastAsia="宋体" w:hint="default"/>
          <w:spacing w:val="-85"/>
        </w:rPr>
        <w:t> </w:t>
      </w:r>
      <w:r>
        <w:rPr/>
        <w:t>年至</w:t>
      </w:r>
      <w:r>
        <w:rPr>
          <w:rFonts w:ascii="宋体" w:hAnsi="宋体" w:cs="宋体" w:eastAsia="宋体" w:hint="default"/>
        </w:rPr>
        <w:t>2015</w:t>
      </w:r>
      <w:r>
        <w:rPr/>
        <w:t>年间曾任清华大学经济管理学院副院长、主任，负责清华经济管理学院的高级管理培训工作，并 曾担任清华大学经济管理学院管理信息系统实验室主任，为多家企业进行管理信息系统的诊断和开发工 作。</w:t>
      </w:r>
      <w:r>
        <w:rPr>
          <w:rFonts w:ascii="宋体" w:hAnsi="宋体" w:cs="宋体" w:eastAsia="宋体" w:hint="default"/>
        </w:rPr>
        <w:t>2015</w:t>
      </w:r>
      <w:r>
        <w:rPr/>
        <w:t>年至今任清华大学医院管理研究院副院长。</w:t>
      </w:r>
      <w:r>
        <w:rPr>
          <w:rFonts w:ascii="宋体" w:hAnsi="宋体" w:cs="宋体" w:eastAsia="宋体" w:hint="default"/>
        </w:rPr>
        <w:t>2013</w:t>
      </w:r>
      <w:r>
        <w:rPr/>
        <w:t>年</w:t>
      </w:r>
      <w:r>
        <w:rPr>
          <w:rFonts w:ascii="宋体" w:hAnsi="宋体" w:cs="宋体" w:eastAsia="宋体" w:hint="default"/>
        </w:rPr>
        <w:t>4</w:t>
      </w:r>
      <w:r>
        <w:rPr/>
        <w:t>月至今任上海莱士血液制品股份有限公司独 立董事。</w:t>
      </w:r>
    </w:p>
    <w:p>
      <w:pPr>
        <w:pStyle w:val="Heading6"/>
        <w:spacing w:line="240" w:lineRule="auto" w:before="46"/>
        <w:ind w:left="1133" w:right="998"/>
        <w:jc w:val="left"/>
        <w:rPr>
          <w:b w:val="0"/>
          <w:bCs w:val="0"/>
        </w:rPr>
      </w:pPr>
      <w:r>
        <w:rPr/>
        <w:t>（二）监事</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ind w:right="998"/>
        <w:jc w:val="left"/>
      </w:pPr>
      <w:r>
        <w:rPr/>
        <w:t>公司监事会由 </w:t>
      </w:r>
      <w:r>
        <w:rPr>
          <w:rFonts w:ascii="宋体" w:hAnsi="宋体" w:cs="宋体" w:eastAsia="宋体" w:hint="default"/>
        </w:rPr>
        <w:t>3</w:t>
      </w:r>
      <w:r>
        <w:rPr>
          <w:rFonts w:ascii="宋体" w:hAnsi="宋体" w:cs="宋体" w:eastAsia="宋体" w:hint="default"/>
          <w:spacing w:val="-1"/>
        </w:rPr>
        <w:t> </w:t>
      </w:r>
      <w:r>
        <w:rPr/>
        <w:t>名监事组成，职工代表监事毛杭军任监事会主席。职工代表监事由公司职工代表大会选 举产生。公司监事任期三年，可连选连任。监事会成员如下： 毛杭军，男，</w:t>
      </w:r>
      <w:r>
        <w:rPr>
          <w:rFonts w:ascii="宋体" w:hAnsi="宋体" w:cs="宋体" w:eastAsia="宋体" w:hint="default"/>
        </w:rPr>
        <w:t>1981</w:t>
      </w:r>
      <w:r>
        <w:rPr/>
        <w:t>年出生，中国国籍，无永久境外居住权，安徽理工大学矿物加工工程专业，本科学历。 </w:t>
      </w:r>
      <w:r>
        <w:rPr>
          <w:rFonts w:ascii="宋体" w:hAnsi="宋体" w:cs="宋体" w:eastAsia="宋体" w:hint="default"/>
        </w:rPr>
        <w:t>2003</w:t>
      </w:r>
      <w:r>
        <w:rPr/>
        <w:t>年至</w:t>
      </w:r>
      <w:r>
        <w:rPr>
          <w:rFonts w:ascii="宋体" w:hAnsi="宋体" w:cs="宋体" w:eastAsia="宋体" w:hint="default"/>
        </w:rPr>
        <w:t>2005</w:t>
      </w:r>
      <w:r>
        <w:rPr/>
        <w:t>年任职于浙江天宇信息技术有限公司，</w:t>
      </w:r>
      <w:r>
        <w:rPr>
          <w:rFonts w:ascii="宋体" w:hAnsi="宋体" w:cs="宋体" w:eastAsia="宋体" w:hint="default"/>
        </w:rPr>
        <w:t>2005</w:t>
      </w:r>
      <w:r>
        <w:rPr/>
        <w:t>年至</w:t>
      </w:r>
      <w:r>
        <w:rPr>
          <w:rFonts w:ascii="宋体" w:hAnsi="宋体" w:cs="宋体" w:eastAsia="宋体" w:hint="default"/>
        </w:rPr>
        <w:t>2006</w:t>
      </w:r>
      <w:r>
        <w:rPr/>
        <w:t>年任职于新浪网</w:t>
      </w:r>
      <w:r>
        <w:rPr>
          <w:rFonts w:ascii="宋体" w:hAnsi="宋体" w:cs="宋体" w:eastAsia="宋体" w:hint="default"/>
        </w:rPr>
        <w:t>(</w:t>
      </w:r>
      <w:r>
        <w:rPr/>
        <w:t>北京</w:t>
      </w:r>
      <w:r>
        <w:rPr>
          <w:rFonts w:ascii="宋体" w:hAnsi="宋体" w:cs="宋体" w:eastAsia="宋体" w:hint="default"/>
        </w:rPr>
        <w:t>)</w:t>
      </w:r>
      <w:r>
        <w:rPr/>
        <w:t>信息技术有限公 司，</w:t>
      </w:r>
      <w:r>
        <w:rPr>
          <w:rFonts w:ascii="宋体" w:hAnsi="宋体" w:cs="宋体" w:eastAsia="宋体" w:hint="default"/>
        </w:rPr>
        <w:t>2007</w:t>
      </w:r>
      <w:r>
        <w:rPr/>
        <w:t>年至</w:t>
      </w:r>
      <w:r>
        <w:rPr>
          <w:rFonts w:ascii="宋体" w:hAnsi="宋体" w:cs="宋体" w:eastAsia="宋体" w:hint="default"/>
        </w:rPr>
        <w:t>2008</w:t>
      </w:r>
      <w:r>
        <w:rPr/>
        <w:t>年任职于北京捷报互动科技有限公司，</w:t>
      </w:r>
      <w:r>
        <w:rPr>
          <w:rFonts w:ascii="宋体" w:hAnsi="宋体" w:cs="宋体" w:eastAsia="宋体" w:hint="default"/>
        </w:rPr>
        <w:t>2008</w:t>
      </w:r>
      <w:r>
        <w:rPr/>
        <w:t>年</w:t>
      </w:r>
      <w:r>
        <w:rPr>
          <w:rFonts w:ascii="宋体" w:hAnsi="宋体" w:cs="宋体" w:eastAsia="宋体" w:hint="default"/>
        </w:rPr>
        <w:t>9</w:t>
      </w:r>
      <w:r>
        <w:rPr/>
        <w:t>月起至今任本公司平台部负责人。 孙骞，男，</w:t>
      </w:r>
      <w:r>
        <w:rPr>
          <w:rFonts w:ascii="宋体" w:hAnsi="宋体" w:cs="宋体" w:eastAsia="宋体" w:hint="default"/>
        </w:rPr>
        <w:t>1978</w:t>
      </w:r>
      <w:r>
        <w:rPr/>
        <w:t>年</w:t>
      </w:r>
      <w:r>
        <w:rPr>
          <w:rFonts w:ascii="宋体" w:hAnsi="宋体" w:cs="宋体" w:eastAsia="宋体" w:hint="default"/>
        </w:rPr>
        <w:t>5</w:t>
      </w:r>
      <w:r>
        <w:rPr/>
        <w:t>月出生，中国国籍，无永久境外居住权，天津大学计算机专业，本科学历。</w:t>
      </w:r>
      <w:r>
        <w:rPr>
          <w:rFonts w:ascii="宋体" w:hAnsi="宋体" w:cs="宋体" w:eastAsia="宋体" w:hint="default"/>
        </w:rPr>
        <w:t>2007</w:t>
      </w:r>
      <w:r>
        <w:rPr/>
        <w:t>年</w:t>
      </w:r>
      <w:r>
        <w:rPr>
          <w:rFonts w:ascii="宋体" w:hAnsi="宋体" w:cs="宋体" w:eastAsia="宋体" w:hint="default"/>
        </w:rPr>
        <w:t>5</w:t>
      </w:r>
      <w:r>
        <w:rPr/>
        <w:t>月 </w:t>
      </w:r>
      <w:r>
        <w:rPr>
          <w:spacing w:val="-1"/>
        </w:rPr>
        <w:t>加入北京基耐特互联科技发展有限公司，任职高级产品经理；</w:t>
      </w:r>
      <w:r>
        <w:rPr>
          <w:rFonts w:ascii="宋体" w:hAnsi="宋体" w:cs="宋体" w:eastAsia="宋体" w:hint="default"/>
          <w:spacing w:val="-1"/>
        </w:rPr>
        <w:t>2008</w:t>
      </w:r>
      <w:r>
        <w:rPr>
          <w:spacing w:val="-1"/>
        </w:rPr>
        <w:t>年</w:t>
      </w:r>
      <w:r>
        <w:rPr>
          <w:rFonts w:ascii="宋体" w:hAnsi="宋体" w:cs="宋体" w:eastAsia="宋体" w:hint="default"/>
          <w:spacing w:val="-1"/>
        </w:rPr>
        <w:t>3</w:t>
      </w:r>
      <w:r>
        <w:rPr>
          <w:spacing w:val="-1"/>
        </w:rPr>
        <w:t>月加入北京昆仑万维科技有限公司，</w:t>
      </w:r>
      <w:r>
        <w:rPr>
          <w:spacing w:val="-80"/>
        </w:rPr>
        <w:t> </w:t>
      </w:r>
      <w:r>
        <w:rPr/>
        <w:t>历任高级运营经理、产品总监等职务。现任公司项目总监，兼任公司监事会监事。 由宏伟，女，</w:t>
      </w:r>
      <w:r>
        <w:rPr>
          <w:rFonts w:ascii="宋体" w:hAnsi="宋体" w:cs="宋体" w:eastAsia="宋体" w:hint="default"/>
        </w:rPr>
        <w:t>1979</w:t>
      </w:r>
      <w:r>
        <w:rPr/>
        <w:t>年</w:t>
      </w:r>
      <w:r>
        <w:rPr>
          <w:rFonts w:ascii="宋体" w:hAnsi="宋体" w:cs="宋体" w:eastAsia="宋体" w:hint="default"/>
        </w:rPr>
        <w:t>2</w:t>
      </w:r>
      <w:r>
        <w:rPr/>
        <w:t>月出生，中国国籍，无永久境外居住权，对外经济贸易大学国际经济与贸易专业，</w:t>
      </w:r>
    </w:p>
    <w:p>
      <w:pPr>
        <w:spacing w:after="0" w:line="408" w:lineRule="auto"/>
        <w:jc w:val="left"/>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pStyle w:val="BodyText"/>
        <w:spacing w:line="408" w:lineRule="auto" w:before="174"/>
        <w:ind w:right="998"/>
        <w:jc w:val="left"/>
      </w:pPr>
      <w:r>
        <w:rPr>
          <w:spacing w:val="-1"/>
        </w:rPr>
        <w:t>本科学历。曾任职于北京易车互联信息技术有限公司人力资源部。</w:t>
      </w:r>
      <w:r>
        <w:rPr>
          <w:rFonts w:ascii="宋体" w:hAnsi="宋体" w:cs="宋体" w:eastAsia="宋体" w:hint="default"/>
          <w:spacing w:val="-1"/>
        </w:rPr>
        <w:t>2008</w:t>
      </w:r>
      <w:r>
        <w:rPr>
          <w:spacing w:val="-1"/>
        </w:rPr>
        <w:t>年至今，任本公司人力资源部负责</w:t>
      </w:r>
      <w:r>
        <w:rPr>
          <w:spacing w:val="-82"/>
        </w:rPr>
        <w:t> </w:t>
      </w:r>
      <w:r>
        <w:rPr>
          <w:spacing w:val="-82"/>
        </w:rPr>
      </w:r>
      <w:r>
        <w:rPr/>
        <w:t>人，兼任公司监事会监事。</w:t>
      </w:r>
    </w:p>
    <w:p>
      <w:pPr>
        <w:pStyle w:val="BodyText"/>
        <w:spacing w:line="408" w:lineRule="auto" w:before="46"/>
        <w:ind w:right="1198"/>
        <w:jc w:val="left"/>
      </w:pPr>
      <w:r>
        <w:rPr>
          <w:rFonts w:ascii="宋体" w:hAnsi="宋体" w:cs="宋体" w:eastAsia="宋体" w:hint="default"/>
          <w:b/>
          <w:bCs/>
        </w:rPr>
        <w:t>（三）高级管理人员</w:t>
      </w:r>
      <w:r>
        <w:rPr>
          <w:rFonts w:ascii="宋体" w:hAnsi="宋体" w:cs="宋体" w:eastAsia="宋体" w:hint="default"/>
          <w:b/>
          <w:bCs/>
          <w:w w:val="99"/>
        </w:rPr>
        <w:t> </w:t>
      </w:r>
      <w:r>
        <w:rPr/>
        <w:t>公司高级管理人员</w:t>
      </w:r>
      <w:r>
        <w:rPr>
          <w:rFonts w:ascii="宋体" w:hAnsi="宋体" w:cs="宋体" w:eastAsia="宋体" w:hint="default"/>
        </w:rPr>
        <w:t>4</w:t>
      </w:r>
      <w:r>
        <w:rPr/>
        <w:t>名，其中设</w:t>
      </w:r>
      <w:r>
        <w:rPr>
          <w:rFonts w:ascii="宋体" w:hAnsi="宋体" w:cs="宋体" w:eastAsia="宋体" w:hint="default"/>
        </w:rPr>
        <w:t>1</w:t>
      </w:r>
      <w:r>
        <w:rPr/>
        <w:t>名总经理（兼任董事长）、</w:t>
      </w:r>
      <w:r>
        <w:rPr>
          <w:rFonts w:ascii="宋体" w:hAnsi="宋体" w:cs="宋体" w:eastAsia="宋体" w:hint="default"/>
        </w:rPr>
        <w:t>3</w:t>
      </w:r>
      <w:r>
        <w:rPr/>
        <w:t>名副总经理（其中一名副总经理兼财务负责 人）。具体情况如下：</w:t>
      </w:r>
    </w:p>
    <w:p>
      <w:pPr>
        <w:pStyle w:val="BodyText"/>
        <w:spacing w:line="408" w:lineRule="auto" w:before="46"/>
        <w:ind w:right="6133"/>
        <w:jc w:val="left"/>
      </w:pPr>
      <w:r>
        <w:rPr/>
        <w:t>周亚辉，总经理兼董事长，简历详见以上。 王立伟，副总经理兼财务负责人，简历详见以上。</w:t>
      </w:r>
    </w:p>
    <w:p>
      <w:pPr>
        <w:pStyle w:val="BodyText"/>
        <w:spacing w:line="408" w:lineRule="auto" w:before="46"/>
        <w:ind w:right="1118"/>
        <w:jc w:val="left"/>
      </w:pPr>
      <w:r>
        <w:rPr/>
        <w:t>陈芳，男，</w:t>
      </w:r>
      <w:r>
        <w:rPr>
          <w:rFonts w:ascii="宋体" w:hAnsi="宋体" w:cs="宋体" w:eastAsia="宋体" w:hint="default"/>
        </w:rPr>
        <w:t>1979</w:t>
      </w:r>
      <w:r>
        <w:rPr/>
        <w:t>年</w:t>
      </w:r>
      <w:r>
        <w:rPr>
          <w:rFonts w:ascii="宋体" w:hAnsi="宋体" w:cs="宋体" w:eastAsia="宋体" w:hint="default"/>
        </w:rPr>
        <w:t>8</w:t>
      </w:r>
      <w:r>
        <w:rPr/>
        <w:t>月出生，中国国籍，无永久境外居留权。南昌大学汉语言文学专业，本科学历。曾任 盛大游戏市场营销中心总监、盛大游戏副总裁，现任公司副总经理、昆仑游戏</w:t>
      </w:r>
      <w:r>
        <w:rPr>
          <w:spacing w:val="-25"/>
        </w:rPr>
        <w:t> </w:t>
      </w:r>
      <w:r>
        <w:rPr>
          <w:rFonts w:ascii="宋体" w:hAnsi="宋体" w:cs="宋体" w:eastAsia="宋体" w:hint="default"/>
        </w:rPr>
        <w:t>CEO</w:t>
      </w:r>
      <w:r>
        <w:rPr/>
        <w:t>，全面负责公司运营和 昆仑游戏的日常管理。 金天，男，</w:t>
      </w:r>
      <w:r>
        <w:rPr>
          <w:rFonts w:ascii="宋体" w:hAnsi="宋体" w:cs="宋体" w:eastAsia="宋体" w:hint="default"/>
        </w:rPr>
        <w:t>1980</w:t>
      </w:r>
      <w:r>
        <w:rPr/>
        <w:t>年</w:t>
      </w:r>
      <w:r>
        <w:rPr>
          <w:rFonts w:ascii="宋体" w:hAnsi="宋体" w:cs="宋体" w:eastAsia="宋体" w:hint="default"/>
        </w:rPr>
        <w:t>4</w:t>
      </w:r>
      <w:r>
        <w:rPr/>
        <w:t>月出生，中国国籍，无永久境外居留权。上爱荷华大学市场管理专业，本科学历。曾 </w:t>
      </w:r>
      <w:r>
        <w:rPr>
          <w:spacing w:val="-1"/>
        </w:rPr>
        <w:t>任和易陶瓷（上海）有限公司董事总经理、监事，农行北京分行大客户经理，南京银行北京分行客户拓展</w:t>
      </w:r>
      <w:r>
        <w:rPr>
          <w:spacing w:val="-83"/>
        </w:rPr>
        <w:t> </w:t>
      </w:r>
      <w:r>
        <w:rPr>
          <w:spacing w:val="-83"/>
        </w:rPr>
      </w:r>
      <w:r>
        <w:rPr/>
        <w:t>部副总、北辰支行副行长。现任公司副总经理、董事会秘书。</w:t>
      </w:r>
    </w:p>
    <w:p>
      <w:pPr>
        <w:spacing w:line="240" w:lineRule="auto" w:before="6"/>
        <w:rPr>
          <w:rFonts w:ascii="宋体" w:hAnsi="宋体" w:cs="宋体" w:eastAsia="宋体" w:hint="default"/>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在股东单位任职情况</w:t>
      </w:r>
    </w:p>
    <w:p>
      <w:pPr>
        <w:spacing w:before="117"/>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090" w:type="dxa"/>
        <w:tblLayout w:type="fixed"/>
        <w:tblCellMar>
          <w:top w:w="0" w:type="dxa"/>
          <w:left w:w="0" w:type="dxa"/>
          <w:bottom w:w="0" w:type="dxa"/>
          <w:right w:w="0" w:type="dxa"/>
        </w:tblCellMar>
        <w:tblLook w:val="01E0"/>
      </w:tblPr>
      <w:tblGrid>
        <w:gridCol w:w="2136"/>
        <w:gridCol w:w="5670"/>
        <w:gridCol w:w="1889"/>
      </w:tblGrid>
      <w:tr>
        <w:trPr>
          <w:trHeight w:val="415" w:hRule="exact"/>
        </w:trPr>
        <w:tc>
          <w:tcPr>
            <w:tcW w:w="2136"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512"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567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股东单位名称</w:t>
            </w:r>
          </w:p>
        </w:tc>
        <w:tc>
          <w:tcPr>
            <w:tcW w:w="1889"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37" w:right="0"/>
              <w:jc w:val="left"/>
              <w:rPr>
                <w:rFonts w:ascii="宋体" w:hAnsi="宋体" w:cs="宋体" w:eastAsia="宋体" w:hint="default"/>
                <w:sz w:val="18"/>
                <w:szCs w:val="18"/>
              </w:rPr>
            </w:pPr>
            <w:r>
              <w:rPr>
                <w:rFonts w:ascii="宋体" w:hAnsi="宋体" w:cs="宋体" w:eastAsia="宋体" w:hint="default"/>
                <w:sz w:val="18"/>
                <w:szCs w:val="18"/>
              </w:rPr>
              <w:t>在股东单位担任的职务</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新余盈瑞世纪软件研发中心（有限合伙）</w:t>
            </w:r>
          </w:p>
        </w:tc>
        <w:tc>
          <w:tcPr>
            <w:tcW w:w="188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执行事务合伙人</w:t>
            </w:r>
          </w:p>
        </w:tc>
      </w:tr>
      <w:tr>
        <w:trPr>
          <w:trHeight w:val="415" w:hRule="exact"/>
        </w:trPr>
        <w:tc>
          <w:tcPr>
            <w:tcW w:w="213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深圳市东方富海投资管理股份有限公司</w:t>
            </w:r>
          </w:p>
        </w:tc>
        <w:tc>
          <w:tcPr>
            <w:tcW w:w="188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董事、副总经理</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在其他单位任职情况</w:t>
      </w:r>
    </w:p>
    <w:p>
      <w:pPr>
        <w:spacing w:before="117"/>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090" w:type="dxa"/>
        <w:tblLayout w:type="fixed"/>
        <w:tblCellMar>
          <w:top w:w="0" w:type="dxa"/>
          <w:left w:w="0" w:type="dxa"/>
          <w:bottom w:w="0" w:type="dxa"/>
          <w:right w:w="0" w:type="dxa"/>
        </w:tblCellMar>
        <w:tblLook w:val="01E0"/>
      </w:tblPr>
      <w:tblGrid>
        <w:gridCol w:w="2136"/>
        <w:gridCol w:w="5692"/>
        <w:gridCol w:w="1867"/>
      </w:tblGrid>
      <w:tr>
        <w:trPr>
          <w:trHeight w:val="415" w:hRule="exact"/>
        </w:trPr>
        <w:tc>
          <w:tcPr>
            <w:tcW w:w="2136"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512"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569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其他单位名称</w:t>
            </w:r>
          </w:p>
        </w:tc>
        <w:tc>
          <w:tcPr>
            <w:tcW w:w="1867"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在其他单位担任的职务</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昆仑日本株式会社</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昆仑集团有限公司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昆仑韩国株式会社</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北京昆仑在线网络科技有限公司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执行董事、经理</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广州昆仑在线信息科技有限公司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执行董事、经理</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北京昆仑乐享网络技术有限公司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执行董事、经理</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KORAM</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GAME</w:t>
            </w:r>
            <w:r>
              <w:rPr>
                <w:rFonts w:ascii="宋体" w:hAnsi="宋体" w:cs="宋体" w:eastAsia="宋体" w:hint="default"/>
                <w:sz w:val="18"/>
                <w:szCs w:val="18"/>
              </w:rPr>
              <w:t>（</w:t>
            </w:r>
            <w:r>
              <w:rPr>
                <w:rFonts w:ascii="Times New Roman" w:hAnsi="Times New Roman" w:cs="Times New Roman" w:eastAsia="Times New Roman" w:hint="default"/>
                <w:sz w:val="18"/>
                <w:szCs w:val="18"/>
              </w:rPr>
              <w:t>M</w:t>
            </w:r>
            <w:r>
              <w:rPr>
                <w:rFonts w:ascii="宋体" w:hAnsi="宋体" w:cs="宋体" w:eastAsia="宋体" w:hint="default"/>
                <w:sz w:val="18"/>
                <w:szCs w:val="18"/>
              </w:rPr>
              <w:t>）</w:t>
            </w:r>
            <w:r>
              <w:rPr>
                <w:rFonts w:ascii="Times New Roman" w:hAnsi="Times New Roman" w:cs="Times New Roman" w:eastAsia="Times New Roman" w:hint="default"/>
                <w:sz w:val="18"/>
                <w:szCs w:val="18"/>
              </w:rPr>
              <w:t>SDN.BHD.</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Kunlun US</w:t>
            </w:r>
            <w:r>
              <w:rPr>
                <w:rFonts w:ascii="Times New Roman"/>
                <w:spacing w:val="-2"/>
                <w:sz w:val="18"/>
              </w:rPr>
              <w:t> </w:t>
            </w:r>
            <w:r>
              <w:rPr>
                <w:rFonts w:ascii="Times New Roman"/>
                <w:sz w:val="18"/>
              </w:rPr>
              <w:t>Inc</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董事长、首席执行官</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Kunlun Europe</w:t>
            </w:r>
            <w:r>
              <w:rPr>
                <w:rFonts w:ascii="Times New Roman"/>
                <w:spacing w:val="-3"/>
                <w:sz w:val="18"/>
              </w:rPr>
              <w:t> </w:t>
            </w:r>
            <w:r>
              <w:rPr>
                <w:rFonts w:ascii="Times New Roman"/>
                <w:sz w:val="18"/>
              </w:rPr>
              <w:t>Limited</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15" w:hRule="exact"/>
        </w:trPr>
        <w:tc>
          <w:tcPr>
            <w:tcW w:w="213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游景蓝图（香港）科技股份有限公司</w:t>
            </w:r>
          </w:p>
        </w:tc>
        <w:tc>
          <w:tcPr>
            <w:tcW w:w="186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090" w:type="dxa"/>
        <w:tblLayout w:type="fixed"/>
        <w:tblCellMar>
          <w:top w:w="0" w:type="dxa"/>
          <w:left w:w="0" w:type="dxa"/>
          <w:bottom w:w="0" w:type="dxa"/>
          <w:right w:w="0" w:type="dxa"/>
        </w:tblCellMar>
        <w:tblLook w:val="01E0"/>
      </w:tblPr>
      <w:tblGrid>
        <w:gridCol w:w="2136"/>
        <w:gridCol w:w="5692"/>
        <w:gridCol w:w="1867"/>
      </w:tblGrid>
      <w:tr>
        <w:trPr>
          <w:trHeight w:val="415" w:hRule="exact"/>
        </w:trPr>
        <w:tc>
          <w:tcPr>
            <w:tcW w:w="213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网潮（香港）科技股份有限公司</w:t>
            </w:r>
          </w:p>
        </w:tc>
        <w:tc>
          <w:tcPr>
            <w:tcW w:w="186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香港昆仑万维股份有限公司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北京昆仑点金投资有限公司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监事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宁波昆仑点金股权投资有限公司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执行董事、经理</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上海昆晟科技有限公司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执行董事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新余市昆仑乐云网络小额贷款有限公司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执行董事、总经理</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西藏昆诺赢展创业投资有限责任公司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执行董事、经理</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Kunlun Grindr Holdings</w:t>
            </w:r>
            <w:r>
              <w:rPr>
                <w:rFonts w:ascii="Times New Roman"/>
                <w:spacing w:val="-4"/>
                <w:sz w:val="18"/>
              </w:rPr>
              <w:t> </w:t>
            </w:r>
            <w:r>
              <w:rPr>
                <w:rFonts w:ascii="Times New Roman"/>
                <w:sz w:val="18"/>
              </w:rPr>
              <w:t>Limited</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KL Grindr</w:t>
            </w:r>
            <w:r>
              <w:rPr>
                <w:rFonts w:ascii="Times New Roman"/>
                <w:spacing w:val="-8"/>
                <w:sz w:val="18"/>
              </w:rPr>
              <w:t> </w:t>
            </w:r>
            <w:r>
              <w:rPr>
                <w:rFonts w:ascii="Times New Roman"/>
                <w:sz w:val="18"/>
              </w:rPr>
              <w:t>Holdings,Inc.</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Grindr  </w:t>
            </w:r>
            <w:r>
              <w:rPr>
                <w:rFonts w:ascii="Times New Roman"/>
                <w:spacing w:val="43"/>
                <w:sz w:val="18"/>
              </w:rPr>
              <w:t> </w:t>
            </w:r>
            <w:r>
              <w:rPr>
                <w:rFonts w:ascii="Times New Roman"/>
                <w:sz w:val="18"/>
              </w:rPr>
              <w:t>LLC</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Cayman Kunlun</w:t>
            </w:r>
            <w:r>
              <w:rPr>
                <w:rFonts w:ascii="Times New Roman"/>
                <w:spacing w:val="-2"/>
                <w:sz w:val="18"/>
              </w:rPr>
              <w:t> </w:t>
            </w:r>
            <w:r>
              <w:rPr>
                <w:rFonts w:ascii="Times New Roman"/>
                <w:sz w:val="18"/>
              </w:rPr>
              <w:t>Group</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pacing w:val="-4"/>
                <w:sz w:val="18"/>
              </w:rPr>
              <w:t>TalkTalk</w:t>
            </w:r>
            <w:r>
              <w:rPr>
                <w:rFonts w:ascii="Times New Roman"/>
                <w:spacing w:val="2"/>
                <w:sz w:val="18"/>
              </w:rPr>
              <w:t> </w:t>
            </w:r>
            <w:r>
              <w:rPr>
                <w:rFonts w:ascii="Times New Roman"/>
                <w:sz w:val="18"/>
              </w:rPr>
              <w:t>Limited</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RaidCall</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HK</w:t>
            </w:r>
            <w:r>
              <w:rPr>
                <w:rFonts w:ascii="宋体" w:hAnsi="宋体" w:cs="宋体" w:eastAsia="宋体" w:hint="default"/>
                <w:sz w:val="18"/>
                <w:szCs w:val="18"/>
              </w:rPr>
              <w:t>）</w:t>
            </w:r>
            <w:r>
              <w:rPr>
                <w:rFonts w:ascii="Times New Roman" w:hAnsi="Times New Roman" w:cs="Times New Roman" w:eastAsia="Times New Roman" w:hint="default"/>
                <w:sz w:val="18"/>
                <w:szCs w:val="18"/>
              </w:rPr>
              <w:t>Limited</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北京畅游瑞科互联网技术有限公司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北京昆仑诺亚影业有限公司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执行董事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诺亚影业有限公司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执行董事、总经理</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北京瓴岳信息技术有限公司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董事长</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3"/>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20" w:right="0"/>
              <w:jc w:val="left"/>
              <w:rPr>
                <w:rFonts w:ascii="宋体" w:hAnsi="宋体" w:cs="宋体" w:eastAsia="宋体" w:hint="default"/>
                <w:sz w:val="18"/>
                <w:szCs w:val="18"/>
              </w:rPr>
            </w:pPr>
            <w:r>
              <w:rPr>
                <w:rFonts w:ascii="宋体" w:hAnsi="宋体" w:cs="宋体" w:eastAsia="宋体" w:hint="default"/>
                <w:sz w:val="18"/>
                <w:szCs w:val="18"/>
              </w:rPr>
              <w:t>北京全民快乐科技有限公司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3"/>
              <w:ind w:left="21" w:right="0"/>
              <w:jc w:val="left"/>
              <w:rPr>
                <w:rFonts w:ascii="宋体" w:hAnsi="宋体" w:cs="宋体" w:eastAsia="宋体" w:hint="default"/>
                <w:sz w:val="18"/>
                <w:szCs w:val="18"/>
              </w:rPr>
            </w:pPr>
            <w:r>
              <w:rPr>
                <w:rFonts w:ascii="宋体" w:hAnsi="宋体" w:cs="宋体" w:eastAsia="宋体" w:hint="default"/>
                <w:sz w:val="18"/>
                <w:szCs w:val="18"/>
              </w:rPr>
              <w:t>执行董事</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北京我最在行信息技术有限公司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霍尔果斯数字森林信息技术有限公司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执行董事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纳什空间创业科技（北京）有限公司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上海假面信息科技有限公司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Keeneyes Future Holding</w:t>
            </w:r>
            <w:r>
              <w:rPr>
                <w:rFonts w:ascii="Times New Roman"/>
                <w:spacing w:val="-5"/>
                <w:sz w:val="18"/>
              </w:rPr>
              <w:t> </w:t>
            </w:r>
            <w:r>
              <w:rPr>
                <w:rFonts w:ascii="Times New Roman"/>
                <w:sz w:val="18"/>
              </w:rPr>
              <w:t>Inc</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昆仑日本株式会社</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监事</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昆仑韩国株式会社</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北京昆仑在线网络科技有限公司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监事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昆仑集团有限公司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游景蓝图（香港）科技股份有限公司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网潮（香港）科技股份有限公司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香港昆仑万维股份有限公司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台湾昆仑万维有限公司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霍尔果斯昆仑点金科技网络有限公司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执行董事、经理</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霍尔果斯昆诺天勤创业投资有限公司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执行董事、经理</w:t>
            </w:r>
          </w:p>
        </w:tc>
      </w:tr>
      <w:tr>
        <w:trPr>
          <w:trHeight w:val="415" w:hRule="exact"/>
        </w:trPr>
        <w:tc>
          <w:tcPr>
            <w:tcW w:w="213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张霆</w:t>
            </w:r>
          </w:p>
        </w:tc>
        <w:tc>
          <w:tcPr>
            <w:tcW w:w="56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北京澜讯科信投资顾问有限公司</w:t>
            </w:r>
          </w:p>
        </w:tc>
        <w:tc>
          <w:tcPr>
            <w:tcW w:w="186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财务经理</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090" w:type="dxa"/>
        <w:tblLayout w:type="fixed"/>
        <w:tblCellMar>
          <w:top w:w="0" w:type="dxa"/>
          <w:left w:w="0" w:type="dxa"/>
          <w:bottom w:w="0" w:type="dxa"/>
          <w:right w:w="0" w:type="dxa"/>
        </w:tblCellMar>
        <w:tblLook w:val="01E0"/>
      </w:tblPr>
      <w:tblGrid>
        <w:gridCol w:w="2136"/>
        <w:gridCol w:w="5692"/>
        <w:gridCol w:w="1867"/>
      </w:tblGrid>
      <w:tr>
        <w:trPr>
          <w:trHeight w:val="415" w:hRule="exact"/>
        </w:trPr>
        <w:tc>
          <w:tcPr>
            <w:tcW w:w="213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张霆</w:t>
            </w:r>
          </w:p>
        </w:tc>
        <w:tc>
          <w:tcPr>
            <w:tcW w:w="56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开信创业投资有限公司</w:t>
            </w:r>
          </w:p>
        </w:tc>
        <w:tc>
          <w:tcPr>
            <w:tcW w:w="186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投资经理</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深圳市东方富海投资管理股份有限公司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副总经理、合伙人</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珠海富海铧创创业投资管理有限公司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总经理</w:t>
            </w:r>
          </w:p>
        </w:tc>
      </w:tr>
      <w:tr>
        <w:trPr>
          <w:trHeight w:val="719"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深圳富海创新创业投资基金企业（有限合伙）</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319" w:lineRule="auto" w:before="51"/>
              <w:ind w:left="21" w:right="20"/>
              <w:jc w:val="left"/>
              <w:rPr>
                <w:rFonts w:ascii="宋体" w:hAnsi="宋体" w:cs="宋体" w:eastAsia="宋体" w:hint="default"/>
                <w:sz w:val="18"/>
                <w:szCs w:val="18"/>
              </w:rPr>
            </w:pPr>
            <w:r>
              <w:rPr>
                <w:rFonts w:ascii="宋体" w:hAnsi="宋体" w:cs="宋体" w:eastAsia="宋体" w:hint="default"/>
                <w:sz w:val="18"/>
                <w:szCs w:val="18"/>
              </w:rPr>
              <w:t>执行事务合伙人委派代 表</w:t>
            </w:r>
          </w:p>
        </w:tc>
      </w:tr>
      <w:tr>
        <w:trPr>
          <w:trHeight w:val="719"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深圳富海华金创业投资基金（有限合伙）</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2"/>
              <w:ind w:left="21" w:right="20"/>
              <w:jc w:val="left"/>
              <w:rPr>
                <w:rFonts w:ascii="宋体" w:hAnsi="宋体" w:cs="宋体" w:eastAsia="宋体" w:hint="default"/>
                <w:sz w:val="18"/>
                <w:szCs w:val="18"/>
              </w:rPr>
            </w:pPr>
            <w:r>
              <w:rPr>
                <w:rFonts w:ascii="宋体" w:hAnsi="宋体" w:cs="宋体" w:eastAsia="宋体" w:hint="default"/>
                <w:sz w:val="18"/>
                <w:szCs w:val="18"/>
              </w:rPr>
              <w:t>执行事务合伙人委派代 表</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杭州银盒宝成科技有限公司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北京永洪商智科技有限公司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觅优信息技术（上海）有限公司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上海腾牛电子商务有限公司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天津乾润商业保理有限责任公司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华扬联众数字技术股份有限公司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南京睿悦信息技术有限公司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北京傲天动联技术有限公司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监事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北京酒仙网络科技有限公司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上海合合信息科技发展有限公司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北京宽客网络技术有限公司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北京铁血科技有限责任公司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上海刃游网络科技有限公司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北京点心科技有限公司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上海龙诚阔安投资咨询有限公司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上海德拓信息技术有限公司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和力辰光国际文化传媒（北京）股份有限公司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广州有米科技股份有限公司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深圳市转角街坊网络科技有限公司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上海兰渡文化传播有限公司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觅优信息技术（常州）有限公司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集盛星泰（北京）科技有限公司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监事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深圳市活力天汇科技股份有限公司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北京富基标商流通信息科技有限公司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3"/>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20" w:right="0"/>
              <w:jc w:val="left"/>
              <w:rPr>
                <w:rFonts w:ascii="宋体" w:hAnsi="宋体" w:cs="宋体" w:eastAsia="宋体" w:hint="default"/>
                <w:sz w:val="18"/>
                <w:szCs w:val="18"/>
              </w:rPr>
            </w:pPr>
            <w:r>
              <w:rPr>
                <w:rFonts w:ascii="宋体" w:hAnsi="宋体" w:cs="宋体" w:eastAsia="宋体" w:hint="default"/>
                <w:sz w:val="18"/>
                <w:szCs w:val="18"/>
              </w:rPr>
              <w:t>厦门美家帮科技股份有限公司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3"/>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广州智选网络科技有限公司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15" w:hRule="exact"/>
        </w:trPr>
        <w:tc>
          <w:tcPr>
            <w:tcW w:w="213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江苏原力电脑动画制作有限公司</w:t>
            </w:r>
          </w:p>
        </w:tc>
        <w:tc>
          <w:tcPr>
            <w:tcW w:w="186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监事</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090" w:type="dxa"/>
        <w:tblLayout w:type="fixed"/>
        <w:tblCellMar>
          <w:top w:w="0" w:type="dxa"/>
          <w:left w:w="0" w:type="dxa"/>
          <w:bottom w:w="0" w:type="dxa"/>
          <w:right w:w="0" w:type="dxa"/>
        </w:tblCellMar>
        <w:tblLook w:val="01E0"/>
      </w:tblPr>
      <w:tblGrid>
        <w:gridCol w:w="2136"/>
        <w:gridCol w:w="5692"/>
        <w:gridCol w:w="1867"/>
      </w:tblGrid>
      <w:tr>
        <w:trPr>
          <w:trHeight w:val="415" w:hRule="exact"/>
        </w:trPr>
        <w:tc>
          <w:tcPr>
            <w:tcW w:w="213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上海银河数娱网络科技有限公司</w:t>
            </w:r>
          </w:p>
        </w:tc>
        <w:tc>
          <w:tcPr>
            <w:tcW w:w="186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监事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和创（北京）科技股份有限公司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监事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北京快乐工场网络科技有限公司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监事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壹星国际文化传媒（北京）有限公司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上海爱会客信息科技有限公司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北京爱论答科技有限公司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上海傲梦网络科技有限公司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广州创大加速科技有限公司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深圳市万事富科技有限公司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花意生活</w:t>
            </w:r>
            <w:r>
              <w:rPr>
                <w:rFonts w:ascii="Times New Roman" w:hAnsi="Times New Roman" w:cs="Times New Roman" w:eastAsia="Times New Roman" w:hint="default"/>
                <w:sz w:val="18"/>
                <w:szCs w:val="18"/>
              </w:rPr>
              <w:t>(</w:t>
            </w:r>
            <w:r>
              <w:rPr>
                <w:rFonts w:ascii="宋体" w:hAnsi="宋体" w:cs="宋体" w:eastAsia="宋体" w:hint="default"/>
                <w:sz w:val="18"/>
                <w:szCs w:val="18"/>
              </w:rPr>
              <w:t>北京</w:t>
            </w:r>
            <w:r>
              <w:rPr>
                <w:rFonts w:ascii="Times New Roman" w:hAnsi="Times New Roman" w:cs="Times New Roman" w:eastAsia="Times New Roman" w:hint="default"/>
                <w:sz w:val="18"/>
                <w:szCs w:val="18"/>
              </w:rPr>
              <w:t>)</w:t>
            </w:r>
            <w:r>
              <w:rPr>
                <w:rFonts w:ascii="宋体" w:hAnsi="宋体" w:cs="宋体" w:eastAsia="宋体" w:hint="default"/>
                <w:sz w:val="18"/>
                <w:szCs w:val="18"/>
              </w:rPr>
              <w:t>电子商务有限公司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广州喜淘信息科技有限公司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北京闲徕互娱网络科技有限公司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上海晓途网络科技有限公司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野狗科技（北京）有限公司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厦门笨鸟电子商务有限公司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深圳前海飞礼科技有限公司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职优你（上海）教育科技有限公司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3"/>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20" w:right="0"/>
              <w:jc w:val="left"/>
              <w:rPr>
                <w:rFonts w:ascii="宋体" w:hAnsi="宋体" w:cs="宋体" w:eastAsia="宋体" w:hint="default"/>
                <w:sz w:val="18"/>
                <w:szCs w:val="18"/>
              </w:rPr>
            </w:pPr>
            <w:r>
              <w:rPr>
                <w:rFonts w:ascii="宋体" w:hAnsi="宋体" w:cs="宋体" w:eastAsia="宋体" w:hint="default"/>
                <w:sz w:val="18"/>
                <w:szCs w:val="18"/>
              </w:rPr>
              <w:t>君联资本管理股份有限公司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3"/>
              <w:ind w:left="21" w:right="0"/>
              <w:jc w:val="left"/>
              <w:rPr>
                <w:rFonts w:ascii="宋体" w:hAnsi="宋体" w:cs="宋体" w:eastAsia="宋体" w:hint="default"/>
                <w:sz w:val="18"/>
                <w:szCs w:val="18"/>
              </w:rPr>
            </w:pPr>
            <w:r>
              <w:rPr>
                <w:rFonts w:ascii="宋体" w:hAnsi="宋体" w:cs="宋体" w:eastAsia="宋体" w:hint="default"/>
                <w:sz w:val="18"/>
                <w:szCs w:val="18"/>
              </w:rPr>
              <w:t>总裁</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北京君联管理咨询有限公司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北京君祺嘉睿企业管理有限公司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君联资本（深圳）管理有限公司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北京水晶石数字科技股份有限公司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北京合力中税科技发展有限公司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天涯社区网络科技股份有限公司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苏州赛伍应用技术有限公司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广州金域医学检验集团股份有限公司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布丁酒店浙江股份有限公司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中海油能源发展股份有限公司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独立董事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Parade</w:t>
            </w:r>
            <w:r>
              <w:rPr>
                <w:rFonts w:ascii="Times New Roman"/>
                <w:spacing w:val="-21"/>
                <w:sz w:val="18"/>
              </w:rPr>
              <w:t> </w:t>
            </w:r>
            <w:r>
              <w:rPr>
                <w:rFonts w:ascii="Times New Roman"/>
                <w:sz w:val="18"/>
              </w:rPr>
              <w:t>Technologies,Ltd.</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pacing w:val="-6"/>
                <w:sz w:val="18"/>
              </w:rPr>
              <w:t>PPA </w:t>
            </w:r>
            <w:r>
              <w:rPr>
                <w:rFonts w:ascii="Times New Roman"/>
                <w:sz w:val="18"/>
              </w:rPr>
              <w:t>Marketing Solutions</w:t>
            </w:r>
            <w:r>
              <w:rPr>
                <w:rFonts w:ascii="Times New Roman"/>
                <w:spacing w:val="-8"/>
                <w:sz w:val="18"/>
              </w:rPr>
              <w:t> </w:t>
            </w:r>
            <w:r>
              <w:rPr>
                <w:rFonts w:ascii="Times New Roman"/>
                <w:sz w:val="18"/>
              </w:rPr>
              <w:t>Limited</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DIANJI</w:t>
            </w:r>
            <w:r>
              <w:rPr>
                <w:rFonts w:ascii="Times New Roman"/>
                <w:spacing w:val="-3"/>
                <w:sz w:val="18"/>
              </w:rPr>
              <w:t> </w:t>
            </w:r>
            <w:r>
              <w:rPr>
                <w:rFonts w:ascii="Times New Roman"/>
                <w:sz w:val="18"/>
              </w:rPr>
              <w:t>HOLDING</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CarZone Holdings</w:t>
            </w:r>
            <w:r>
              <w:rPr>
                <w:rFonts w:ascii="Times New Roman"/>
                <w:spacing w:val="-3"/>
                <w:sz w:val="18"/>
              </w:rPr>
              <w:t> </w:t>
            </w:r>
            <w:r>
              <w:rPr>
                <w:rFonts w:ascii="Times New Roman"/>
                <w:sz w:val="18"/>
              </w:rPr>
              <w:t>Limited</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CarLink</w:t>
            </w:r>
            <w:r>
              <w:rPr>
                <w:rFonts w:ascii="Times New Roman"/>
                <w:spacing w:val="-1"/>
                <w:sz w:val="18"/>
              </w:rPr>
              <w:t> </w:t>
            </w:r>
            <w:r>
              <w:rPr>
                <w:rFonts w:ascii="Times New Roman"/>
                <w:sz w:val="18"/>
              </w:rPr>
              <w:t>Inc</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15" w:hRule="exact"/>
        </w:trPr>
        <w:tc>
          <w:tcPr>
            <w:tcW w:w="213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Iserlohn Holdings</w:t>
            </w:r>
            <w:r>
              <w:rPr>
                <w:rFonts w:ascii="Times New Roman"/>
                <w:spacing w:val="-2"/>
                <w:sz w:val="18"/>
              </w:rPr>
              <w:t> </w:t>
            </w:r>
            <w:r>
              <w:rPr>
                <w:rFonts w:ascii="Times New Roman"/>
                <w:sz w:val="18"/>
              </w:rPr>
              <w:t>Limited</w:t>
            </w:r>
          </w:p>
        </w:tc>
        <w:tc>
          <w:tcPr>
            <w:tcW w:w="186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090" w:type="dxa"/>
        <w:tblLayout w:type="fixed"/>
        <w:tblCellMar>
          <w:top w:w="0" w:type="dxa"/>
          <w:left w:w="0" w:type="dxa"/>
          <w:bottom w:w="0" w:type="dxa"/>
          <w:right w:w="0" w:type="dxa"/>
        </w:tblCellMar>
        <w:tblLook w:val="01E0"/>
      </w:tblPr>
      <w:tblGrid>
        <w:gridCol w:w="2136"/>
        <w:gridCol w:w="5692"/>
        <w:gridCol w:w="1867"/>
      </w:tblGrid>
      <w:tr>
        <w:trPr>
          <w:trHeight w:val="415" w:hRule="exact"/>
        </w:trPr>
        <w:tc>
          <w:tcPr>
            <w:tcW w:w="213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Car King Holding</w:t>
            </w:r>
            <w:r>
              <w:rPr>
                <w:rFonts w:ascii="Times New Roman"/>
                <w:spacing w:val="-5"/>
                <w:sz w:val="18"/>
              </w:rPr>
              <w:t> </w:t>
            </w:r>
            <w:r>
              <w:rPr>
                <w:rFonts w:ascii="Times New Roman"/>
                <w:sz w:val="18"/>
              </w:rPr>
              <w:t>Ltd.</w:t>
            </w:r>
          </w:p>
        </w:tc>
        <w:tc>
          <w:tcPr>
            <w:tcW w:w="186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Uxin</w:t>
            </w:r>
            <w:r>
              <w:rPr>
                <w:rFonts w:ascii="Times New Roman"/>
                <w:spacing w:val="-2"/>
                <w:sz w:val="18"/>
              </w:rPr>
              <w:t> </w:t>
            </w:r>
            <w:r>
              <w:rPr>
                <w:rFonts w:ascii="Times New Roman"/>
                <w:sz w:val="18"/>
              </w:rPr>
              <w:t>Limited</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20" w:right="0"/>
              <w:jc w:val="left"/>
              <w:rPr>
                <w:rFonts w:ascii="Times New Roman" w:hAnsi="Times New Roman" w:cs="Times New Roman" w:eastAsia="Times New Roman" w:hint="default"/>
                <w:sz w:val="18"/>
                <w:szCs w:val="18"/>
              </w:rPr>
            </w:pPr>
            <w:r>
              <w:rPr>
                <w:rFonts w:ascii="Times New Roman"/>
                <w:sz w:val="18"/>
              </w:rPr>
              <w:t>Chetuan E-commerce</w:t>
            </w:r>
            <w:r>
              <w:rPr>
                <w:rFonts w:ascii="Times New Roman"/>
                <w:spacing w:val="-4"/>
                <w:sz w:val="18"/>
              </w:rPr>
              <w:t> </w:t>
            </w:r>
            <w:r>
              <w:rPr>
                <w:rFonts w:ascii="Times New Roman"/>
                <w:sz w:val="18"/>
              </w:rPr>
              <w:t>Ltd.</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薛镭</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上海莱士血液制品股份有限公司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独立董事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薛镭</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清华大学医院管理研究院</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副院长</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赵保卿</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浙江利欧集团股份有限公司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独立董事</w:t>
            </w:r>
          </w:p>
        </w:tc>
      </w:tr>
      <w:tr>
        <w:trPr>
          <w:trHeight w:val="408"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赵保卿</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北京首航艾启威节能技术股份有限公司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独立董事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赵保卿</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深圳市奇信建设集团股份有限公司</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独立董事</w:t>
            </w:r>
          </w:p>
        </w:tc>
      </w:tr>
      <w:tr>
        <w:trPr>
          <w:trHeight w:val="407" w:hRule="exact"/>
        </w:trPr>
        <w:tc>
          <w:tcPr>
            <w:tcW w:w="213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赵保卿</w:t>
            </w:r>
          </w:p>
        </w:tc>
        <w:tc>
          <w:tcPr>
            <w:tcW w:w="5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北京工商大学</w:t>
            </w:r>
          </w:p>
        </w:tc>
        <w:tc>
          <w:tcPr>
            <w:tcW w:w="18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教授</w:t>
            </w:r>
          </w:p>
        </w:tc>
      </w:tr>
      <w:tr>
        <w:trPr>
          <w:trHeight w:val="727" w:hRule="exact"/>
        </w:trPr>
        <w:tc>
          <w:tcPr>
            <w:tcW w:w="2136"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319" w:lineRule="auto" w:before="51"/>
              <w:ind w:left="13" w:right="118"/>
              <w:jc w:val="left"/>
              <w:rPr>
                <w:rFonts w:ascii="宋体" w:hAnsi="宋体" w:cs="宋体" w:eastAsia="宋体" w:hint="default"/>
                <w:sz w:val="18"/>
                <w:szCs w:val="18"/>
              </w:rPr>
            </w:pPr>
            <w:r>
              <w:rPr>
                <w:rFonts w:ascii="宋体" w:hAnsi="宋体" w:cs="宋体" w:eastAsia="宋体" w:hint="default"/>
                <w:sz w:val="18"/>
                <w:szCs w:val="18"/>
              </w:rPr>
              <w:t>在其他单位任职情况的说 明</w:t>
            </w:r>
          </w:p>
        </w:tc>
        <w:tc>
          <w:tcPr>
            <w:tcW w:w="7559" w:type="dxa"/>
            <w:gridSpan w:val="2"/>
            <w:tcBorders>
              <w:top w:val="single" w:sz="6" w:space="0" w:color="000000"/>
              <w:left w:val="single" w:sz="6" w:space="0" w:color="000000"/>
              <w:bottom w:val="single" w:sz="12" w:space="0" w:color="000000"/>
              <w:right w:val="single" w:sz="12"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公司现任及报告期内离任董事、监事和高级管理人员近三年证券监管机构处罚的情况</w:t>
      </w:r>
    </w:p>
    <w:p>
      <w:pPr>
        <w:spacing w:before="117"/>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4"/>
        <w:spacing w:line="240" w:lineRule="auto"/>
        <w:ind w:right="998"/>
        <w:jc w:val="left"/>
        <w:rPr>
          <w:b w:val="0"/>
          <w:bCs w:val="0"/>
        </w:rPr>
      </w:pPr>
      <w:bookmarkStart w:name="四、董事、监事、高级管理人员报酬情况" w:id="126"/>
      <w:bookmarkEnd w:id="126"/>
      <w:r>
        <w:rPr>
          <w:b w:val="0"/>
          <w:bCs w:val="0"/>
        </w:rPr>
      </w:r>
      <w:r>
        <w:rPr/>
        <w:t>四、董事、监事、高级管理人员报酬情况</w:t>
      </w:r>
      <w:r>
        <w:rPr>
          <w:b w:val="0"/>
          <w:bCs w:val="0"/>
        </w:rPr>
      </w:r>
    </w:p>
    <w:p>
      <w:pPr>
        <w:spacing w:line="240" w:lineRule="auto" w:before="8"/>
        <w:rPr>
          <w:rFonts w:ascii="宋体" w:hAnsi="宋体" w:cs="宋体" w:eastAsia="宋体" w:hint="default"/>
          <w:b/>
          <w:bCs/>
          <w:sz w:val="32"/>
          <w:szCs w:val="32"/>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董事、监事、高级管理人员报酬的决策程序、确定依据、实际支付情况</w:t>
      </w:r>
    </w:p>
    <w:p>
      <w:pPr>
        <w:spacing w:line="240" w:lineRule="auto" w:before="10"/>
        <w:rPr>
          <w:rFonts w:ascii="宋体" w:hAnsi="宋体" w:cs="宋体" w:eastAsia="宋体" w:hint="default"/>
          <w:sz w:val="18"/>
          <w:szCs w:val="18"/>
        </w:rPr>
      </w:pPr>
    </w:p>
    <w:p>
      <w:pPr>
        <w:pStyle w:val="BodyText"/>
        <w:spacing w:line="408" w:lineRule="auto"/>
        <w:ind w:right="1093" w:firstLine="420"/>
        <w:jc w:val="left"/>
      </w:pPr>
      <w:r>
        <w:rPr/>
        <w:t>董事、监事、高级管理人员报酬的决策程序：公司董事、监事报酬由股东大会审议通过后方可实施； 公司高级管理人员的报酬由董事会审议通过后方可实施；</w:t>
      </w:r>
    </w:p>
    <w:p>
      <w:pPr>
        <w:pStyle w:val="BodyText"/>
        <w:spacing w:line="408" w:lineRule="auto" w:before="46"/>
        <w:ind w:left="1134" w:right="998" w:firstLine="420"/>
        <w:jc w:val="left"/>
      </w:pPr>
      <w:r>
        <w:rPr>
          <w:spacing w:val="-1"/>
        </w:rPr>
        <w:t>董事、监事、高级管理人员报酬确定依据：本公司独立董事以外的在公司领薪的董事、监事、高级管</w:t>
      </w:r>
      <w:r>
        <w:rPr/>
        <w:t> 理人员及其他核心人员的薪酬由工资、奖金、社会保险和住房公积金组成，参照同行业水平确定。</w:t>
      </w:r>
    </w:p>
    <w:p>
      <w:pPr>
        <w:pStyle w:val="BodyText"/>
        <w:spacing w:line="386" w:lineRule="auto" w:before="46"/>
        <w:ind w:right="998" w:firstLine="420"/>
        <w:jc w:val="left"/>
      </w:pPr>
      <w:r>
        <w:rPr>
          <w:rFonts w:ascii="Times New Roman" w:hAnsi="Times New Roman" w:cs="Times New Roman" w:eastAsia="Times New Roman" w:hint="default"/>
          <w:spacing w:val="-1"/>
        </w:rPr>
        <w:t>2017</w:t>
      </w:r>
      <w:r>
        <w:rPr>
          <w:spacing w:val="-1"/>
        </w:rPr>
        <w:t>年度，公司董事、监事、高级管理人员的报酬严格按照上述程序确定，全年董事、监事、高级管</w:t>
      </w:r>
      <w:r>
        <w:rPr/>
        <w:t> 理人员从公司领取的报酬总额如下表。</w:t>
      </w:r>
    </w:p>
    <w:p>
      <w:pPr>
        <w:spacing w:line="240" w:lineRule="auto" w:before="7"/>
        <w:rPr>
          <w:rFonts w:ascii="宋体" w:hAnsi="宋体" w:cs="宋体" w:eastAsia="宋体" w:hint="default"/>
          <w:sz w:val="24"/>
          <w:szCs w:val="24"/>
        </w:rPr>
      </w:pPr>
    </w:p>
    <w:p>
      <w:pPr>
        <w:spacing w:before="44"/>
        <w:ind w:left="1133" w:right="998" w:firstLine="0"/>
        <w:jc w:val="left"/>
        <w:rPr>
          <w:rFonts w:ascii="宋体" w:hAnsi="宋体" w:cs="宋体" w:eastAsia="宋体" w:hint="default"/>
          <w:sz w:val="18"/>
          <w:szCs w:val="18"/>
        </w:rPr>
      </w:pPr>
      <w:r>
        <w:rPr>
          <w:rFonts w:ascii="宋体" w:hAnsi="宋体" w:cs="宋体" w:eastAsia="宋体" w:hint="default"/>
          <w:sz w:val="18"/>
          <w:szCs w:val="18"/>
        </w:rPr>
        <w:t>公司报告期内董事、监事和高级管理人员报酬情况</w:t>
      </w:r>
    </w:p>
    <w:p>
      <w:pPr>
        <w:spacing w:before="117"/>
        <w:ind w:left="0" w:right="1130" w:firstLine="0"/>
        <w:jc w:val="right"/>
        <w:rPr>
          <w:rFonts w:ascii="宋体" w:hAnsi="宋体" w:cs="宋体" w:eastAsia="宋体" w:hint="default"/>
          <w:sz w:val="18"/>
          <w:szCs w:val="18"/>
        </w:rPr>
      </w:pPr>
      <w:r>
        <w:rPr/>
        <w:pict>
          <v:group style="position:absolute;margin-left:195.5pt;margin-top:80.621719pt;width:67.7pt;height:28pt;mso-position-horizontal-relative:page;mso-position-vertical-relative:paragraph;z-index:-1135768" coordorigin="3910,1612" coordsize="1354,560">
            <v:group style="position:absolute;left:3910;top:1612;width:1354;height:156" coordorigin="3910,1612" coordsize="1354,156">
              <v:shape style="position:absolute;left:3910;top:1612;width:1354;height:156" coordorigin="3910,1612" coordsize="1354,156" path="m3910,1768l5264,1768,5264,1612,3910,1612,3910,1768xe" filled="true" fillcolor="#ffffff" stroked="false">
                <v:path arrowok="t"/>
                <v:fill type="solid"/>
              </v:shape>
            </v:group>
            <v:group style="position:absolute;left:3921;top:1768;width:2;height:393" coordorigin="3921,1768" coordsize="2,393">
              <v:shape style="position:absolute;left:3921;top:1768;width:2;height:393" coordorigin="3921,1768" coordsize="0,393" path="m3921,1768l3921,2161e" filled="false" stroked="true" strokeweight="1.08pt" strokecolor="#ffffff">
                <v:path arrowok="t"/>
              </v:shape>
            </v:group>
            <v:group style="position:absolute;left:3932;top:1768;width:1311;height:393" coordorigin="3932,1768" coordsize="1311,393">
              <v:shape style="position:absolute;left:3932;top:1768;width:1311;height:393" coordorigin="3932,1768" coordsize="1311,393" path="m3932,2161l5242,2161,5242,1768,3932,1768,3932,2161xe" filled="true" fillcolor="#ffffff" stroked="false">
                <v:path arrowok="t"/>
                <v:fill type="solid"/>
              </v:shape>
            </v:group>
            <w10:wrap type="none"/>
          </v:group>
        </w:pict>
      </w:r>
      <w:r>
        <w:rPr>
          <w:rFonts w:ascii="宋体" w:hAnsi="宋体" w:cs="宋体" w:eastAsia="宋体" w:hint="default"/>
          <w:sz w:val="18"/>
          <w:szCs w:val="18"/>
        </w:rPr>
        <w:t>单位：万元</w:t>
      </w:r>
    </w:p>
    <w:p>
      <w:pPr>
        <w:spacing w:line="240" w:lineRule="auto" w:before="13"/>
        <w:rPr>
          <w:rFonts w:ascii="宋体" w:hAnsi="宋体" w:cs="宋体" w:eastAsia="宋体" w:hint="default"/>
          <w:sz w:val="7"/>
          <w:szCs w:val="7"/>
        </w:rPr>
      </w:pPr>
    </w:p>
    <w:tbl>
      <w:tblPr>
        <w:tblW w:w="0" w:type="auto"/>
        <w:jc w:val="left"/>
        <w:tblInd w:w="1151" w:type="dxa"/>
        <w:tblLayout w:type="fixed"/>
        <w:tblCellMar>
          <w:top w:w="0" w:type="dxa"/>
          <w:left w:w="0" w:type="dxa"/>
          <w:bottom w:w="0" w:type="dxa"/>
          <w:right w:w="0" w:type="dxa"/>
        </w:tblCellMar>
        <w:tblLook w:val="01E0"/>
      </w:tblPr>
      <w:tblGrid>
        <w:gridCol w:w="1369"/>
        <w:gridCol w:w="1368"/>
        <w:gridCol w:w="1367"/>
        <w:gridCol w:w="1367"/>
        <w:gridCol w:w="1367"/>
        <w:gridCol w:w="1367"/>
        <w:gridCol w:w="1366"/>
      </w:tblGrid>
      <w:tr>
        <w:trPr>
          <w:trHeight w:val="727" w:hRule="exact"/>
        </w:trPr>
        <w:tc>
          <w:tcPr>
            <w:tcW w:w="1369"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姓名</w:t>
            </w:r>
          </w:p>
        </w:tc>
        <w:tc>
          <w:tcPr>
            <w:tcW w:w="1368"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136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136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136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5"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136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225" w:right="45" w:hanging="181"/>
              <w:jc w:val="left"/>
              <w:rPr>
                <w:rFonts w:ascii="宋体" w:hAnsi="宋体" w:cs="宋体" w:eastAsia="宋体" w:hint="default"/>
                <w:sz w:val="18"/>
                <w:szCs w:val="18"/>
              </w:rPr>
            </w:pPr>
            <w:r>
              <w:rPr>
                <w:rFonts w:ascii="宋体" w:hAnsi="宋体" w:cs="宋体" w:eastAsia="宋体" w:hint="default"/>
                <w:sz w:val="18"/>
                <w:szCs w:val="18"/>
              </w:rPr>
              <w:t>从公司获得的税 前报酬总额</w:t>
            </w:r>
          </w:p>
        </w:tc>
        <w:tc>
          <w:tcPr>
            <w:tcW w:w="1366"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316" w:lineRule="auto" w:before="51"/>
              <w:ind w:left="226" w:right="35"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407" w:hRule="exact"/>
        </w:trPr>
        <w:tc>
          <w:tcPr>
            <w:tcW w:w="13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董事长、总经理</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41</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72.56</w:t>
            </w:r>
          </w:p>
        </w:tc>
        <w:tc>
          <w:tcPr>
            <w:tcW w:w="13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9" w:hRule="exact"/>
        </w:trPr>
        <w:tc>
          <w:tcPr>
            <w:tcW w:w="13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51"/>
              <w:ind w:left="21" w:right="108"/>
              <w:jc w:val="left"/>
              <w:rPr>
                <w:rFonts w:ascii="宋体" w:hAnsi="宋体" w:cs="宋体" w:eastAsia="宋体" w:hint="default"/>
                <w:sz w:val="18"/>
                <w:szCs w:val="18"/>
              </w:rPr>
            </w:pPr>
            <w:r>
              <w:rPr>
                <w:rFonts w:ascii="宋体" w:hAnsi="宋体" w:cs="宋体" w:eastAsia="宋体" w:hint="default"/>
                <w:spacing w:val="-6"/>
                <w:sz w:val="18"/>
                <w:szCs w:val="18"/>
              </w:rPr>
              <w:t>董事、副总经理</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财务总监</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196" w:lineRule="exact" w:before="51"/>
              <w:ind w:left="-126"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39</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72.56</w:t>
            </w:r>
          </w:p>
        </w:tc>
        <w:tc>
          <w:tcPr>
            <w:tcW w:w="13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7" w:hRule="exact"/>
        </w:trPr>
        <w:tc>
          <w:tcPr>
            <w:tcW w:w="13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张霆</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45</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w:t>
            </w:r>
          </w:p>
        </w:tc>
        <w:tc>
          <w:tcPr>
            <w:tcW w:w="13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7" w:hRule="exact"/>
        </w:trPr>
        <w:tc>
          <w:tcPr>
            <w:tcW w:w="13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黄国强</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45</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w:t>
            </w:r>
          </w:p>
        </w:tc>
        <w:tc>
          <w:tcPr>
            <w:tcW w:w="13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8" w:hRule="exact"/>
        </w:trPr>
        <w:tc>
          <w:tcPr>
            <w:tcW w:w="13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赵保卿</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60</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10</w:t>
            </w:r>
          </w:p>
        </w:tc>
        <w:tc>
          <w:tcPr>
            <w:tcW w:w="13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15" w:hRule="exact"/>
        </w:trPr>
        <w:tc>
          <w:tcPr>
            <w:tcW w:w="136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136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52</w:t>
            </w:r>
          </w:p>
        </w:tc>
        <w:tc>
          <w:tcPr>
            <w:tcW w:w="13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w:t>
            </w:r>
          </w:p>
        </w:tc>
        <w:tc>
          <w:tcPr>
            <w:tcW w:w="136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51" w:type="dxa"/>
        <w:tblLayout w:type="fixed"/>
        <w:tblCellMar>
          <w:top w:w="0" w:type="dxa"/>
          <w:left w:w="0" w:type="dxa"/>
          <w:bottom w:w="0" w:type="dxa"/>
          <w:right w:w="0" w:type="dxa"/>
        </w:tblCellMar>
        <w:tblLook w:val="01E0"/>
      </w:tblPr>
      <w:tblGrid>
        <w:gridCol w:w="1369"/>
        <w:gridCol w:w="1368"/>
        <w:gridCol w:w="1367"/>
        <w:gridCol w:w="1367"/>
        <w:gridCol w:w="1367"/>
        <w:gridCol w:w="1367"/>
        <w:gridCol w:w="1366"/>
      </w:tblGrid>
      <w:tr>
        <w:trPr>
          <w:trHeight w:val="415" w:hRule="exact"/>
        </w:trPr>
        <w:tc>
          <w:tcPr>
            <w:tcW w:w="136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薛镭</w:t>
            </w:r>
          </w:p>
        </w:tc>
        <w:tc>
          <w:tcPr>
            <w:tcW w:w="136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58</w:t>
            </w:r>
          </w:p>
        </w:tc>
        <w:tc>
          <w:tcPr>
            <w:tcW w:w="136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4.48</w:t>
            </w:r>
          </w:p>
        </w:tc>
        <w:tc>
          <w:tcPr>
            <w:tcW w:w="1366"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7" w:hRule="exact"/>
        </w:trPr>
        <w:tc>
          <w:tcPr>
            <w:tcW w:w="13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罗建北</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73</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5.52</w:t>
            </w:r>
          </w:p>
        </w:tc>
        <w:tc>
          <w:tcPr>
            <w:tcW w:w="13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7" w:hRule="exact"/>
        </w:trPr>
        <w:tc>
          <w:tcPr>
            <w:tcW w:w="13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毛杭军</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37</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52.56</w:t>
            </w:r>
          </w:p>
        </w:tc>
        <w:tc>
          <w:tcPr>
            <w:tcW w:w="13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7" w:hRule="exact"/>
        </w:trPr>
        <w:tc>
          <w:tcPr>
            <w:tcW w:w="13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孙骞</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40</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43.56</w:t>
            </w:r>
          </w:p>
        </w:tc>
        <w:tc>
          <w:tcPr>
            <w:tcW w:w="13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7" w:hRule="exact"/>
        </w:trPr>
        <w:tc>
          <w:tcPr>
            <w:tcW w:w="13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由宏伟</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39</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44.28</w:t>
            </w:r>
          </w:p>
        </w:tc>
        <w:tc>
          <w:tcPr>
            <w:tcW w:w="13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7" w:hRule="exact"/>
        </w:trPr>
        <w:tc>
          <w:tcPr>
            <w:tcW w:w="13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陈芳</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39</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2"/>
                <w:sz w:val="18"/>
              </w:rPr>
              <w:t>114.48</w:t>
            </w:r>
          </w:p>
        </w:tc>
        <w:tc>
          <w:tcPr>
            <w:tcW w:w="13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27" w:hRule="exact"/>
        </w:trPr>
        <w:tc>
          <w:tcPr>
            <w:tcW w:w="13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金天</w:t>
            </w:r>
          </w:p>
        </w:tc>
        <w:tc>
          <w:tcPr>
            <w:tcW w:w="136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2"/>
              <w:ind w:left="21" w:right="71"/>
              <w:jc w:val="left"/>
              <w:rPr>
                <w:rFonts w:ascii="宋体" w:hAnsi="宋体" w:cs="宋体" w:eastAsia="宋体" w:hint="default"/>
                <w:sz w:val="18"/>
                <w:szCs w:val="18"/>
              </w:rPr>
            </w:pPr>
            <w:r>
              <w:rPr>
                <w:rFonts w:ascii="宋体" w:hAnsi="宋体" w:cs="宋体" w:eastAsia="宋体" w:hint="default"/>
                <w:sz w:val="18"/>
                <w:szCs w:val="18"/>
              </w:rPr>
              <w:t>副总经理、董事 会秘书</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38</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152.51</w:t>
            </w:r>
          </w:p>
        </w:tc>
        <w:tc>
          <w:tcPr>
            <w:tcW w:w="13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7" w:hRule="exact"/>
        </w:trPr>
        <w:tc>
          <w:tcPr>
            <w:tcW w:w="1369"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44"/>
              <w:ind w:right="4"/>
              <w:jc w:val="center"/>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84"/>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84"/>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84"/>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6" w:space="0" w:color="000000"/>
              <w:left w:val="single" w:sz="6" w:space="0" w:color="000000"/>
              <w:bottom w:val="single" w:sz="12" w:space="0" w:color="000000"/>
              <w:right w:val="single" w:sz="6" w:space="0" w:color="000000"/>
            </w:tcBorders>
            <w:shd w:val="clear" w:color="auto" w:fill="D2D2D2"/>
          </w:tcPr>
          <w:p>
            <w:pPr>
              <w:pStyle w:val="TableParagraph"/>
              <w:spacing w:line="240" w:lineRule="auto" w:before="84"/>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6" w:space="0" w:color="000000"/>
              <w:left w:val="single" w:sz="14" w:space="0" w:color="D2D2D2"/>
              <w:bottom w:val="single" w:sz="12" w:space="0" w:color="000000"/>
              <w:right w:val="single" w:sz="14" w:space="0" w:color="D2D2D2"/>
            </w:tcBorders>
          </w:tcPr>
          <w:p>
            <w:pPr>
              <w:pStyle w:val="TableParagraph"/>
              <w:spacing w:line="240" w:lineRule="auto" w:before="84"/>
              <w:ind w:right="6"/>
              <w:jc w:val="right"/>
              <w:rPr>
                <w:rFonts w:ascii="Times New Roman" w:hAnsi="Times New Roman" w:cs="Times New Roman" w:eastAsia="Times New Roman" w:hint="default"/>
                <w:sz w:val="18"/>
                <w:szCs w:val="18"/>
              </w:rPr>
            </w:pPr>
            <w:r>
              <w:rPr>
                <w:rFonts w:ascii="Times New Roman"/>
                <w:sz w:val="18"/>
              </w:rPr>
              <w:t>582.51</w:t>
            </w:r>
          </w:p>
        </w:tc>
        <w:tc>
          <w:tcPr>
            <w:tcW w:w="1366" w:type="dxa"/>
            <w:tcBorders>
              <w:top w:val="single" w:sz="6" w:space="0" w:color="000000"/>
              <w:left w:val="single" w:sz="6" w:space="0" w:color="000000"/>
              <w:bottom w:val="single" w:sz="12" w:space="0" w:color="000000"/>
              <w:right w:val="single" w:sz="12" w:space="0" w:color="000000"/>
            </w:tcBorders>
            <w:shd w:val="clear" w:color="auto" w:fill="D2D2D2"/>
          </w:tcPr>
          <w:p>
            <w:pPr>
              <w:pStyle w:val="TableParagraph"/>
              <w:spacing w:line="240" w:lineRule="auto" w:before="84"/>
              <w:ind w:left="9"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877" w:footer="979" w:top="1060" w:bottom="1160" w:left="0" w:right="0"/>
        </w:sectPr>
      </w:pPr>
    </w:p>
    <w:p>
      <w:pPr>
        <w:spacing w:before="51"/>
        <w:ind w:left="1134" w:right="-20" w:firstLine="0"/>
        <w:jc w:val="left"/>
        <w:rPr>
          <w:rFonts w:ascii="宋体" w:hAnsi="宋体" w:cs="宋体" w:eastAsia="宋体" w:hint="default"/>
          <w:sz w:val="18"/>
          <w:szCs w:val="18"/>
        </w:rPr>
      </w:pPr>
      <w:r>
        <w:rPr>
          <w:rFonts w:ascii="宋体" w:hAnsi="宋体" w:cs="宋体" w:eastAsia="宋体" w:hint="default"/>
          <w:sz w:val="18"/>
          <w:szCs w:val="18"/>
        </w:rPr>
        <w:t>公司董事、高级管理人员报告期内被授予的股权激励情况</w:t>
      </w:r>
    </w:p>
    <w:p>
      <w:pPr>
        <w:spacing w:before="116"/>
        <w:ind w:left="113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单位：股</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5635" w:space="3285"/>
            <w:col w:w="2990"/>
          </w:cols>
        </w:sectPr>
      </w:pPr>
    </w:p>
    <w:p>
      <w:pPr>
        <w:spacing w:line="240" w:lineRule="auto" w:before="13"/>
        <w:rPr>
          <w:rFonts w:ascii="宋体" w:hAnsi="宋体" w:cs="宋体" w:eastAsia="宋体" w:hint="default"/>
          <w:sz w:val="7"/>
          <w:szCs w:val="7"/>
        </w:rPr>
      </w:pPr>
    </w:p>
    <w:tbl>
      <w:tblPr>
        <w:tblW w:w="0" w:type="auto"/>
        <w:jc w:val="left"/>
        <w:tblInd w:w="1155" w:type="dxa"/>
        <w:tblLayout w:type="fixed"/>
        <w:tblCellMar>
          <w:top w:w="0" w:type="dxa"/>
          <w:left w:w="0" w:type="dxa"/>
          <w:bottom w:w="0" w:type="dxa"/>
          <w:right w:w="0" w:type="dxa"/>
        </w:tblCellMar>
        <w:tblLook w:val="01E0"/>
      </w:tblPr>
      <w:tblGrid>
        <w:gridCol w:w="866"/>
        <w:gridCol w:w="870"/>
        <w:gridCol w:w="869"/>
        <w:gridCol w:w="869"/>
        <w:gridCol w:w="870"/>
        <w:gridCol w:w="870"/>
        <w:gridCol w:w="870"/>
        <w:gridCol w:w="870"/>
        <w:gridCol w:w="870"/>
        <w:gridCol w:w="870"/>
        <w:gridCol w:w="869"/>
      </w:tblGrid>
      <w:tr>
        <w:trPr>
          <w:trHeight w:val="1351" w:hRule="exact"/>
        </w:trPr>
        <w:tc>
          <w:tcPr>
            <w:tcW w:w="866"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7"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87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86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6" w:right="66"/>
              <w:jc w:val="center"/>
              <w:rPr>
                <w:rFonts w:ascii="宋体" w:hAnsi="宋体" w:cs="宋体" w:eastAsia="宋体" w:hint="default"/>
                <w:sz w:val="18"/>
                <w:szCs w:val="18"/>
              </w:rPr>
            </w:pPr>
            <w:r>
              <w:rPr>
                <w:rFonts w:ascii="宋体" w:hAnsi="宋体" w:cs="宋体" w:eastAsia="宋体" w:hint="default"/>
                <w:sz w:val="18"/>
                <w:szCs w:val="18"/>
              </w:rPr>
              <w:t>报告期内 可行权股 数</w:t>
            </w:r>
          </w:p>
        </w:tc>
        <w:tc>
          <w:tcPr>
            <w:tcW w:w="869"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6" w:right="66"/>
              <w:jc w:val="center"/>
              <w:rPr>
                <w:rFonts w:ascii="宋体" w:hAnsi="宋体" w:cs="宋体" w:eastAsia="宋体" w:hint="default"/>
                <w:sz w:val="18"/>
                <w:szCs w:val="18"/>
              </w:rPr>
            </w:pPr>
            <w:r>
              <w:rPr>
                <w:rFonts w:ascii="宋体" w:hAnsi="宋体" w:cs="宋体" w:eastAsia="宋体" w:hint="default"/>
                <w:sz w:val="18"/>
                <w:szCs w:val="18"/>
              </w:rPr>
              <w:t>报告期内 已行权股 数</w:t>
            </w:r>
          </w:p>
        </w:tc>
        <w:tc>
          <w:tcPr>
            <w:tcW w:w="87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20" w:right="66" w:firstLine="46"/>
              <w:jc w:val="both"/>
              <w:rPr>
                <w:rFonts w:ascii="宋体" w:hAnsi="宋体" w:cs="宋体" w:eastAsia="宋体" w:hint="default"/>
                <w:sz w:val="18"/>
                <w:szCs w:val="18"/>
              </w:rPr>
            </w:pPr>
            <w:r>
              <w:rPr>
                <w:rFonts w:ascii="宋体" w:hAnsi="宋体" w:cs="宋体" w:eastAsia="宋体" w:hint="default"/>
                <w:sz w:val="18"/>
                <w:szCs w:val="18"/>
              </w:rPr>
              <w:t>报告期内 已行权股 数行权价 </w:t>
            </w:r>
            <w:r>
              <w:rPr>
                <w:rFonts w:ascii="宋体" w:hAnsi="宋体" w:cs="宋体" w:eastAsia="宋体" w:hint="default"/>
                <w:spacing w:val="-10"/>
                <w:sz w:val="18"/>
                <w:szCs w:val="18"/>
              </w:rPr>
              <w:t>格（元</w:t>
            </w:r>
            <w:r>
              <w:rPr>
                <w:rFonts w:ascii="Times New Roman" w:hAnsi="Times New Roman" w:cs="Times New Roman" w:eastAsia="Times New Roman" w:hint="default"/>
                <w:spacing w:val="-10"/>
                <w:sz w:val="18"/>
                <w:szCs w:val="18"/>
              </w:rPr>
              <w:t>/</w:t>
            </w:r>
            <w:r>
              <w:rPr>
                <w:rFonts w:ascii="宋体" w:hAnsi="宋体" w:cs="宋体" w:eastAsia="宋体" w:hint="default"/>
                <w:spacing w:val="-10"/>
                <w:sz w:val="18"/>
                <w:szCs w:val="18"/>
              </w:rPr>
              <w:t>股</w:t>
            </w:r>
          </w:p>
        </w:tc>
        <w:tc>
          <w:tcPr>
            <w:tcW w:w="87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1" w:right="41"/>
              <w:jc w:val="center"/>
              <w:rPr>
                <w:rFonts w:ascii="Times New Roman" w:hAnsi="Times New Roman" w:cs="Times New Roman" w:eastAsia="Times New Roman" w:hint="default"/>
                <w:sz w:val="18"/>
                <w:szCs w:val="18"/>
              </w:rPr>
            </w:pPr>
            <w:r>
              <w:rPr>
                <w:rFonts w:ascii="宋体" w:hAnsi="宋体" w:cs="宋体" w:eastAsia="宋体" w:hint="default"/>
                <w:sz w:val="18"/>
                <w:szCs w:val="18"/>
              </w:rPr>
              <w:t>报告期末 市价（元</w:t>
            </w:r>
            <w:r>
              <w:rPr>
                <w:rFonts w:ascii="Times New Roman" w:hAnsi="Times New Roman" w:cs="Times New Roman" w:eastAsia="Times New Roman" w:hint="default"/>
                <w:sz w:val="18"/>
                <w:szCs w:val="18"/>
              </w:rPr>
              <w:t>/</w:t>
            </w:r>
          </w:p>
          <w:p>
            <w:pPr>
              <w:pStyle w:val="TableParagraph"/>
              <w:spacing w:line="196" w:lineRule="exact"/>
              <w:ind w:right="1"/>
              <w:jc w:val="center"/>
              <w:rPr>
                <w:rFonts w:ascii="宋体" w:hAnsi="宋体" w:cs="宋体" w:eastAsia="宋体" w:hint="default"/>
                <w:sz w:val="18"/>
                <w:szCs w:val="18"/>
              </w:rPr>
            </w:pPr>
            <w:r>
              <w:rPr>
                <w:rFonts w:ascii="宋体" w:hAnsi="宋体" w:cs="宋体" w:eastAsia="宋体" w:hint="default"/>
                <w:sz w:val="18"/>
                <w:szCs w:val="18"/>
              </w:rPr>
              <w:t>股）</w:t>
            </w:r>
          </w:p>
          <w:p>
            <w:pPr>
              <w:pStyle w:val="TableParagraph"/>
              <w:spacing w:line="196" w:lineRule="exact"/>
              <w:ind w:left="-125" w:right="0"/>
              <w:jc w:val="left"/>
              <w:rPr>
                <w:rFonts w:ascii="宋体" w:hAnsi="宋体" w:cs="宋体" w:eastAsia="宋体" w:hint="default"/>
                <w:sz w:val="18"/>
                <w:szCs w:val="18"/>
              </w:rPr>
            </w:pPr>
            <w:r>
              <w:rPr>
                <w:rFonts w:ascii="宋体" w:hAnsi="宋体" w:cs="宋体" w:eastAsia="宋体" w:hint="default"/>
                <w:sz w:val="18"/>
                <w:szCs w:val="18"/>
              </w:rPr>
              <w:t>）</w:t>
            </w:r>
          </w:p>
        </w:tc>
        <w:tc>
          <w:tcPr>
            <w:tcW w:w="87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7" w:right="66"/>
              <w:jc w:val="both"/>
              <w:rPr>
                <w:rFonts w:ascii="宋体" w:hAnsi="宋体" w:cs="宋体" w:eastAsia="宋体" w:hint="default"/>
                <w:sz w:val="18"/>
                <w:szCs w:val="18"/>
              </w:rPr>
            </w:pPr>
            <w:r>
              <w:rPr>
                <w:rFonts w:ascii="宋体" w:hAnsi="宋体" w:cs="宋体" w:eastAsia="宋体" w:hint="default"/>
                <w:sz w:val="18"/>
                <w:szCs w:val="18"/>
              </w:rPr>
              <w:t>期初持有 限制性股 票数量</w:t>
            </w:r>
          </w:p>
        </w:tc>
        <w:tc>
          <w:tcPr>
            <w:tcW w:w="87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7" w:right="66"/>
              <w:jc w:val="center"/>
              <w:rPr>
                <w:rFonts w:ascii="宋体" w:hAnsi="宋体" w:cs="宋体" w:eastAsia="宋体" w:hint="default"/>
                <w:sz w:val="18"/>
                <w:szCs w:val="18"/>
              </w:rPr>
            </w:pPr>
            <w:r>
              <w:rPr>
                <w:rFonts w:ascii="宋体" w:hAnsi="宋体" w:cs="宋体" w:eastAsia="宋体" w:hint="default"/>
                <w:sz w:val="18"/>
                <w:szCs w:val="18"/>
              </w:rPr>
              <w:t>本期已解 锁股份数 量</w:t>
            </w:r>
          </w:p>
        </w:tc>
        <w:tc>
          <w:tcPr>
            <w:tcW w:w="87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67" w:right="66"/>
              <w:jc w:val="center"/>
              <w:rPr>
                <w:rFonts w:ascii="宋体" w:hAnsi="宋体" w:cs="宋体" w:eastAsia="宋体" w:hint="default"/>
                <w:sz w:val="18"/>
                <w:szCs w:val="18"/>
              </w:rPr>
            </w:pPr>
            <w:r>
              <w:rPr>
                <w:rFonts w:ascii="宋体" w:hAnsi="宋体" w:cs="宋体" w:eastAsia="宋体" w:hint="default"/>
                <w:sz w:val="18"/>
                <w:szCs w:val="18"/>
              </w:rPr>
              <w:t>报告期新 授予限制 性股票数 量</w:t>
            </w:r>
          </w:p>
        </w:tc>
        <w:tc>
          <w:tcPr>
            <w:tcW w:w="870"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2" w:lineRule="auto" w:before="51"/>
              <w:ind w:left="42" w:right="41"/>
              <w:jc w:val="center"/>
              <w:rPr>
                <w:rFonts w:ascii="宋体" w:hAnsi="宋体" w:cs="宋体" w:eastAsia="宋体" w:hint="default"/>
                <w:sz w:val="18"/>
                <w:szCs w:val="18"/>
              </w:rPr>
            </w:pPr>
            <w:r>
              <w:rPr>
                <w:rFonts w:ascii="宋体" w:hAnsi="宋体" w:cs="宋体" w:eastAsia="宋体" w:hint="default"/>
                <w:sz w:val="18"/>
                <w:szCs w:val="18"/>
              </w:rPr>
              <w:t>限制性股 票的授予 价格（元</w:t>
            </w:r>
            <w:r>
              <w:rPr>
                <w:rFonts w:ascii="Times New Roman" w:hAnsi="Times New Roman" w:cs="Times New Roman" w:eastAsia="Times New Roman" w:hint="default"/>
                <w:sz w:val="18"/>
                <w:szCs w:val="18"/>
              </w:rPr>
              <w:t>/ </w:t>
            </w:r>
            <w:r>
              <w:rPr>
                <w:rFonts w:ascii="宋体" w:hAnsi="宋体" w:cs="宋体" w:eastAsia="宋体" w:hint="default"/>
                <w:sz w:val="18"/>
                <w:szCs w:val="18"/>
              </w:rPr>
              <w:t>股）</w:t>
            </w:r>
          </w:p>
        </w:tc>
        <w:tc>
          <w:tcPr>
            <w:tcW w:w="869"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7" w:right="59"/>
              <w:jc w:val="both"/>
              <w:rPr>
                <w:rFonts w:ascii="宋体" w:hAnsi="宋体" w:cs="宋体" w:eastAsia="宋体" w:hint="default"/>
                <w:sz w:val="18"/>
                <w:szCs w:val="18"/>
              </w:rPr>
            </w:pPr>
            <w:r>
              <w:rPr>
                <w:rFonts w:ascii="宋体" w:hAnsi="宋体" w:cs="宋体" w:eastAsia="宋体" w:hint="default"/>
                <w:sz w:val="18"/>
                <w:szCs w:val="18"/>
              </w:rPr>
              <w:t>期末持有 限制性股 票数量</w:t>
            </w:r>
          </w:p>
        </w:tc>
      </w:tr>
      <w:tr>
        <w:trPr>
          <w:trHeight w:val="407" w:hRule="exact"/>
        </w:trPr>
        <w:tc>
          <w:tcPr>
            <w:tcW w:w="86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陈芳</w:t>
            </w: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2"/>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100" w:right="0"/>
              <w:jc w:val="center"/>
              <w:rPr>
                <w:rFonts w:ascii="Times New Roman" w:hAnsi="Times New Roman" w:cs="Times New Roman" w:eastAsia="Times New Roman" w:hint="default"/>
                <w:sz w:val="18"/>
                <w:szCs w:val="18"/>
              </w:rPr>
            </w:pPr>
            <w:r>
              <w:rPr>
                <w:rFonts w:ascii="Times New Roman"/>
                <w:sz w:val="18"/>
              </w:rPr>
              <w:t>9,811,188</w:t>
            </w: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92" w:right="0"/>
              <w:jc w:val="center"/>
              <w:rPr>
                <w:rFonts w:ascii="Times New Roman" w:hAnsi="Times New Roman" w:cs="Times New Roman" w:eastAsia="Times New Roman" w:hint="default"/>
                <w:sz w:val="18"/>
                <w:szCs w:val="18"/>
              </w:rPr>
            </w:pPr>
            <w:r>
              <w:rPr>
                <w:rFonts w:ascii="Times New Roman"/>
                <w:sz w:val="18"/>
              </w:rPr>
              <w:t>2,452,796</w:t>
            </w: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519" w:right="0"/>
              <w:jc w:val="left"/>
              <w:rPr>
                <w:rFonts w:ascii="Times New Roman" w:hAnsi="Times New Roman" w:cs="Times New Roman" w:eastAsia="Times New Roman" w:hint="default"/>
                <w:sz w:val="18"/>
                <w:szCs w:val="18"/>
              </w:rPr>
            </w:pPr>
            <w:r>
              <w:rPr>
                <w:rFonts w:ascii="Times New Roman"/>
                <w:sz w:val="18"/>
              </w:rPr>
              <w:t>9.35</w:t>
            </w:r>
          </w:p>
        </w:tc>
        <w:tc>
          <w:tcPr>
            <w:tcW w:w="8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z w:val="18"/>
              </w:rPr>
              <w:t>4,905,596</w:t>
            </w:r>
          </w:p>
        </w:tc>
      </w:tr>
      <w:tr>
        <w:trPr>
          <w:trHeight w:val="406" w:hRule="exact"/>
        </w:trPr>
        <w:tc>
          <w:tcPr>
            <w:tcW w:w="86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0"/>
              <w:ind w:left="1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0"/>
              <w:ind w:right="1"/>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6" w:space="0" w:color="000000"/>
              <w:left w:val="single" w:sz="9" w:space="0" w:color="D2D2D2"/>
              <w:bottom w:val="single" w:sz="6" w:space="0" w:color="000000"/>
              <w:right w:val="single" w:sz="6" w:space="0" w:color="000000"/>
            </w:tcBorders>
          </w:tcPr>
          <w:p>
            <w:pPr>
              <w:pStyle w:val="TableParagraph"/>
              <w:spacing w:line="240" w:lineRule="auto" w:before="90"/>
              <w:ind w:right="19"/>
              <w:jc w:val="right"/>
              <w:rPr>
                <w:rFonts w:ascii="Times New Roman" w:hAnsi="Times New Roman" w:cs="Times New Roman" w:eastAsia="Times New Roman" w:hint="default"/>
                <w:sz w:val="18"/>
                <w:szCs w:val="18"/>
              </w:rPr>
            </w:pPr>
            <w:r>
              <w:rPr>
                <w:rFonts w:ascii="Times New Roman"/>
                <w:sz w:val="18"/>
              </w:rPr>
              <w:t>0</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19"/>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0"/>
              <w:ind w:right="0"/>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0"/>
              <w:ind w:right="1"/>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100" w:right="0"/>
              <w:jc w:val="center"/>
              <w:rPr>
                <w:rFonts w:ascii="Times New Roman" w:hAnsi="Times New Roman" w:cs="Times New Roman" w:eastAsia="Times New Roman" w:hint="default"/>
                <w:sz w:val="18"/>
                <w:szCs w:val="18"/>
              </w:rPr>
            </w:pPr>
            <w:r>
              <w:rPr>
                <w:rFonts w:ascii="Times New Roman"/>
                <w:sz w:val="18"/>
              </w:rPr>
              <w:t>9,811,188</w:t>
            </w: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92" w:right="0"/>
              <w:jc w:val="center"/>
              <w:rPr>
                <w:rFonts w:ascii="Times New Roman" w:hAnsi="Times New Roman" w:cs="Times New Roman" w:eastAsia="Times New Roman" w:hint="default"/>
                <w:sz w:val="18"/>
                <w:szCs w:val="18"/>
              </w:rPr>
            </w:pPr>
            <w:r>
              <w:rPr>
                <w:rFonts w:ascii="Times New Roman"/>
                <w:sz w:val="18"/>
              </w:rPr>
              <w:t>2,452,796</w:t>
            </w: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19"/>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90"/>
              <w:ind w:right="1"/>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0"/>
              <w:ind w:right="10"/>
              <w:jc w:val="right"/>
              <w:rPr>
                <w:rFonts w:ascii="Times New Roman" w:hAnsi="Times New Roman" w:cs="Times New Roman" w:eastAsia="Times New Roman" w:hint="default"/>
                <w:sz w:val="18"/>
                <w:szCs w:val="18"/>
              </w:rPr>
            </w:pPr>
            <w:r>
              <w:rPr>
                <w:rFonts w:ascii="Times New Roman"/>
                <w:sz w:val="18"/>
              </w:rPr>
              <w:t>4,905,596</w:t>
            </w:r>
          </w:p>
        </w:tc>
      </w:tr>
      <w:tr>
        <w:trPr>
          <w:trHeight w:val="727" w:hRule="exact"/>
        </w:trPr>
        <w:tc>
          <w:tcPr>
            <w:tcW w:w="866"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316" w:lineRule="auto" w:before="53"/>
              <w:ind w:left="13" w:right="108"/>
              <w:jc w:val="left"/>
              <w:rPr>
                <w:rFonts w:ascii="宋体" w:hAnsi="宋体" w:cs="宋体" w:eastAsia="宋体" w:hint="default"/>
                <w:sz w:val="18"/>
                <w:szCs w:val="18"/>
              </w:rPr>
            </w:pPr>
            <w:r>
              <w:rPr>
                <w:rFonts w:ascii="宋体" w:hAnsi="宋体" w:cs="宋体" w:eastAsia="宋体" w:hint="default"/>
                <w:sz w:val="18"/>
                <w:szCs w:val="18"/>
              </w:rPr>
              <w:t>备注（如 有）</w:t>
            </w:r>
          </w:p>
        </w:tc>
        <w:tc>
          <w:tcPr>
            <w:tcW w:w="8698" w:type="dxa"/>
            <w:gridSpan w:val="10"/>
            <w:tcBorders>
              <w:top w:val="single" w:sz="6" w:space="0" w:color="000000"/>
              <w:left w:val="single" w:sz="14" w:space="0" w:color="D2D2D2"/>
              <w:bottom w:val="single" w:sz="12" w:space="0" w:color="000000"/>
              <w:right w:val="single" w:sz="12" w:space="0" w:color="000000"/>
            </w:tcBorders>
          </w:tcPr>
          <w:p>
            <w:pPr>
              <w:pStyle w:val="TableParagraph"/>
              <w:spacing w:line="240" w:lineRule="auto" w:before="53"/>
              <w:ind w:left="9" w:right="0"/>
              <w:jc w:val="left"/>
              <w:rPr>
                <w:rFonts w:ascii="宋体" w:hAnsi="宋体" w:cs="宋体" w:eastAsia="宋体" w:hint="default"/>
                <w:sz w:val="18"/>
                <w:szCs w:val="18"/>
              </w:rPr>
            </w:pPr>
            <w:r>
              <w:rPr>
                <w:rFonts w:ascii="宋体" w:hAnsi="宋体" w:cs="宋体" w:eastAsia="宋体" w:hint="default"/>
                <w:sz w:val="18"/>
                <w:szCs w:val="18"/>
              </w:rPr>
              <w:t>公司高级管理人员陈芳期初持有限制性股票</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9,811,188</w:t>
            </w:r>
            <w:r>
              <w:rPr>
                <w:rFonts w:ascii="Times New Roman" w:hAnsi="Times New Roman" w:cs="Times New Roman" w:eastAsia="Times New Roman" w:hint="default"/>
                <w:spacing w:val="4"/>
                <w:sz w:val="18"/>
                <w:szCs w:val="18"/>
              </w:rPr>
              <w:t> </w:t>
            </w:r>
            <w:r>
              <w:rPr>
                <w:rFonts w:ascii="宋体" w:hAnsi="宋体" w:cs="宋体" w:eastAsia="宋体" w:hint="default"/>
                <w:spacing w:val="-4"/>
                <w:sz w:val="18"/>
                <w:szCs w:val="18"/>
              </w:rPr>
              <w:t>股，报告期内，因未达到解锁条件注销第一期限制性股票</w:t>
            </w:r>
          </w:p>
          <w:p>
            <w:pPr>
              <w:pStyle w:val="TableParagraph"/>
              <w:spacing w:line="240" w:lineRule="auto" w:before="63"/>
              <w:ind w:left="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2,452,796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股，解锁限制性股票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2,452,796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股，所以期末持有限制性股票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4,905,596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w:t>
            </w:r>
          </w:p>
        </w:tc>
      </w:tr>
    </w:tbl>
    <w:p>
      <w:pPr>
        <w:spacing w:line="240" w:lineRule="auto" w:before="2"/>
        <w:rPr>
          <w:rFonts w:ascii="宋体" w:hAnsi="宋体" w:cs="宋体" w:eastAsia="宋体" w:hint="default"/>
          <w:sz w:val="18"/>
          <w:szCs w:val="18"/>
        </w:rPr>
      </w:pPr>
    </w:p>
    <w:p>
      <w:pPr>
        <w:pStyle w:val="Heading4"/>
        <w:spacing w:line="240" w:lineRule="auto" w:before="26"/>
        <w:ind w:left="1134" w:right="998"/>
        <w:jc w:val="left"/>
        <w:rPr>
          <w:b w:val="0"/>
          <w:bCs w:val="0"/>
        </w:rPr>
      </w:pPr>
      <w:bookmarkStart w:name="五、公司员工情况" w:id="127"/>
      <w:bookmarkEnd w:id="127"/>
      <w:r>
        <w:rPr>
          <w:b w:val="0"/>
          <w:bCs w:val="0"/>
        </w:rPr>
      </w:r>
      <w:r>
        <w:rPr/>
        <w:t>五、公司员工情况</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员工数量、专业构成及教育程度" w:id="128"/>
      <w:bookmarkEnd w:id="128"/>
      <w:r>
        <w:rPr>
          <w:b w:val="0"/>
          <w:bCs w:val="0"/>
        </w:rPr>
      </w:r>
      <w:r>
        <w:rPr>
          <w:rFonts w:ascii="Times New Roman" w:hAnsi="Times New Roman" w:cs="Times New Roman" w:eastAsia="Times New Roman" w:hint="default"/>
        </w:rPr>
        <w:t>1</w:t>
      </w:r>
      <w:r>
        <w:rPr/>
        <w:t>、员工数量、专业构成及教育程度</w:t>
      </w:r>
      <w:r>
        <w:rPr>
          <w:b w:val="0"/>
          <w:bCs w:val="0"/>
        </w:rPr>
      </w:r>
    </w:p>
    <w:p>
      <w:pPr>
        <w:spacing w:line="240" w:lineRule="auto" w:before="9"/>
        <w:rPr>
          <w:rFonts w:ascii="宋体" w:hAnsi="宋体" w:cs="宋体" w:eastAsia="宋体" w:hint="default"/>
          <w:b/>
          <w:bCs/>
          <w:sz w:val="25"/>
          <w:szCs w:val="25"/>
        </w:rPr>
      </w:pPr>
    </w:p>
    <w:tbl>
      <w:tblPr>
        <w:tblW w:w="0" w:type="auto"/>
        <w:jc w:val="left"/>
        <w:tblInd w:w="1159" w:type="dxa"/>
        <w:tblLayout w:type="fixed"/>
        <w:tblCellMar>
          <w:top w:w="0" w:type="dxa"/>
          <w:left w:w="0" w:type="dxa"/>
          <w:bottom w:w="0" w:type="dxa"/>
          <w:right w:w="0" w:type="dxa"/>
        </w:tblCellMar>
        <w:tblLook w:val="01E0"/>
      </w:tblPr>
      <w:tblGrid>
        <w:gridCol w:w="4768"/>
        <w:gridCol w:w="4795"/>
      </w:tblGrid>
      <w:tr>
        <w:trPr>
          <w:trHeight w:val="415" w:hRule="exact"/>
        </w:trPr>
        <w:tc>
          <w:tcPr>
            <w:tcW w:w="4768"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95" w:type="dxa"/>
            <w:tcBorders>
              <w:top w:val="single" w:sz="12" w:space="0" w:color="000000"/>
              <w:left w:val="single" w:sz="14" w:space="0" w:color="D2D2D2"/>
              <w:bottom w:val="single" w:sz="6" w:space="0" w:color="000000"/>
              <w:right w:val="single" w:sz="12" w:space="0" w:color="000000"/>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z w:val="18"/>
              </w:rPr>
              <w:t>172</w:t>
            </w:r>
          </w:p>
        </w:tc>
      </w:tr>
      <w:tr>
        <w:trPr>
          <w:trHeight w:val="407" w:hRule="exact"/>
        </w:trPr>
        <w:tc>
          <w:tcPr>
            <w:tcW w:w="4768"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9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z w:val="18"/>
              </w:rPr>
              <w:t>1,260</w:t>
            </w:r>
          </w:p>
        </w:tc>
      </w:tr>
      <w:tr>
        <w:trPr>
          <w:trHeight w:val="407" w:hRule="exact"/>
        </w:trPr>
        <w:tc>
          <w:tcPr>
            <w:tcW w:w="4768"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9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z w:val="18"/>
              </w:rPr>
              <w:t>1,432</w:t>
            </w:r>
          </w:p>
        </w:tc>
      </w:tr>
      <w:tr>
        <w:trPr>
          <w:trHeight w:val="408" w:hRule="exact"/>
        </w:trPr>
        <w:tc>
          <w:tcPr>
            <w:tcW w:w="4768"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9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z w:val="18"/>
              </w:rPr>
              <w:t>1,432</w:t>
            </w:r>
          </w:p>
        </w:tc>
      </w:tr>
      <w:tr>
        <w:trPr>
          <w:trHeight w:val="413" w:hRule="exact"/>
        </w:trPr>
        <w:tc>
          <w:tcPr>
            <w:tcW w:w="4768"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0"/>
              <w:ind w:left="6"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9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0"/>
              <w:ind w:right="11"/>
              <w:jc w:val="right"/>
              <w:rPr>
                <w:rFonts w:ascii="Times New Roman" w:hAnsi="Times New Roman" w:cs="Times New Roman" w:eastAsia="Times New Roman" w:hint="default"/>
                <w:sz w:val="18"/>
                <w:szCs w:val="18"/>
              </w:rPr>
            </w:pPr>
            <w:r>
              <w:rPr>
                <w:rFonts w:ascii="Times New Roman"/>
                <w:sz w:val="18"/>
              </w:rPr>
              <w:t>0</w:t>
            </w:r>
          </w:p>
        </w:tc>
      </w:tr>
      <w:tr>
        <w:trPr>
          <w:trHeight w:val="392" w:hRule="exact"/>
        </w:trPr>
        <w:tc>
          <w:tcPr>
            <w:tcW w:w="9563" w:type="dxa"/>
            <w:gridSpan w:val="2"/>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44"/>
              <w:ind w:right="5"/>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15" w:hRule="exact"/>
        </w:trPr>
        <w:tc>
          <w:tcPr>
            <w:tcW w:w="4768"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95"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8"/>
              <w:ind w:left="1585"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7" w:hRule="exact"/>
        </w:trPr>
        <w:tc>
          <w:tcPr>
            <w:tcW w:w="4768"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9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z w:val="18"/>
              </w:rPr>
              <w:t>0</w:t>
            </w:r>
          </w:p>
        </w:tc>
      </w:tr>
      <w:tr>
        <w:trPr>
          <w:trHeight w:val="407" w:hRule="exact"/>
        </w:trPr>
        <w:tc>
          <w:tcPr>
            <w:tcW w:w="4768"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9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2"/>
              <w:ind w:right="11"/>
              <w:jc w:val="right"/>
              <w:rPr>
                <w:rFonts w:ascii="Times New Roman" w:hAnsi="Times New Roman" w:cs="Times New Roman" w:eastAsia="Times New Roman" w:hint="default"/>
                <w:sz w:val="18"/>
                <w:szCs w:val="18"/>
              </w:rPr>
            </w:pPr>
            <w:r>
              <w:rPr>
                <w:rFonts w:ascii="Times New Roman"/>
                <w:sz w:val="18"/>
              </w:rPr>
              <w:t>251</w:t>
            </w:r>
          </w:p>
        </w:tc>
      </w:tr>
      <w:tr>
        <w:trPr>
          <w:trHeight w:val="408" w:hRule="exact"/>
        </w:trPr>
        <w:tc>
          <w:tcPr>
            <w:tcW w:w="4768"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95"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z w:val="18"/>
              </w:rPr>
              <w:t>854</w:t>
            </w:r>
          </w:p>
        </w:tc>
      </w:tr>
      <w:tr>
        <w:trPr>
          <w:trHeight w:val="414" w:hRule="exact"/>
        </w:trPr>
        <w:tc>
          <w:tcPr>
            <w:tcW w:w="4768"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0"/>
              <w:ind w:left="6"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95" w:type="dxa"/>
            <w:tcBorders>
              <w:top w:val="single" w:sz="6" w:space="0" w:color="000000"/>
              <w:left w:val="single" w:sz="14" w:space="0" w:color="D2D2D2"/>
              <w:bottom w:val="single" w:sz="12" w:space="0" w:color="000000"/>
              <w:right w:val="single" w:sz="12" w:space="0" w:color="000000"/>
            </w:tcBorders>
          </w:tcPr>
          <w:p>
            <w:pPr>
              <w:pStyle w:val="TableParagraph"/>
              <w:spacing w:line="240" w:lineRule="auto" w:before="90"/>
              <w:ind w:right="11"/>
              <w:jc w:val="right"/>
              <w:rPr>
                <w:rFonts w:ascii="Times New Roman" w:hAnsi="Times New Roman" w:cs="Times New Roman" w:eastAsia="Times New Roman" w:hint="default"/>
                <w:sz w:val="18"/>
                <w:szCs w:val="18"/>
              </w:rPr>
            </w:pPr>
            <w:r>
              <w:rPr>
                <w:rFonts w:ascii="Times New Roman"/>
                <w:sz w:val="18"/>
              </w:rPr>
              <w:t>40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0" w:right="0"/>
        </w:sectPr>
      </w:pPr>
    </w:p>
    <w:p>
      <w:pPr>
        <w:spacing w:line="240" w:lineRule="auto" w:before="6"/>
        <w:rPr>
          <w:rFonts w:ascii="宋体" w:hAnsi="宋体" w:cs="宋体" w:eastAsia="宋体" w:hint="default"/>
          <w:b/>
          <w:bCs/>
          <w:sz w:val="28"/>
          <w:szCs w:val="28"/>
        </w:rPr>
      </w:pPr>
    </w:p>
    <w:tbl>
      <w:tblPr>
        <w:tblW w:w="0" w:type="auto"/>
        <w:jc w:val="left"/>
        <w:tblInd w:w="1153" w:type="dxa"/>
        <w:tblLayout w:type="fixed"/>
        <w:tblCellMar>
          <w:top w:w="0" w:type="dxa"/>
          <w:left w:w="0" w:type="dxa"/>
          <w:bottom w:w="0" w:type="dxa"/>
          <w:right w:w="0" w:type="dxa"/>
        </w:tblCellMar>
        <w:tblLook w:val="01E0"/>
      </w:tblPr>
      <w:tblGrid>
        <w:gridCol w:w="4780"/>
        <w:gridCol w:w="4790"/>
      </w:tblGrid>
      <w:tr>
        <w:trPr>
          <w:trHeight w:val="415" w:hRule="exact"/>
        </w:trPr>
        <w:tc>
          <w:tcPr>
            <w:tcW w:w="4780"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90" w:type="dxa"/>
            <w:tcBorders>
              <w:top w:val="single" w:sz="12" w:space="0" w:color="000000"/>
              <w:left w:val="single" w:sz="14" w:space="0" w:color="D2D2D2"/>
              <w:bottom w:val="single" w:sz="6" w:space="0" w:color="000000"/>
              <w:right w:val="single" w:sz="12" w:space="0" w:color="000000"/>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z w:val="18"/>
              </w:rPr>
              <w:t>287</w:t>
            </w:r>
          </w:p>
        </w:tc>
      </w:tr>
      <w:tr>
        <w:trPr>
          <w:trHeight w:val="413" w:hRule="exact"/>
        </w:trPr>
        <w:tc>
          <w:tcPr>
            <w:tcW w:w="478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0"/>
              <w:ind w:left="1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0" w:type="dxa"/>
            <w:tcBorders>
              <w:top w:val="single" w:sz="6" w:space="0" w:color="000000"/>
              <w:left w:val="single" w:sz="14" w:space="0" w:color="D2D2D2"/>
              <w:bottom w:val="single" w:sz="6" w:space="0" w:color="000000"/>
              <w:right w:val="single" w:sz="12" w:space="0" w:color="000000"/>
            </w:tcBorders>
          </w:tcPr>
          <w:p>
            <w:pPr>
              <w:pStyle w:val="TableParagraph"/>
              <w:spacing w:line="240" w:lineRule="auto" w:before="90"/>
              <w:ind w:right="10"/>
              <w:jc w:val="right"/>
              <w:rPr>
                <w:rFonts w:ascii="Times New Roman" w:hAnsi="Times New Roman" w:cs="Times New Roman" w:eastAsia="Times New Roman" w:hint="default"/>
                <w:sz w:val="18"/>
                <w:szCs w:val="18"/>
              </w:rPr>
            </w:pPr>
            <w:r>
              <w:rPr>
                <w:rFonts w:ascii="Times New Roman"/>
                <w:sz w:val="18"/>
              </w:rPr>
              <w:t>1,432</w:t>
            </w:r>
          </w:p>
        </w:tc>
      </w:tr>
      <w:tr>
        <w:trPr>
          <w:trHeight w:val="392" w:hRule="exact"/>
        </w:trPr>
        <w:tc>
          <w:tcPr>
            <w:tcW w:w="9570" w:type="dxa"/>
            <w:gridSpan w:val="2"/>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14" w:hRule="exact"/>
        </w:trPr>
        <w:tc>
          <w:tcPr>
            <w:tcW w:w="478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9"/>
              <w:ind w:left="13"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90"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9"/>
              <w:ind w:left="25"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7" w:hRule="exact"/>
        </w:trPr>
        <w:tc>
          <w:tcPr>
            <w:tcW w:w="478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硕士及以上</w:t>
            </w:r>
          </w:p>
        </w:tc>
        <w:tc>
          <w:tcPr>
            <w:tcW w:w="4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11"/>
              <w:jc w:val="right"/>
              <w:rPr>
                <w:rFonts w:ascii="Times New Roman" w:hAnsi="Times New Roman" w:cs="Times New Roman" w:eastAsia="Times New Roman" w:hint="default"/>
                <w:sz w:val="18"/>
                <w:szCs w:val="18"/>
              </w:rPr>
            </w:pPr>
            <w:r>
              <w:rPr>
                <w:rFonts w:ascii="Times New Roman"/>
                <w:sz w:val="18"/>
              </w:rPr>
              <w:t>132</w:t>
            </w:r>
          </w:p>
        </w:tc>
      </w:tr>
      <w:tr>
        <w:trPr>
          <w:trHeight w:val="407" w:hRule="exact"/>
        </w:trPr>
        <w:tc>
          <w:tcPr>
            <w:tcW w:w="478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4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11"/>
              <w:jc w:val="right"/>
              <w:rPr>
                <w:rFonts w:ascii="Times New Roman" w:hAnsi="Times New Roman" w:cs="Times New Roman" w:eastAsia="Times New Roman" w:hint="default"/>
                <w:sz w:val="18"/>
                <w:szCs w:val="18"/>
              </w:rPr>
            </w:pPr>
            <w:r>
              <w:rPr>
                <w:rFonts w:ascii="Times New Roman"/>
                <w:sz w:val="18"/>
              </w:rPr>
              <w:t>893</w:t>
            </w:r>
          </w:p>
        </w:tc>
      </w:tr>
      <w:tr>
        <w:trPr>
          <w:trHeight w:val="409" w:hRule="exact"/>
        </w:trPr>
        <w:tc>
          <w:tcPr>
            <w:tcW w:w="478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大专以以下</w:t>
            </w:r>
          </w:p>
        </w:tc>
        <w:tc>
          <w:tcPr>
            <w:tcW w:w="4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11"/>
              <w:jc w:val="right"/>
              <w:rPr>
                <w:rFonts w:ascii="Times New Roman" w:hAnsi="Times New Roman" w:cs="Times New Roman" w:eastAsia="Times New Roman" w:hint="default"/>
                <w:sz w:val="18"/>
                <w:szCs w:val="18"/>
              </w:rPr>
            </w:pPr>
            <w:r>
              <w:rPr>
                <w:rFonts w:ascii="Times New Roman"/>
                <w:sz w:val="18"/>
              </w:rPr>
              <w:t>407</w:t>
            </w:r>
          </w:p>
        </w:tc>
      </w:tr>
      <w:tr>
        <w:trPr>
          <w:trHeight w:val="414" w:hRule="exact"/>
        </w:trPr>
        <w:tc>
          <w:tcPr>
            <w:tcW w:w="4780"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0"/>
              <w:ind w:left="1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0"/>
              <w:ind w:right="10"/>
              <w:jc w:val="right"/>
              <w:rPr>
                <w:rFonts w:ascii="Times New Roman" w:hAnsi="Times New Roman" w:cs="Times New Roman" w:eastAsia="Times New Roman" w:hint="default"/>
                <w:sz w:val="18"/>
                <w:szCs w:val="18"/>
              </w:rPr>
            </w:pPr>
            <w:r>
              <w:rPr>
                <w:rFonts w:ascii="Times New Roman"/>
                <w:sz w:val="18"/>
              </w:rPr>
              <w:t>1,432</w:t>
            </w:r>
          </w:p>
        </w:tc>
      </w:tr>
    </w:tbl>
    <w:p>
      <w:pPr>
        <w:spacing w:line="240" w:lineRule="auto" w:before="2"/>
        <w:rPr>
          <w:rFonts w:ascii="宋体" w:hAnsi="宋体" w:cs="宋体" w:eastAsia="宋体" w:hint="default"/>
          <w:b/>
          <w:bCs/>
          <w:sz w:val="19"/>
          <w:szCs w:val="19"/>
        </w:rPr>
      </w:pPr>
    </w:p>
    <w:p>
      <w:pPr>
        <w:pStyle w:val="Heading6"/>
        <w:spacing w:line="240" w:lineRule="auto" w:before="35"/>
        <w:ind w:right="998"/>
        <w:jc w:val="left"/>
        <w:rPr>
          <w:b w:val="0"/>
          <w:bCs w:val="0"/>
        </w:rPr>
      </w:pPr>
      <w:bookmarkStart w:name="2、薪酬政策" w:id="129"/>
      <w:bookmarkEnd w:id="129"/>
      <w:r>
        <w:rPr>
          <w:b w:val="0"/>
          <w:bCs w:val="0"/>
        </w:rPr>
      </w:r>
      <w:r>
        <w:rPr>
          <w:rFonts w:ascii="Times New Roman" w:hAnsi="Times New Roman" w:cs="Times New Roman" w:eastAsia="Times New Roman" w:hint="default"/>
        </w:rPr>
        <w:t>2</w:t>
      </w:r>
      <w:r>
        <w:rPr/>
        <w:t>、薪酬政策</w:t>
      </w:r>
      <w:r>
        <w:rPr>
          <w:b w:val="0"/>
          <w:bCs w:val="0"/>
        </w:rPr>
      </w:r>
    </w:p>
    <w:p>
      <w:pPr>
        <w:spacing w:line="240" w:lineRule="auto" w:before="7"/>
        <w:rPr>
          <w:rFonts w:ascii="宋体" w:hAnsi="宋体" w:cs="宋体" w:eastAsia="宋体" w:hint="default"/>
          <w:b/>
          <w:bCs/>
          <w:sz w:val="30"/>
          <w:szCs w:val="30"/>
        </w:rPr>
      </w:pPr>
    </w:p>
    <w:p>
      <w:pPr>
        <w:pStyle w:val="BodyText"/>
        <w:spacing w:line="408" w:lineRule="auto"/>
        <w:ind w:left="1134" w:right="1133" w:firstLine="420"/>
        <w:jc w:val="both"/>
      </w:pPr>
      <w:r>
        <w:rPr>
          <w:spacing w:val="-1"/>
        </w:rPr>
        <w:t>本公司采用劳动合同制，按照《中华人民共和国劳动合同法》和国家及地方其他有关劳动法律、法规</w:t>
      </w:r>
      <w:r>
        <w:rPr/>
        <w:t> </w:t>
      </w:r>
      <w:r>
        <w:rPr>
          <w:spacing w:val="-1"/>
        </w:rPr>
        <w:t>的规定，与员工签订劳动合同。公司严格执行国家用工制度、劳动保护制度、社会保障制度和医疗保障制</w:t>
      </w:r>
      <w:r>
        <w:rPr>
          <w:spacing w:val="-86"/>
        </w:rPr>
        <w:t> </w:t>
      </w:r>
      <w:r>
        <w:rPr>
          <w:spacing w:val="-86"/>
        </w:rPr>
      </w:r>
      <w:r>
        <w:rPr/>
        <w:t>度，按照国家规定为员工缴纳社会保险、医疗保险。</w:t>
      </w:r>
    </w:p>
    <w:p>
      <w:pPr>
        <w:spacing w:line="240" w:lineRule="auto" w:before="8"/>
        <w:rPr>
          <w:rFonts w:ascii="宋体" w:hAnsi="宋体" w:cs="宋体" w:eastAsia="宋体" w:hint="default"/>
          <w:sz w:val="20"/>
          <w:szCs w:val="20"/>
        </w:rPr>
      </w:pPr>
    </w:p>
    <w:p>
      <w:pPr>
        <w:pStyle w:val="Heading6"/>
        <w:spacing w:line="240" w:lineRule="auto"/>
        <w:ind w:right="998"/>
        <w:jc w:val="left"/>
        <w:rPr>
          <w:b w:val="0"/>
          <w:bCs w:val="0"/>
        </w:rPr>
      </w:pPr>
      <w:bookmarkStart w:name="3、培训计划" w:id="130"/>
      <w:bookmarkEnd w:id="130"/>
      <w:r>
        <w:rPr>
          <w:b w:val="0"/>
          <w:bCs w:val="0"/>
        </w:rPr>
      </w:r>
      <w:r>
        <w:rPr>
          <w:rFonts w:ascii="Times New Roman" w:hAnsi="Times New Roman" w:cs="Times New Roman" w:eastAsia="Times New Roman" w:hint="default"/>
        </w:rPr>
        <w:t>3</w:t>
      </w:r>
      <w:r>
        <w:rPr/>
        <w:t>、培训计划</w:t>
      </w:r>
      <w:r>
        <w:rPr>
          <w:b w:val="0"/>
          <w:bCs w:val="0"/>
        </w:rPr>
      </w:r>
    </w:p>
    <w:p>
      <w:pPr>
        <w:spacing w:line="240" w:lineRule="auto" w:before="7"/>
        <w:rPr>
          <w:rFonts w:ascii="宋体" w:hAnsi="宋体" w:cs="宋体" w:eastAsia="宋体" w:hint="default"/>
          <w:b/>
          <w:bCs/>
          <w:sz w:val="30"/>
          <w:szCs w:val="30"/>
        </w:rPr>
      </w:pPr>
    </w:p>
    <w:p>
      <w:pPr>
        <w:pStyle w:val="BodyText"/>
        <w:spacing w:line="398" w:lineRule="auto"/>
        <w:ind w:left="1134" w:right="1110" w:firstLine="420"/>
        <w:jc w:val="both"/>
      </w:pPr>
      <w:r>
        <w:rPr>
          <w:rFonts w:ascii="Times New Roman" w:hAnsi="Times New Roman" w:cs="Times New Roman" w:eastAsia="Times New Roman" w:hint="default"/>
        </w:rPr>
        <w:t>2017</w:t>
      </w:r>
      <w:r>
        <w:rPr/>
        <w:t>年，公司内部组织员工开展了</w:t>
      </w:r>
      <w:r>
        <w:rPr>
          <w:rFonts w:ascii="Times New Roman" w:hAnsi="Times New Roman" w:cs="Times New Roman" w:eastAsia="Times New Roman" w:hint="default"/>
        </w:rPr>
        <w:t>150</w:t>
      </w:r>
      <w:r>
        <w:rPr/>
        <w:t>余场内部培训，课程包括通用技能类、专业知识类、管理技能 类，普及在职员工的各项知识技能，同时，让对于游戏项目有丰富经验的员工进行内部技能、经验分享， 均达到了较好效果。</w:t>
      </w:r>
    </w:p>
    <w:p>
      <w:pPr>
        <w:pStyle w:val="BodyText"/>
        <w:spacing w:line="408" w:lineRule="auto" w:before="54"/>
        <w:ind w:left="1134" w:right="1133" w:firstLine="420"/>
        <w:jc w:val="both"/>
      </w:pPr>
      <w:r>
        <w:rPr>
          <w:spacing w:val="-1"/>
        </w:rPr>
        <w:t>针对每月新入职的员工，公司组织开展新员工入职培训，使新员工尽快了解公司业务、组织架构、公</w:t>
      </w:r>
      <w:r>
        <w:rPr/>
        <w:t> 司企业文化。尽快融入公司。</w:t>
      </w:r>
    </w:p>
    <w:p>
      <w:pPr>
        <w:pStyle w:val="BodyText"/>
        <w:spacing w:line="408" w:lineRule="auto" w:before="46"/>
        <w:ind w:left="1134" w:right="1131" w:firstLine="420"/>
        <w:jc w:val="both"/>
      </w:pPr>
      <w:r>
        <w:rPr>
          <w:spacing w:val="-1"/>
        </w:rPr>
        <w:t>针对中高层潜力、优秀员工，公司组织培训发展项目或输出到外部培训机构进行管理类培训学习，助</w:t>
      </w:r>
      <w:r>
        <w:rPr/>
        <w:t> 力他们成为公司更优秀的管理类人才。</w:t>
      </w:r>
    </w:p>
    <w:p>
      <w:pPr>
        <w:spacing w:line="240" w:lineRule="auto" w:before="8"/>
        <w:rPr>
          <w:rFonts w:ascii="宋体" w:hAnsi="宋体" w:cs="宋体" w:eastAsia="宋体" w:hint="default"/>
          <w:sz w:val="20"/>
          <w:szCs w:val="20"/>
        </w:rPr>
      </w:pPr>
    </w:p>
    <w:p>
      <w:pPr>
        <w:pStyle w:val="Heading6"/>
        <w:spacing w:line="240" w:lineRule="auto"/>
        <w:ind w:right="998"/>
        <w:jc w:val="left"/>
        <w:rPr>
          <w:b w:val="0"/>
          <w:bCs w:val="0"/>
        </w:rPr>
      </w:pPr>
      <w:bookmarkStart w:name="4、劳务外包情况" w:id="131"/>
      <w:bookmarkEnd w:id="131"/>
      <w:r>
        <w:rPr>
          <w:b w:val="0"/>
          <w:bCs w:val="0"/>
        </w:rPr>
      </w:r>
      <w:r>
        <w:rPr>
          <w:rFonts w:ascii="Times New Roman" w:hAnsi="Times New Roman" w:cs="Times New Roman" w:eastAsia="Times New Roman" w:hint="default"/>
        </w:rPr>
        <w:t>4</w:t>
      </w:r>
      <w:r>
        <w:rPr/>
        <w:t>、劳务外包情况</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3403"/>
        <w:jc w:val="center"/>
        <w:rPr>
          <w:b w:val="0"/>
          <w:bCs w:val="0"/>
        </w:rPr>
      </w:pPr>
      <w:bookmarkStart w:name="_TOC_250003" w:id="132"/>
      <w:bookmarkStart w:name="第九节 公司治理" w:id="133"/>
      <w:r>
        <w:rPr>
          <w:b w:val="0"/>
          <w:bCs w:val="0"/>
        </w:rPr>
      </w:r>
      <w:r>
        <w:rPr/>
        <w:t>第九节</w:t>
      </w:r>
      <w:r>
        <w:rPr>
          <w:spacing w:val="-5"/>
        </w:rPr>
        <w:t> </w:t>
      </w:r>
      <w:r>
        <w:rPr/>
        <w:t>公司治理</w:t>
      </w:r>
      <w:bookmarkEnd w:id="132"/>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4"/>
        <w:spacing w:line="240" w:lineRule="auto" w:before="26"/>
        <w:ind w:right="998"/>
        <w:jc w:val="left"/>
        <w:rPr>
          <w:b w:val="0"/>
          <w:bCs w:val="0"/>
        </w:rPr>
      </w:pPr>
      <w:bookmarkStart w:name="一、公司治理的基本状况" w:id="134"/>
      <w:bookmarkEnd w:id="134"/>
      <w:r>
        <w:rPr>
          <w:b w:val="0"/>
          <w:bCs w:val="0"/>
        </w:rPr>
      </w:r>
      <w:r>
        <w:rPr/>
        <w:t>一、公司治理的基本状况</w:t>
      </w:r>
      <w:r>
        <w:rPr>
          <w:b w:val="0"/>
          <w:bCs w:val="0"/>
        </w:rPr>
      </w:r>
    </w:p>
    <w:p>
      <w:pPr>
        <w:spacing w:line="240" w:lineRule="auto" w:before="6"/>
        <w:rPr>
          <w:rFonts w:ascii="宋体" w:hAnsi="宋体" w:cs="宋体" w:eastAsia="宋体" w:hint="default"/>
          <w:b/>
          <w:bCs/>
          <w:sz w:val="30"/>
          <w:szCs w:val="30"/>
        </w:rPr>
      </w:pPr>
    </w:p>
    <w:p>
      <w:pPr>
        <w:pStyle w:val="BodyText"/>
        <w:spacing w:line="408" w:lineRule="auto"/>
        <w:ind w:right="998" w:firstLine="420"/>
        <w:jc w:val="left"/>
      </w:pPr>
      <w:r>
        <w:rPr>
          <w:spacing w:val="-1"/>
        </w:rPr>
        <w:t>报告期内，公司严格按照《公司法》、《证券法》、《上市公司治理准则》、《深圳证券交易所创业</w:t>
      </w:r>
      <w:r>
        <w:rPr/>
        <w:t> </w:t>
      </w:r>
      <w:r>
        <w:rPr>
          <w:spacing w:val="-1"/>
        </w:rPr>
        <w:t>板股票上市规则》、《深圳证券交易所创业板上市公司规范运作指引》等法律法规和中国证监会有关法律</w:t>
      </w:r>
      <w:r>
        <w:rPr>
          <w:spacing w:val="-84"/>
        </w:rPr>
        <w:t> </w:t>
      </w:r>
      <w:r>
        <w:rPr>
          <w:spacing w:val="-84"/>
        </w:rPr>
      </w:r>
      <w:r>
        <w:rPr/>
        <w:t>法规的要求</w:t>
      </w:r>
      <w:r>
        <w:rPr>
          <w:rFonts w:ascii="宋体" w:hAnsi="宋体" w:cs="宋体" w:eastAsia="宋体" w:hint="default"/>
        </w:rPr>
        <w:t>,</w:t>
      </w:r>
      <w:r>
        <w:rPr/>
        <w:t>不断完善公司的法人治理结构，建立健全公司内部管理和控制制度，持续深入开展公司治理 </w:t>
      </w:r>
      <w:r>
        <w:rPr>
          <w:spacing w:val="-1"/>
        </w:rPr>
        <w:t>活动，促进公司规范运作，提高公司治理水平。截至报告期末，公司治理的实际状况符合《上市公司治理</w:t>
      </w:r>
      <w:r>
        <w:rPr>
          <w:spacing w:val="-83"/>
        </w:rPr>
        <w:t> </w:t>
      </w:r>
      <w:r>
        <w:rPr>
          <w:spacing w:val="-83"/>
        </w:rPr>
      </w:r>
      <w:r>
        <w:rPr/>
        <w:t>准则》和《深圳证券交易所创业板股票上市规则》等要求。</w:t>
      </w:r>
    </w:p>
    <w:p>
      <w:pPr>
        <w:pStyle w:val="BodyText"/>
        <w:spacing w:line="408" w:lineRule="auto" w:before="46"/>
        <w:ind w:left="1553" w:right="998" w:hanging="420"/>
        <w:jc w:val="left"/>
      </w:pPr>
      <w:r>
        <w:rPr>
          <w:rFonts w:ascii="宋体" w:hAnsi="宋体" w:cs="宋体" w:eastAsia="宋体" w:hint="default"/>
          <w:b/>
          <w:bCs/>
        </w:rPr>
        <w:t>（一）股东大会方面</w:t>
      </w:r>
      <w:r>
        <w:rPr>
          <w:rFonts w:ascii="宋体" w:hAnsi="宋体" w:cs="宋体" w:eastAsia="宋体" w:hint="default"/>
          <w:b/>
          <w:bCs/>
          <w:w w:val="99"/>
        </w:rPr>
        <w:t> </w:t>
      </w:r>
      <w:r>
        <w:rPr>
          <w:spacing w:val="-1"/>
        </w:rPr>
        <w:t>公司严格按照《公司法》、《上市公司股东大会规则》、《公司章程》、《股东大会议事规则》等相</w:t>
      </w:r>
    </w:p>
    <w:p>
      <w:pPr>
        <w:pStyle w:val="BodyText"/>
        <w:spacing w:line="408" w:lineRule="auto" w:before="46"/>
        <w:ind w:right="1133"/>
        <w:jc w:val="both"/>
      </w:pPr>
      <w:r>
        <w:rPr>
          <w:spacing w:val="-1"/>
        </w:rPr>
        <w:t>关法律法规、规范性文件和公司规章制度的有关规定和要求，规范地召集、召开股东大会，平等对待所有</w:t>
      </w:r>
      <w:r>
        <w:rPr>
          <w:spacing w:val="-86"/>
        </w:rPr>
        <w:t> </w:t>
      </w:r>
      <w:r>
        <w:rPr>
          <w:spacing w:val="-86"/>
        </w:rPr>
      </w:r>
      <w:r>
        <w:rPr/>
        <w:t>股东，并尽可能为股东参加股东大会提供便利。</w:t>
      </w:r>
    </w:p>
    <w:p>
      <w:pPr>
        <w:pStyle w:val="BodyText"/>
        <w:spacing w:line="408" w:lineRule="auto" w:before="46"/>
        <w:ind w:right="1131" w:firstLine="420"/>
        <w:jc w:val="both"/>
      </w:pPr>
      <w:r>
        <w:rPr>
          <w:spacing w:val="-1"/>
        </w:rPr>
        <w:t>报告期内，公司召开的股东大会均由公司董事会召集召开，由见证律师进行现场见证并出具法律意见</w:t>
      </w:r>
      <w:r>
        <w:rPr/>
        <w:t> </w:t>
      </w:r>
      <w:r>
        <w:rPr>
          <w:spacing w:val="-1"/>
        </w:rPr>
        <w:t>书。在股东大会上充分保证各位股东有充分的发言权，确保股东对公司重大事项的知情权、参与权、表决</w:t>
      </w:r>
      <w:r>
        <w:rPr>
          <w:spacing w:val="-86"/>
        </w:rPr>
        <w:t> </w:t>
      </w:r>
      <w:r>
        <w:rPr>
          <w:spacing w:val="-86"/>
        </w:rPr>
      </w:r>
      <w:r>
        <w:rPr/>
        <w:t>权，使其充分行使股东合法权利。</w:t>
      </w:r>
    </w:p>
    <w:p>
      <w:pPr>
        <w:pStyle w:val="BodyText"/>
        <w:spacing w:line="408" w:lineRule="auto" w:before="46"/>
        <w:ind w:right="1131" w:firstLine="420"/>
        <w:jc w:val="both"/>
      </w:pPr>
      <w:r>
        <w:rPr>
          <w:spacing w:val="-1"/>
        </w:rPr>
        <w:t>报告期内，公司严格按照相关法律法规、规范性文件和监管部门有关的规定关的规定应由股东大会审</w:t>
      </w:r>
      <w:r>
        <w:rPr/>
        <w:t> </w:t>
      </w:r>
      <w:r>
        <w:rPr>
          <w:spacing w:val="-1"/>
        </w:rPr>
        <w:t>议的重大事项，公司均按照相应的权限审批后交由股东大会审议，不存在绕过股东大会的情况，也不存在</w:t>
      </w:r>
      <w:r>
        <w:rPr>
          <w:spacing w:val="-83"/>
        </w:rPr>
        <w:t> </w:t>
      </w:r>
      <w:r>
        <w:rPr>
          <w:spacing w:val="-83"/>
        </w:rPr>
      </w:r>
      <w:r>
        <w:rPr/>
        <w:t>先实施后审议的情况。</w:t>
      </w:r>
    </w:p>
    <w:p>
      <w:pPr>
        <w:pStyle w:val="BodyText"/>
        <w:spacing w:line="408" w:lineRule="auto" w:before="46"/>
        <w:ind w:left="1553" w:right="998" w:hanging="420"/>
        <w:jc w:val="left"/>
      </w:pPr>
      <w:r>
        <w:rPr>
          <w:rFonts w:ascii="宋体" w:hAnsi="宋体" w:cs="宋体" w:eastAsia="宋体" w:hint="default"/>
          <w:b/>
          <w:bCs/>
        </w:rPr>
        <w:t>（二）公司与控股股东</w:t>
      </w:r>
      <w:r>
        <w:rPr>
          <w:rFonts w:ascii="宋体" w:hAnsi="宋体" w:cs="宋体" w:eastAsia="宋体" w:hint="default"/>
          <w:b/>
          <w:bCs/>
          <w:w w:val="99"/>
        </w:rPr>
        <w:t> </w:t>
      </w:r>
      <w:r>
        <w:rPr>
          <w:spacing w:val="-8"/>
        </w:rPr>
        <w:t>公司控股股东和实际控制人严格按照《上市公司治理准则》、《深圳证券交易所创业板股票上市规则》、</w:t>
      </w:r>
    </w:p>
    <w:p>
      <w:pPr>
        <w:pStyle w:val="BodyText"/>
        <w:spacing w:line="408" w:lineRule="auto" w:before="46"/>
        <w:ind w:right="1131"/>
        <w:jc w:val="both"/>
      </w:pPr>
      <w:r>
        <w:rPr>
          <w:spacing w:val="-1"/>
        </w:rPr>
        <w:t>《深圳证券交易所创业板上市公司规范运作指引》、《公司章程》等相关规定和要求，规范自身行为，没</w:t>
      </w:r>
      <w:r>
        <w:rPr>
          <w:spacing w:val="-83"/>
        </w:rPr>
        <w:t> </w:t>
      </w:r>
      <w:r>
        <w:rPr>
          <w:spacing w:val="-83"/>
        </w:rPr>
      </w:r>
      <w:r>
        <w:rPr>
          <w:spacing w:val="-1"/>
        </w:rPr>
        <w:t>有超越股东大会直接或间接干预公司的决策和经营活动，未损害公司及全体股东的利益。公司不存在控股</w:t>
      </w:r>
      <w:r>
        <w:rPr>
          <w:spacing w:val="-81"/>
        </w:rPr>
        <w:t> </w:t>
      </w:r>
      <w:r>
        <w:rPr>
          <w:spacing w:val="-81"/>
        </w:rPr>
      </w:r>
      <w:r>
        <w:rPr>
          <w:spacing w:val="-1"/>
        </w:rPr>
        <w:t>股东占用公司资金及为控股股东提供担保的情形。公司拥有独立完整的业务和自主经营能力，在业务、人</w:t>
      </w:r>
      <w:r>
        <w:rPr>
          <w:spacing w:val="-83"/>
        </w:rPr>
        <w:t> </w:t>
      </w:r>
      <w:r>
        <w:rPr>
          <w:spacing w:val="-83"/>
        </w:rPr>
      </w:r>
      <w:r>
        <w:rPr/>
        <w:t>员、资产、机构、财务上独立于控股股东，公司董事会、监事会和内部机构独立运作。</w:t>
      </w:r>
    </w:p>
    <w:p>
      <w:pPr>
        <w:pStyle w:val="BodyText"/>
        <w:spacing w:line="408" w:lineRule="auto" w:before="46"/>
        <w:ind w:left="1553" w:right="998" w:hanging="420"/>
        <w:jc w:val="left"/>
      </w:pPr>
      <w:r>
        <w:rPr>
          <w:rFonts w:ascii="宋体" w:hAnsi="宋体" w:cs="宋体" w:eastAsia="宋体" w:hint="default"/>
          <w:b/>
          <w:bCs/>
        </w:rPr>
        <w:t>（三）董事与董事会</w:t>
      </w:r>
      <w:r>
        <w:rPr>
          <w:rFonts w:ascii="宋体" w:hAnsi="宋体" w:cs="宋体" w:eastAsia="宋体" w:hint="default"/>
          <w:b/>
          <w:bCs/>
          <w:w w:val="99"/>
        </w:rPr>
        <w:t> </w:t>
      </w:r>
      <w:r>
        <w:rPr>
          <w:spacing w:val="-1"/>
        </w:rPr>
        <w:t>公司共有</w:t>
      </w:r>
      <w:r>
        <w:rPr>
          <w:rFonts w:ascii="Times New Roman" w:hAnsi="Times New Roman" w:cs="Times New Roman" w:eastAsia="Times New Roman" w:hint="default"/>
          <w:spacing w:val="-1"/>
        </w:rPr>
        <w:t>7</w:t>
      </w:r>
      <w:r>
        <w:rPr>
          <w:spacing w:val="-1"/>
        </w:rPr>
        <w:t>名董事，其中独立董事</w:t>
      </w:r>
      <w:r>
        <w:rPr>
          <w:rFonts w:ascii="Times New Roman" w:hAnsi="Times New Roman" w:cs="Times New Roman" w:eastAsia="Times New Roman" w:hint="default"/>
          <w:spacing w:val="-1"/>
        </w:rPr>
        <w:t>3</w:t>
      </w:r>
      <w:r>
        <w:rPr>
          <w:spacing w:val="-1"/>
        </w:rPr>
        <w:t>名，董事会人数和人员构成符合法律，法规和《关于在上市公司建</w:t>
      </w:r>
    </w:p>
    <w:p>
      <w:pPr>
        <w:pStyle w:val="BodyText"/>
        <w:spacing w:line="408" w:lineRule="auto" w:before="14"/>
        <w:ind w:right="1130"/>
        <w:jc w:val="both"/>
      </w:pPr>
      <w:r>
        <w:rPr>
          <w:spacing w:val="-1"/>
        </w:rPr>
        <w:t>立独立董事制度的指导意见》的要求。公司严格按照《公司章程》规定的董事选聘程序选举董事，公司各</w:t>
      </w:r>
      <w:r>
        <w:rPr>
          <w:spacing w:val="-83"/>
        </w:rPr>
        <w:t> </w:t>
      </w:r>
      <w:r>
        <w:rPr>
          <w:spacing w:val="-83"/>
        </w:rPr>
      </w:r>
      <w:r>
        <w:rPr>
          <w:spacing w:val="-2"/>
        </w:rPr>
        <w:t>位董事能够以认真负责的态度出席股东大会和董事会，在召开会议前能够主动调查</w:t>
      </w:r>
      <w:r>
        <w:rPr>
          <w:rFonts w:ascii="Times New Roman" w:hAnsi="Times New Roman" w:cs="Times New Roman" w:eastAsia="Times New Roman" w:hint="default"/>
          <w:spacing w:val="-2"/>
        </w:rPr>
        <w:t>,</w:t>
      </w:r>
      <w:r>
        <w:rPr>
          <w:spacing w:val="-2"/>
        </w:rPr>
        <w:t>获取做出决议所需要的</w:t>
      </w:r>
    </w:p>
    <w:p>
      <w:pPr>
        <w:spacing w:after="0" w:line="408" w:lineRule="auto"/>
        <w:jc w:val="both"/>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pStyle w:val="BodyText"/>
        <w:spacing w:line="408" w:lineRule="auto" w:before="174"/>
        <w:ind w:right="998"/>
        <w:jc w:val="left"/>
      </w:pPr>
      <w:r>
        <w:rPr>
          <w:spacing w:val="-1"/>
        </w:rPr>
        <w:t>情况和资料，认真审阅各项议案，为股东大会和董事会的重要决策做了充分的准备工作。能够积极参加有</w:t>
      </w:r>
      <w:r>
        <w:rPr>
          <w:spacing w:val="-83"/>
        </w:rPr>
        <w:t> </w:t>
      </w:r>
      <w:r>
        <w:rPr>
          <w:spacing w:val="-83"/>
        </w:rPr>
      </w:r>
      <w:r>
        <w:rPr/>
        <w:t>关培训，熟悉有关法律法规，了解作为董事的权利义务和责任。</w:t>
      </w:r>
    </w:p>
    <w:p>
      <w:pPr>
        <w:pStyle w:val="BodyText"/>
        <w:spacing w:line="408" w:lineRule="auto" w:before="46"/>
        <w:ind w:left="1553" w:right="1198" w:hanging="420"/>
        <w:jc w:val="left"/>
      </w:pPr>
      <w:r>
        <w:rPr>
          <w:rFonts w:ascii="宋体" w:hAnsi="宋体" w:cs="宋体" w:eastAsia="宋体" w:hint="default"/>
          <w:b/>
          <w:bCs/>
        </w:rPr>
        <w:t>（四）监事与监事会</w:t>
      </w:r>
      <w:r>
        <w:rPr>
          <w:rFonts w:ascii="宋体" w:hAnsi="宋体" w:cs="宋体" w:eastAsia="宋体" w:hint="default"/>
          <w:b/>
          <w:bCs/>
          <w:w w:val="99"/>
        </w:rPr>
        <w:t> </w:t>
      </w:r>
      <w:r>
        <w:rPr/>
        <w:t>公司共有</w:t>
      </w:r>
      <w:r>
        <w:rPr>
          <w:rFonts w:ascii="Times New Roman" w:hAnsi="Times New Roman" w:cs="Times New Roman" w:eastAsia="Times New Roman" w:hint="default"/>
        </w:rPr>
        <w:t>3</w:t>
      </w:r>
      <w:r>
        <w:rPr/>
        <w:t>名监事，监事会的人数和人员结构符合法律、法规的要求。公司监事能够认真履行自己的</w:t>
      </w:r>
    </w:p>
    <w:p>
      <w:pPr>
        <w:pStyle w:val="BodyText"/>
        <w:spacing w:line="240" w:lineRule="auto" w:before="14"/>
        <w:ind w:right="0"/>
        <w:jc w:val="left"/>
      </w:pPr>
      <w:r>
        <w:rPr/>
        <w:t>职责</w:t>
      </w:r>
      <w:r>
        <w:rPr>
          <w:spacing w:val="-91"/>
        </w:rPr>
        <w:t>，</w:t>
      </w:r>
      <w:r>
        <w:rPr/>
        <w:t>能够本着对股东负责的态度</w:t>
      </w:r>
      <w:r>
        <w:rPr>
          <w:rFonts w:ascii="Times New Roman" w:hAnsi="Times New Roman" w:cs="Times New Roman" w:eastAsia="Times New Roman" w:hint="default"/>
        </w:rPr>
        <w:t>,</w:t>
      </w:r>
      <w:r>
        <w:rPr/>
        <w:t>对公司财务和公司董事</w:t>
      </w:r>
      <w:r>
        <w:rPr>
          <w:spacing w:val="-91"/>
        </w:rPr>
        <w:t>、</w:t>
      </w:r>
      <w:r>
        <w:rPr/>
        <w:t>高级管理人员履行职责的合法合规性进行监督。</w:t>
      </w:r>
    </w:p>
    <w:p>
      <w:pPr>
        <w:spacing w:line="240" w:lineRule="auto" w:before="0"/>
        <w:rPr>
          <w:rFonts w:ascii="宋体" w:hAnsi="宋体" w:cs="宋体" w:eastAsia="宋体" w:hint="default"/>
          <w:sz w:val="22"/>
          <w:szCs w:val="22"/>
        </w:rPr>
      </w:pPr>
    </w:p>
    <w:p>
      <w:pPr>
        <w:spacing w:before="189"/>
        <w:ind w:left="1133" w:right="998" w:firstLine="0"/>
        <w:jc w:val="left"/>
        <w:rPr>
          <w:rFonts w:ascii="宋体" w:hAnsi="宋体" w:cs="宋体" w:eastAsia="宋体" w:hint="default"/>
          <w:sz w:val="18"/>
          <w:szCs w:val="18"/>
        </w:rPr>
      </w:pPr>
      <w:r>
        <w:rPr>
          <w:rFonts w:ascii="宋体" w:hAnsi="宋体" w:cs="宋体" w:eastAsia="宋体" w:hint="default"/>
          <w:sz w:val="18"/>
          <w:szCs w:val="18"/>
        </w:rPr>
        <w:t>公司治理的实际状况与中国证监会发布的有关上市公司治理的规范性文件是否存在重大差异</w:t>
      </w:r>
    </w:p>
    <w:p>
      <w:pPr>
        <w:spacing w:line="338" w:lineRule="auto" w:before="117"/>
        <w:ind w:left="1133" w:right="35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公司治理的实际状况与中国证监会发布的有关上市公司治理的规范性文件不存在重大差异。</w:t>
      </w:r>
    </w:p>
    <w:p>
      <w:pPr>
        <w:spacing w:line="240" w:lineRule="auto" w:before="4"/>
        <w:rPr>
          <w:rFonts w:ascii="宋体" w:hAnsi="宋体" w:cs="宋体" w:eastAsia="宋体" w:hint="default"/>
          <w:sz w:val="19"/>
          <w:szCs w:val="19"/>
        </w:rPr>
      </w:pPr>
    </w:p>
    <w:p>
      <w:pPr>
        <w:pStyle w:val="Heading4"/>
        <w:spacing w:line="240" w:lineRule="auto"/>
        <w:ind w:right="998"/>
        <w:jc w:val="left"/>
        <w:rPr>
          <w:b w:val="0"/>
          <w:bCs w:val="0"/>
        </w:rPr>
      </w:pPr>
      <w:bookmarkStart w:name="二、公司相对于控股股东在业务、人员、资产、机构、财务等方面的独立情况" w:id="135"/>
      <w:bookmarkEnd w:id="135"/>
      <w:r>
        <w:rPr>
          <w:b w:val="0"/>
          <w:bCs w:val="0"/>
        </w:rPr>
      </w:r>
      <w:r>
        <w:rPr/>
        <w:t>二、公司相对于控股股东在业务、人员、资产、机构、财务等方面的独立情况</w:t>
      </w:r>
      <w:r>
        <w:rPr>
          <w:b w:val="0"/>
          <w:bCs w:val="0"/>
        </w:rPr>
      </w:r>
    </w:p>
    <w:p>
      <w:pPr>
        <w:spacing w:line="240" w:lineRule="auto" w:before="8"/>
        <w:rPr>
          <w:rFonts w:ascii="宋体" w:hAnsi="宋体" w:cs="宋体" w:eastAsia="宋体" w:hint="default"/>
          <w:b/>
          <w:bCs/>
          <w:sz w:val="24"/>
          <w:szCs w:val="24"/>
        </w:rPr>
      </w:pPr>
    </w:p>
    <w:p>
      <w:pPr>
        <w:pStyle w:val="BodyText"/>
        <w:spacing w:line="273" w:lineRule="auto"/>
        <w:ind w:left="1553" w:right="1018" w:hanging="420"/>
        <w:jc w:val="left"/>
      </w:pPr>
      <w:r>
        <w:rPr>
          <w:rFonts w:ascii="宋体" w:hAnsi="宋体" w:cs="宋体" w:eastAsia="宋体" w:hint="default"/>
          <w:b/>
          <w:bCs/>
        </w:rPr>
        <w:t>（一）业务独立性</w:t>
      </w:r>
      <w:r>
        <w:rPr>
          <w:rFonts w:ascii="宋体" w:hAnsi="宋体" w:cs="宋体" w:eastAsia="宋体" w:hint="default"/>
          <w:b/>
          <w:bCs/>
          <w:w w:val="99"/>
        </w:rPr>
        <w:t> </w:t>
      </w:r>
      <w:r>
        <w:rPr>
          <w:spacing w:val="-3"/>
        </w:rPr>
        <w:t>公司业务独立于公司控股股东。作为现代服务性企业，公司拥有完整独立的运营管理团队和服务系统，</w:t>
      </w:r>
    </w:p>
    <w:p>
      <w:pPr>
        <w:pStyle w:val="BodyText"/>
        <w:spacing w:line="240" w:lineRule="auto" w:before="7"/>
        <w:ind w:right="998"/>
        <w:jc w:val="left"/>
      </w:pPr>
      <w:r>
        <w:rPr/>
        <w:t>具有独立完整的业务体系及面向市场独立经营的能力，不依赖于股东或其他任何管良方。</w:t>
      </w:r>
    </w:p>
    <w:p>
      <w:pPr>
        <w:pStyle w:val="BodyText"/>
        <w:spacing w:line="273" w:lineRule="auto" w:before="37"/>
        <w:ind w:left="1553" w:right="998" w:hanging="420"/>
        <w:jc w:val="left"/>
      </w:pPr>
      <w:r>
        <w:rPr>
          <w:rFonts w:ascii="宋体" w:hAnsi="宋体" w:cs="宋体" w:eastAsia="宋体" w:hint="default"/>
          <w:b/>
          <w:bCs/>
        </w:rPr>
        <w:t>（二）人员独立性</w:t>
      </w:r>
      <w:r>
        <w:rPr>
          <w:rFonts w:ascii="宋体" w:hAnsi="宋体" w:cs="宋体" w:eastAsia="宋体" w:hint="default"/>
          <w:b/>
          <w:bCs/>
          <w:w w:val="99"/>
        </w:rPr>
        <w:t> </w:t>
      </w:r>
      <w:r>
        <w:rPr>
          <w:spacing w:val="-1"/>
        </w:rPr>
        <w:t>公司人员、劳动、人事及工资完全独立。公司总经理、董事会秘书、财务负责人等高级管理人员均在</w:t>
      </w:r>
    </w:p>
    <w:p>
      <w:pPr>
        <w:pStyle w:val="BodyText"/>
        <w:spacing w:line="273" w:lineRule="auto" w:before="7"/>
        <w:ind w:right="998"/>
        <w:jc w:val="left"/>
      </w:pPr>
      <w:r>
        <w:rPr>
          <w:spacing w:val="-1"/>
        </w:rPr>
        <w:t>公司工作并领取薪酬，未在控股股东及其下属企业担任任何职务和领取报酬；公司财务人员没有在控股股</w:t>
      </w:r>
      <w:r>
        <w:rPr>
          <w:spacing w:val="-81"/>
        </w:rPr>
        <w:t> </w:t>
      </w:r>
      <w:r>
        <w:rPr>
          <w:spacing w:val="-81"/>
        </w:rPr>
      </w:r>
      <w:r>
        <w:rPr/>
        <w:t>东及其下属企业兼职。</w:t>
      </w:r>
    </w:p>
    <w:p>
      <w:pPr>
        <w:pStyle w:val="BodyText"/>
        <w:spacing w:line="273" w:lineRule="auto" w:before="8"/>
        <w:ind w:left="1553" w:right="1093" w:hanging="420"/>
        <w:jc w:val="left"/>
      </w:pPr>
      <w:r>
        <w:rPr>
          <w:rFonts w:ascii="宋体" w:hAnsi="宋体" w:cs="宋体" w:eastAsia="宋体" w:hint="default"/>
          <w:b/>
          <w:bCs/>
        </w:rPr>
        <w:t>（三）资产完整情况</w:t>
      </w:r>
      <w:r>
        <w:rPr>
          <w:rFonts w:ascii="宋体" w:hAnsi="宋体" w:cs="宋体" w:eastAsia="宋体" w:hint="default"/>
          <w:b/>
          <w:bCs/>
          <w:w w:val="99"/>
        </w:rPr>
        <w:t> </w:t>
      </w:r>
      <w:r>
        <w:rPr/>
        <w:t>公司资产完整，拥有独立于股东单位及其他关联方的房屋、设备等固定资产，也独立拥有注册商标、</w:t>
      </w:r>
    </w:p>
    <w:p>
      <w:pPr>
        <w:pStyle w:val="BodyText"/>
        <w:spacing w:line="240" w:lineRule="auto" w:before="7"/>
        <w:ind w:right="998"/>
        <w:jc w:val="left"/>
      </w:pPr>
      <w:r>
        <w:rPr/>
        <w:t>著作权等无形资产。</w:t>
      </w:r>
    </w:p>
    <w:p>
      <w:pPr>
        <w:pStyle w:val="BodyText"/>
        <w:spacing w:line="273" w:lineRule="auto" w:before="37"/>
        <w:ind w:left="1553" w:right="998" w:hanging="420"/>
        <w:jc w:val="left"/>
      </w:pPr>
      <w:r>
        <w:rPr>
          <w:rFonts w:ascii="宋体" w:hAnsi="宋体" w:cs="宋体" w:eastAsia="宋体" w:hint="default"/>
          <w:b/>
          <w:bCs/>
        </w:rPr>
        <w:t>（四）机构独立情况</w:t>
      </w:r>
      <w:r>
        <w:rPr>
          <w:rFonts w:ascii="宋体" w:hAnsi="宋体" w:cs="宋体" w:eastAsia="宋体" w:hint="default"/>
          <w:b/>
          <w:bCs/>
          <w:w w:val="99"/>
        </w:rPr>
        <w:t> </w:t>
      </w:r>
      <w:r>
        <w:rPr>
          <w:spacing w:val="-1"/>
        </w:rPr>
        <w:t>公司各部门独立履行其职责，负责公司的生产经营活动，其履行职能不收控股股东、其他有关部门或</w:t>
      </w:r>
    </w:p>
    <w:p>
      <w:pPr>
        <w:pStyle w:val="BodyText"/>
        <w:spacing w:line="273" w:lineRule="auto" w:before="7"/>
        <w:ind w:right="998"/>
        <w:jc w:val="left"/>
      </w:pPr>
      <w:r>
        <w:rPr>
          <w:spacing w:val="-1"/>
        </w:rPr>
        <w:t>单位、个人的干预，并且与控股股东及其职能部门之间不存在隶属关系，公司办公场所与股东单位完全分</w:t>
      </w:r>
      <w:r>
        <w:rPr>
          <w:spacing w:val="-83"/>
        </w:rPr>
        <w:t> </w:t>
      </w:r>
      <w:r>
        <w:rPr>
          <w:spacing w:val="-83"/>
        </w:rPr>
      </w:r>
      <w:r>
        <w:rPr/>
        <w:t>开，不存在混合经营、合署办公的情况。</w:t>
      </w:r>
    </w:p>
    <w:p>
      <w:pPr>
        <w:pStyle w:val="BodyText"/>
        <w:spacing w:line="273" w:lineRule="auto" w:before="7"/>
        <w:ind w:left="1553" w:right="998" w:hanging="420"/>
        <w:jc w:val="left"/>
      </w:pPr>
      <w:r>
        <w:rPr>
          <w:rFonts w:ascii="宋体" w:hAnsi="宋体" w:cs="宋体" w:eastAsia="宋体" w:hint="default"/>
          <w:b/>
          <w:bCs/>
        </w:rPr>
        <w:t>（五）财务独立情况</w:t>
      </w:r>
      <w:r>
        <w:rPr>
          <w:rFonts w:ascii="宋体" w:hAnsi="宋体" w:cs="宋体" w:eastAsia="宋体" w:hint="default"/>
          <w:b/>
          <w:bCs/>
          <w:w w:val="99"/>
        </w:rPr>
        <w:t> </w:t>
      </w:r>
      <w:r>
        <w:rPr>
          <w:spacing w:val="-1"/>
        </w:rPr>
        <w:t>公司设有独立的财务会计部门、财务负责人，建立了独立的财务规章制度，有完整独立的财务核算体</w:t>
      </w:r>
    </w:p>
    <w:p>
      <w:pPr>
        <w:pStyle w:val="BodyText"/>
        <w:spacing w:line="273" w:lineRule="auto" w:before="7"/>
        <w:ind w:right="998"/>
        <w:jc w:val="left"/>
      </w:pPr>
      <w:r>
        <w:rPr>
          <w:spacing w:val="-1"/>
        </w:rPr>
        <w:t>系，能够独立作出财务决策，开设了独立的银行账户，并依法独立纳税，公司不存在与股东单位及其关联</w:t>
      </w:r>
      <w:r>
        <w:rPr>
          <w:spacing w:val="-86"/>
        </w:rPr>
        <w:t> </w:t>
      </w:r>
      <w:r>
        <w:rPr>
          <w:spacing w:val="-86"/>
        </w:rPr>
      </w:r>
      <w:r>
        <w:rPr/>
        <w:t>方共用银行账户的情况，也不存在资金、资产被股东单位及其关联方非法占用的情况。</w:t>
      </w:r>
    </w:p>
    <w:p>
      <w:pPr>
        <w:spacing w:line="240" w:lineRule="auto" w:before="11"/>
        <w:rPr>
          <w:rFonts w:ascii="宋体" w:hAnsi="宋体" w:cs="宋体" w:eastAsia="宋体" w:hint="default"/>
          <w:sz w:val="21"/>
          <w:szCs w:val="21"/>
        </w:rPr>
      </w:pPr>
    </w:p>
    <w:p>
      <w:pPr>
        <w:pStyle w:val="Heading4"/>
        <w:spacing w:line="240" w:lineRule="auto"/>
        <w:ind w:right="998"/>
        <w:jc w:val="left"/>
        <w:rPr>
          <w:b w:val="0"/>
          <w:bCs w:val="0"/>
        </w:rPr>
      </w:pPr>
      <w:bookmarkStart w:name="三、同业竞争情况" w:id="136"/>
      <w:bookmarkEnd w:id="136"/>
      <w:r>
        <w:rPr>
          <w:b w:val="0"/>
          <w:bCs w:val="0"/>
        </w:rPr>
      </w:r>
      <w:r>
        <w:rPr/>
        <w:t>三、同业竞争情况</w:t>
      </w:r>
      <w:r>
        <w:rPr>
          <w:b w:val="0"/>
          <w:bCs w:val="0"/>
        </w:rPr>
      </w:r>
    </w:p>
    <w:p>
      <w:pPr>
        <w:spacing w:line="240" w:lineRule="auto" w:before="7"/>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4"/>
        <w:spacing w:line="240" w:lineRule="auto"/>
        <w:ind w:right="998"/>
        <w:jc w:val="left"/>
        <w:rPr>
          <w:b w:val="0"/>
          <w:bCs w:val="0"/>
        </w:rPr>
      </w:pPr>
      <w:bookmarkStart w:name="四、报告期内召开的年度股东大会和临时股东大会的有关情况" w:id="137"/>
      <w:bookmarkEnd w:id="137"/>
      <w:r>
        <w:rPr>
          <w:b w:val="0"/>
          <w:bCs w:val="0"/>
        </w:rPr>
      </w:r>
      <w:r>
        <w:rPr/>
        <w:t>四、报告期内召开的年度股东大会和临时股东大会的有关情况</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left="1133" w:right="998"/>
        <w:jc w:val="left"/>
        <w:rPr>
          <w:b w:val="0"/>
          <w:bCs w:val="0"/>
        </w:rPr>
      </w:pPr>
      <w:bookmarkStart w:name="1、本报告期股东大会情况" w:id="138"/>
      <w:bookmarkEnd w:id="138"/>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9"/>
        <w:rPr>
          <w:rFonts w:ascii="宋体" w:hAnsi="宋体" w:cs="宋体" w:eastAsia="宋体" w:hint="default"/>
          <w:b/>
          <w:bCs/>
          <w:sz w:val="25"/>
          <w:szCs w:val="25"/>
        </w:rPr>
      </w:pPr>
    </w:p>
    <w:tbl>
      <w:tblPr>
        <w:tblW w:w="0" w:type="auto"/>
        <w:jc w:val="left"/>
        <w:tblInd w:w="1154" w:type="dxa"/>
        <w:tblLayout w:type="fixed"/>
        <w:tblCellMar>
          <w:top w:w="0" w:type="dxa"/>
          <w:left w:w="0" w:type="dxa"/>
          <w:bottom w:w="0" w:type="dxa"/>
          <w:right w:w="0" w:type="dxa"/>
        </w:tblCellMar>
        <w:tblLook w:val="01E0"/>
      </w:tblPr>
      <w:tblGrid>
        <w:gridCol w:w="1597"/>
        <w:gridCol w:w="1594"/>
        <w:gridCol w:w="1595"/>
        <w:gridCol w:w="1594"/>
        <w:gridCol w:w="1594"/>
        <w:gridCol w:w="1594"/>
      </w:tblGrid>
      <w:tr>
        <w:trPr>
          <w:trHeight w:val="415" w:hRule="exact"/>
        </w:trPr>
        <w:tc>
          <w:tcPr>
            <w:tcW w:w="1597"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right="9"/>
              <w:jc w:val="center"/>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429" w:right="0"/>
              <w:jc w:val="left"/>
              <w:rPr>
                <w:rFonts w:ascii="宋体" w:hAnsi="宋体" w:cs="宋体" w:eastAsia="宋体" w:hint="default"/>
                <w:sz w:val="18"/>
                <w:szCs w:val="18"/>
              </w:rPr>
            </w:pPr>
            <w:r>
              <w:rPr>
                <w:rFonts w:ascii="宋体" w:hAnsi="宋体" w:cs="宋体" w:eastAsia="宋体" w:hint="default"/>
                <w:sz w:val="18"/>
                <w:szCs w:val="18"/>
              </w:rPr>
              <w:t>会议类型</w:t>
            </w:r>
          </w:p>
        </w:tc>
        <w:tc>
          <w:tcPr>
            <w:tcW w:w="159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60" w:right="0"/>
              <w:jc w:val="left"/>
              <w:rPr>
                <w:rFonts w:ascii="宋体" w:hAnsi="宋体" w:cs="宋体" w:eastAsia="宋体" w:hint="default"/>
                <w:sz w:val="18"/>
                <w:szCs w:val="18"/>
              </w:rPr>
            </w:pPr>
            <w:r>
              <w:rPr>
                <w:rFonts w:ascii="宋体" w:hAnsi="宋体" w:cs="宋体" w:eastAsia="宋体" w:hint="default"/>
                <w:sz w:val="18"/>
                <w:szCs w:val="18"/>
              </w:rPr>
              <w:t>投资者参与比例</w:t>
            </w:r>
          </w:p>
        </w:tc>
        <w:tc>
          <w:tcPr>
            <w:tcW w:w="1594"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1594"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430"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415" w:hRule="exact"/>
        </w:trPr>
        <w:tc>
          <w:tcPr>
            <w:tcW w:w="159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71"/>
              <w:ind w:right="6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年年度股东大</w:t>
            </w:r>
          </w:p>
        </w:tc>
        <w:tc>
          <w:tcPr>
            <w:tcW w:w="15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年度股东大会</w:t>
            </w:r>
          </w:p>
        </w:tc>
        <w:tc>
          <w:tcPr>
            <w:tcW w:w="159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left="1006" w:right="0"/>
              <w:jc w:val="left"/>
              <w:rPr>
                <w:rFonts w:ascii="Times New Roman" w:hAnsi="Times New Roman" w:cs="Times New Roman" w:eastAsia="Times New Roman" w:hint="default"/>
                <w:sz w:val="18"/>
                <w:szCs w:val="18"/>
              </w:rPr>
            </w:pPr>
            <w:r>
              <w:rPr>
                <w:rFonts w:ascii="Times New Roman"/>
                <w:sz w:val="18"/>
              </w:rPr>
              <w:t>22.62%</w:t>
            </w:r>
          </w:p>
        </w:tc>
        <w:tc>
          <w:tcPr>
            <w:tcW w:w="15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71"/>
              <w:ind w:left="21"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54" w:type="dxa"/>
        <w:tblLayout w:type="fixed"/>
        <w:tblCellMar>
          <w:top w:w="0" w:type="dxa"/>
          <w:left w:w="0" w:type="dxa"/>
          <w:bottom w:w="0" w:type="dxa"/>
          <w:right w:w="0" w:type="dxa"/>
        </w:tblCellMar>
        <w:tblLook w:val="01E0"/>
      </w:tblPr>
      <w:tblGrid>
        <w:gridCol w:w="1597"/>
        <w:gridCol w:w="1594"/>
        <w:gridCol w:w="1595"/>
        <w:gridCol w:w="1594"/>
        <w:gridCol w:w="1594"/>
        <w:gridCol w:w="1594"/>
      </w:tblGrid>
      <w:tr>
        <w:trPr>
          <w:trHeight w:val="998" w:hRule="exact"/>
        </w:trPr>
        <w:tc>
          <w:tcPr>
            <w:tcW w:w="159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1"/>
              <w:ind w:left="13" w:right="0"/>
              <w:jc w:val="left"/>
              <w:rPr>
                <w:rFonts w:ascii="宋体" w:hAnsi="宋体" w:cs="宋体" w:eastAsia="宋体" w:hint="default"/>
                <w:sz w:val="18"/>
                <w:szCs w:val="18"/>
              </w:rPr>
            </w:pPr>
            <w:r>
              <w:rPr>
                <w:rFonts w:ascii="宋体" w:hAnsi="宋体" w:cs="宋体" w:eastAsia="宋体" w:hint="default"/>
                <w:sz w:val="18"/>
                <w:szCs w:val="18"/>
              </w:rPr>
              <w:t>会</w:t>
            </w:r>
          </w:p>
        </w:tc>
        <w:tc>
          <w:tcPr>
            <w:tcW w:w="1594" w:type="dxa"/>
            <w:tcBorders>
              <w:top w:val="single" w:sz="12" w:space="0" w:color="000000"/>
              <w:left w:val="single" w:sz="6" w:space="0" w:color="000000"/>
              <w:bottom w:val="single" w:sz="6" w:space="0" w:color="000000"/>
              <w:right w:val="single" w:sz="6" w:space="0" w:color="000000"/>
            </w:tcBorders>
          </w:tcPr>
          <w:p>
            <w:pPr/>
          </w:p>
        </w:tc>
        <w:tc>
          <w:tcPr>
            <w:tcW w:w="1595" w:type="dxa"/>
            <w:tcBorders>
              <w:top w:val="single" w:sz="12" w:space="0" w:color="000000"/>
              <w:left w:val="single" w:sz="6" w:space="0" w:color="000000"/>
              <w:bottom w:val="single" w:sz="6" w:space="0" w:color="000000"/>
              <w:right w:val="single" w:sz="6" w:space="0" w:color="000000"/>
            </w:tcBorders>
          </w:tcPr>
          <w:p>
            <w:pPr/>
          </w:p>
        </w:tc>
        <w:tc>
          <w:tcPr>
            <w:tcW w:w="1594" w:type="dxa"/>
            <w:tcBorders>
              <w:top w:val="single" w:sz="12" w:space="0" w:color="000000"/>
              <w:left w:val="single" w:sz="6" w:space="0" w:color="000000"/>
              <w:bottom w:val="single" w:sz="6" w:space="0" w:color="000000"/>
              <w:right w:val="single" w:sz="6" w:space="0" w:color="000000"/>
            </w:tcBorders>
          </w:tcPr>
          <w:p>
            <w:pPr/>
          </w:p>
        </w:tc>
        <w:tc>
          <w:tcPr>
            <w:tcW w:w="1594" w:type="dxa"/>
            <w:tcBorders>
              <w:top w:val="single" w:sz="12" w:space="0" w:color="000000"/>
              <w:left w:val="single" w:sz="6" w:space="0" w:color="000000"/>
              <w:bottom w:val="single" w:sz="6" w:space="0" w:color="000000"/>
              <w:right w:val="single" w:sz="6" w:space="0" w:color="000000"/>
            </w:tcBorders>
          </w:tcPr>
          <w:p>
            <w:pPr/>
          </w:p>
        </w:tc>
        <w:tc>
          <w:tcPr>
            <w:tcW w:w="159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http://www.cninfo</w:t>
            </w:r>
          </w:p>
          <w:p>
            <w:pPr>
              <w:pStyle w:val="TableParagraph"/>
              <w:spacing w:line="340" w:lineRule="auto" w:before="63"/>
              <w:ind w:left="21" w:right="29"/>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2017-062</w:t>
            </w:r>
          </w:p>
        </w:tc>
      </w:tr>
      <w:tr>
        <w:trPr>
          <w:trHeight w:val="1343" w:hRule="exact"/>
        </w:trPr>
        <w:tc>
          <w:tcPr>
            <w:tcW w:w="159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8"/>
              <w:ind w:left="13" w:right="75"/>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年第一次临时 股东大会</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7"/>
              <w:ind w:left="20"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6"/>
              <w:ind w:right="17"/>
              <w:jc w:val="right"/>
              <w:rPr>
                <w:rFonts w:ascii="Times New Roman" w:hAnsi="Times New Roman" w:cs="Times New Roman" w:eastAsia="Times New Roman" w:hint="default"/>
                <w:sz w:val="18"/>
                <w:szCs w:val="18"/>
              </w:rPr>
            </w:pPr>
            <w:r>
              <w:rPr>
                <w:rFonts w:ascii="Times New Roman"/>
                <w:sz w:val="18"/>
              </w:rPr>
              <w:t>8.85%</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7"/>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7"/>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5"/>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http://www.cninfo</w:t>
            </w:r>
          </w:p>
          <w:p>
            <w:pPr>
              <w:pStyle w:val="TableParagraph"/>
              <w:spacing w:line="340" w:lineRule="auto" w:before="63"/>
              <w:ind w:left="21" w:right="29"/>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2017-007</w:t>
            </w:r>
          </w:p>
        </w:tc>
      </w:tr>
      <w:tr>
        <w:trPr>
          <w:trHeight w:val="1344" w:hRule="exact"/>
        </w:trPr>
        <w:tc>
          <w:tcPr>
            <w:tcW w:w="159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7"/>
              <w:ind w:left="13" w:right="75"/>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 股东大会</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0"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6"/>
              <w:ind w:right="17"/>
              <w:jc w:val="right"/>
              <w:rPr>
                <w:rFonts w:ascii="Times New Roman" w:hAnsi="Times New Roman" w:cs="Times New Roman" w:eastAsia="Times New Roman" w:hint="default"/>
                <w:sz w:val="18"/>
                <w:szCs w:val="18"/>
              </w:rPr>
            </w:pPr>
            <w:r>
              <w:rPr>
                <w:rFonts w:ascii="Times New Roman"/>
                <w:sz w:val="18"/>
              </w:rPr>
              <w:t>3.67%</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5"/>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http://www.cninfo</w:t>
            </w:r>
          </w:p>
          <w:p>
            <w:pPr>
              <w:pStyle w:val="TableParagraph"/>
              <w:spacing w:line="340" w:lineRule="auto" w:before="63"/>
              <w:ind w:left="21" w:right="29"/>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2017-010</w:t>
            </w:r>
          </w:p>
        </w:tc>
      </w:tr>
      <w:tr>
        <w:trPr>
          <w:trHeight w:val="1343" w:hRule="exact"/>
        </w:trPr>
        <w:tc>
          <w:tcPr>
            <w:tcW w:w="159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6"/>
              <w:ind w:left="13" w:right="75"/>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年第三次临时 股东大会</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0"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7"/>
              <w:jc w:val="right"/>
              <w:rPr>
                <w:rFonts w:ascii="Times New Roman" w:hAnsi="Times New Roman" w:cs="Times New Roman" w:eastAsia="Times New Roman" w:hint="default"/>
                <w:sz w:val="18"/>
                <w:szCs w:val="18"/>
              </w:rPr>
            </w:pPr>
            <w:r>
              <w:rPr>
                <w:rFonts w:ascii="Times New Roman"/>
                <w:sz w:val="18"/>
              </w:rPr>
              <w:t>22.49%</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5"/>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http://www.cninfo</w:t>
            </w:r>
          </w:p>
          <w:p>
            <w:pPr>
              <w:pStyle w:val="TableParagraph"/>
              <w:spacing w:line="340" w:lineRule="auto" w:before="63"/>
              <w:ind w:left="21" w:right="29"/>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2017-074</w:t>
            </w:r>
          </w:p>
        </w:tc>
      </w:tr>
      <w:tr>
        <w:trPr>
          <w:trHeight w:val="1343" w:hRule="exact"/>
        </w:trPr>
        <w:tc>
          <w:tcPr>
            <w:tcW w:w="159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2" w:lineRule="auto" w:before="156"/>
              <w:ind w:left="13" w:right="75"/>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年第四次临时 股东大会</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0"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7"/>
              <w:jc w:val="right"/>
              <w:rPr>
                <w:rFonts w:ascii="Times New Roman" w:hAnsi="Times New Roman" w:cs="Times New Roman" w:eastAsia="Times New Roman" w:hint="default"/>
                <w:sz w:val="18"/>
                <w:szCs w:val="18"/>
              </w:rPr>
            </w:pPr>
            <w:r>
              <w:rPr>
                <w:rFonts w:ascii="Times New Roman"/>
                <w:sz w:val="18"/>
              </w:rPr>
              <w:t>22.62%</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http://www.cninfo</w:t>
            </w:r>
          </w:p>
          <w:p>
            <w:pPr>
              <w:pStyle w:val="TableParagraph"/>
              <w:spacing w:line="340" w:lineRule="auto" w:before="63"/>
              <w:ind w:left="21" w:right="29"/>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2017-085</w:t>
            </w:r>
          </w:p>
        </w:tc>
      </w:tr>
      <w:tr>
        <w:trPr>
          <w:trHeight w:val="1343" w:hRule="exact"/>
        </w:trPr>
        <w:tc>
          <w:tcPr>
            <w:tcW w:w="159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2" w:lineRule="auto" w:before="156"/>
              <w:ind w:left="13" w:right="75"/>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年第五次临时 股东大会</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0"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7"/>
              <w:jc w:val="right"/>
              <w:rPr>
                <w:rFonts w:ascii="Times New Roman" w:hAnsi="Times New Roman" w:cs="Times New Roman" w:eastAsia="Times New Roman" w:hint="default"/>
                <w:sz w:val="18"/>
                <w:szCs w:val="18"/>
              </w:rPr>
            </w:pPr>
            <w:r>
              <w:rPr>
                <w:rFonts w:ascii="Times New Roman"/>
                <w:sz w:val="18"/>
              </w:rPr>
              <w:t>6.04%</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6"/>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http://www.cninfo</w:t>
            </w:r>
          </w:p>
          <w:p>
            <w:pPr>
              <w:pStyle w:val="TableParagraph"/>
              <w:spacing w:line="340" w:lineRule="auto" w:before="63"/>
              <w:ind w:left="21" w:right="29"/>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2017-106</w:t>
            </w:r>
          </w:p>
        </w:tc>
      </w:tr>
      <w:tr>
        <w:trPr>
          <w:trHeight w:val="1343" w:hRule="exact"/>
        </w:trPr>
        <w:tc>
          <w:tcPr>
            <w:tcW w:w="159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7"/>
              <w:ind w:left="13" w:right="75"/>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年第六次临时 股东大会</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0"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6"/>
              <w:ind w:right="17"/>
              <w:jc w:val="right"/>
              <w:rPr>
                <w:rFonts w:ascii="Times New Roman" w:hAnsi="Times New Roman" w:cs="Times New Roman" w:eastAsia="Times New Roman" w:hint="default"/>
                <w:sz w:val="18"/>
                <w:szCs w:val="18"/>
              </w:rPr>
            </w:pPr>
            <w:r>
              <w:rPr>
                <w:rFonts w:ascii="Times New Roman"/>
                <w:sz w:val="18"/>
              </w:rPr>
              <w:t>22.84%</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5"/>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http://www.cninfo</w:t>
            </w:r>
          </w:p>
          <w:p>
            <w:pPr>
              <w:pStyle w:val="TableParagraph"/>
              <w:spacing w:line="340" w:lineRule="auto" w:before="63"/>
              <w:ind w:left="21" w:right="29"/>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2017-126</w:t>
            </w:r>
          </w:p>
        </w:tc>
      </w:tr>
      <w:tr>
        <w:trPr>
          <w:trHeight w:val="1343" w:hRule="exact"/>
        </w:trPr>
        <w:tc>
          <w:tcPr>
            <w:tcW w:w="159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7"/>
              <w:ind w:left="13" w:right="75"/>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年第七次临时 股东大会</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0"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6"/>
              <w:ind w:right="17"/>
              <w:jc w:val="right"/>
              <w:rPr>
                <w:rFonts w:ascii="Times New Roman" w:hAnsi="Times New Roman" w:cs="Times New Roman" w:eastAsia="Times New Roman" w:hint="default"/>
                <w:sz w:val="18"/>
                <w:szCs w:val="18"/>
              </w:rPr>
            </w:pPr>
            <w:r>
              <w:rPr>
                <w:rFonts w:ascii="Times New Roman"/>
                <w:sz w:val="18"/>
              </w:rPr>
              <w:t>22.91%</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5"/>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http://www.cninfo</w:t>
            </w:r>
          </w:p>
          <w:p>
            <w:pPr>
              <w:pStyle w:val="TableParagraph"/>
              <w:spacing w:line="340" w:lineRule="auto" w:before="63"/>
              <w:ind w:left="21" w:right="29"/>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2017-138</w:t>
            </w:r>
          </w:p>
        </w:tc>
      </w:tr>
      <w:tr>
        <w:trPr>
          <w:trHeight w:val="1344" w:hRule="exact"/>
        </w:trPr>
        <w:tc>
          <w:tcPr>
            <w:tcW w:w="159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7"/>
              <w:ind w:left="13" w:right="75"/>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年第八次临时 股东大会</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0"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6"/>
              <w:ind w:right="17"/>
              <w:jc w:val="right"/>
              <w:rPr>
                <w:rFonts w:ascii="Times New Roman" w:hAnsi="Times New Roman" w:cs="Times New Roman" w:eastAsia="Times New Roman" w:hint="default"/>
                <w:sz w:val="18"/>
                <w:szCs w:val="18"/>
              </w:rPr>
            </w:pPr>
            <w:r>
              <w:rPr>
                <w:rFonts w:ascii="Times New Roman"/>
                <w:sz w:val="18"/>
              </w:rPr>
              <w:t>22.49%</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5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5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1"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5"/>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http://www.cninfo</w:t>
            </w:r>
          </w:p>
          <w:p>
            <w:pPr>
              <w:pStyle w:val="TableParagraph"/>
              <w:spacing w:line="340" w:lineRule="auto" w:before="63"/>
              <w:ind w:left="21" w:right="29"/>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2017-158</w:t>
            </w:r>
          </w:p>
        </w:tc>
      </w:tr>
      <w:tr>
        <w:trPr>
          <w:trHeight w:val="1343" w:hRule="exact"/>
        </w:trPr>
        <w:tc>
          <w:tcPr>
            <w:tcW w:w="159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6"/>
              <w:ind w:left="13" w:right="74"/>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年第九次临时 股东大会</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0"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7"/>
              <w:jc w:val="right"/>
              <w:rPr>
                <w:rFonts w:ascii="Times New Roman" w:hAnsi="Times New Roman" w:cs="Times New Roman" w:eastAsia="Times New Roman" w:hint="default"/>
                <w:sz w:val="18"/>
                <w:szCs w:val="18"/>
              </w:rPr>
            </w:pPr>
            <w:r>
              <w:rPr>
                <w:rFonts w:ascii="Times New Roman"/>
                <w:sz w:val="18"/>
              </w:rPr>
              <w:t>22.41%</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5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5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1"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5"/>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http://www.cninfo</w:t>
            </w:r>
          </w:p>
          <w:p>
            <w:pPr>
              <w:pStyle w:val="TableParagraph"/>
              <w:spacing w:line="340" w:lineRule="auto" w:before="63"/>
              <w:ind w:left="21" w:right="29"/>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2017-162</w:t>
            </w:r>
          </w:p>
        </w:tc>
      </w:tr>
      <w:tr>
        <w:trPr>
          <w:trHeight w:val="727" w:hRule="exact"/>
        </w:trPr>
        <w:tc>
          <w:tcPr>
            <w:tcW w:w="1597" w:type="dxa"/>
            <w:tcBorders>
              <w:top w:val="single" w:sz="6" w:space="0" w:color="000000"/>
              <w:left w:val="single" w:sz="12" w:space="0" w:color="000000"/>
              <w:bottom w:val="single" w:sz="12" w:space="0" w:color="000000"/>
              <w:right w:val="single" w:sz="6" w:space="0" w:color="000000"/>
            </w:tcBorders>
          </w:tcPr>
          <w:p>
            <w:pPr>
              <w:pStyle w:val="TableParagraph"/>
              <w:spacing w:line="302" w:lineRule="auto" w:before="51"/>
              <w:ind w:left="13" w:right="75"/>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年第十次临时 股东大会</w:t>
            </w:r>
          </w:p>
        </w:tc>
        <w:tc>
          <w:tcPr>
            <w:tcW w:w="15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5.97%</w:t>
            </w:r>
          </w:p>
        </w:tc>
        <w:tc>
          <w:tcPr>
            <w:tcW w:w="15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71"/>
              <w:ind w:left="21"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5"/>
              <w:ind w:left="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http://www.cninfo</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54" w:type="dxa"/>
        <w:tblLayout w:type="fixed"/>
        <w:tblCellMar>
          <w:top w:w="0" w:type="dxa"/>
          <w:left w:w="0" w:type="dxa"/>
          <w:bottom w:w="0" w:type="dxa"/>
          <w:right w:w="0" w:type="dxa"/>
        </w:tblCellMar>
        <w:tblLook w:val="01E0"/>
      </w:tblPr>
      <w:tblGrid>
        <w:gridCol w:w="1597"/>
        <w:gridCol w:w="1594"/>
        <w:gridCol w:w="1595"/>
        <w:gridCol w:w="1594"/>
        <w:gridCol w:w="1594"/>
        <w:gridCol w:w="1594"/>
      </w:tblGrid>
      <w:tr>
        <w:trPr>
          <w:trHeight w:val="694" w:hRule="exact"/>
        </w:trPr>
        <w:tc>
          <w:tcPr>
            <w:tcW w:w="1597" w:type="dxa"/>
            <w:tcBorders>
              <w:top w:val="single" w:sz="12" w:space="0" w:color="000000"/>
              <w:left w:val="single" w:sz="12" w:space="0" w:color="000000"/>
              <w:bottom w:val="single" w:sz="12" w:space="0" w:color="000000"/>
              <w:right w:val="single" w:sz="6" w:space="0" w:color="000000"/>
            </w:tcBorders>
          </w:tcPr>
          <w:p>
            <w:pPr/>
          </w:p>
        </w:tc>
        <w:tc>
          <w:tcPr>
            <w:tcW w:w="1594" w:type="dxa"/>
            <w:tcBorders>
              <w:top w:val="single" w:sz="12" w:space="0" w:color="000000"/>
              <w:left w:val="single" w:sz="6" w:space="0" w:color="000000"/>
              <w:bottom w:val="single" w:sz="12" w:space="0" w:color="000000"/>
              <w:right w:val="single" w:sz="6" w:space="0" w:color="000000"/>
            </w:tcBorders>
          </w:tcPr>
          <w:p>
            <w:pPr/>
          </w:p>
        </w:tc>
        <w:tc>
          <w:tcPr>
            <w:tcW w:w="1595" w:type="dxa"/>
            <w:tcBorders>
              <w:top w:val="single" w:sz="12" w:space="0" w:color="000000"/>
              <w:left w:val="single" w:sz="6" w:space="0" w:color="000000"/>
              <w:bottom w:val="single" w:sz="12" w:space="0" w:color="000000"/>
              <w:right w:val="single" w:sz="6" w:space="0" w:color="000000"/>
            </w:tcBorders>
          </w:tcPr>
          <w:p>
            <w:pPr/>
          </w:p>
        </w:tc>
        <w:tc>
          <w:tcPr>
            <w:tcW w:w="1594" w:type="dxa"/>
            <w:tcBorders>
              <w:top w:val="single" w:sz="12" w:space="0" w:color="000000"/>
              <w:left w:val="single" w:sz="6" w:space="0" w:color="000000"/>
              <w:bottom w:val="single" w:sz="12" w:space="0" w:color="000000"/>
              <w:right w:val="single" w:sz="6" w:space="0" w:color="000000"/>
            </w:tcBorders>
          </w:tcPr>
          <w:p>
            <w:pPr/>
          </w:p>
        </w:tc>
        <w:tc>
          <w:tcPr>
            <w:tcW w:w="1594" w:type="dxa"/>
            <w:tcBorders>
              <w:top w:val="single" w:sz="12" w:space="0" w:color="000000"/>
              <w:left w:val="single" w:sz="6" w:space="0" w:color="000000"/>
              <w:bottom w:val="single" w:sz="12" w:space="0" w:color="000000"/>
              <w:right w:val="single" w:sz="6" w:space="0" w:color="000000"/>
            </w:tcBorders>
          </w:tcPr>
          <w:p>
            <w:pPr/>
          </w:p>
        </w:tc>
        <w:tc>
          <w:tcPr>
            <w:tcW w:w="1594" w:type="dxa"/>
            <w:tcBorders>
              <w:top w:val="single" w:sz="12" w:space="0" w:color="000000"/>
              <w:left w:val="single" w:sz="6" w:space="0" w:color="000000"/>
              <w:bottom w:val="single" w:sz="12" w:space="0" w:color="000000"/>
              <w:right w:val="single" w:sz="12" w:space="0" w:color="000000"/>
            </w:tcBorders>
          </w:tcPr>
          <w:p>
            <w:pPr>
              <w:pStyle w:val="TableParagraph"/>
              <w:spacing w:line="340" w:lineRule="auto" w:before="10"/>
              <w:ind w:left="21" w:right="29"/>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2017-173</w:t>
            </w:r>
          </w:p>
        </w:tc>
      </w:tr>
    </w:tbl>
    <w:p>
      <w:pPr>
        <w:spacing w:line="240" w:lineRule="auto" w:before="10"/>
        <w:rPr>
          <w:rFonts w:ascii="Times New Roman" w:hAnsi="Times New Roman" w:cs="Times New Roman" w:eastAsia="Times New Roman" w:hint="default"/>
          <w:sz w:val="21"/>
          <w:szCs w:val="21"/>
        </w:rPr>
      </w:pPr>
    </w:p>
    <w:p>
      <w:pPr>
        <w:pStyle w:val="Heading6"/>
        <w:spacing w:line="240" w:lineRule="auto" w:before="35"/>
        <w:ind w:right="998"/>
        <w:jc w:val="left"/>
        <w:rPr>
          <w:b w:val="0"/>
          <w:bCs w:val="0"/>
        </w:rPr>
      </w:pPr>
      <w:bookmarkStart w:name="2、表决权恢复的优先股股东请求召开临时股东大会" w:id="139"/>
      <w:bookmarkEnd w:id="139"/>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4"/>
        <w:spacing w:line="240" w:lineRule="auto"/>
        <w:ind w:right="998"/>
        <w:jc w:val="left"/>
        <w:rPr>
          <w:b w:val="0"/>
          <w:bCs w:val="0"/>
        </w:rPr>
      </w:pPr>
      <w:bookmarkStart w:name="五、报告期内独立董事履行职责的情况" w:id="140"/>
      <w:bookmarkEnd w:id="140"/>
      <w:r>
        <w:rPr>
          <w:b w:val="0"/>
          <w:bCs w:val="0"/>
        </w:rPr>
      </w:r>
      <w:r>
        <w:rPr/>
        <w:t>五、报告期内独立董事履行职责的情况</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独立董事出席董事会及股东大会的情况" w:id="141"/>
      <w:bookmarkEnd w:id="141"/>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151" w:type="dxa"/>
        <w:tblLayout w:type="fixed"/>
        <w:tblCellMar>
          <w:top w:w="0" w:type="dxa"/>
          <w:left w:w="0" w:type="dxa"/>
          <w:bottom w:w="0" w:type="dxa"/>
          <w:right w:w="0" w:type="dxa"/>
        </w:tblCellMar>
        <w:tblLook w:val="01E0"/>
      </w:tblPr>
      <w:tblGrid>
        <w:gridCol w:w="1429"/>
        <w:gridCol w:w="1164"/>
        <w:gridCol w:w="1164"/>
        <w:gridCol w:w="1163"/>
        <w:gridCol w:w="1163"/>
        <w:gridCol w:w="1163"/>
        <w:gridCol w:w="1163"/>
        <w:gridCol w:w="1162"/>
      </w:tblGrid>
      <w:tr>
        <w:trPr>
          <w:trHeight w:val="413" w:hRule="exact"/>
        </w:trPr>
        <w:tc>
          <w:tcPr>
            <w:tcW w:w="9571" w:type="dxa"/>
            <w:gridSpan w:val="8"/>
            <w:tcBorders>
              <w:top w:val="single" w:sz="12"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31" w:hRule="exact"/>
        </w:trPr>
        <w:tc>
          <w:tcPr>
            <w:tcW w:w="1429"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59"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3" w:right="35"/>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64"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03" w:right="34" w:hanging="270"/>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63"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63"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03" w:right="32" w:hanging="270"/>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63"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483" w:right="33" w:hanging="450"/>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63"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2"/>
              <w:ind w:left="33" w:right="32"/>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2"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94" w:right="23"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8" w:hRule="exact"/>
        </w:trPr>
        <w:tc>
          <w:tcPr>
            <w:tcW w:w="142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4" w:right="0"/>
              <w:jc w:val="left"/>
              <w:rPr>
                <w:rFonts w:ascii="宋体" w:hAnsi="宋体" w:cs="宋体" w:eastAsia="宋体" w:hint="default"/>
                <w:sz w:val="18"/>
                <w:szCs w:val="18"/>
              </w:rPr>
            </w:pPr>
            <w:r>
              <w:rPr>
                <w:rFonts w:ascii="宋体" w:hAnsi="宋体" w:cs="宋体" w:eastAsia="宋体" w:hint="default"/>
                <w:sz w:val="18"/>
                <w:szCs w:val="18"/>
              </w:rPr>
              <w:t>赵保卿</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28</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26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r>
      <w:tr>
        <w:trPr>
          <w:trHeight w:val="407" w:hRule="exact"/>
        </w:trPr>
        <w:tc>
          <w:tcPr>
            <w:tcW w:w="142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陈浩</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r>
      <w:tr>
        <w:trPr>
          <w:trHeight w:val="407" w:hRule="exact"/>
        </w:trPr>
        <w:tc>
          <w:tcPr>
            <w:tcW w:w="142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薛镭</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6</w:t>
            </w:r>
          </w:p>
        </w:tc>
      </w:tr>
      <w:tr>
        <w:trPr>
          <w:trHeight w:val="415" w:hRule="exact"/>
        </w:trPr>
        <w:tc>
          <w:tcPr>
            <w:tcW w:w="142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1"/>
              <w:ind w:left="14" w:right="0"/>
              <w:jc w:val="left"/>
              <w:rPr>
                <w:rFonts w:ascii="宋体" w:hAnsi="宋体" w:cs="宋体" w:eastAsia="宋体" w:hint="default"/>
                <w:sz w:val="18"/>
                <w:szCs w:val="18"/>
              </w:rPr>
            </w:pPr>
            <w:r>
              <w:rPr>
                <w:rFonts w:ascii="宋体" w:hAnsi="宋体" w:cs="宋体" w:eastAsia="宋体" w:hint="default"/>
                <w:sz w:val="18"/>
                <w:szCs w:val="18"/>
              </w:rPr>
              <w:t>罗建北</w:t>
            </w:r>
          </w:p>
        </w:tc>
        <w:tc>
          <w:tcPr>
            <w:tcW w:w="116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w:t>
            </w:r>
          </w:p>
        </w:tc>
        <w:tc>
          <w:tcPr>
            <w:tcW w:w="116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25"/>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116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5</w:t>
            </w:r>
          </w:p>
        </w:tc>
      </w:tr>
    </w:tbl>
    <w:p>
      <w:pPr>
        <w:spacing w:line="360" w:lineRule="auto" w:before="51"/>
        <w:ind w:left="1134" w:right="8052" w:firstLine="0"/>
        <w:jc w:val="left"/>
        <w:rPr>
          <w:rFonts w:ascii="宋体" w:hAnsi="宋体" w:cs="宋体" w:eastAsia="宋体" w:hint="default"/>
          <w:sz w:val="18"/>
          <w:szCs w:val="18"/>
        </w:rPr>
      </w:pPr>
      <w:r>
        <w:rPr>
          <w:rFonts w:ascii="宋体" w:hAnsi="宋体" w:cs="宋体" w:eastAsia="宋体" w:hint="default"/>
          <w:sz w:val="18"/>
          <w:szCs w:val="18"/>
        </w:rPr>
        <w:t>连续两次未亲自出席董事会的说明 不适用</w:t>
      </w:r>
    </w:p>
    <w:p>
      <w:pPr>
        <w:spacing w:line="240" w:lineRule="auto" w:before="11"/>
        <w:rPr>
          <w:rFonts w:ascii="宋体" w:hAnsi="宋体" w:cs="宋体" w:eastAsia="宋体" w:hint="default"/>
          <w:sz w:val="19"/>
          <w:szCs w:val="19"/>
        </w:rPr>
      </w:pPr>
    </w:p>
    <w:p>
      <w:pPr>
        <w:pStyle w:val="Heading6"/>
        <w:spacing w:line="240" w:lineRule="auto"/>
        <w:ind w:right="998"/>
        <w:jc w:val="left"/>
        <w:rPr>
          <w:b w:val="0"/>
          <w:bCs w:val="0"/>
        </w:rPr>
      </w:pPr>
      <w:bookmarkStart w:name="2、独立董事对公司有关事项提出异议的情况" w:id="142"/>
      <w:bookmarkEnd w:id="142"/>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9"/>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独立董事对公司有关事项是否提出异议</w:t>
      </w:r>
    </w:p>
    <w:p>
      <w:pPr>
        <w:spacing w:line="338" w:lineRule="auto" w:before="116"/>
        <w:ind w:left="1133" w:right="697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报告期内独立董事对公司有关事项未提出异议。</w:t>
      </w:r>
    </w:p>
    <w:p>
      <w:pPr>
        <w:spacing w:line="240" w:lineRule="auto" w:before="2"/>
        <w:rPr>
          <w:rFonts w:ascii="宋体" w:hAnsi="宋体" w:cs="宋体" w:eastAsia="宋体" w:hint="default"/>
          <w:sz w:val="21"/>
          <w:szCs w:val="21"/>
        </w:rPr>
      </w:pPr>
    </w:p>
    <w:p>
      <w:pPr>
        <w:pStyle w:val="Heading6"/>
        <w:spacing w:line="240" w:lineRule="auto"/>
        <w:ind w:left="1133" w:right="998"/>
        <w:jc w:val="left"/>
        <w:rPr>
          <w:b w:val="0"/>
          <w:bCs w:val="0"/>
        </w:rPr>
      </w:pPr>
      <w:bookmarkStart w:name="3、独立董事履行职责的其他说明" w:id="143"/>
      <w:bookmarkEnd w:id="143"/>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9"/>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独立董事对公司有关建议是否被采纳</w:t>
      </w:r>
    </w:p>
    <w:p>
      <w:pPr>
        <w:spacing w:before="116"/>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pStyle w:val="BodyText"/>
        <w:spacing w:line="444" w:lineRule="auto" w:before="155"/>
        <w:ind w:left="1554" w:right="998" w:hanging="420"/>
        <w:jc w:val="left"/>
      </w:pPr>
      <w:r>
        <w:rPr/>
        <w:t>独立董事对公司有关建议被采纳或未被采纳的说明 </w:t>
      </w:r>
      <w:r>
        <w:rPr>
          <w:rFonts w:ascii="宋体" w:hAnsi="宋体" w:cs="宋体" w:eastAsia="宋体" w:hint="default"/>
          <w:spacing w:val="-1"/>
        </w:rPr>
        <w:t>2017</w:t>
      </w:r>
      <w:r>
        <w:rPr>
          <w:spacing w:val="-1"/>
        </w:rPr>
        <w:t>年度，公司独立董事积极出席相关会议，认真审阅各项议案，客观地发表自己的看法和观点，了</w:t>
      </w:r>
    </w:p>
    <w:p>
      <w:pPr>
        <w:pStyle w:val="BodyText"/>
        <w:spacing w:line="408" w:lineRule="auto" w:before="14"/>
        <w:ind w:left="1555" w:right="998" w:hanging="422"/>
        <w:jc w:val="left"/>
      </w:pPr>
      <w:r>
        <w:rPr/>
        <w:t>解公司运营、经营状况、内部控制建设以及董事会决议和股东大会决议的执行情况。 </w:t>
      </w:r>
      <w:r>
        <w:rPr>
          <w:spacing w:val="-1"/>
        </w:rPr>
        <w:t>作为各自所处领域的专家，公司独立董事利用自己的专业知识，积极地向公司提出了许多有建设性的</w:t>
      </w:r>
    </w:p>
    <w:p>
      <w:pPr>
        <w:pStyle w:val="BodyText"/>
        <w:spacing w:line="408" w:lineRule="auto" w:before="45"/>
        <w:ind w:right="998"/>
        <w:jc w:val="left"/>
      </w:pPr>
      <w:r>
        <w:rPr>
          <w:spacing w:val="-1"/>
        </w:rPr>
        <w:t>宝贵意见和建议。公司董事会、高管团队认真听取了独立董事的意见，不断优化公司管理结构、明确部门</w:t>
      </w:r>
      <w:r>
        <w:rPr>
          <w:spacing w:val="-85"/>
        </w:rPr>
        <w:t> </w:t>
      </w:r>
      <w:r>
        <w:rPr>
          <w:spacing w:val="-85"/>
        </w:rPr>
      </w:r>
      <w:r>
        <w:rPr>
          <w:spacing w:val="-1"/>
        </w:rPr>
        <w:t>职能、优化业务流程，深入开展公司治理、加大公司内部审核力度和内控建设，加强对前沿产业的研究和</w:t>
      </w:r>
    </w:p>
    <w:p>
      <w:pPr>
        <w:spacing w:after="0" w:line="408" w:lineRule="auto"/>
        <w:jc w:val="left"/>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pStyle w:val="BodyText"/>
        <w:spacing w:line="240" w:lineRule="auto" w:before="174"/>
        <w:ind w:right="0"/>
        <w:jc w:val="both"/>
      </w:pPr>
      <w:r>
        <w:rPr/>
        <w:t>布局，构建完整的产业链，不断提高公司的管理水平。</w:t>
      </w:r>
    </w:p>
    <w:p>
      <w:pPr>
        <w:spacing w:line="240" w:lineRule="auto" w:before="0"/>
        <w:rPr>
          <w:rFonts w:ascii="宋体" w:hAnsi="宋体" w:cs="宋体" w:eastAsia="宋体" w:hint="default"/>
          <w:sz w:val="20"/>
          <w:szCs w:val="20"/>
        </w:rPr>
      </w:pPr>
    </w:p>
    <w:p>
      <w:pPr>
        <w:pStyle w:val="Heading4"/>
        <w:spacing w:line="240" w:lineRule="auto" w:before="131"/>
        <w:ind w:right="0"/>
        <w:jc w:val="both"/>
        <w:rPr>
          <w:b w:val="0"/>
          <w:bCs w:val="0"/>
        </w:rPr>
      </w:pPr>
      <w:bookmarkStart w:name="六、董事会下设专门委员会在报告期内履行职责情况" w:id="144"/>
      <w:bookmarkEnd w:id="144"/>
      <w:r>
        <w:rPr>
          <w:b w:val="0"/>
          <w:bCs w:val="0"/>
        </w:rPr>
      </w:r>
      <w:r>
        <w:rPr/>
        <w:t>六、董事会下设专门委员会在报告期内履行职责情况</w:t>
      </w:r>
      <w:r>
        <w:rPr>
          <w:b w:val="0"/>
          <w:bCs w:val="0"/>
        </w:rPr>
      </w:r>
    </w:p>
    <w:p>
      <w:pPr>
        <w:spacing w:line="240" w:lineRule="auto" w:before="7"/>
        <w:rPr>
          <w:rFonts w:ascii="宋体" w:hAnsi="宋体" w:cs="宋体" w:eastAsia="宋体" w:hint="default"/>
          <w:b/>
          <w:bCs/>
          <w:sz w:val="30"/>
          <w:szCs w:val="30"/>
        </w:rPr>
      </w:pPr>
    </w:p>
    <w:p>
      <w:pPr>
        <w:pStyle w:val="BodyText"/>
        <w:spacing w:line="408" w:lineRule="auto"/>
        <w:ind w:left="1553" w:right="1115"/>
        <w:jc w:val="left"/>
        <w:rPr>
          <w:rFonts w:ascii="Times New Roman" w:hAnsi="Times New Roman" w:cs="Times New Roman" w:eastAsia="Times New Roman" w:hint="default"/>
        </w:rPr>
      </w:pPr>
      <w:r>
        <w:rPr/>
        <w:t>公司董事会下设审计委员会，薪酬与考核委员会。 </w:t>
      </w:r>
      <w:r>
        <w:rPr>
          <w:spacing w:val="-2"/>
        </w:rPr>
        <w:t>审计委员会根据中国证监会、深圳证券交易所相关规定及公司《审计委员会工作细则》的规定，</w:t>
      </w:r>
      <w:r>
        <w:rPr>
          <w:spacing w:val="-43"/>
        </w:rPr>
        <w:t> </w:t>
      </w:r>
      <w:r>
        <w:rPr>
          <w:rFonts w:ascii="Times New Roman" w:hAnsi="Times New Roman" w:cs="Times New Roman" w:eastAsia="Times New Roman" w:hint="default"/>
        </w:rPr>
        <w:t>2017</w:t>
      </w:r>
    </w:p>
    <w:p>
      <w:pPr>
        <w:pStyle w:val="BodyText"/>
        <w:spacing w:line="408" w:lineRule="auto" w:before="14"/>
        <w:ind w:right="1130"/>
        <w:jc w:val="both"/>
      </w:pPr>
      <w:r>
        <w:rPr>
          <w:spacing w:val="-1"/>
        </w:rPr>
        <w:t>年审计委员会召开了各项会议，重点对公司定期财务报告、内部控制、募集资金使用情况、控股股东及关</w:t>
      </w:r>
      <w:r>
        <w:rPr>
          <w:spacing w:val="-86"/>
        </w:rPr>
        <w:t> </w:t>
      </w:r>
      <w:r>
        <w:rPr>
          <w:spacing w:val="-86"/>
        </w:rPr>
      </w:r>
      <w:r>
        <w:rPr>
          <w:spacing w:val="-1"/>
        </w:rPr>
        <w:t>联方资金占用等事项进行审议，对内部审计计划、审计专项报告等进行了审查。审计委员会就会计师事务</w:t>
      </w:r>
      <w:r>
        <w:rPr>
          <w:spacing w:val="-83"/>
        </w:rPr>
        <w:t> </w:t>
      </w:r>
      <w:r>
        <w:rPr>
          <w:spacing w:val="-83"/>
        </w:rPr>
      </w:r>
      <w:r>
        <w:rPr/>
        <w:t>所从事公司年度审计的工作进行了总结评价，提出了续聘会计事务所的建议。</w:t>
      </w:r>
    </w:p>
    <w:p>
      <w:pPr>
        <w:pStyle w:val="BodyText"/>
        <w:spacing w:line="408" w:lineRule="auto" w:before="46"/>
        <w:ind w:right="1131" w:firstLine="420"/>
        <w:jc w:val="both"/>
      </w:pPr>
      <w:r>
        <w:rPr>
          <w:spacing w:val="-1"/>
        </w:rPr>
        <w:t>薪酬与考核委员会依据公司年度经营目标完成情况，董事、高级管理人员分管工作范围、主要职责及</w:t>
      </w:r>
      <w:r>
        <w:rPr/>
        <w:t> 完成情况，对公司董事及高管人员进行考核评价，审查董事及高管人员薪酬政策与方案。</w:t>
      </w:r>
    </w:p>
    <w:p>
      <w:pPr>
        <w:spacing w:line="240" w:lineRule="auto" w:before="11"/>
        <w:rPr>
          <w:rFonts w:ascii="宋体" w:hAnsi="宋体" w:cs="宋体" w:eastAsia="宋体" w:hint="default"/>
          <w:sz w:val="18"/>
          <w:szCs w:val="18"/>
        </w:rPr>
      </w:pPr>
    </w:p>
    <w:p>
      <w:pPr>
        <w:pStyle w:val="Heading4"/>
        <w:spacing w:line="240" w:lineRule="auto"/>
        <w:ind w:right="0"/>
        <w:jc w:val="both"/>
        <w:rPr>
          <w:b w:val="0"/>
          <w:bCs w:val="0"/>
        </w:rPr>
      </w:pPr>
      <w:bookmarkStart w:name="七、监事会工作情况" w:id="145"/>
      <w:bookmarkEnd w:id="145"/>
      <w:r>
        <w:rPr>
          <w:b w:val="0"/>
          <w:bCs w:val="0"/>
        </w:rPr>
      </w:r>
      <w:r>
        <w:rPr/>
        <w:t>七、监事会工作情况</w:t>
      </w:r>
      <w:r>
        <w:rPr>
          <w:b w:val="0"/>
          <w:bCs w:val="0"/>
        </w:rPr>
      </w:r>
    </w:p>
    <w:p>
      <w:pPr>
        <w:spacing w:line="240" w:lineRule="auto" w:before="7"/>
        <w:rPr>
          <w:rFonts w:ascii="宋体" w:hAnsi="宋体" w:cs="宋体" w:eastAsia="宋体" w:hint="default"/>
          <w:b/>
          <w:bCs/>
          <w:sz w:val="26"/>
          <w:szCs w:val="26"/>
        </w:rPr>
      </w:pPr>
    </w:p>
    <w:p>
      <w:pPr>
        <w:spacing w:before="0"/>
        <w:ind w:left="1133" w:right="0" w:firstLine="0"/>
        <w:jc w:val="both"/>
        <w:rPr>
          <w:rFonts w:ascii="宋体" w:hAnsi="宋体" w:cs="宋体" w:eastAsia="宋体" w:hint="default"/>
          <w:sz w:val="18"/>
          <w:szCs w:val="18"/>
        </w:rPr>
      </w:pPr>
      <w:r>
        <w:rPr>
          <w:rFonts w:ascii="宋体" w:hAnsi="宋体" w:cs="宋体" w:eastAsia="宋体" w:hint="default"/>
          <w:sz w:val="18"/>
          <w:szCs w:val="18"/>
        </w:rPr>
        <w:t>监事会在报告期内的监督活动中发现公司是否存在风险</w:t>
      </w:r>
    </w:p>
    <w:p>
      <w:pPr>
        <w:spacing w:line="340" w:lineRule="auto" w:before="116"/>
        <w:ind w:left="1133" w:right="733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公司监事会对报告期内的监督事项无异议。</w:t>
      </w:r>
    </w:p>
    <w:p>
      <w:pPr>
        <w:spacing w:line="240" w:lineRule="auto" w:before="3"/>
        <w:rPr>
          <w:rFonts w:ascii="宋体" w:hAnsi="宋体" w:cs="宋体" w:eastAsia="宋体" w:hint="default"/>
          <w:sz w:val="19"/>
          <w:szCs w:val="19"/>
        </w:rPr>
      </w:pPr>
    </w:p>
    <w:p>
      <w:pPr>
        <w:pStyle w:val="Heading4"/>
        <w:spacing w:line="240" w:lineRule="auto"/>
        <w:ind w:right="0"/>
        <w:jc w:val="both"/>
        <w:rPr>
          <w:b w:val="0"/>
          <w:bCs w:val="0"/>
        </w:rPr>
      </w:pPr>
      <w:bookmarkStart w:name="八、高级管理人员的考评及激励情况" w:id="146"/>
      <w:bookmarkEnd w:id="146"/>
      <w:r>
        <w:rPr>
          <w:b w:val="0"/>
          <w:bCs w:val="0"/>
        </w:rPr>
      </w:r>
      <w:r>
        <w:rPr/>
        <w:t>八、高级管理人员的考评及激励情况</w:t>
      </w:r>
      <w:r>
        <w:rPr>
          <w:b w:val="0"/>
          <w:bCs w:val="0"/>
        </w:rPr>
      </w:r>
    </w:p>
    <w:p>
      <w:pPr>
        <w:spacing w:line="240" w:lineRule="auto" w:before="8"/>
        <w:rPr>
          <w:rFonts w:ascii="宋体" w:hAnsi="宋体" w:cs="宋体" w:eastAsia="宋体" w:hint="default"/>
          <w:b/>
          <w:bCs/>
          <w:sz w:val="30"/>
          <w:szCs w:val="30"/>
        </w:rPr>
      </w:pPr>
    </w:p>
    <w:p>
      <w:pPr>
        <w:pStyle w:val="BodyText"/>
        <w:spacing w:line="408" w:lineRule="auto"/>
        <w:ind w:right="1131" w:firstLine="420"/>
        <w:jc w:val="both"/>
      </w:pPr>
      <w:r>
        <w:rPr>
          <w:spacing w:val="-1"/>
        </w:rPr>
        <w:t>公司已建立高级管理人员的绩效评价体系。公司董事会根据年初确定的工作计划和经营指标，对高级</w:t>
      </w:r>
      <w:r>
        <w:rPr/>
        <w:t> 管理人员进行考核。</w:t>
      </w:r>
    </w:p>
    <w:p>
      <w:pPr>
        <w:pStyle w:val="BodyText"/>
        <w:spacing w:line="408" w:lineRule="auto" w:before="46"/>
        <w:ind w:right="1110" w:firstLine="420"/>
        <w:jc w:val="both"/>
      </w:pPr>
      <w:r>
        <w:rPr>
          <w:spacing w:val="-1"/>
        </w:rPr>
        <w:t>董事会下设薪酬与考核委员会，薪酬委以《北京昆仑万维科技股份有限公司高级管理人员薪酬与绩效</w:t>
      </w:r>
      <w:r>
        <w:rPr/>
        <w:t> </w:t>
      </w:r>
      <w:r>
        <w:rPr>
          <w:spacing w:val="-1"/>
        </w:rPr>
        <w:t>管理制度》为考核规范，根据公司年度财务报告的各项考核指标和年度经营计划目标，对公司高级管理人</w:t>
      </w:r>
      <w:r>
        <w:rPr>
          <w:spacing w:val="-83"/>
        </w:rPr>
        <w:t> </w:t>
      </w:r>
      <w:r>
        <w:rPr>
          <w:spacing w:val="-83"/>
        </w:rPr>
      </w:r>
      <w:r>
        <w:rPr/>
        <w:t>员及其所负责的单位进行经营业绩和管理指标的考核，以此作为奖惩依据。公司将继续按照市场化取向， </w:t>
      </w:r>
      <w:r>
        <w:rPr>
          <w:spacing w:val="-1"/>
        </w:rPr>
        <w:t>逐步建立更加完善的激励和约束机制，以促使高级管理人员勤勉尽责，提高公司法人治理水平，实现股东</w:t>
      </w:r>
      <w:r>
        <w:rPr>
          <w:spacing w:val="-83"/>
        </w:rPr>
        <w:t> </w:t>
      </w:r>
      <w:r>
        <w:rPr>
          <w:spacing w:val="-83"/>
        </w:rPr>
      </w:r>
      <w:r>
        <w:rPr/>
        <w:t>利益和公司利益最大化。</w:t>
      </w:r>
    </w:p>
    <w:p>
      <w:pPr>
        <w:spacing w:line="240" w:lineRule="auto" w:before="11"/>
        <w:rPr>
          <w:rFonts w:ascii="宋体" w:hAnsi="宋体" w:cs="宋体" w:eastAsia="宋体" w:hint="default"/>
          <w:sz w:val="18"/>
          <w:szCs w:val="18"/>
        </w:rPr>
      </w:pPr>
    </w:p>
    <w:p>
      <w:pPr>
        <w:pStyle w:val="Heading4"/>
        <w:spacing w:line="240" w:lineRule="auto"/>
        <w:ind w:right="0"/>
        <w:jc w:val="both"/>
        <w:rPr>
          <w:b w:val="0"/>
          <w:bCs w:val="0"/>
        </w:rPr>
      </w:pPr>
      <w:bookmarkStart w:name="九、内部控制评价报告" w:id="147"/>
      <w:bookmarkEnd w:id="147"/>
      <w:r>
        <w:rPr>
          <w:b w:val="0"/>
          <w:bCs w:val="0"/>
        </w:rPr>
      </w:r>
      <w:r>
        <w:rPr/>
        <w:t>九、内部控制评价报告</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0"/>
        <w:jc w:val="both"/>
        <w:rPr>
          <w:b w:val="0"/>
          <w:bCs w:val="0"/>
        </w:rPr>
      </w:pPr>
      <w:bookmarkStart w:name="1、报告期内发现的内部控制重大缺陷的具体情况" w:id="148"/>
      <w:bookmarkEnd w:id="148"/>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after="0"/>
        <w:jc w:val="both"/>
        <w:rPr>
          <w:rFonts w:ascii="宋体" w:hAnsi="宋体" w:cs="宋体" w:eastAsia="宋体" w:hint="default"/>
          <w:sz w:val="18"/>
          <w:szCs w:val="18"/>
        </w:rPr>
        <w:sectPr>
          <w:pgSz w:w="11910" w:h="16840"/>
          <w:pgMar w:header="877" w:footer="979" w:top="1060" w:bottom="1160" w:left="0" w:right="0"/>
        </w:sectPr>
      </w:pPr>
    </w:p>
    <w:p>
      <w:pPr>
        <w:spacing w:line="240" w:lineRule="auto" w:before="9"/>
        <w:rPr>
          <w:rFonts w:ascii="宋体" w:hAnsi="宋体" w:cs="宋体" w:eastAsia="宋体" w:hint="default"/>
          <w:sz w:val="24"/>
          <w:szCs w:val="24"/>
        </w:rPr>
      </w:pPr>
      <w:r>
        <w:rPr/>
        <w:pict>
          <v:shape style="position:absolute;margin-left:57.66pt;margin-top:102.659981pt;width:480.75pt;height:636.5pt;mso-position-horizontal-relative:page;mso-position-vertical-relative:page;z-index:22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90"/>
                    <w:gridCol w:w="3339"/>
                    <w:gridCol w:w="3041"/>
                  </w:tblGrid>
                  <w:tr>
                    <w:trPr>
                      <w:trHeight w:val="415" w:hRule="exact"/>
                    </w:trPr>
                    <w:tc>
                      <w:tcPr>
                        <w:tcW w:w="3190"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80" w:type="dxa"/>
                        <w:gridSpan w:val="2"/>
                        <w:tcBorders>
                          <w:top w:val="single" w:sz="12" w:space="0" w:color="000000"/>
                          <w:left w:val="single" w:sz="9" w:space="0" w:color="D2D2D2"/>
                          <w:bottom w:val="single" w:sz="6" w:space="0" w:color="000000"/>
                          <w:right w:val="single" w:sz="12"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7" w:hRule="exact"/>
                    </w:trPr>
                    <w:tc>
                      <w:tcPr>
                        <w:tcW w:w="319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80" w:type="dxa"/>
                        <w:gridSpan w:val="2"/>
                        <w:tcBorders>
                          <w:top w:val="single" w:sz="6" w:space="0" w:color="000000"/>
                          <w:left w:val="single" w:sz="9" w:space="0" w:color="D2D2D2"/>
                          <w:bottom w:val="single" w:sz="6" w:space="0" w:color="000000"/>
                          <w:right w:val="single" w:sz="12"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见巨潮资讯网（</w:t>
                        </w:r>
                        <w:hyperlink r:id="rId11">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）上披露的报告</w:t>
                        </w:r>
                      </w:p>
                    </w:tc>
                  </w:tr>
                  <w:tr>
                    <w:trPr>
                      <w:trHeight w:val="719" w:hRule="exact"/>
                    </w:trPr>
                    <w:tc>
                      <w:tcPr>
                        <w:tcW w:w="319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9" w:lineRule="auto" w:before="51"/>
                          <w:ind w:left="13" w:right="92"/>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 财务报表资产总额的比例</w:t>
                        </w:r>
                      </w:p>
                    </w:tc>
                    <w:tc>
                      <w:tcPr>
                        <w:tcW w:w="6380" w:type="dxa"/>
                        <w:gridSpan w:val="2"/>
                        <w:tcBorders>
                          <w:top w:val="single" w:sz="6" w:space="0" w:color="000000"/>
                          <w:left w:val="single" w:sz="9" w:space="0" w:color="D2D2D2"/>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z w:val="18"/>
                          </w:rPr>
                          <w:t>100.00%</w:t>
                        </w:r>
                      </w:p>
                    </w:tc>
                  </w:tr>
                  <w:tr>
                    <w:trPr>
                      <w:trHeight w:val="719" w:hRule="exact"/>
                    </w:trPr>
                    <w:tc>
                      <w:tcPr>
                        <w:tcW w:w="319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6" w:lineRule="auto" w:before="52"/>
                          <w:ind w:left="13" w:right="92"/>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 财务报表营业收入的比例</w:t>
                        </w:r>
                      </w:p>
                    </w:tc>
                    <w:tc>
                      <w:tcPr>
                        <w:tcW w:w="6380" w:type="dxa"/>
                        <w:gridSpan w:val="2"/>
                        <w:tcBorders>
                          <w:top w:val="single" w:sz="6" w:space="0" w:color="000000"/>
                          <w:left w:val="single" w:sz="9" w:space="0" w:color="D2D2D2"/>
                          <w:bottom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z w:val="18"/>
                          </w:rPr>
                          <w:t>100.00%</w:t>
                        </w:r>
                      </w:p>
                    </w:tc>
                  </w:tr>
                  <w:tr>
                    <w:trPr>
                      <w:trHeight w:val="407" w:hRule="exact"/>
                    </w:trPr>
                    <w:tc>
                      <w:tcPr>
                        <w:tcW w:w="9570" w:type="dxa"/>
                        <w:gridSpan w:val="3"/>
                        <w:tcBorders>
                          <w:top w:val="single" w:sz="6"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7" w:hRule="exact"/>
                    </w:trPr>
                    <w:tc>
                      <w:tcPr>
                        <w:tcW w:w="319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339"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2"/>
                          <w:ind w:right="3"/>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41" w:type="dxa"/>
                        <w:tcBorders>
                          <w:top w:val="single" w:sz="6"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3284" w:hRule="exact"/>
                    </w:trPr>
                    <w:tc>
                      <w:tcPr>
                        <w:tcW w:w="3190" w:type="dxa"/>
                        <w:tcBorders>
                          <w:top w:val="single" w:sz="6" w:space="0" w:color="000000"/>
                          <w:left w:val="single" w:sz="12" w:space="0" w:color="000000"/>
                          <w:bottom w:val="nil" w:sz="6" w:space="0" w:color="auto"/>
                          <w:right w:val="single" w:sz="6" w:space="0" w:color="000000"/>
                        </w:tcBorders>
                        <w:shd w:val="clear" w:color="auto" w:fill="D2D2D2"/>
                      </w:tcPr>
                      <w:p>
                        <w:pPr/>
                      </w:p>
                    </w:tc>
                    <w:tc>
                      <w:tcPr>
                        <w:tcW w:w="3339" w:type="dxa"/>
                        <w:vMerge w:val="restart"/>
                        <w:tcBorders>
                          <w:top w:val="single" w:sz="6" w:space="0" w:color="000000"/>
                          <w:left w:val="single" w:sz="9" w:space="0" w:color="D2D2D2"/>
                          <w:right w:val="single" w:sz="8" w:space="0" w:color="FFFFFF"/>
                        </w:tcBorders>
                      </w:tcPr>
                      <w:p>
                        <w:pPr>
                          <w:pStyle w:val="TableParagraph"/>
                          <w:spacing w:line="309" w:lineRule="auto" w:before="51"/>
                          <w:ind w:left="22" w:right="-35"/>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重大缺陷：是指一个或多个控制缺陷的 组合，可能导致企业严重偏离控制目标。 </w:t>
                        </w:r>
                        <w:r>
                          <w:rPr>
                            <w:rFonts w:ascii="宋体" w:hAnsi="宋体" w:cs="宋体" w:eastAsia="宋体" w:hint="default"/>
                            <w:spacing w:val="-5"/>
                            <w:sz w:val="18"/>
                            <w:szCs w:val="18"/>
                          </w:rPr>
                          <w:t>出现下列特征的，认定为重大缺陷：（</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w:t>
                        </w:r>
                        <w:r>
                          <w:rPr>
                            <w:rFonts w:ascii="宋体" w:hAnsi="宋体" w:cs="宋体" w:eastAsia="宋体" w:hint="default"/>
                            <w:spacing w:val="-85"/>
                            <w:sz w:val="18"/>
                            <w:szCs w:val="18"/>
                          </w:rPr>
                          <w:t> </w:t>
                        </w:r>
                        <w:r>
                          <w:rPr>
                            <w:rFonts w:ascii="宋体" w:hAnsi="宋体" w:cs="宋体" w:eastAsia="宋体" w:hint="default"/>
                            <w:spacing w:val="-5"/>
                            <w:sz w:val="18"/>
                            <w:szCs w:val="18"/>
                          </w:rPr>
                          <w:t>董事、监事和高级管理人员舞弊；（</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）对</w:t>
                        </w:r>
                        <w:r>
                          <w:rPr>
                            <w:rFonts w:ascii="宋体" w:hAnsi="宋体" w:cs="宋体" w:eastAsia="宋体" w:hint="default"/>
                            <w:spacing w:val="-85"/>
                            <w:sz w:val="18"/>
                            <w:szCs w:val="18"/>
                          </w:rPr>
                          <w:t> </w:t>
                        </w:r>
                        <w:r>
                          <w:rPr>
                            <w:rFonts w:ascii="宋体" w:hAnsi="宋体" w:cs="宋体" w:eastAsia="宋体" w:hint="default"/>
                            <w:sz w:val="18"/>
                            <w:szCs w:val="18"/>
                          </w:rPr>
                          <w:t>已经公告的财务报告出现的重大差错进行 错报更正（由于政策变化或其他客观因素 </w:t>
                        </w:r>
                        <w:r>
                          <w:rPr>
                            <w:rFonts w:ascii="宋体" w:hAnsi="宋体" w:cs="宋体" w:eastAsia="宋体" w:hint="default"/>
                            <w:spacing w:val="-5"/>
                            <w:sz w:val="18"/>
                            <w:szCs w:val="18"/>
                          </w:rPr>
                          <w:t>变化导致的对以前年度的追溯调整除外）；</w:t>
                        </w:r>
                      </w:p>
                      <w:p>
                        <w:pPr>
                          <w:pStyle w:val="TableParagraph"/>
                          <w:spacing w:line="309" w:lineRule="auto" w:before="24"/>
                          <w:ind w:left="22" w:right="25"/>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）当期财务报告存在重大错报，而内部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5"/>
                            <w:sz w:val="18"/>
                            <w:szCs w:val="18"/>
                          </w:rPr>
                          <w:t>控制在运行过程中未能发现该错报；（</w:t>
                        </w:r>
                        <w:r>
                          <w:rPr>
                            <w:rFonts w:ascii="Times New Roman" w:hAnsi="Times New Roman" w:cs="Times New Roman" w:eastAsia="Times New Roman" w:hint="default"/>
                            <w:spacing w:val="-5"/>
                            <w:sz w:val="18"/>
                            <w:szCs w:val="18"/>
                          </w:rPr>
                          <w:t>4</w:t>
                        </w:r>
                        <w:r>
                          <w:rPr>
                            <w:rFonts w:ascii="宋体" w:hAnsi="宋体" w:cs="宋体" w:eastAsia="宋体" w:hint="default"/>
                            <w:spacing w:val="-5"/>
                            <w:sz w:val="18"/>
                            <w:szCs w:val="18"/>
                          </w:rPr>
                          <w:t>）</w:t>
                        </w:r>
                        <w:r>
                          <w:rPr>
                            <w:rFonts w:ascii="宋体" w:hAnsi="宋体" w:cs="宋体" w:eastAsia="宋体" w:hint="default"/>
                            <w:spacing w:val="-85"/>
                            <w:sz w:val="18"/>
                            <w:szCs w:val="18"/>
                          </w:rPr>
                          <w:t> </w:t>
                        </w:r>
                        <w:r>
                          <w:rPr>
                            <w:rFonts w:ascii="宋体" w:hAnsi="宋体" w:cs="宋体" w:eastAsia="宋体" w:hint="default"/>
                            <w:sz w:val="18"/>
                            <w:szCs w:val="18"/>
                          </w:rPr>
                          <w:t>审计委员会以及内部审计部门对财务报告 内部控制监督无效。</w:t>
                        </w:r>
                        <w:r>
                          <w:rPr>
                            <w:rFonts w:ascii="Times New Roman" w:hAnsi="Times New Roman" w:cs="Times New Roman" w:eastAsia="Times New Roman" w:hint="default"/>
                            <w:sz w:val="18"/>
                            <w:szCs w:val="18"/>
                          </w:rPr>
                          <w:t>2.</w:t>
                        </w:r>
                        <w:r>
                          <w:rPr>
                            <w:rFonts w:ascii="宋体" w:hAnsi="宋体" w:cs="宋体" w:eastAsia="宋体" w:hint="default"/>
                            <w:sz w:val="18"/>
                            <w:szCs w:val="18"/>
                          </w:rPr>
                          <w:t>重要缺陷：是指一 个或多个控制缺陷的组合，其严重程度和 经济后果低于重大缺陷但仍有可能导致企 业偏离控制目标。出现以下特征的，认定 </w:t>
                        </w:r>
                        <w:r>
                          <w:rPr>
                            <w:rFonts w:ascii="宋体" w:hAnsi="宋体" w:cs="宋体" w:eastAsia="宋体" w:hint="default"/>
                            <w:spacing w:val="-5"/>
                            <w:sz w:val="18"/>
                            <w:szCs w:val="18"/>
                          </w:rPr>
                          <w:t>为重要缺陷：（</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）未依照公认会计准则选</w:t>
                        </w:r>
                        <w:r>
                          <w:rPr>
                            <w:rFonts w:ascii="宋体" w:hAnsi="宋体" w:cs="宋体" w:eastAsia="宋体" w:hint="default"/>
                            <w:spacing w:val="-85"/>
                            <w:sz w:val="18"/>
                            <w:szCs w:val="18"/>
                          </w:rPr>
                          <w:t> </w:t>
                        </w:r>
                        <w:r>
                          <w:rPr>
                            <w:rFonts w:ascii="宋体" w:hAnsi="宋体" w:cs="宋体" w:eastAsia="宋体" w:hint="default"/>
                            <w:spacing w:val="-5"/>
                            <w:sz w:val="18"/>
                            <w:szCs w:val="18"/>
                          </w:rPr>
                          <w:t>择和应用会计政策；（</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）未建立反舞弊程</w:t>
                        </w:r>
                        <w:r>
                          <w:rPr>
                            <w:rFonts w:ascii="宋体" w:hAnsi="宋体" w:cs="宋体" w:eastAsia="宋体" w:hint="default"/>
                            <w:spacing w:val="-85"/>
                            <w:sz w:val="18"/>
                            <w:szCs w:val="18"/>
                          </w:rPr>
                          <w:t> </w:t>
                        </w:r>
                        <w:r>
                          <w:rPr>
                            <w:rFonts w:ascii="宋体" w:hAnsi="宋体" w:cs="宋体" w:eastAsia="宋体" w:hint="default"/>
                            <w:spacing w:val="-5"/>
                            <w:sz w:val="18"/>
                            <w:szCs w:val="18"/>
                          </w:rPr>
                          <w:t>序和控制措施；（</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）对于非常规或特殊交</w:t>
                        </w:r>
                        <w:r>
                          <w:rPr>
                            <w:rFonts w:ascii="宋体" w:hAnsi="宋体" w:cs="宋体" w:eastAsia="宋体" w:hint="default"/>
                            <w:spacing w:val="-85"/>
                            <w:sz w:val="18"/>
                            <w:szCs w:val="18"/>
                          </w:rPr>
                          <w:t> </w:t>
                        </w:r>
                        <w:r>
                          <w:rPr>
                            <w:rFonts w:ascii="宋体" w:hAnsi="宋体" w:cs="宋体" w:eastAsia="宋体" w:hint="default"/>
                            <w:sz w:val="18"/>
                            <w:szCs w:val="18"/>
                          </w:rPr>
                          <w:t>易的账务处理没有建立相应的控制机制或 </w:t>
                        </w:r>
                        <w:r>
                          <w:rPr>
                            <w:rFonts w:ascii="宋体" w:hAnsi="宋体" w:cs="宋体" w:eastAsia="宋体" w:hint="default"/>
                            <w:spacing w:val="-5"/>
                            <w:sz w:val="18"/>
                            <w:szCs w:val="18"/>
                          </w:rPr>
                          <w:t>没有实施且没有相应的补偿性控制；（</w:t>
                        </w:r>
                        <w:r>
                          <w:rPr>
                            <w:rFonts w:ascii="Times New Roman" w:hAnsi="Times New Roman" w:cs="Times New Roman" w:eastAsia="Times New Roman" w:hint="default"/>
                            <w:spacing w:val="-5"/>
                            <w:sz w:val="18"/>
                            <w:szCs w:val="18"/>
                          </w:rPr>
                          <w:t>4</w:t>
                        </w:r>
                        <w:r>
                          <w:rPr>
                            <w:rFonts w:ascii="宋体" w:hAnsi="宋体" w:cs="宋体" w:eastAsia="宋体" w:hint="default"/>
                            <w:spacing w:val="-5"/>
                            <w:sz w:val="18"/>
                            <w:szCs w:val="18"/>
                          </w:rPr>
                          <w:t>）</w:t>
                        </w:r>
                        <w:r>
                          <w:rPr>
                            <w:rFonts w:ascii="宋体" w:hAnsi="宋体" w:cs="宋体" w:eastAsia="宋体" w:hint="default"/>
                            <w:spacing w:val="-85"/>
                            <w:sz w:val="18"/>
                            <w:szCs w:val="18"/>
                          </w:rPr>
                          <w:t> </w:t>
                        </w:r>
                        <w:r>
                          <w:rPr>
                            <w:rFonts w:ascii="宋体" w:hAnsi="宋体" w:cs="宋体" w:eastAsia="宋体" w:hint="default"/>
                            <w:sz w:val="18"/>
                            <w:szCs w:val="18"/>
                          </w:rPr>
                          <w:t>对于期末财务报告过程的控制存在一项或 多项缺陷且不能合理保证编制的财务报表 达到真实、准确的目标。</w:t>
                        </w:r>
                      </w:p>
                    </w:tc>
                    <w:tc>
                      <w:tcPr>
                        <w:tcW w:w="3041" w:type="dxa"/>
                        <w:vMerge w:val="restart"/>
                        <w:tcBorders>
                          <w:top w:val="single" w:sz="6" w:space="0" w:color="000000"/>
                          <w:left w:val="single" w:sz="8" w:space="0" w:color="FFFFFF"/>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00" w:lineRule="auto"/>
                          <w:ind w:left="7" w:right="3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．具有以下特征的缺陷，认定为重大 </w:t>
                        </w:r>
                        <w:r>
                          <w:rPr>
                            <w:rFonts w:ascii="宋体" w:hAnsi="宋体" w:cs="宋体" w:eastAsia="宋体" w:hint="default"/>
                            <w:spacing w:val="-14"/>
                            <w:sz w:val="18"/>
                            <w:szCs w:val="18"/>
                          </w:rPr>
                          <w:t>缺陷：（</w:t>
                        </w:r>
                        <w:r>
                          <w:rPr>
                            <w:rFonts w:ascii="Times New Roman" w:hAnsi="Times New Roman" w:cs="Times New Roman" w:eastAsia="Times New Roman" w:hint="default"/>
                            <w:spacing w:val="-14"/>
                            <w:sz w:val="18"/>
                            <w:szCs w:val="18"/>
                          </w:rPr>
                          <w:t>1</w:t>
                        </w:r>
                        <w:r>
                          <w:rPr>
                            <w:rFonts w:ascii="宋体" w:hAnsi="宋体" w:cs="宋体" w:eastAsia="宋体" w:hint="default"/>
                            <w:spacing w:val="-14"/>
                            <w:sz w:val="18"/>
                            <w:szCs w:val="18"/>
                          </w:rPr>
                          <w:t>）公司决策程序导致重大损失</w:t>
                        </w:r>
                      </w:p>
                      <w:p>
                        <w:pPr>
                          <w:pStyle w:val="TableParagraph"/>
                          <w:spacing w:line="307" w:lineRule="auto" w:before="13"/>
                          <w:ind w:left="7" w:right="-52"/>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）严重违反法律、法规；（</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）公司</w:t>
                        </w:r>
                        <w:r>
                          <w:rPr>
                            <w:rFonts w:ascii="宋体" w:hAnsi="宋体" w:cs="宋体" w:eastAsia="宋体" w:hint="default"/>
                            <w:sz w:val="18"/>
                            <w:szCs w:val="18"/>
                          </w:rPr>
                          <w:t> 中高级管理人员和高级技术人员流失 </w:t>
                        </w:r>
                        <w:r>
                          <w:rPr>
                            <w:rFonts w:ascii="宋体" w:hAnsi="宋体" w:cs="宋体" w:eastAsia="宋体" w:hint="default"/>
                            <w:spacing w:val="-9"/>
                            <w:sz w:val="18"/>
                            <w:szCs w:val="18"/>
                          </w:rPr>
                          <w:t>严重；（</w:t>
                        </w:r>
                        <w:r>
                          <w:rPr>
                            <w:rFonts w:ascii="Times New Roman" w:hAnsi="Times New Roman" w:cs="Times New Roman" w:eastAsia="Times New Roman" w:hint="default"/>
                            <w:spacing w:val="-9"/>
                            <w:sz w:val="18"/>
                            <w:szCs w:val="18"/>
                          </w:rPr>
                          <w:t>4</w:t>
                        </w:r>
                        <w:r>
                          <w:rPr>
                            <w:rFonts w:ascii="宋体" w:hAnsi="宋体" w:cs="宋体" w:eastAsia="宋体" w:hint="default"/>
                            <w:spacing w:val="-9"/>
                            <w:sz w:val="18"/>
                            <w:szCs w:val="18"/>
                          </w:rPr>
                          <w:t>）媒体频现负面新闻，涉及面</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9"/>
                            <w:sz w:val="18"/>
                            <w:szCs w:val="18"/>
                          </w:rPr>
                          <w:t>广且负面影响一直未能消除；（</w:t>
                        </w:r>
                        <w:r>
                          <w:rPr>
                            <w:rFonts w:ascii="Times New Roman" w:hAnsi="Times New Roman" w:cs="Times New Roman" w:eastAsia="Times New Roman" w:hint="default"/>
                            <w:spacing w:val="-9"/>
                            <w:sz w:val="18"/>
                            <w:szCs w:val="18"/>
                          </w:rPr>
                          <w:t>5</w:t>
                        </w:r>
                        <w:r>
                          <w:rPr>
                            <w:rFonts w:ascii="宋体" w:hAnsi="宋体" w:cs="宋体" w:eastAsia="宋体" w:hint="default"/>
                            <w:spacing w:val="-9"/>
                            <w:sz w:val="18"/>
                            <w:szCs w:val="18"/>
                          </w:rPr>
                          <w:t>）公司</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重要业务缺乏制度控制或制度体系失 </w:t>
                        </w:r>
                        <w:r>
                          <w:rPr>
                            <w:rFonts w:ascii="宋体" w:hAnsi="宋体" w:cs="宋体" w:eastAsia="宋体" w:hint="default"/>
                            <w:spacing w:val="-4"/>
                            <w:sz w:val="18"/>
                            <w:szCs w:val="18"/>
                          </w:rPr>
                          <w:t>效，重要的经济业务虽有内控制度，但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9"/>
                            <w:sz w:val="18"/>
                            <w:szCs w:val="18"/>
                          </w:rPr>
                          <w:t>没有有效的运行；（</w:t>
                        </w:r>
                        <w:r>
                          <w:rPr>
                            <w:rFonts w:ascii="Times New Roman" w:hAnsi="Times New Roman" w:cs="Times New Roman" w:eastAsia="Times New Roman" w:hint="default"/>
                            <w:spacing w:val="-9"/>
                            <w:sz w:val="18"/>
                            <w:szCs w:val="18"/>
                          </w:rPr>
                          <w:t>6</w:t>
                        </w:r>
                        <w:r>
                          <w:rPr>
                            <w:rFonts w:ascii="宋体" w:hAnsi="宋体" w:cs="宋体" w:eastAsia="宋体" w:hint="default"/>
                            <w:spacing w:val="-9"/>
                            <w:sz w:val="18"/>
                            <w:szCs w:val="18"/>
                          </w:rPr>
                          <w:t>）公司内部控制重</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9"/>
                            <w:sz w:val="18"/>
                            <w:szCs w:val="18"/>
                          </w:rPr>
                          <w:t>大或重要缺陷未得到整改；（</w:t>
                        </w:r>
                        <w:r>
                          <w:rPr>
                            <w:rFonts w:ascii="Times New Roman" w:hAnsi="Times New Roman" w:cs="Times New Roman" w:eastAsia="Times New Roman" w:hint="default"/>
                            <w:spacing w:val="-9"/>
                            <w:sz w:val="18"/>
                            <w:szCs w:val="18"/>
                          </w:rPr>
                          <w:t>7</w:t>
                        </w:r>
                        <w:r>
                          <w:rPr>
                            <w:rFonts w:ascii="宋体" w:hAnsi="宋体" w:cs="宋体" w:eastAsia="宋体" w:hint="default"/>
                            <w:spacing w:val="-9"/>
                            <w:sz w:val="18"/>
                            <w:szCs w:val="18"/>
                          </w:rPr>
                          <w:t>）公司遭</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3"/>
                            <w:sz w:val="18"/>
                            <w:szCs w:val="18"/>
                          </w:rPr>
                          <w:t>受证监会处罚或证券交易所警告。</w:t>
                        </w:r>
                        <w:r>
                          <w:rPr>
                            <w:rFonts w:ascii="Times New Roman" w:hAnsi="Times New Roman" w:cs="Times New Roman" w:eastAsia="Times New Roman" w:hint="default"/>
                            <w:spacing w:val="-13"/>
                            <w:sz w:val="18"/>
                            <w:szCs w:val="18"/>
                          </w:rPr>
                          <w:t>2</w:t>
                        </w:r>
                        <w:r>
                          <w:rPr>
                            <w:rFonts w:ascii="宋体" w:hAnsi="宋体" w:cs="宋体" w:eastAsia="宋体" w:hint="default"/>
                            <w:spacing w:val="-13"/>
                            <w:sz w:val="18"/>
                            <w:szCs w:val="18"/>
                          </w:rPr>
                          <w:t>．具</w:t>
                        </w:r>
                        <w:r>
                          <w:rPr>
                            <w:rFonts w:ascii="宋体" w:hAnsi="宋体" w:cs="宋体" w:eastAsia="宋体" w:hint="default"/>
                            <w:spacing w:val="-78"/>
                            <w:sz w:val="18"/>
                            <w:szCs w:val="18"/>
                          </w:rPr>
                          <w:t> </w:t>
                        </w:r>
                        <w:r>
                          <w:rPr>
                            <w:rFonts w:ascii="宋体" w:hAnsi="宋体" w:cs="宋体" w:eastAsia="宋体" w:hint="default"/>
                            <w:sz w:val="18"/>
                            <w:szCs w:val="18"/>
                          </w:rPr>
                          <w:t>有以下特征的缺陷，认定为重要缺陷：</w:t>
                        </w:r>
                      </w:p>
                      <w:p>
                        <w:pPr>
                          <w:pStyle w:val="TableParagraph"/>
                          <w:spacing w:line="240" w:lineRule="auto" w:before="26"/>
                          <w:ind w:left="7" w:right="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）公司决策程序导致出现重大失误</w:t>
                        </w:r>
                      </w:p>
                      <w:p>
                        <w:pPr>
                          <w:pStyle w:val="TableParagraph"/>
                          <w:spacing w:line="240" w:lineRule="auto" w:before="63"/>
                          <w:ind w:left="7" w:right="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）公司关键岗位业务人员流失严重</w:t>
                        </w:r>
                      </w:p>
                      <w:p>
                        <w:pPr>
                          <w:pStyle w:val="TableParagraph"/>
                          <w:spacing w:line="300" w:lineRule="auto" w:before="63"/>
                          <w:ind w:left="7" w:right="11"/>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）媒体出现负面新闻，波及局部区 </w:t>
                        </w:r>
                        <w:r>
                          <w:rPr>
                            <w:rFonts w:ascii="宋体" w:hAnsi="宋体" w:cs="宋体" w:eastAsia="宋体" w:hint="default"/>
                            <w:spacing w:val="-9"/>
                            <w:sz w:val="18"/>
                            <w:szCs w:val="18"/>
                          </w:rPr>
                          <w:t>域；（</w:t>
                        </w:r>
                        <w:r>
                          <w:rPr>
                            <w:rFonts w:ascii="Times New Roman" w:hAnsi="Times New Roman" w:cs="Times New Roman" w:eastAsia="Times New Roman" w:hint="default"/>
                            <w:spacing w:val="-9"/>
                            <w:sz w:val="18"/>
                            <w:szCs w:val="18"/>
                          </w:rPr>
                          <w:t>4</w:t>
                        </w:r>
                        <w:r>
                          <w:rPr>
                            <w:rFonts w:ascii="宋体" w:hAnsi="宋体" w:cs="宋体" w:eastAsia="宋体" w:hint="default"/>
                            <w:spacing w:val="-9"/>
                            <w:sz w:val="18"/>
                            <w:szCs w:val="18"/>
                          </w:rPr>
                          <w:t>）公司重要业务制度或系统存在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9"/>
                            <w:sz w:val="18"/>
                            <w:szCs w:val="18"/>
                          </w:rPr>
                          <w:t>缺陷；（</w:t>
                        </w:r>
                        <w:r>
                          <w:rPr>
                            <w:rFonts w:ascii="Times New Roman" w:hAnsi="Times New Roman" w:cs="Times New Roman" w:eastAsia="Times New Roman" w:hint="default"/>
                            <w:spacing w:val="-9"/>
                            <w:sz w:val="18"/>
                            <w:szCs w:val="18"/>
                          </w:rPr>
                          <w:t>5</w:t>
                        </w:r>
                        <w:r>
                          <w:rPr>
                            <w:rFonts w:ascii="宋体" w:hAnsi="宋体" w:cs="宋体" w:eastAsia="宋体" w:hint="default"/>
                            <w:spacing w:val="-9"/>
                            <w:sz w:val="18"/>
                            <w:szCs w:val="18"/>
                          </w:rPr>
                          <w:t>）公司内部控制重要缺陷未在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合理期间内得到整改。</w:t>
                        </w:r>
                      </w:p>
                    </w:tc>
                  </w:tr>
                  <w:tr>
                    <w:trPr>
                      <w:trHeight w:val="392" w:hRule="exact"/>
                    </w:trPr>
                    <w:tc>
                      <w:tcPr>
                        <w:tcW w:w="3190"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39" w:type="dxa"/>
                        <w:vMerge/>
                        <w:tcBorders>
                          <w:left w:val="single" w:sz="9" w:space="0" w:color="D2D2D2"/>
                          <w:right w:val="single" w:sz="8" w:space="0" w:color="FFFFFF"/>
                        </w:tcBorders>
                      </w:tcPr>
                      <w:p>
                        <w:pPr/>
                      </w:p>
                    </w:tc>
                    <w:tc>
                      <w:tcPr>
                        <w:tcW w:w="3041" w:type="dxa"/>
                        <w:vMerge/>
                        <w:tcBorders>
                          <w:left w:val="single" w:sz="8" w:space="0" w:color="FFFFFF"/>
                          <w:right w:val="single" w:sz="12" w:space="0" w:color="000000"/>
                        </w:tcBorders>
                      </w:tcPr>
                      <w:p>
                        <w:pPr/>
                      </w:p>
                    </w:tc>
                  </w:tr>
                  <w:tr>
                    <w:trPr>
                      <w:trHeight w:val="3283" w:hRule="exact"/>
                    </w:trPr>
                    <w:tc>
                      <w:tcPr>
                        <w:tcW w:w="3190" w:type="dxa"/>
                        <w:tcBorders>
                          <w:top w:val="nil" w:sz="6" w:space="0" w:color="auto"/>
                          <w:left w:val="single" w:sz="12" w:space="0" w:color="000000"/>
                          <w:bottom w:val="single" w:sz="6" w:space="0" w:color="000000"/>
                          <w:right w:val="single" w:sz="6" w:space="0" w:color="000000"/>
                        </w:tcBorders>
                        <w:shd w:val="clear" w:color="auto" w:fill="D2D2D2"/>
                      </w:tcPr>
                      <w:p>
                        <w:pPr/>
                      </w:p>
                    </w:tc>
                    <w:tc>
                      <w:tcPr>
                        <w:tcW w:w="3339" w:type="dxa"/>
                        <w:vMerge/>
                        <w:tcBorders>
                          <w:left w:val="single" w:sz="9" w:space="0" w:color="D2D2D2"/>
                          <w:bottom w:val="single" w:sz="6" w:space="0" w:color="000000"/>
                          <w:right w:val="single" w:sz="8" w:space="0" w:color="FFFFFF"/>
                        </w:tcBorders>
                      </w:tcPr>
                      <w:p>
                        <w:pPr/>
                      </w:p>
                    </w:tc>
                    <w:tc>
                      <w:tcPr>
                        <w:tcW w:w="3041" w:type="dxa"/>
                        <w:vMerge/>
                        <w:tcBorders>
                          <w:left w:val="single" w:sz="8" w:space="0" w:color="FFFFFF"/>
                          <w:bottom w:val="single" w:sz="6" w:space="0" w:color="000000"/>
                          <w:right w:val="single" w:sz="12" w:space="0" w:color="000000"/>
                        </w:tcBorders>
                      </w:tcPr>
                      <w:p>
                        <w:pPr/>
                      </w:p>
                    </w:tc>
                  </w:tr>
                  <w:tr>
                    <w:trPr>
                      <w:trHeight w:val="319" w:hRule="exact"/>
                    </w:trPr>
                    <w:tc>
                      <w:tcPr>
                        <w:tcW w:w="3190" w:type="dxa"/>
                        <w:tcBorders>
                          <w:top w:val="single" w:sz="6" w:space="0" w:color="000000"/>
                          <w:left w:val="single" w:sz="12" w:space="0" w:color="000000"/>
                          <w:bottom w:val="nil" w:sz="6" w:space="0" w:color="auto"/>
                          <w:right w:val="single" w:sz="6" w:space="0" w:color="000000"/>
                        </w:tcBorders>
                        <w:shd w:val="clear" w:color="auto" w:fill="D2D2D2"/>
                      </w:tcPr>
                      <w:p>
                        <w:pPr/>
                      </w:p>
                    </w:tc>
                    <w:tc>
                      <w:tcPr>
                        <w:tcW w:w="3339" w:type="dxa"/>
                        <w:vMerge w:val="restart"/>
                        <w:tcBorders>
                          <w:top w:val="single" w:sz="6" w:space="0" w:color="000000"/>
                          <w:left w:val="single" w:sz="9" w:space="0" w:color="D2D2D2"/>
                          <w:right w:val="single" w:sz="6" w:space="0" w:color="000000"/>
                        </w:tcBorders>
                      </w:tcPr>
                      <w:p>
                        <w:pPr>
                          <w:pStyle w:val="TableParagraph"/>
                          <w:spacing w:line="300" w:lineRule="auto" w:before="51"/>
                          <w:ind w:left="22" w:right="29"/>
                          <w:jc w:val="both"/>
                          <w:rPr>
                            <w:rFonts w:ascii="宋体" w:hAnsi="宋体" w:cs="宋体" w:eastAsia="宋体" w:hint="default"/>
                            <w:sz w:val="18"/>
                            <w:szCs w:val="18"/>
                          </w:rPr>
                        </w:pPr>
                        <w:r>
                          <w:rPr>
                            <w:rFonts w:ascii="宋体" w:hAnsi="宋体" w:cs="宋体" w:eastAsia="宋体" w:hint="default"/>
                            <w:sz w:val="18"/>
                            <w:szCs w:val="18"/>
                          </w:rPr>
                          <w:t>重大缺陷：错报</w:t>
                        </w:r>
                        <w:r>
                          <w:rPr>
                            <w:rFonts w:ascii="Times New Roman" w:hAnsi="Times New Roman" w:cs="Times New Roman" w:eastAsia="Times New Roman" w:hint="default"/>
                            <w:sz w:val="18"/>
                            <w:szCs w:val="18"/>
                          </w:rPr>
                          <w:t>≥</w:t>
                        </w:r>
                        <w:r>
                          <w:rPr>
                            <w:rFonts w:ascii="宋体" w:hAnsi="宋体" w:cs="宋体" w:eastAsia="宋体" w:hint="default"/>
                            <w:sz w:val="18"/>
                            <w:szCs w:val="18"/>
                          </w:rPr>
                          <w:t>利润总额的</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；重要 </w:t>
                        </w:r>
                        <w:r>
                          <w:rPr>
                            <w:rFonts w:ascii="宋体" w:hAnsi="宋体" w:cs="宋体" w:eastAsia="宋体" w:hint="default"/>
                            <w:spacing w:val="-6"/>
                            <w:sz w:val="18"/>
                            <w:szCs w:val="18"/>
                          </w:rPr>
                          <w:t>缺陷：利润总额的</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z w:val="18"/>
                            <w:szCs w:val="18"/>
                          </w:rPr>
                          <w:t>≤</w:t>
                        </w:r>
                        <w:r>
                          <w:rPr>
                            <w:rFonts w:ascii="宋体" w:hAnsi="宋体" w:cs="宋体" w:eastAsia="宋体" w:hint="default"/>
                            <w:sz w:val="18"/>
                            <w:szCs w:val="18"/>
                          </w:rPr>
                          <w:t>错报＜利润总额的 </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p>
                    </w:tc>
                    <w:tc>
                      <w:tcPr>
                        <w:tcW w:w="3041" w:type="dxa"/>
                        <w:vMerge w:val="restart"/>
                        <w:tcBorders>
                          <w:top w:val="single" w:sz="6" w:space="0" w:color="000000"/>
                          <w:left w:val="single" w:sz="6" w:space="0" w:color="000000"/>
                          <w:right w:val="single" w:sz="12" w:space="0" w:color="000000"/>
                        </w:tcBorders>
                      </w:tcPr>
                      <w:p>
                        <w:pPr>
                          <w:pStyle w:val="TableParagraph"/>
                          <w:spacing w:line="300" w:lineRule="auto" w:before="51"/>
                          <w:ind w:left="10" w:right="32"/>
                          <w:jc w:val="both"/>
                          <w:rPr>
                            <w:rFonts w:ascii="宋体" w:hAnsi="宋体" w:cs="宋体" w:eastAsia="宋体" w:hint="default"/>
                            <w:sz w:val="18"/>
                            <w:szCs w:val="18"/>
                          </w:rPr>
                        </w:pPr>
                        <w:r>
                          <w:rPr>
                            <w:rFonts w:ascii="宋体" w:hAnsi="宋体" w:cs="宋体" w:eastAsia="宋体" w:hint="default"/>
                            <w:sz w:val="18"/>
                            <w:szCs w:val="18"/>
                          </w:rPr>
                          <w:t>重大缺陷：错报</w:t>
                        </w:r>
                        <w:r>
                          <w:rPr>
                            <w:rFonts w:ascii="Times New Roman" w:hAnsi="Times New Roman" w:cs="Times New Roman" w:eastAsia="Times New Roman" w:hint="default"/>
                            <w:sz w:val="18"/>
                            <w:szCs w:val="18"/>
                          </w:rPr>
                          <w:t>≥</w:t>
                        </w:r>
                        <w:r>
                          <w:rPr>
                            <w:rFonts w:ascii="宋体" w:hAnsi="宋体" w:cs="宋体" w:eastAsia="宋体" w:hint="default"/>
                            <w:sz w:val="18"/>
                            <w:szCs w:val="18"/>
                          </w:rPr>
                          <w:t>利润总额的</w:t>
                        </w:r>
                        <w:r>
                          <w:rPr>
                            <w:rFonts w:ascii="宋体" w:hAnsi="宋体" w:cs="宋体" w:eastAsia="宋体" w:hint="default"/>
                            <w:spacing w:val="-17"/>
                            <w:sz w:val="18"/>
                            <w:szCs w:val="18"/>
                          </w:rPr>
                          <w:t> </w:t>
                        </w:r>
                        <w:r>
                          <w:rPr>
                            <w:rFonts w:ascii="Times New Roman" w:hAnsi="Times New Roman" w:cs="Times New Roman" w:eastAsia="Times New Roman" w:hint="default"/>
                            <w:spacing w:val="-9"/>
                            <w:sz w:val="18"/>
                            <w:szCs w:val="18"/>
                          </w:rPr>
                          <w:t>10%</w:t>
                        </w:r>
                        <w:r>
                          <w:rPr>
                            <w:rFonts w:ascii="宋体" w:hAnsi="宋体" w:cs="宋体" w:eastAsia="宋体" w:hint="default"/>
                            <w:spacing w:val="-9"/>
                            <w:sz w:val="18"/>
                            <w:szCs w:val="18"/>
                          </w:rPr>
                          <w:t>；重</w:t>
                        </w:r>
                        <w:r>
                          <w:rPr>
                            <w:rFonts w:ascii="宋体" w:hAnsi="宋体" w:cs="宋体" w:eastAsia="宋体" w:hint="default"/>
                            <w:spacing w:val="-22"/>
                            <w:sz w:val="18"/>
                            <w:szCs w:val="18"/>
                          </w:rPr>
                          <w:t> </w:t>
                        </w:r>
                        <w:r>
                          <w:rPr>
                            <w:rFonts w:ascii="宋体" w:hAnsi="宋体" w:cs="宋体" w:eastAsia="宋体" w:hint="default"/>
                            <w:sz w:val="18"/>
                            <w:szCs w:val="18"/>
                          </w:rPr>
                          <w:t>要缺陷：利润总额的</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z w:val="18"/>
                            <w:szCs w:val="18"/>
                          </w:rPr>
                          <w:t>≤</w:t>
                        </w:r>
                        <w:r>
                          <w:rPr>
                            <w:rFonts w:ascii="宋体" w:hAnsi="宋体" w:cs="宋体" w:eastAsia="宋体" w:hint="default"/>
                            <w:sz w:val="18"/>
                            <w:szCs w:val="18"/>
                          </w:rPr>
                          <w:t>错报＜利润 总额的 </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p>
                    </w:tc>
                  </w:tr>
                  <w:tr>
                    <w:trPr>
                      <w:trHeight w:val="392" w:hRule="exact"/>
                    </w:trPr>
                    <w:tc>
                      <w:tcPr>
                        <w:tcW w:w="3190" w:type="dxa"/>
                        <w:tcBorders>
                          <w:top w:val="nil" w:sz="6" w:space="0" w:color="auto"/>
                          <w:left w:val="single" w:sz="12" w:space="0" w:color="000000"/>
                          <w:bottom w:val="nil" w:sz="6" w:space="0" w:color="auto"/>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39" w:type="dxa"/>
                        <w:vMerge/>
                        <w:tcBorders>
                          <w:left w:val="single" w:sz="9" w:space="0" w:color="D2D2D2"/>
                          <w:right w:val="single" w:sz="6" w:space="0" w:color="000000"/>
                        </w:tcBorders>
                      </w:tcPr>
                      <w:p>
                        <w:pPr/>
                      </w:p>
                    </w:tc>
                    <w:tc>
                      <w:tcPr>
                        <w:tcW w:w="3041" w:type="dxa"/>
                        <w:vMerge/>
                        <w:tcBorders>
                          <w:left w:val="single" w:sz="6" w:space="0" w:color="000000"/>
                          <w:right w:val="single" w:sz="12" w:space="0" w:color="000000"/>
                        </w:tcBorders>
                      </w:tcPr>
                      <w:p>
                        <w:pPr/>
                      </w:p>
                    </w:tc>
                  </w:tr>
                  <w:tr>
                    <w:trPr>
                      <w:trHeight w:val="319" w:hRule="exact"/>
                    </w:trPr>
                    <w:tc>
                      <w:tcPr>
                        <w:tcW w:w="3190" w:type="dxa"/>
                        <w:tcBorders>
                          <w:top w:val="nil" w:sz="6" w:space="0" w:color="auto"/>
                          <w:left w:val="single" w:sz="12" w:space="0" w:color="000000"/>
                          <w:bottom w:val="single" w:sz="6" w:space="0" w:color="000000"/>
                          <w:right w:val="single" w:sz="6" w:space="0" w:color="000000"/>
                        </w:tcBorders>
                        <w:shd w:val="clear" w:color="auto" w:fill="D2D2D2"/>
                      </w:tcPr>
                      <w:p>
                        <w:pPr/>
                      </w:p>
                    </w:tc>
                    <w:tc>
                      <w:tcPr>
                        <w:tcW w:w="3339" w:type="dxa"/>
                        <w:vMerge/>
                        <w:tcBorders>
                          <w:left w:val="single" w:sz="9" w:space="0" w:color="D2D2D2"/>
                          <w:bottom w:val="single" w:sz="6" w:space="0" w:color="000000"/>
                          <w:right w:val="single" w:sz="6" w:space="0" w:color="000000"/>
                        </w:tcBorders>
                      </w:tcPr>
                      <w:p>
                        <w:pPr/>
                      </w:p>
                    </w:tc>
                    <w:tc>
                      <w:tcPr>
                        <w:tcW w:w="3041" w:type="dxa"/>
                        <w:vMerge/>
                        <w:tcBorders>
                          <w:left w:val="single" w:sz="6" w:space="0" w:color="000000"/>
                          <w:bottom w:val="single" w:sz="6" w:space="0" w:color="000000"/>
                          <w:right w:val="single" w:sz="12" w:space="0" w:color="000000"/>
                        </w:tcBorders>
                      </w:tcPr>
                      <w:p>
                        <w:pPr/>
                      </w:p>
                    </w:tc>
                  </w:tr>
                  <w:tr>
                    <w:trPr>
                      <w:trHeight w:val="407" w:hRule="exact"/>
                    </w:trPr>
                    <w:tc>
                      <w:tcPr>
                        <w:tcW w:w="319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80" w:type="dxa"/>
                        <w:gridSpan w:val="2"/>
                        <w:tcBorders>
                          <w:top w:val="single" w:sz="6" w:space="0" w:color="000000"/>
                          <w:left w:val="single" w:sz="9" w:space="0" w:color="D2D2D2"/>
                          <w:bottom w:val="single" w:sz="6" w:space="0" w:color="000000"/>
                          <w:right w:val="single" w:sz="12" w:space="0" w:color="000000"/>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z w:val="18"/>
                          </w:rPr>
                          <w:t>0</w:t>
                        </w:r>
                      </w:p>
                    </w:tc>
                  </w:tr>
                  <w:tr>
                    <w:trPr>
                      <w:trHeight w:val="407" w:hRule="exact"/>
                    </w:trPr>
                    <w:tc>
                      <w:tcPr>
                        <w:tcW w:w="319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13"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80" w:type="dxa"/>
                        <w:gridSpan w:val="2"/>
                        <w:tcBorders>
                          <w:top w:val="single" w:sz="6" w:space="0" w:color="000000"/>
                          <w:left w:val="single" w:sz="9" w:space="0" w:color="D2D2D2"/>
                          <w:bottom w:val="single" w:sz="6" w:space="0" w:color="000000"/>
                          <w:right w:val="single" w:sz="12" w:space="0" w:color="000000"/>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z w:val="18"/>
                          </w:rPr>
                          <w:t>0</w:t>
                        </w:r>
                      </w:p>
                    </w:tc>
                  </w:tr>
                  <w:tr>
                    <w:trPr>
                      <w:trHeight w:val="407" w:hRule="exact"/>
                    </w:trPr>
                    <w:tc>
                      <w:tcPr>
                        <w:tcW w:w="3190"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3"/>
                          <w:ind w:left="13"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80" w:type="dxa"/>
                        <w:gridSpan w:val="2"/>
                        <w:tcBorders>
                          <w:top w:val="single" w:sz="6" w:space="0" w:color="000000"/>
                          <w:left w:val="single" w:sz="9" w:space="0" w:color="D2D2D2"/>
                          <w:bottom w:val="single" w:sz="6" w:space="0" w:color="000000"/>
                          <w:right w:val="single" w:sz="12" w:space="0" w:color="000000"/>
                        </w:tcBorders>
                      </w:tcPr>
                      <w:p>
                        <w:pPr>
                          <w:pStyle w:val="TableParagraph"/>
                          <w:spacing w:line="240" w:lineRule="auto" w:before="92"/>
                          <w:ind w:right="11"/>
                          <w:jc w:val="right"/>
                          <w:rPr>
                            <w:rFonts w:ascii="Times New Roman" w:hAnsi="Times New Roman" w:cs="Times New Roman" w:eastAsia="Times New Roman" w:hint="default"/>
                            <w:sz w:val="18"/>
                            <w:szCs w:val="18"/>
                          </w:rPr>
                        </w:pPr>
                        <w:r>
                          <w:rPr>
                            <w:rFonts w:ascii="Times New Roman"/>
                            <w:sz w:val="18"/>
                          </w:rPr>
                          <w:t>0</w:t>
                        </w:r>
                      </w:p>
                    </w:tc>
                  </w:tr>
                  <w:tr>
                    <w:trPr>
                      <w:trHeight w:val="415" w:hRule="exact"/>
                    </w:trPr>
                    <w:tc>
                      <w:tcPr>
                        <w:tcW w:w="3190"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2"/>
                          <w:ind w:left="13"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80" w:type="dxa"/>
                        <w:gridSpan w:val="2"/>
                        <w:tcBorders>
                          <w:top w:val="single" w:sz="6" w:space="0" w:color="000000"/>
                          <w:left w:val="single" w:sz="9" w:space="0" w:color="D2D2D2"/>
                          <w:bottom w:val="single" w:sz="12" w:space="0" w:color="000000"/>
                          <w:right w:val="single" w:sz="12" w:space="0" w:color="000000"/>
                        </w:tcBorders>
                      </w:tcPr>
                      <w:p>
                        <w:pPr>
                          <w:pStyle w:val="TableParagraph"/>
                          <w:spacing w:line="240" w:lineRule="auto" w:before="92"/>
                          <w:ind w:right="11"/>
                          <w:jc w:val="right"/>
                          <w:rPr>
                            <w:rFonts w:ascii="Times New Roman" w:hAnsi="Times New Roman" w:cs="Times New Roman" w:eastAsia="Times New Roman" w:hint="default"/>
                            <w:sz w:val="18"/>
                            <w:szCs w:val="18"/>
                          </w:rPr>
                        </w:pPr>
                        <w:r>
                          <w:rPr>
                            <w:rFonts w:ascii="Times New Roman"/>
                            <w:sz w:val="18"/>
                          </w:rPr>
                          <w:t>0</w:t>
                        </w:r>
                      </w:p>
                    </w:tc>
                  </w:tr>
                </w:tbl>
                <w:p>
                  <w:pPr/>
                </w:p>
              </w:txbxContent>
            </v:textbox>
            <w10:wrap type="none"/>
          </v:shape>
        </w:pict>
      </w:r>
    </w:p>
    <w:p>
      <w:pPr>
        <w:pStyle w:val="Heading6"/>
        <w:spacing w:line="240" w:lineRule="auto" w:before="35"/>
        <w:ind w:left="1133" w:right="998"/>
        <w:jc w:val="left"/>
        <w:rPr>
          <w:b w:val="0"/>
          <w:bCs w:val="0"/>
        </w:rPr>
      </w:pPr>
      <w:bookmarkStart w:name="2、内控自我评价报告" w:id="149"/>
      <w:bookmarkEnd w:id="149"/>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4"/>
          <w:szCs w:val="14"/>
        </w:rPr>
      </w:pPr>
    </w:p>
    <w:p>
      <w:pPr>
        <w:spacing w:before="44"/>
        <w:ind w:left="0" w:right="1104"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spacing w:before="44"/>
        <w:ind w:left="0" w:right="1104" w:firstLine="0"/>
        <w:jc w:val="right"/>
        <w:rPr>
          <w:rFonts w:ascii="宋体" w:hAnsi="宋体" w:cs="宋体" w:eastAsia="宋体" w:hint="default"/>
          <w:sz w:val="18"/>
          <w:szCs w:val="18"/>
        </w:rPr>
      </w:pPr>
      <w:r>
        <w:rPr>
          <w:rFonts w:ascii="宋体" w:hAnsi="宋体" w:cs="宋体" w:eastAsia="宋体" w:hint="default"/>
          <w:sz w:val="18"/>
          <w:szCs w:val="18"/>
        </w:rPr>
        <w:t>；</w:t>
      </w:r>
    </w:p>
    <w:p>
      <w:pPr>
        <w:spacing w:before="76"/>
        <w:ind w:left="0" w:right="1104" w:firstLine="0"/>
        <w:jc w:val="right"/>
        <w:rPr>
          <w:rFonts w:ascii="宋体" w:hAnsi="宋体" w:cs="宋体" w:eastAsia="宋体" w:hint="default"/>
          <w:sz w:val="18"/>
          <w:szCs w:val="18"/>
        </w:rPr>
      </w:pP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877" w:footer="979" w:top="1060" w:bottom="1160" w:left="0" w:right="0"/>
        </w:sectPr>
      </w:pPr>
    </w:p>
    <w:p>
      <w:pPr>
        <w:spacing w:line="240" w:lineRule="auto" w:before="9"/>
        <w:rPr>
          <w:rFonts w:ascii="宋体" w:hAnsi="宋体" w:cs="宋体" w:eastAsia="宋体" w:hint="default"/>
          <w:sz w:val="23"/>
          <w:szCs w:val="23"/>
        </w:rPr>
      </w:pPr>
    </w:p>
    <w:p>
      <w:pPr>
        <w:pStyle w:val="Heading4"/>
        <w:spacing w:line="240" w:lineRule="auto" w:before="26"/>
        <w:ind w:right="998"/>
        <w:jc w:val="left"/>
        <w:rPr>
          <w:b w:val="0"/>
          <w:bCs w:val="0"/>
        </w:rPr>
      </w:pPr>
      <w:bookmarkStart w:name="十、内部控制审计报告或鉴证报告" w:id="150"/>
      <w:bookmarkEnd w:id="150"/>
      <w:r>
        <w:rPr>
          <w:b w:val="0"/>
          <w:bCs w:val="0"/>
        </w:rPr>
      </w:r>
      <w:r>
        <w:rPr/>
        <w:t>十、内部控制审计报告或鉴证报告</w:t>
      </w:r>
      <w:r>
        <w:rPr>
          <w:b w:val="0"/>
          <w:bCs w:val="0"/>
        </w:rPr>
      </w:r>
    </w:p>
    <w:p>
      <w:pPr>
        <w:spacing w:line="240" w:lineRule="auto" w:before="7"/>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内部控制鉴证报告</w:t>
      </w:r>
    </w:p>
    <w:p>
      <w:pPr>
        <w:spacing w:line="240" w:lineRule="auto" w:before="13"/>
        <w:rPr>
          <w:rFonts w:ascii="宋体" w:hAnsi="宋体" w:cs="宋体" w:eastAsia="宋体" w:hint="default"/>
          <w:sz w:val="7"/>
          <w:szCs w:val="7"/>
        </w:rPr>
      </w:pPr>
    </w:p>
    <w:tbl>
      <w:tblPr>
        <w:tblW w:w="0" w:type="auto"/>
        <w:jc w:val="left"/>
        <w:tblInd w:w="1159" w:type="dxa"/>
        <w:tblLayout w:type="fixed"/>
        <w:tblCellMar>
          <w:top w:w="0" w:type="dxa"/>
          <w:left w:w="0" w:type="dxa"/>
          <w:bottom w:w="0" w:type="dxa"/>
          <w:right w:w="0" w:type="dxa"/>
        </w:tblCellMar>
        <w:tblLook w:val="01E0"/>
      </w:tblPr>
      <w:tblGrid>
        <w:gridCol w:w="2657"/>
        <w:gridCol w:w="6906"/>
      </w:tblGrid>
      <w:tr>
        <w:trPr>
          <w:trHeight w:val="415" w:hRule="exact"/>
        </w:trPr>
        <w:tc>
          <w:tcPr>
            <w:tcW w:w="9563" w:type="dxa"/>
            <w:gridSpan w:val="2"/>
            <w:tcBorders>
              <w:top w:val="single" w:sz="12" w:space="0" w:color="000000"/>
              <w:left w:val="single" w:sz="12" w:space="0" w:color="000000"/>
              <w:bottom w:val="single" w:sz="6" w:space="0" w:color="000000"/>
              <w:right w:val="single" w:sz="12" w:space="0" w:color="000000"/>
            </w:tcBorders>
            <w:shd w:val="clear" w:color="auto" w:fill="D2D2D2"/>
          </w:tcPr>
          <w:p>
            <w:pPr>
              <w:pStyle w:val="TableParagraph"/>
              <w:spacing w:line="240" w:lineRule="auto" w:before="51"/>
              <w:ind w:right="6"/>
              <w:jc w:val="center"/>
              <w:rPr>
                <w:rFonts w:ascii="宋体" w:hAnsi="宋体" w:cs="宋体" w:eastAsia="宋体" w:hint="default"/>
                <w:sz w:val="18"/>
                <w:szCs w:val="18"/>
              </w:rPr>
            </w:pPr>
            <w:r>
              <w:rPr>
                <w:rFonts w:ascii="宋体" w:hAnsi="宋体" w:cs="宋体" w:eastAsia="宋体" w:hint="default"/>
                <w:sz w:val="18"/>
                <w:szCs w:val="18"/>
              </w:rPr>
              <w:t>内部控制鉴证报告中的审议意见段</w:t>
            </w:r>
          </w:p>
        </w:tc>
      </w:tr>
      <w:tr>
        <w:trPr>
          <w:trHeight w:val="719" w:hRule="exact"/>
        </w:trPr>
        <w:tc>
          <w:tcPr>
            <w:tcW w:w="9563" w:type="dxa"/>
            <w:gridSpan w:val="2"/>
            <w:tcBorders>
              <w:top w:val="single" w:sz="6" w:space="0" w:color="000000"/>
              <w:left w:val="single" w:sz="12" w:space="0" w:color="000000"/>
              <w:bottom w:val="single" w:sz="6" w:space="0" w:color="000000"/>
              <w:right w:val="single" w:sz="12" w:space="0" w:color="000000"/>
            </w:tcBorders>
          </w:tcPr>
          <w:p>
            <w:pPr>
              <w:pStyle w:val="TableParagraph"/>
              <w:spacing w:line="300" w:lineRule="auto" w:before="52"/>
              <w:ind w:left="6" w:right="74"/>
              <w:jc w:val="left"/>
              <w:rPr>
                <w:rFonts w:ascii="宋体" w:hAnsi="宋体" w:cs="宋体" w:eastAsia="宋体" w:hint="default"/>
                <w:sz w:val="18"/>
                <w:szCs w:val="18"/>
              </w:rPr>
            </w:pPr>
            <w:r>
              <w:rPr>
                <w:rFonts w:ascii="宋体" w:hAnsi="宋体" w:cs="宋体" w:eastAsia="宋体" w:hint="default"/>
                <w:sz w:val="18"/>
                <w:szCs w:val="18"/>
              </w:rPr>
              <w:t>我们认为，贵公司按照财政部等五部委颁发的《企业内部控制基本规范》及相关规定于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日在所有重大方 面保持了与财务报表相关的有效的内部控制。</w:t>
            </w:r>
          </w:p>
        </w:tc>
      </w:tr>
      <w:tr>
        <w:trPr>
          <w:trHeight w:val="407" w:hRule="exact"/>
        </w:trPr>
        <w:tc>
          <w:tcPr>
            <w:tcW w:w="2657"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内控鉴证报告披露情况</w:t>
            </w:r>
          </w:p>
        </w:tc>
        <w:tc>
          <w:tcPr>
            <w:tcW w:w="69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宋体" w:hAnsi="宋体" w:cs="宋体" w:eastAsia="宋体" w:hint="default"/>
                <w:sz w:val="18"/>
                <w:szCs w:val="18"/>
              </w:rPr>
              <w:t>披露</w:t>
            </w:r>
          </w:p>
        </w:tc>
      </w:tr>
      <w:tr>
        <w:trPr>
          <w:trHeight w:val="408" w:hRule="exact"/>
        </w:trPr>
        <w:tc>
          <w:tcPr>
            <w:tcW w:w="2657"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内部控制鉴证报告全文披露日期</w:t>
            </w:r>
          </w:p>
        </w:tc>
        <w:tc>
          <w:tcPr>
            <w:tcW w:w="69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7" w:hRule="exact"/>
        </w:trPr>
        <w:tc>
          <w:tcPr>
            <w:tcW w:w="2657"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内部控制鉴证报告全文披露索引</w:t>
            </w:r>
          </w:p>
        </w:tc>
        <w:tc>
          <w:tcPr>
            <w:tcW w:w="69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见巨潮资讯网（</w:t>
            </w:r>
            <w:hyperlink r:id="rId11">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）上披露的报告</w:t>
            </w:r>
          </w:p>
        </w:tc>
      </w:tr>
      <w:tr>
        <w:trPr>
          <w:trHeight w:val="407" w:hRule="exact"/>
        </w:trPr>
        <w:tc>
          <w:tcPr>
            <w:tcW w:w="2657"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内控鉴证报告意见类型</w:t>
            </w:r>
          </w:p>
        </w:tc>
        <w:tc>
          <w:tcPr>
            <w:tcW w:w="69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标准无保留意见</w:t>
            </w:r>
          </w:p>
        </w:tc>
      </w:tr>
      <w:tr>
        <w:trPr>
          <w:trHeight w:val="415" w:hRule="exact"/>
        </w:trPr>
        <w:tc>
          <w:tcPr>
            <w:tcW w:w="2657"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1"/>
              <w:ind w:left="20"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会计师事务所是否出具非标准意见的内部控制鉴证报告</w:t>
      </w:r>
    </w:p>
    <w:p>
      <w:pPr>
        <w:spacing w:line="338" w:lineRule="auto" w:before="117"/>
        <w:ind w:left="1133" w:right="463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会计师事务所出具的内部控制鉴证报告与董事会的自我评价报告意见是否一致</w:t>
      </w:r>
    </w:p>
    <w:p>
      <w:pPr>
        <w:spacing w:before="42"/>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3403"/>
        <w:jc w:val="center"/>
        <w:rPr>
          <w:b w:val="0"/>
          <w:bCs w:val="0"/>
        </w:rPr>
      </w:pPr>
      <w:bookmarkStart w:name="_TOC_250002" w:id="151"/>
      <w:bookmarkStart w:name="第十节 公司债券相关情况" w:id="152"/>
      <w:r>
        <w:rPr>
          <w:b w:val="0"/>
          <w:bCs w:val="0"/>
        </w:rPr>
      </w:r>
      <w:r>
        <w:rPr/>
        <w:t>第十节</w:t>
      </w:r>
      <w:r>
        <w:rPr>
          <w:spacing w:val="-9"/>
        </w:rPr>
        <w:t> </w:t>
      </w:r>
      <w:r>
        <w:rPr/>
        <w:t>公司债券相关情况</w:t>
      </w:r>
      <w:bookmarkEnd w:id="151"/>
      <w:r>
        <w:rPr>
          <w:b w:val="0"/>
          <w:bCs w:val="0"/>
        </w:rPr>
      </w:r>
    </w:p>
    <w:p>
      <w:pPr>
        <w:spacing w:line="240" w:lineRule="auto" w:before="8"/>
        <w:rPr>
          <w:rFonts w:ascii="宋体" w:hAnsi="宋体" w:cs="宋体" w:eastAsia="宋体" w:hint="default"/>
          <w:b/>
          <w:bCs/>
          <w:sz w:val="42"/>
          <w:szCs w:val="42"/>
        </w:rPr>
      </w:pPr>
    </w:p>
    <w:p>
      <w:pPr>
        <w:spacing w:line="357" w:lineRule="auto" w:before="0"/>
        <w:ind w:left="1133" w:right="2113" w:firstLine="0"/>
        <w:jc w:val="left"/>
        <w:rPr>
          <w:rFonts w:ascii="宋体" w:hAnsi="宋体" w:cs="宋体" w:eastAsia="宋体" w:hint="default"/>
          <w:sz w:val="18"/>
          <w:szCs w:val="18"/>
        </w:rPr>
      </w:pPr>
      <w:r>
        <w:rPr>
          <w:rFonts w:ascii="宋体" w:hAnsi="宋体" w:cs="宋体" w:eastAsia="宋体" w:hint="default"/>
          <w:sz w:val="18"/>
          <w:szCs w:val="18"/>
        </w:rPr>
        <w:t>公司是否存在公开发行并在证券交易所上市，且在年度报告批准报出日未到期或到期未能全额兑付的公司债券 是</w:t>
      </w:r>
    </w:p>
    <w:p>
      <w:pPr>
        <w:spacing w:line="240" w:lineRule="auto" w:before="4"/>
        <w:rPr>
          <w:rFonts w:ascii="宋体" w:hAnsi="宋体" w:cs="宋体" w:eastAsia="宋体" w:hint="default"/>
          <w:sz w:val="18"/>
          <w:szCs w:val="18"/>
        </w:rPr>
      </w:pPr>
    </w:p>
    <w:p>
      <w:pPr>
        <w:pStyle w:val="Heading4"/>
        <w:spacing w:line="240" w:lineRule="auto"/>
        <w:ind w:left="1134" w:right="998"/>
        <w:jc w:val="left"/>
        <w:rPr>
          <w:b w:val="0"/>
          <w:bCs w:val="0"/>
        </w:rPr>
      </w:pPr>
      <w:bookmarkStart w:name="一、公司债券基本信息" w:id="153"/>
      <w:bookmarkEnd w:id="153"/>
      <w:r>
        <w:rPr>
          <w:b w:val="0"/>
          <w:bCs w:val="0"/>
        </w:rPr>
      </w:r>
      <w:r>
        <w:rPr/>
        <w:t>一、公司债券基本信息</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0"/>
          <w:szCs w:val="20"/>
        </w:rPr>
      </w:pPr>
    </w:p>
    <w:p>
      <w:pPr>
        <w:spacing w:before="44"/>
        <w:ind w:left="0" w:right="1114" w:firstLine="0"/>
        <w:jc w:val="right"/>
        <w:rPr>
          <w:rFonts w:ascii="宋体" w:hAnsi="宋体" w:cs="宋体" w:eastAsia="宋体" w:hint="default"/>
          <w:sz w:val="18"/>
          <w:szCs w:val="18"/>
        </w:rPr>
      </w:pPr>
      <w:r>
        <w:rPr/>
        <w:pict>
          <v:shape style="position:absolute;margin-left:57.66pt;margin-top:-415.588287pt;width:480.75pt;height:548.35pt;mso-position-horizontal-relative:page;mso-position-vertical-relative:paragraph;z-index:22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99"/>
                    <w:gridCol w:w="1195"/>
                    <w:gridCol w:w="1195"/>
                    <w:gridCol w:w="1197"/>
                    <w:gridCol w:w="1196"/>
                    <w:gridCol w:w="1196"/>
                    <w:gridCol w:w="1196"/>
                    <w:gridCol w:w="1196"/>
                  </w:tblGrid>
                  <w:tr>
                    <w:trPr>
                      <w:trHeight w:val="725" w:hRule="exact"/>
                    </w:trPr>
                    <w:tc>
                      <w:tcPr>
                        <w:tcW w:w="1199"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3" w:right="0"/>
                          <w:jc w:val="left"/>
                          <w:rPr>
                            <w:rFonts w:ascii="宋体" w:hAnsi="宋体" w:cs="宋体" w:eastAsia="宋体" w:hint="default"/>
                            <w:sz w:val="18"/>
                            <w:szCs w:val="18"/>
                          </w:rPr>
                        </w:pPr>
                        <w:r>
                          <w:rPr>
                            <w:rFonts w:ascii="宋体" w:hAnsi="宋体" w:cs="宋体" w:eastAsia="宋体" w:hint="default"/>
                            <w:sz w:val="18"/>
                            <w:szCs w:val="18"/>
                          </w:rPr>
                          <w:t>债券名称</w:t>
                        </w:r>
                      </w:p>
                    </w:tc>
                    <w:tc>
                      <w:tcPr>
                        <w:tcW w:w="119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9" w:right="0"/>
                          <w:jc w:val="left"/>
                          <w:rPr>
                            <w:rFonts w:ascii="宋体" w:hAnsi="宋体" w:cs="宋体" w:eastAsia="宋体" w:hint="default"/>
                            <w:sz w:val="18"/>
                            <w:szCs w:val="18"/>
                          </w:rPr>
                        </w:pPr>
                        <w:r>
                          <w:rPr>
                            <w:rFonts w:ascii="宋体" w:hAnsi="宋体" w:cs="宋体" w:eastAsia="宋体" w:hint="default"/>
                            <w:sz w:val="18"/>
                            <w:szCs w:val="18"/>
                          </w:rPr>
                          <w:t>债券简称</w:t>
                        </w:r>
                      </w:p>
                    </w:tc>
                    <w:tc>
                      <w:tcPr>
                        <w:tcW w:w="1195"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债券代码</w:t>
                        </w:r>
                      </w:p>
                    </w:tc>
                    <w:tc>
                      <w:tcPr>
                        <w:tcW w:w="1197"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发行日</w:t>
                        </w:r>
                      </w:p>
                    </w:tc>
                    <w:tc>
                      <w:tcPr>
                        <w:tcW w:w="119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0" w:right="0"/>
                          <w:jc w:val="left"/>
                          <w:rPr>
                            <w:rFonts w:ascii="宋体" w:hAnsi="宋体" w:cs="宋体" w:eastAsia="宋体" w:hint="default"/>
                            <w:sz w:val="18"/>
                            <w:szCs w:val="18"/>
                          </w:rPr>
                        </w:pPr>
                        <w:r>
                          <w:rPr>
                            <w:rFonts w:ascii="宋体" w:hAnsi="宋体" w:cs="宋体" w:eastAsia="宋体" w:hint="default"/>
                            <w:sz w:val="18"/>
                            <w:szCs w:val="18"/>
                          </w:rPr>
                          <w:t>到期日</w:t>
                        </w:r>
                      </w:p>
                    </w:tc>
                    <w:tc>
                      <w:tcPr>
                        <w:tcW w:w="119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1"/>
                          <w:ind w:left="410" w:right="48" w:hanging="360"/>
                          <w:jc w:val="left"/>
                          <w:rPr>
                            <w:rFonts w:ascii="宋体" w:hAnsi="宋体" w:cs="宋体" w:eastAsia="宋体" w:hint="default"/>
                            <w:sz w:val="18"/>
                            <w:szCs w:val="18"/>
                          </w:rPr>
                        </w:pPr>
                        <w:r>
                          <w:rPr>
                            <w:rFonts w:ascii="宋体" w:hAnsi="宋体" w:cs="宋体" w:eastAsia="宋体" w:hint="default"/>
                            <w:sz w:val="18"/>
                            <w:szCs w:val="18"/>
                          </w:rPr>
                          <w:t>债券余额（万 元）</w:t>
                        </w:r>
                      </w:p>
                    </w:tc>
                    <w:tc>
                      <w:tcPr>
                        <w:tcW w:w="119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利率</w:t>
                        </w:r>
                      </w:p>
                    </w:tc>
                    <w:tc>
                      <w:tcPr>
                        <w:tcW w:w="1196"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0" w:right="0"/>
                          <w:jc w:val="left"/>
                          <w:rPr>
                            <w:rFonts w:ascii="宋体" w:hAnsi="宋体" w:cs="宋体" w:eastAsia="宋体" w:hint="default"/>
                            <w:sz w:val="18"/>
                            <w:szCs w:val="18"/>
                          </w:rPr>
                        </w:pPr>
                        <w:r>
                          <w:rPr>
                            <w:rFonts w:ascii="宋体" w:hAnsi="宋体" w:cs="宋体" w:eastAsia="宋体" w:hint="default"/>
                            <w:sz w:val="18"/>
                            <w:szCs w:val="18"/>
                          </w:rPr>
                          <w:t>还本付息方式</w:t>
                        </w:r>
                      </w:p>
                    </w:tc>
                  </w:tr>
                  <w:tr>
                    <w:trPr>
                      <w:trHeight w:val="2279" w:hRule="exact"/>
                    </w:trPr>
                    <w:tc>
                      <w:tcPr>
                        <w:tcW w:w="11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9"/>
                          <w:ind w:left="13" w:right="20"/>
                          <w:jc w:val="left"/>
                          <w:rPr>
                            <w:rFonts w:ascii="宋体" w:hAnsi="宋体" w:cs="宋体" w:eastAsia="宋体" w:hint="default"/>
                            <w:sz w:val="18"/>
                            <w:szCs w:val="18"/>
                          </w:rPr>
                        </w:pPr>
                        <w:r>
                          <w:rPr>
                            <w:rFonts w:ascii="宋体" w:hAnsi="宋体" w:cs="宋体" w:eastAsia="宋体" w:hint="default"/>
                            <w:sz w:val="18"/>
                            <w:szCs w:val="18"/>
                          </w:rPr>
                          <w:t>北京昆仑万维 科技股份有限 公司</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年公 司债券（第一 期）</w:t>
                        </w:r>
                      </w:p>
                    </w:tc>
                    <w:tc>
                      <w:tcPr>
                        <w:tcW w:w="11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16 </w:t>
                        </w:r>
                        <w:r>
                          <w:rPr>
                            <w:rFonts w:ascii="宋体" w:hAnsi="宋体" w:cs="宋体" w:eastAsia="宋体" w:hint="default"/>
                            <w:sz w:val="18"/>
                            <w:szCs w:val="18"/>
                          </w:rPr>
                          <w:t>万维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tc>
                    <w:tc>
                      <w:tcPr>
                        <w:tcW w:w="11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112393</w:t>
                        </w:r>
                      </w:p>
                    </w:tc>
                    <w:tc>
                      <w:tcPr>
                        <w:tcW w:w="11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73,000</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6.50%</w:t>
                        </w:r>
                      </w:p>
                    </w:tc>
                    <w:tc>
                      <w:tcPr>
                        <w:tcW w:w="1196"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2"/>
                          <w:ind w:left="20" w:right="71"/>
                          <w:jc w:val="left"/>
                          <w:rPr>
                            <w:rFonts w:ascii="宋体" w:hAnsi="宋体" w:cs="宋体" w:eastAsia="宋体" w:hint="default"/>
                            <w:sz w:val="18"/>
                            <w:szCs w:val="18"/>
                          </w:rPr>
                        </w:pPr>
                        <w:r>
                          <w:rPr>
                            <w:rFonts w:ascii="宋体" w:hAnsi="宋体" w:cs="宋体" w:eastAsia="宋体" w:hint="default"/>
                            <w:sz w:val="18"/>
                            <w:szCs w:val="18"/>
                          </w:rPr>
                          <w:t>本期债券按年 付息、到期一 次还本。利息 每年支付一 次，最后一期 利息随本金一 起支付。</w:t>
                        </w:r>
                      </w:p>
                    </w:tc>
                  </w:tr>
                  <w:tr>
                    <w:trPr>
                      <w:trHeight w:val="2280" w:hRule="exact"/>
                    </w:trPr>
                    <w:tc>
                      <w:tcPr>
                        <w:tcW w:w="1199" w:type="dxa"/>
                        <w:tcBorders>
                          <w:top w:val="single" w:sz="6" w:space="0" w:color="000000"/>
                          <w:left w:val="single" w:sz="12" w:space="0" w:color="000000"/>
                          <w:bottom w:val="single" w:sz="6" w:space="0" w:color="000000"/>
                          <w:right w:val="single" w:sz="6" w:space="0" w:color="000000"/>
                        </w:tcBorders>
                      </w:tcPr>
                      <w:p>
                        <w:pPr>
                          <w:pStyle w:val="TableParagraph"/>
                          <w:spacing w:line="314" w:lineRule="auto" w:before="52"/>
                          <w:ind w:left="13" w:right="20"/>
                          <w:jc w:val="left"/>
                          <w:rPr>
                            <w:rFonts w:ascii="Times New Roman" w:hAnsi="Times New Roman" w:cs="Times New Roman" w:eastAsia="Times New Roman" w:hint="default"/>
                            <w:sz w:val="18"/>
                            <w:szCs w:val="18"/>
                          </w:rPr>
                        </w:pPr>
                        <w:r>
                          <w:rPr>
                            <w:rFonts w:ascii="宋体" w:hAnsi="宋体" w:cs="宋体" w:eastAsia="宋体" w:hint="default"/>
                            <w:sz w:val="18"/>
                            <w:szCs w:val="18"/>
                          </w:rPr>
                          <w:t>北京昆仑万维 科技股份有限 公司</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年面 向合格投资者 公开发行创新 创业公司债券 </w:t>
                        </w:r>
                        <w:r>
                          <w:rPr>
                            <w:rFonts w:ascii="Times New Roman" w:hAnsi="Times New Roman" w:cs="Times New Roman" w:eastAsia="Times New Roman" w:hint="default"/>
                            <w:sz w:val="18"/>
                            <w:szCs w:val="18"/>
                          </w:rPr>
                          <w:t>(</w:t>
                        </w:r>
                        <w:r>
                          <w:rPr>
                            <w:rFonts w:ascii="宋体" w:hAnsi="宋体" w:cs="宋体" w:eastAsia="宋体" w:hint="default"/>
                            <w:sz w:val="18"/>
                            <w:szCs w:val="18"/>
                          </w:rPr>
                          <w:t>第一期</w:t>
                        </w:r>
                        <w:r>
                          <w:rPr>
                            <w:rFonts w:ascii="Times New Roman" w:hAnsi="Times New Roman" w:cs="Times New Roman" w:eastAsia="Times New Roman" w:hint="default"/>
                            <w:sz w:val="18"/>
                            <w:szCs w:val="18"/>
                          </w:rPr>
                          <w:t>)</w:t>
                        </w:r>
                      </w:p>
                    </w:tc>
                    <w:tc>
                      <w:tcPr>
                        <w:tcW w:w="11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17 </w:t>
                        </w:r>
                        <w:r>
                          <w:rPr>
                            <w:rFonts w:ascii="宋体" w:hAnsi="宋体" w:cs="宋体" w:eastAsia="宋体" w:hint="default"/>
                            <w:sz w:val="18"/>
                            <w:szCs w:val="18"/>
                          </w:rPr>
                          <w:t>万维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S1</w:t>
                        </w:r>
                      </w:p>
                    </w:tc>
                    <w:tc>
                      <w:tcPr>
                        <w:tcW w:w="11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112588</w:t>
                        </w:r>
                      </w:p>
                    </w:tc>
                    <w:tc>
                      <w:tcPr>
                        <w:tcW w:w="11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24,000</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7.00%</w:t>
                        </w:r>
                      </w:p>
                    </w:tc>
                    <w:tc>
                      <w:tcPr>
                        <w:tcW w:w="1196"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2"/>
                          <w:ind w:left="20" w:right="71"/>
                          <w:jc w:val="left"/>
                          <w:rPr>
                            <w:rFonts w:ascii="宋体" w:hAnsi="宋体" w:cs="宋体" w:eastAsia="宋体" w:hint="default"/>
                            <w:sz w:val="18"/>
                            <w:szCs w:val="18"/>
                          </w:rPr>
                        </w:pPr>
                        <w:r>
                          <w:rPr>
                            <w:rFonts w:ascii="宋体" w:hAnsi="宋体" w:cs="宋体" w:eastAsia="宋体" w:hint="default"/>
                            <w:sz w:val="18"/>
                            <w:szCs w:val="18"/>
                          </w:rPr>
                          <w:t>本期债券按年 付息、到期一 次还本。利息 每年支付一 次，最后一期 利息随本金一 起支付。</w:t>
                        </w:r>
                      </w:p>
                    </w:tc>
                  </w:tr>
                  <w:tr>
                    <w:trPr>
                      <w:trHeight w:val="2279" w:hRule="exact"/>
                    </w:trPr>
                    <w:tc>
                      <w:tcPr>
                        <w:tcW w:w="1199" w:type="dxa"/>
                        <w:tcBorders>
                          <w:top w:val="single" w:sz="6" w:space="0" w:color="000000"/>
                          <w:left w:val="single" w:sz="12" w:space="0" w:color="000000"/>
                          <w:bottom w:val="single" w:sz="6" w:space="0" w:color="000000"/>
                          <w:right w:val="single" w:sz="6" w:space="0" w:color="000000"/>
                        </w:tcBorders>
                      </w:tcPr>
                      <w:p>
                        <w:pPr>
                          <w:pStyle w:val="TableParagraph"/>
                          <w:spacing w:line="314" w:lineRule="auto" w:before="51"/>
                          <w:ind w:left="13" w:right="20"/>
                          <w:jc w:val="left"/>
                          <w:rPr>
                            <w:rFonts w:ascii="Times New Roman" w:hAnsi="Times New Roman" w:cs="Times New Roman" w:eastAsia="Times New Roman" w:hint="default"/>
                            <w:sz w:val="18"/>
                            <w:szCs w:val="18"/>
                          </w:rPr>
                        </w:pPr>
                        <w:r>
                          <w:rPr>
                            <w:rFonts w:ascii="宋体" w:hAnsi="宋体" w:cs="宋体" w:eastAsia="宋体" w:hint="default"/>
                            <w:sz w:val="18"/>
                            <w:szCs w:val="18"/>
                          </w:rPr>
                          <w:t>北京昆仑万维 科技股份有限 公司</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年面 向合格投资者 公开发行创新 创业公司债券 </w:t>
                        </w:r>
                        <w:r>
                          <w:rPr>
                            <w:rFonts w:ascii="Times New Roman" w:hAnsi="Times New Roman" w:cs="Times New Roman" w:eastAsia="Times New Roman" w:hint="default"/>
                            <w:sz w:val="18"/>
                            <w:szCs w:val="18"/>
                          </w:rPr>
                          <w:t>(</w:t>
                        </w:r>
                        <w:r>
                          <w:rPr>
                            <w:rFonts w:ascii="宋体" w:hAnsi="宋体" w:cs="宋体" w:eastAsia="宋体" w:hint="default"/>
                            <w:sz w:val="18"/>
                            <w:szCs w:val="18"/>
                          </w:rPr>
                          <w:t>第一期</w:t>
                        </w:r>
                        <w:r>
                          <w:rPr>
                            <w:rFonts w:ascii="Times New Roman" w:hAnsi="Times New Roman" w:cs="Times New Roman" w:eastAsia="Times New Roman" w:hint="default"/>
                            <w:sz w:val="18"/>
                            <w:szCs w:val="18"/>
                          </w:rPr>
                          <w:t>)</w:t>
                        </w:r>
                      </w:p>
                    </w:tc>
                    <w:tc>
                      <w:tcPr>
                        <w:tcW w:w="11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18 </w:t>
                        </w:r>
                        <w:r>
                          <w:rPr>
                            <w:rFonts w:ascii="宋体" w:hAnsi="宋体" w:cs="宋体" w:eastAsia="宋体" w:hint="default"/>
                            <w:sz w:val="18"/>
                            <w:szCs w:val="18"/>
                          </w:rPr>
                          <w:t>万维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S1</w:t>
                        </w:r>
                      </w:p>
                    </w:tc>
                    <w:tc>
                      <w:tcPr>
                        <w:tcW w:w="11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112640</w:t>
                        </w:r>
                      </w:p>
                    </w:tc>
                    <w:tc>
                      <w:tcPr>
                        <w:tcW w:w="11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5,000</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7.50%</w:t>
                        </w:r>
                      </w:p>
                    </w:tc>
                    <w:tc>
                      <w:tcPr>
                        <w:tcW w:w="1196"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1"/>
                          <w:ind w:left="20" w:right="71"/>
                          <w:jc w:val="left"/>
                          <w:rPr>
                            <w:rFonts w:ascii="宋体" w:hAnsi="宋体" w:cs="宋体" w:eastAsia="宋体" w:hint="default"/>
                            <w:sz w:val="18"/>
                            <w:szCs w:val="18"/>
                          </w:rPr>
                        </w:pPr>
                        <w:r>
                          <w:rPr>
                            <w:rFonts w:ascii="宋体" w:hAnsi="宋体" w:cs="宋体" w:eastAsia="宋体" w:hint="default"/>
                            <w:sz w:val="18"/>
                            <w:szCs w:val="18"/>
                          </w:rPr>
                          <w:t>本期债券按年 付息、到期一 次还本。利息 每年支付一 次，最后一期 利息随本金一 起支付。</w:t>
                        </w:r>
                      </w:p>
                    </w:tc>
                  </w:tr>
                  <w:tr>
                    <w:trPr>
                      <w:trHeight w:val="719" w:hRule="exact"/>
                    </w:trPr>
                    <w:tc>
                      <w:tcPr>
                        <w:tcW w:w="2394" w:type="dxa"/>
                        <w:gridSpan w:val="2"/>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319" w:lineRule="auto" w:before="51"/>
                          <w:ind w:left="13" w:right="196"/>
                          <w:jc w:val="left"/>
                          <w:rPr>
                            <w:rFonts w:ascii="宋体" w:hAnsi="宋体" w:cs="宋体" w:eastAsia="宋体" w:hint="default"/>
                            <w:sz w:val="18"/>
                            <w:szCs w:val="18"/>
                          </w:rPr>
                        </w:pPr>
                        <w:r>
                          <w:rPr>
                            <w:rFonts w:ascii="宋体" w:hAnsi="宋体" w:cs="宋体" w:eastAsia="宋体" w:hint="default"/>
                            <w:sz w:val="18"/>
                            <w:szCs w:val="18"/>
                          </w:rPr>
                          <w:t>公司债券上市或转让的交易 场所</w:t>
                        </w:r>
                      </w:p>
                    </w:tc>
                    <w:tc>
                      <w:tcPr>
                        <w:tcW w:w="7176" w:type="dxa"/>
                        <w:gridSpan w:val="6"/>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1655" w:hRule="exact"/>
                    </w:trPr>
                    <w:tc>
                      <w:tcPr>
                        <w:tcW w:w="2394" w:type="dxa"/>
                        <w:gridSpan w:val="2"/>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3" w:right="0"/>
                          <w:jc w:val="left"/>
                          <w:rPr>
                            <w:rFonts w:ascii="宋体" w:hAnsi="宋体" w:cs="宋体" w:eastAsia="宋体" w:hint="default"/>
                            <w:sz w:val="18"/>
                            <w:szCs w:val="18"/>
                          </w:rPr>
                        </w:pPr>
                        <w:r>
                          <w:rPr>
                            <w:rFonts w:ascii="宋体" w:hAnsi="宋体" w:cs="宋体" w:eastAsia="宋体" w:hint="default"/>
                            <w:sz w:val="18"/>
                            <w:szCs w:val="18"/>
                          </w:rPr>
                          <w:t>投资者适当性安排</w:t>
                        </w:r>
                      </w:p>
                    </w:tc>
                    <w:tc>
                      <w:tcPr>
                        <w:tcW w:w="7176" w:type="dxa"/>
                        <w:gridSpan w:val="6"/>
                        <w:tcBorders>
                          <w:top w:val="single" w:sz="6" w:space="0" w:color="000000"/>
                          <w:left w:val="single" w:sz="6" w:space="0" w:color="000000"/>
                          <w:bottom w:val="single" w:sz="6" w:space="0" w:color="000000"/>
                          <w:right w:val="single" w:sz="12" w:space="0" w:color="000000"/>
                        </w:tcBorders>
                      </w:tcPr>
                      <w:p>
                        <w:pPr>
                          <w:pStyle w:val="TableParagraph"/>
                          <w:spacing w:line="319" w:lineRule="auto" w:before="51"/>
                          <w:ind w:left="20" w:right="10"/>
                          <w:jc w:val="left"/>
                          <w:rPr>
                            <w:rFonts w:ascii="宋体" w:hAnsi="宋体" w:cs="宋体" w:eastAsia="宋体" w:hint="default"/>
                            <w:sz w:val="18"/>
                            <w:szCs w:val="18"/>
                          </w:rPr>
                        </w:pPr>
                        <w:r>
                          <w:rPr>
                            <w:rFonts w:ascii="宋体" w:hAnsi="宋体" w:cs="宋体" w:eastAsia="宋体" w:hint="default"/>
                            <w:spacing w:val="-5"/>
                            <w:sz w:val="18"/>
                            <w:szCs w:val="18"/>
                          </w:rPr>
                          <w:t>根据《公司债券发行与交易管理办法》、《深圳证券交易所债券市场投资者适当性管理办法</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及相关管理规定，上述债券仅面向合格投资者中的机构投资者发行，公众投资者与合格投资</w:t>
                        </w:r>
                        <w:r>
                          <w:rPr>
                            <w:rFonts w:ascii="宋体" w:hAnsi="宋体" w:cs="宋体" w:eastAsia="宋体" w:hint="default"/>
                            <w:sz w:val="18"/>
                            <w:szCs w:val="18"/>
                          </w:rPr>
                          <w:t> </w:t>
                        </w:r>
                        <w:r>
                          <w:rPr>
                            <w:rFonts w:ascii="宋体" w:hAnsi="宋体" w:cs="宋体" w:eastAsia="宋体" w:hint="default"/>
                            <w:spacing w:val="-2"/>
                            <w:sz w:val="18"/>
                            <w:szCs w:val="18"/>
                          </w:rPr>
                          <w:t>者中的个人投资者不得参与发行认购，上述债券上市后将被实施投资者适当性管理，仅限合</w:t>
                        </w:r>
                        <w:r>
                          <w:rPr>
                            <w:rFonts w:ascii="宋体" w:hAnsi="宋体" w:cs="宋体" w:eastAsia="宋体" w:hint="default"/>
                            <w:sz w:val="18"/>
                            <w:szCs w:val="18"/>
                          </w:rPr>
                          <w:t> </w:t>
                        </w:r>
                        <w:r>
                          <w:rPr>
                            <w:rFonts w:ascii="宋体" w:hAnsi="宋体" w:cs="宋体" w:eastAsia="宋体" w:hint="default"/>
                            <w:spacing w:val="-3"/>
                            <w:sz w:val="18"/>
                            <w:szCs w:val="18"/>
                          </w:rPr>
                          <w:t>格投资者中的机构投资者参与交易，公众投资者与合格投资者中的个人投资者认购或买入的</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交易行为无效。</w:t>
                        </w:r>
                      </w:p>
                    </w:tc>
                  </w:tr>
                  <w:tr>
                    <w:trPr>
                      <w:trHeight w:val="999" w:hRule="exact"/>
                    </w:trPr>
                    <w:tc>
                      <w:tcPr>
                        <w:tcW w:w="2394" w:type="dxa"/>
                        <w:gridSpan w:val="2"/>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
                          <w:ind w:right="0"/>
                          <w:jc w:val="left"/>
                          <w:rPr>
                            <w:rFonts w:ascii="宋体" w:hAnsi="宋体" w:cs="宋体" w:eastAsia="宋体" w:hint="default"/>
                            <w:sz w:val="14"/>
                            <w:szCs w:val="14"/>
                          </w:rPr>
                        </w:pPr>
                      </w:p>
                      <w:p>
                        <w:pPr>
                          <w:pStyle w:val="TableParagraph"/>
                          <w:spacing w:line="316" w:lineRule="auto"/>
                          <w:ind w:left="13" w:right="196"/>
                          <w:jc w:val="left"/>
                          <w:rPr>
                            <w:rFonts w:ascii="宋体" w:hAnsi="宋体" w:cs="宋体" w:eastAsia="宋体" w:hint="default"/>
                            <w:sz w:val="18"/>
                            <w:szCs w:val="18"/>
                          </w:rPr>
                        </w:pPr>
                        <w:r>
                          <w:rPr>
                            <w:rFonts w:ascii="宋体" w:hAnsi="宋体" w:cs="宋体" w:eastAsia="宋体" w:hint="default"/>
                            <w:sz w:val="18"/>
                            <w:szCs w:val="18"/>
                          </w:rPr>
                          <w:t>报告期内公司债券的付息兑 付情况</w:t>
                        </w:r>
                      </w:p>
                    </w:tc>
                    <w:tc>
                      <w:tcPr>
                        <w:tcW w:w="7176" w:type="dxa"/>
                        <w:gridSpan w:val="6"/>
                        <w:tcBorders>
                          <w:top w:val="single" w:sz="6" w:space="0" w:color="000000"/>
                          <w:left w:val="single" w:sz="6" w:space="0" w:color="000000"/>
                          <w:bottom w:val="single" w:sz="12" w:space="0" w:color="000000"/>
                          <w:right w:val="single" w:sz="12" w:space="0" w:color="000000"/>
                        </w:tcBorders>
                      </w:tcPr>
                      <w:p>
                        <w:pPr>
                          <w:pStyle w:val="TableParagraph"/>
                          <w:spacing w:line="300" w:lineRule="auto" w:before="51"/>
                          <w:ind w:left="20" w:right="-5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、公司债券（债券简称：</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r>
                          <w:rPr>
                            <w:rFonts w:ascii="宋体" w:hAnsi="宋体" w:cs="宋体" w:eastAsia="宋体" w:hint="default"/>
                            <w:sz w:val="18"/>
                            <w:szCs w:val="18"/>
                          </w:rPr>
                          <w:t>，债券代码：</w:t>
                        </w:r>
                        <w:r>
                          <w:rPr>
                            <w:rFonts w:ascii="Times New Roman" w:hAnsi="Times New Roman" w:cs="Times New Roman" w:eastAsia="Times New Roman" w:hint="default"/>
                            <w:sz w:val="18"/>
                            <w:szCs w:val="18"/>
                          </w:rPr>
                          <w:t>112393</w:t>
                        </w:r>
                        <w:r>
                          <w:rPr>
                            <w:rFonts w:ascii="宋体" w:hAnsi="宋体" w:cs="宋体" w:eastAsia="宋体" w:hint="default"/>
                            <w:sz w:val="18"/>
                            <w:szCs w:val="18"/>
                          </w:rPr>
                          <w:t>）的起息日为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 报告期内，公司支付了本期债券第一个计息年度的利息。</w:t>
                        </w:r>
                        <w:r>
                          <w:rPr>
                            <w:rFonts w:ascii="Times New Roman" w:hAnsi="Times New Roman" w:cs="Times New Roman" w:eastAsia="Times New Roman" w:hint="default"/>
                            <w:sz w:val="18"/>
                            <w:szCs w:val="18"/>
                          </w:rPr>
                          <w:t>2</w:t>
                        </w:r>
                        <w:r>
                          <w:rPr>
                            <w:rFonts w:ascii="宋体" w:hAnsi="宋体" w:cs="宋体" w:eastAsia="宋体" w:hint="default"/>
                            <w:sz w:val="18"/>
                            <w:szCs w:val="18"/>
                          </w:rPr>
                          <w:t>、公司债券（债券简称：</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万维 </w:t>
                        </w:r>
                        <w:r>
                          <w:rPr>
                            <w:rFonts w:ascii="Times New Roman" w:hAnsi="Times New Roman" w:cs="Times New Roman" w:eastAsia="Times New Roman" w:hint="default"/>
                            <w:spacing w:val="-3"/>
                            <w:sz w:val="18"/>
                            <w:szCs w:val="18"/>
                          </w:rPr>
                          <w:t>S1</w:t>
                        </w:r>
                        <w:r>
                          <w:rPr>
                            <w:rFonts w:ascii="宋体" w:hAnsi="宋体" w:cs="宋体" w:eastAsia="宋体" w:hint="default"/>
                            <w:spacing w:val="-3"/>
                            <w:sz w:val="18"/>
                            <w:szCs w:val="18"/>
                          </w:rPr>
                          <w:t>，债券代码：</w:t>
                        </w:r>
                        <w:r>
                          <w:rPr>
                            <w:rFonts w:ascii="Times New Roman" w:hAnsi="Times New Roman" w:cs="Times New Roman" w:eastAsia="Times New Roman" w:hint="default"/>
                            <w:spacing w:val="-3"/>
                            <w:sz w:val="18"/>
                            <w:szCs w:val="18"/>
                          </w:rPr>
                          <w:t>112588</w:t>
                        </w:r>
                        <w:r>
                          <w:rPr>
                            <w:rFonts w:ascii="宋体" w:hAnsi="宋体" w:cs="宋体" w:eastAsia="宋体" w:hint="default"/>
                            <w:spacing w:val="-3"/>
                            <w:sz w:val="18"/>
                            <w:szCs w:val="18"/>
                          </w:rPr>
                          <w:t>）的起息日为</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日，报告期内，本期债券未到首个付息</w:t>
                        </w: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53" w:type="dxa"/>
        <w:tblLayout w:type="fixed"/>
        <w:tblCellMar>
          <w:top w:w="0" w:type="dxa"/>
          <w:left w:w="0" w:type="dxa"/>
          <w:bottom w:w="0" w:type="dxa"/>
          <w:right w:w="0" w:type="dxa"/>
        </w:tblCellMar>
        <w:tblLook w:val="01E0"/>
      </w:tblPr>
      <w:tblGrid>
        <w:gridCol w:w="2393"/>
        <w:gridCol w:w="7176"/>
      </w:tblGrid>
      <w:tr>
        <w:trPr>
          <w:trHeight w:val="686" w:hRule="exact"/>
        </w:trPr>
        <w:tc>
          <w:tcPr>
            <w:tcW w:w="2393" w:type="dxa"/>
            <w:tcBorders>
              <w:top w:val="single" w:sz="12" w:space="0" w:color="000000"/>
              <w:left w:val="single" w:sz="12" w:space="0" w:color="000000"/>
              <w:bottom w:val="single" w:sz="6" w:space="0" w:color="000000"/>
              <w:right w:val="single" w:sz="6" w:space="0" w:color="000000"/>
            </w:tcBorders>
            <w:shd w:val="clear" w:color="auto" w:fill="D2D2D2"/>
          </w:tcPr>
          <w:p>
            <w:pPr/>
          </w:p>
        </w:tc>
        <w:tc>
          <w:tcPr>
            <w:tcW w:w="7176"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
              <w:ind w:left="2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日。</w:t>
            </w:r>
            <w:r>
              <w:rPr>
                <w:rFonts w:ascii="Times New Roman" w:hAnsi="Times New Roman" w:cs="Times New Roman" w:eastAsia="Times New Roman" w:hint="default"/>
                <w:sz w:val="18"/>
                <w:szCs w:val="18"/>
              </w:rPr>
              <w:t>3</w:t>
            </w:r>
            <w:r>
              <w:rPr>
                <w:rFonts w:ascii="宋体" w:hAnsi="宋体" w:cs="宋体" w:eastAsia="宋体" w:hint="default"/>
                <w:sz w:val="18"/>
                <w:szCs w:val="18"/>
              </w:rPr>
              <w:t>、公司债券（债券简称：</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S1</w:t>
            </w:r>
            <w:r>
              <w:rPr>
                <w:rFonts w:ascii="宋体" w:hAnsi="宋体" w:cs="宋体" w:eastAsia="宋体" w:hint="default"/>
                <w:sz w:val="18"/>
                <w:szCs w:val="18"/>
              </w:rPr>
              <w:t>，债券代码：</w:t>
            </w:r>
            <w:r>
              <w:rPr>
                <w:rFonts w:ascii="Times New Roman" w:hAnsi="Times New Roman" w:cs="Times New Roman" w:eastAsia="Times New Roman" w:hint="default"/>
                <w:sz w:val="18"/>
                <w:szCs w:val="18"/>
              </w:rPr>
              <w:t>112640</w:t>
            </w:r>
            <w:r>
              <w:rPr>
                <w:rFonts w:ascii="宋体" w:hAnsi="宋体" w:cs="宋体" w:eastAsia="宋体" w:hint="default"/>
                <w:sz w:val="18"/>
                <w:szCs w:val="18"/>
              </w:rPr>
              <w:t>）的起息日为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p>
          <w:p>
            <w:pPr>
              <w:pStyle w:val="TableParagraph"/>
              <w:spacing w:line="240" w:lineRule="auto" w:before="64"/>
              <w:ind w:left="20" w:right="0"/>
              <w:jc w:val="left"/>
              <w:rPr>
                <w:rFonts w:ascii="宋体" w:hAnsi="宋体" w:cs="宋体" w:eastAsia="宋体" w:hint="default"/>
                <w:sz w:val="18"/>
                <w:szCs w:val="18"/>
              </w:rPr>
            </w:pPr>
            <w:r>
              <w:rPr>
                <w:rFonts w:ascii="宋体" w:hAnsi="宋体" w:cs="宋体" w:eastAsia="宋体" w:hint="default"/>
                <w:sz w:val="18"/>
                <w:szCs w:val="18"/>
              </w:rPr>
              <w:t>日，报告期内，本期债券未到首个付息日。</w:t>
            </w:r>
          </w:p>
        </w:tc>
      </w:tr>
      <w:tr>
        <w:trPr>
          <w:trHeight w:val="1351" w:hRule="exact"/>
        </w:trPr>
        <w:tc>
          <w:tcPr>
            <w:tcW w:w="2393"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319" w:lineRule="auto" w:before="52"/>
              <w:ind w:left="12" w:right="21"/>
              <w:jc w:val="left"/>
              <w:rPr>
                <w:rFonts w:ascii="宋体" w:hAnsi="宋体" w:cs="宋体" w:eastAsia="宋体" w:hint="default"/>
                <w:sz w:val="18"/>
                <w:szCs w:val="18"/>
              </w:rPr>
            </w:pPr>
            <w:r>
              <w:rPr>
                <w:rFonts w:ascii="宋体" w:hAnsi="宋体" w:cs="宋体" w:eastAsia="宋体" w:hint="default"/>
                <w:sz w:val="18"/>
                <w:szCs w:val="18"/>
              </w:rPr>
              <w:t>公司债券附发行人或投资者 选择权条款、可交换条款等特 殊条款的，报告期内相关条款 </w:t>
            </w:r>
            <w:r>
              <w:rPr>
                <w:rFonts w:ascii="宋体" w:hAnsi="宋体" w:cs="宋体" w:eastAsia="宋体" w:hint="default"/>
                <w:spacing w:val="-9"/>
                <w:sz w:val="18"/>
                <w:szCs w:val="18"/>
              </w:rPr>
              <w:t>的执行情况（如适用）。</w:t>
            </w:r>
          </w:p>
        </w:tc>
        <w:tc>
          <w:tcPr>
            <w:tcW w:w="717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2"/>
        <w:rPr>
          <w:rFonts w:ascii="宋体" w:hAnsi="宋体" w:cs="宋体" w:eastAsia="宋体" w:hint="default"/>
          <w:sz w:val="18"/>
          <w:szCs w:val="18"/>
        </w:rPr>
      </w:pPr>
    </w:p>
    <w:p>
      <w:pPr>
        <w:pStyle w:val="Heading4"/>
        <w:spacing w:line="240" w:lineRule="auto" w:before="26"/>
        <w:ind w:left="1134" w:right="998"/>
        <w:jc w:val="left"/>
        <w:rPr>
          <w:b w:val="0"/>
          <w:bCs w:val="0"/>
        </w:rPr>
      </w:pPr>
      <w:bookmarkStart w:name="二、债券受托管理人和资信评级机构信息" w:id="154"/>
      <w:bookmarkEnd w:id="154"/>
      <w:r>
        <w:rPr>
          <w:b w:val="0"/>
          <w:bCs w:val="0"/>
        </w:rPr>
      </w:r>
      <w:r>
        <w:rPr/>
        <w:t>二、债券受托管理人和资信评级机构信息</w:t>
      </w:r>
      <w:r>
        <w:rPr>
          <w:b w:val="0"/>
          <w:bCs w:val="0"/>
        </w:rPr>
      </w:r>
    </w:p>
    <w:p>
      <w:pPr>
        <w:spacing w:line="240" w:lineRule="auto" w:before="8"/>
        <w:rPr>
          <w:rFonts w:ascii="宋体" w:hAnsi="宋体" w:cs="宋体" w:eastAsia="宋体" w:hint="default"/>
          <w:b/>
          <w:bCs/>
          <w:sz w:val="28"/>
          <w:szCs w:val="28"/>
        </w:rPr>
      </w:pPr>
    </w:p>
    <w:p>
      <w:pPr>
        <w:spacing w:before="44"/>
        <w:ind w:left="1194" w:right="998" w:firstLine="0"/>
        <w:jc w:val="left"/>
        <w:rPr>
          <w:rFonts w:ascii="宋体" w:hAnsi="宋体" w:cs="宋体" w:eastAsia="宋体" w:hint="default"/>
          <w:sz w:val="18"/>
          <w:szCs w:val="18"/>
        </w:rPr>
      </w:pPr>
      <w:r>
        <w:rPr/>
        <w:pict>
          <v:group style="position:absolute;margin-left:57.540001pt;margin-top:-2.618252pt;width:480.2pt;height:355.1pt;mso-position-horizontal-relative:page;mso-position-vertical-relative:paragraph;z-index:-1135672" coordorigin="1151,-52" coordsize="9604,7102">
            <v:group style="position:absolute;left:1187;top:-7;width:2;height:392" coordorigin="1187,-7" coordsize="2,392">
              <v:shape style="position:absolute;left:1187;top:-7;width:2;height:392" coordorigin="1187,-7" coordsize="0,392" path="m1187,-7l1187,384e" filled="false" stroked="true" strokeweight=".66pt" strokecolor="#d2d2d2">
                <v:path arrowok="t"/>
              </v:shape>
            </v:group>
            <v:group style="position:absolute;left:10719;top:-7;width:2;height:392" coordorigin="10719,-7" coordsize="2,392">
              <v:shape style="position:absolute;left:10719;top:-7;width:2;height:392" coordorigin="10719,-7" coordsize="0,392" path="m10719,-7l10719,384e" filled="false" stroked="true" strokeweight=".66pt" strokecolor="#d2d2d2">
                <v:path arrowok="t"/>
              </v:shape>
            </v:group>
            <v:group style="position:absolute;left:1194;top:-7;width:9519;height:392" coordorigin="1194,-7" coordsize="9519,392">
              <v:shape style="position:absolute;left:1194;top:-7;width:9519;height:392" coordorigin="1194,-7" coordsize="9519,392" path="m1194,384l10712,384,10712,-7,1194,-7,1194,384xe" filled="true" fillcolor="#d2d2d2" stroked="false">
                <v:path arrowok="t"/>
                <v:fill type="solid"/>
              </v:shape>
            </v:group>
            <v:group style="position:absolute;left:1181;top:-37;width:9544;height:30" coordorigin="1181,-37" coordsize="9544,30">
              <v:shape style="position:absolute;left:1181;top:-37;width:9544;height:30" coordorigin="1181,-37" coordsize="9544,30" path="m1181,-7l10724,-7,10724,-37,1181,-37,1181,-7xe" filled="true" fillcolor="#000000" stroked="false">
                <v:path arrowok="t"/>
                <v:fill type="solid"/>
              </v:shape>
            </v:group>
            <v:group style="position:absolute;left:1181;top:399;width:1182;height:1872" coordorigin="1181,399" coordsize="1182,1872">
              <v:shape style="position:absolute;left:1181;top:399;width:1182;height:1872" coordorigin="1181,399" coordsize="1182,1872" path="m1181,2271l2362,2271,2362,399,1181,399,1181,2271xe" filled="true" fillcolor="#d2d2d2" stroked="false">
                <v:path arrowok="t"/>
                <v:fill type="solid"/>
              </v:shape>
            </v:group>
            <v:group style="position:absolute;left:1187;top:2271;width:2;height:392" coordorigin="1187,2271" coordsize="2,392">
              <v:shape style="position:absolute;left:1187;top:2271;width:2;height:392" coordorigin="1187,2271" coordsize="0,392" path="m1187,2271l1187,2663e" filled="false" stroked="true" strokeweight=".66pt" strokecolor="#d2d2d2">
                <v:path arrowok="t"/>
              </v:shape>
            </v:group>
            <v:group style="position:absolute;left:2351;top:2271;width:2;height:392" coordorigin="2351,2271" coordsize="2,392">
              <v:shape style="position:absolute;left:2351;top:2271;width:2;height:392" coordorigin="2351,2271" coordsize="0,392" path="m2351,2271l2351,2663e" filled="false" stroked="true" strokeweight="1.08pt" strokecolor="#d2d2d2">
                <v:path arrowok="t"/>
              </v:shape>
            </v:group>
            <v:group style="position:absolute;left:1181;top:2663;width:1182;height:1873" coordorigin="1181,2663" coordsize="1182,1873">
              <v:shape style="position:absolute;left:1181;top:2663;width:1182;height:1873" coordorigin="1181,2663" coordsize="1182,1873" path="m1181,4535l2362,4535,2362,2663,1181,2663,1181,4535xe" filled="true" fillcolor="#d2d2d2" stroked="false">
                <v:path arrowok="t"/>
                <v:fill type="solid"/>
              </v:shape>
            </v:group>
            <v:group style="position:absolute;left:1194;top:2271;width:1147;height:392" coordorigin="1194,2271" coordsize="1147,392">
              <v:shape style="position:absolute;left:1194;top:2271;width:1147;height:392" coordorigin="1194,2271" coordsize="1147,392" path="m1194,2663l2340,2663,2340,2271,1194,2271,1194,2663xe" filled="true" fillcolor="#d2d2d2" stroked="false">
                <v:path arrowok="t"/>
                <v:fill type="solid"/>
              </v:shape>
            </v:group>
            <v:group style="position:absolute;left:3572;top:399;width:1182;height:1872" coordorigin="3572,399" coordsize="1182,1872">
              <v:shape style="position:absolute;left:3572;top:399;width:1182;height:1872" coordorigin="3572,399" coordsize="1182,1872" path="m3572,2271l4754,2271,4754,399,3572,399,3572,2271xe" filled="true" fillcolor="#d2d2d2" stroked="false">
                <v:path arrowok="t"/>
                <v:fill type="solid"/>
              </v:shape>
            </v:group>
            <v:group style="position:absolute;left:3582;top:2271;width:2;height:392" coordorigin="3582,2271" coordsize="2,392">
              <v:shape style="position:absolute;left:3582;top:2271;width:2;height:392" coordorigin="3582,2271" coordsize="0,392" path="m3582,2271l3582,2663e" filled="false" stroked="true" strokeweight="1.02pt" strokecolor="#d2d2d2">
                <v:path arrowok="t"/>
              </v:shape>
            </v:group>
            <v:group style="position:absolute;left:4743;top:2271;width:2;height:392" coordorigin="4743,2271" coordsize="2,392">
              <v:shape style="position:absolute;left:4743;top:2271;width:2;height:392" coordorigin="4743,2271" coordsize="0,392" path="m4743,2271l4743,2663e" filled="false" stroked="true" strokeweight="1.08pt" strokecolor="#d2d2d2">
                <v:path arrowok="t"/>
              </v:shape>
            </v:group>
            <v:group style="position:absolute;left:3572;top:2663;width:1182;height:1873" coordorigin="3572,2663" coordsize="1182,1873">
              <v:shape style="position:absolute;left:3572;top:2663;width:1182;height:1873" coordorigin="3572,2663" coordsize="1182,1873" path="m3572,4535l4754,4535,4754,2663,3572,2663,3572,4535xe" filled="true" fillcolor="#d2d2d2" stroked="false">
                <v:path arrowok="t"/>
                <v:fill type="solid"/>
              </v:shape>
            </v:group>
            <v:group style="position:absolute;left:3592;top:2271;width:1140;height:392" coordorigin="3592,2271" coordsize="1140,392">
              <v:shape style="position:absolute;left:3592;top:2271;width:1140;height:392" coordorigin="3592,2271" coordsize="1140,392" path="m3592,2663l4732,2663,4732,2271,3592,2271,3592,2663xe" filled="true" fillcolor="#d2d2d2" stroked="false">
                <v:path arrowok="t"/>
                <v:fill type="solid"/>
              </v:shape>
            </v:group>
            <v:group style="position:absolute;left:5964;top:399;width:1187;height:1872" coordorigin="5964,399" coordsize="1187,1872">
              <v:shape style="position:absolute;left:5964;top:399;width:1187;height:1872" coordorigin="5964,399" coordsize="1187,1872" path="m5964,2271l7150,2271,7150,399,5964,399,5964,2271xe" filled="true" fillcolor="#d2d2d2" stroked="false">
                <v:path arrowok="t"/>
                <v:fill type="solid"/>
              </v:shape>
            </v:group>
            <v:group style="position:absolute;left:5974;top:2271;width:2;height:392" coordorigin="5974,2271" coordsize="2,392">
              <v:shape style="position:absolute;left:5974;top:2271;width:2;height:392" coordorigin="5974,2271" coordsize="0,392" path="m5974,2271l5974,2663e" filled="false" stroked="true" strokeweight="1.08pt" strokecolor="#d2d2d2">
                <v:path arrowok="t"/>
              </v:shape>
            </v:group>
            <v:group style="position:absolute;left:7140;top:2271;width:2;height:392" coordorigin="7140,2271" coordsize="2,392">
              <v:shape style="position:absolute;left:7140;top:2271;width:2;height:392" coordorigin="7140,2271" coordsize="0,392" path="m7140,2271l7140,2663e" filled="false" stroked="true" strokeweight="1.08pt" strokecolor="#d2d2d2">
                <v:path arrowok="t"/>
              </v:shape>
            </v:group>
            <v:group style="position:absolute;left:5964;top:2663;width:1187;height:1873" coordorigin="5964,2663" coordsize="1187,1873">
              <v:shape style="position:absolute;left:5964;top:2663;width:1187;height:1873" coordorigin="5964,2663" coordsize="1187,1873" path="m5964,4535l7150,4535,7150,2663,5964,2663,5964,4535xe" filled="true" fillcolor="#d2d2d2" stroked="false">
                <v:path arrowok="t"/>
                <v:fill type="solid"/>
              </v:shape>
            </v:group>
            <v:group style="position:absolute;left:5985;top:2271;width:1144;height:392" coordorigin="5985,2271" coordsize="1144,392">
              <v:shape style="position:absolute;left:5985;top:2271;width:1144;height:392" coordorigin="5985,2271" coordsize="1144,392" path="m5985,2663l7129,2663,7129,2271,5985,2271,5985,2663xe" filled="true" fillcolor="#d2d2d2" stroked="false">
                <v:path arrowok="t"/>
                <v:fill type="solid"/>
              </v:shape>
            </v:group>
            <v:group style="position:absolute;left:8356;top:399;width:1182;height:1872" coordorigin="8356,399" coordsize="1182,1872">
              <v:shape style="position:absolute;left:8356;top:399;width:1182;height:1872" coordorigin="8356,399" coordsize="1182,1872" path="m8356,2271l9538,2271,9538,399,8356,399,8356,2271xe" filled="true" fillcolor="#d2d2d2" stroked="false">
                <v:path arrowok="t"/>
                <v:fill type="solid"/>
              </v:shape>
            </v:group>
            <v:group style="position:absolute;left:8366;top:2271;width:2;height:392" coordorigin="8366,2271" coordsize="2,392">
              <v:shape style="position:absolute;left:8366;top:2271;width:2;height:392" coordorigin="8366,2271" coordsize="0,392" path="m8366,2271l8366,2663e" filled="false" stroked="true" strokeweight="1.02pt" strokecolor="#d2d2d2">
                <v:path arrowok="t"/>
              </v:shape>
            </v:group>
            <v:group style="position:absolute;left:9527;top:2271;width:2;height:392" coordorigin="9527,2271" coordsize="2,392">
              <v:shape style="position:absolute;left:9527;top:2271;width:2;height:392" coordorigin="9527,2271" coordsize="0,392" path="m9527,2271l9527,2663e" filled="false" stroked="true" strokeweight="1.08pt" strokecolor="#d2d2d2">
                <v:path arrowok="t"/>
              </v:shape>
            </v:group>
            <v:group style="position:absolute;left:8356;top:2663;width:1182;height:1873" coordorigin="8356,2663" coordsize="1182,1873">
              <v:shape style="position:absolute;left:8356;top:2663;width:1182;height:1873" coordorigin="8356,2663" coordsize="1182,1873" path="m8356,4535l9538,4535,9538,2663,8356,2663,8356,4535xe" filled="true" fillcolor="#d2d2d2" stroked="false">
                <v:path arrowok="t"/>
                <v:fill type="solid"/>
              </v:shape>
            </v:group>
            <v:group style="position:absolute;left:8376;top:2271;width:1140;height:392" coordorigin="8376,2271" coordsize="1140,392">
              <v:shape style="position:absolute;left:8376;top:2271;width:1140;height:392" coordorigin="8376,2271" coordsize="1140,392" path="m8376,2663l9516,2663,9516,2271,8376,2271,8376,2663xe" filled="true" fillcolor="#d2d2d2" stroked="false">
                <v:path arrowok="t"/>
                <v:fill type="solid"/>
              </v:shape>
            </v:group>
            <v:group style="position:absolute;left:1181;top:391;width:1180;height:2" coordorigin="1181,391" coordsize="1180,2">
              <v:shape style="position:absolute;left:1181;top:391;width:1180;height:2" coordorigin="1181,391" coordsize="1180,0" path="m1181,391l2361,391e" filled="false" stroked="true" strokeweight=".72pt" strokecolor="#000000">
                <v:path arrowok="t"/>
              </v:shape>
            </v:group>
            <v:group style="position:absolute;left:1181;top:399;width:1180;height:2" coordorigin="1181,399" coordsize="1180,2">
              <v:shape style="position:absolute;left:1181;top:399;width:1180;height:2" coordorigin="1181,399" coordsize="1180,0" path="m1181,399l2361,399e" filled="false" stroked="true" strokeweight=".06pt" strokecolor="#d2d2d2">
                <v:path arrowok="t"/>
              </v:shape>
            </v:group>
            <v:group style="position:absolute;left:2375;top:391;width:1182;height:2" coordorigin="2375,391" coordsize="1182,2">
              <v:shape style="position:absolute;left:2375;top:391;width:1182;height:2" coordorigin="2375,391" coordsize="1182,0" path="m2375,391l3557,391e" filled="false" stroked="true" strokeweight=".72pt" strokecolor="#000000">
                <v:path arrowok="t"/>
              </v:shape>
            </v:group>
            <v:group style="position:absolute;left:3572;top:391;width:1182;height:2" coordorigin="3572,391" coordsize="1182,2">
              <v:shape style="position:absolute;left:3572;top:391;width:1182;height:2" coordorigin="3572,391" coordsize="1182,0" path="m3572,391l4754,391e" filled="false" stroked="true" strokeweight=".72pt" strokecolor="#000000">
                <v:path arrowok="t"/>
              </v:shape>
            </v:group>
            <v:group style="position:absolute;left:3572;top:399;width:1182;height:2" coordorigin="3572,399" coordsize="1182,2">
              <v:shape style="position:absolute;left:3572;top:399;width:1182;height:2" coordorigin="3572,399" coordsize="1182,0" path="m3572,399l4754,399e" filled="false" stroked="true" strokeweight=".06pt" strokecolor="#d2d2d2">
                <v:path arrowok="t"/>
              </v:shape>
            </v:group>
            <v:group style="position:absolute;left:4768;top:391;width:1182;height:2" coordorigin="4768,391" coordsize="1182,2">
              <v:shape style="position:absolute;left:4768;top:391;width:1182;height:2" coordorigin="4768,391" coordsize="1182,0" path="m4768,391l5949,391e" filled="false" stroked="true" strokeweight=".72pt" strokecolor="#000000">
                <v:path arrowok="t"/>
              </v:shape>
            </v:group>
            <v:group style="position:absolute;left:5964;top:391;width:1186;height:2" coordorigin="5964,391" coordsize="1186,2">
              <v:shape style="position:absolute;left:5964;top:391;width:1186;height:2" coordorigin="5964,391" coordsize="1186,0" path="m5964,391l7149,391e" filled="false" stroked="true" strokeweight=".72pt" strokecolor="#000000">
                <v:path arrowok="t"/>
              </v:shape>
            </v:group>
            <v:group style="position:absolute;left:5964;top:399;width:1186;height:2" coordorigin="5964,399" coordsize="1186,2">
              <v:shape style="position:absolute;left:5964;top:399;width:1186;height:2" coordorigin="5964,399" coordsize="1186,0" path="m5964,399l7149,399e" filled="false" stroked="true" strokeweight=".06pt" strokecolor="#d2d2d2">
                <v:path arrowok="t"/>
              </v:shape>
            </v:group>
            <v:group style="position:absolute;left:7164;top:391;width:1178;height:2" coordorigin="7164,391" coordsize="1178,2">
              <v:shape style="position:absolute;left:7164;top:391;width:1178;height:2" coordorigin="7164,391" coordsize="1178,0" path="m7164,391l8341,391e" filled="false" stroked="true" strokeweight=".72pt" strokecolor="#000000">
                <v:path arrowok="t"/>
              </v:shape>
            </v:group>
            <v:group style="position:absolute;left:8356;top:391;width:1182;height:2" coordorigin="8356,391" coordsize="1182,2">
              <v:shape style="position:absolute;left:8356;top:391;width:1182;height:2" coordorigin="8356,391" coordsize="1182,0" path="m8356,391l9538,391e" filled="false" stroked="true" strokeweight=".72pt" strokecolor="#000000">
                <v:path arrowok="t"/>
              </v:shape>
            </v:group>
            <v:group style="position:absolute;left:8356;top:399;width:1182;height:2" coordorigin="8356,399" coordsize="1182,2">
              <v:shape style="position:absolute;left:8356;top:399;width:1182;height:2" coordorigin="8356,399" coordsize="1182,0" path="m8356,399l9538,399e" filled="false" stroked="true" strokeweight=".06pt" strokecolor="#d2d2d2">
                <v:path arrowok="t"/>
              </v:shape>
            </v:group>
            <v:group style="position:absolute;left:9552;top:391;width:1173;height:2" coordorigin="9552,391" coordsize="1173,2">
              <v:shape style="position:absolute;left:9552;top:391;width:1173;height:2" coordorigin="9552,391" coordsize="1173,0" path="m9552,391l10724,391e" filled="false" stroked="true" strokeweight=".72pt" strokecolor="#000000">
                <v:path arrowok="t"/>
              </v:shape>
            </v:group>
            <v:group style="position:absolute;left:2368;top:384;width:2;height:4166" coordorigin="2368,384" coordsize="2,4166">
              <v:shape style="position:absolute;left:2368;top:384;width:2;height:4166" coordorigin="2368,384" coordsize="0,4166" path="m2368,384l2368,4549e" filled="false" stroked="true" strokeweight=".72pt" strokecolor="#000000">
                <v:path arrowok="t"/>
              </v:shape>
            </v:group>
            <v:group style="position:absolute;left:3564;top:384;width:2;height:4166" coordorigin="3564,384" coordsize="2,4166">
              <v:shape style="position:absolute;left:3564;top:384;width:2;height:4166" coordorigin="3564,384" coordsize="0,4166" path="m3564,384l3564,4549e" filled="false" stroked="true" strokeweight=".72pt" strokecolor="#000000">
                <v:path arrowok="t"/>
              </v:shape>
            </v:group>
            <v:group style="position:absolute;left:4761;top:384;width:2;height:4166" coordorigin="4761,384" coordsize="2,4166">
              <v:shape style="position:absolute;left:4761;top:384;width:2;height:4166" coordorigin="4761,384" coordsize="0,4166" path="m4761,384l4761,4549e" filled="false" stroked="true" strokeweight=".72pt" strokecolor="#000000">
                <v:path arrowok="t"/>
              </v:shape>
            </v:group>
            <v:group style="position:absolute;left:5956;top:384;width:2;height:4166" coordorigin="5956,384" coordsize="2,4166">
              <v:shape style="position:absolute;left:5956;top:384;width:2;height:4166" coordorigin="5956,384" coordsize="0,4166" path="m5956,384l5956,4549e" filled="false" stroked="true" strokeweight=".72pt" strokecolor="#000000">
                <v:path arrowok="t"/>
              </v:shape>
            </v:group>
            <v:group style="position:absolute;left:7156;top:384;width:2;height:4166" coordorigin="7156,384" coordsize="2,4166">
              <v:shape style="position:absolute;left:7156;top:384;width:2;height:4166" coordorigin="7156,384" coordsize="0,4166" path="m7156,384l7156,4549e" filled="false" stroked="true" strokeweight=".72pt" strokecolor="#000000">
                <v:path arrowok="t"/>
              </v:shape>
            </v:group>
            <v:group style="position:absolute;left:8348;top:384;width:2;height:4166" coordorigin="8348,384" coordsize="2,4166">
              <v:shape style="position:absolute;left:8348;top:384;width:2;height:4166" coordorigin="8348,384" coordsize="0,4166" path="m8348,384l8348,4549e" filled="false" stroked="true" strokeweight=".72pt" strokecolor="#000000">
                <v:path arrowok="t"/>
              </v:shape>
            </v:group>
            <v:group style="position:absolute;left:9545;top:384;width:2;height:4166" coordorigin="9545,384" coordsize="2,4166">
              <v:shape style="position:absolute;left:9545;top:384;width:2;height:4166" coordorigin="9545,384" coordsize="0,4166" path="m9545,384l9545,4549e" filled="false" stroked="true" strokeweight=".72pt" strokecolor="#000000">
                <v:path arrowok="t"/>
              </v:shape>
            </v:group>
            <v:group style="position:absolute;left:1187;top:4551;width:2;height:393" coordorigin="1187,4551" coordsize="2,393">
              <v:shape style="position:absolute;left:1187;top:4551;width:2;height:393" coordorigin="1187,4551" coordsize="0,393" path="m1187,4551l1187,4943e" filled="false" stroked="true" strokeweight=".66pt" strokecolor="#d2d2d2">
                <v:path arrowok="t"/>
              </v:shape>
            </v:group>
            <v:group style="position:absolute;left:10719;top:4551;width:2;height:393" coordorigin="10719,4551" coordsize="2,393">
              <v:shape style="position:absolute;left:10719;top:4551;width:2;height:393" coordorigin="10719,4551" coordsize="0,393" path="m10719,4551l10719,4943e" filled="false" stroked="true" strokeweight=".66pt" strokecolor="#d2d2d2">
                <v:path arrowok="t"/>
              </v:shape>
            </v:group>
            <v:group style="position:absolute;left:1194;top:4551;width:9519;height:393" coordorigin="1194,4551" coordsize="9519,393">
              <v:shape style="position:absolute;left:1194;top:4551;width:9519;height:393" coordorigin="1194,4551" coordsize="9519,393" path="m1194,4943l10712,4943,10712,4551,1194,4551,1194,4943xe" filled="true" fillcolor="#d2d2d2" stroked="false">
                <v:path arrowok="t"/>
                <v:fill type="solid"/>
              </v:shape>
            </v:group>
            <v:group style="position:absolute;left:1181;top:4542;width:1180;height:2" coordorigin="1181,4542" coordsize="1180,2">
              <v:shape style="position:absolute;left:1181;top:4542;width:1180;height:2" coordorigin="1181,4542" coordsize="1180,0" path="m1181,4542l2361,4542e" filled="false" stroked="true" strokeweight=".72pt" strokecolor="#000000">
                <v:path arrowok="t"/>
              </v:shape>
            </v:group>
            <v:group style="position:absolute;left:1181;top:4550;width:1180;height:2" coordorigin="1181,4550" coordsize="1180,2">
              <v:shape style="position:absolute;left:1181;top:4550;width:1180;height:2" coordorigin="1181,4550" coordsize="1180,0" path="m1181,4550l2361,4550e" filled="false" stroked="true" strokeweight=".06pt" strokecolor="#d2d2d2">
                <v:path arrowok="t"/>
              </v:shape>
            </v:group>
            <v:group style="position:absolute;left:2361;top:4550;width:15;height:2" coordorigin="2361,4550" coordsize="15,2">
              <v:shape style="position:absolute;left:2361;top:4550;width:15;height:2" coordorigin="2361,4550" coordsize="15,0" path="m2361,4550l2375,4550e" filled="false" stroked="true" strokeweight=".06pt" strokecolor="#d2d2d2">
                <v:path arrowok="t"/>
              </v:shape>
            </v:group>
            <v:group style="position:absolute;left:2375;top:4542;width:1182;height:2" coordorigin="2375,4542" coordsize="1182,2">
              <v:shape style="position:absolute;left:2375;top:4542;width:1182;height:2" coordorigin="2375,4542" coordsize="1182,0" path="m2375,4542l3557,4542e" filled="false" stroked="true" strokeweight=".72pt" strokecolor="#000000">
                <v:path arrowok="t"/>
              </v:shape>
            </v:group>
            <v:group style="position:absolute;left:2375;top:4550;width:1182;height:2" coordorigin="2375,4550" coordsize="1182,2">
              <v:shape style="position:absolute;left:2375;top:4550;width:1182;height:2" coordorigin="2375,4550" coordsize="1182,0" path="m2375,4550l3557,4550e" filled="false" stroked="true" strokeweight=".06pt" strokecolor="#d2d2d2">
                <v:path arrowok="t"/>
              </v:shape>
            </v:group>
            <v:group style="position:absolute;left:3557;top:4550;width:15;height:2" coordorigin="3557,4550" coordsize="15,2">
              <v:shape style="position:absolute;left:3557;top:4550;width:15;height:2" coordorigin="3557,4550" coordsize="15,0" path="m3557,4550l3572,4550e" filled="false" stroked="true" strokeweight=".06pt" strokecolor="#d2d2d2">
                <v:path arrowok="t"/>
              </v:shape>
            </v:group>
            <v:group style="position:absolute;left:3572;top:4542;width:1182;height:2" coordorigin="3572,4542" coordsize="1182,2">
              <v:shape style="position:absolute;left:3572;top:4542;width:1182;height:2" coordorigin="3572,4542" coordsize="1182,0" path="m3572,4542l4754,4542e" filled="false" stroked="true" strokeweight=".72pt" strokecolor="#000000">
                <v:path arrowok="t"/>
              </v:shape>
            </v:group>
            <v:group style="position:absolute;left:3572;top:4550;width:1182;height:2" coordorigin="3572,4550" coordsize="1182,2">
              <v:shape style="position:absolute;left:3572;top:4550;width:1182;height:2" coordorigin="3572,4550" coordsize="1182,0" path="m3572,4550l4754,4550e" filled="false" stroked="true" strokeweight=".06pt" strokecolor="#d2d2d2">
                <v:path arrowok="t"/>
              </v:shape>
            </v:group>
            <v:group style="position:absolute;left:4754;top:4550;width:15;height:2" coordorigin="4754,4550" coordsize="15,2">
              <v:shape style="position:absolute;left:4754;top:4550;width:15;height:2" coordorigin="4754,4550" coordsize="15,0" path="m4754,4550l4768,4550e" filled="false" stroked="true" strokeweight=".06pt" strokecolor="#d2d2d2">
                <v:path arrowok="t"/>
              </v:shape>
            </v:group>
            <v:group style="position:absolute;left:4768;top:4542;width:1182;height:2" coordorigin="4768,4542" coordsize="1182,2">
              <v:shape style="position:absolute;left:4768;top:4542;width:1182;height:2" coordorigin="4768,4542" coordsize="1182,0" path="m4768,4542l5949,4542e" filled="false" stroked="true" strokeweight=".72pt" strokecolor="#000000">
                <v:path arrowok="t"/>
              </v:shape>
            </v:group>
            <v:group style="position:absolute;left:4768;top:4550;width:1182;height:2" coordorigin="4768,4550" coordsize="1182,2">
              <v:shape style="position:absolute;left:4768;top:4550;width:1182;height:2" coordorigin="4768,4550" coordsize="1182,0" path="m4768,4550l5949,4550e" filled="false" stroked="true" strokeweight=".06pt" strokecolor="#d2d2d2">
                <v:path arrowok="t"/>
              </v:shape>
            </v:group>
            <v:group style="position:absolute;left:5949;top:4550;width:15;height:2" coordorigin="5949,4550" coordsize="15,2">
              <v:shape style="position:absolute;left:5949;top:4550;width:15;height:2" coordorigin="5949,4550" coordsize="15,0" path="m5949,4550l5964,4550e" filled="false" stroked="true" strokeweight=".06pt" strokecolor="#d2d2d2">
                <v:path arrowok="t"/>
              </v:shape>
            </v:group>
            <v:group style="position:absolute;left:5964;top:4542;width:1186;height:2" coordorigin="5964,4542" coordsize="1186,2">
              <v:shape style="position:absolute;left:5964;top:4542;width:1186;height:2" coordorigin="5964,4542" coordsize="1186,0" path="m5964,4542l7149,4542e" filled="false" stroked="true" strokeweight=".72pt" strokecolor="#000000">
                <v:path arrowok="t"/>
              </v:shape>
            </v:group>
            <v:group style="position:absolute;left:5964;top:4550;width:1186;height:2" coordorigin="5964,4550" coordsize="1186,2">
              <v:shape style="position:absolute;left:5964;top:4550;width:1186;height:2" coordorigin="5964,4550" coordsize="1186,0" path="m5964,4550l7149,4550e" filled="false" stroked="true" strokeweight=".06pt" strokecolor="#d2d2d2">
                <v:path arrowok="t"/>
              </v:shape>
            </v:group>
            <v:group style="position:absolute;left:7149;top:4550;width:15;height:2" coordorigin="7149,4550" coordsize="15,2">
              <v:shape style="position:absolute;left:7149;top:4550;width:15;height:2" coordorigin="7149,4550" coordsize="15,0" path="m7149,4550l7164,4550e" filled="false" stroked="true" strokeweight=".06pt" strokecolor="#d2d2d2">
                <v:path arrowok="t"/>
              </v:shape>
            </v:group>
            <v:group style="position:absolute;left:7164;top:4542;width:1178;height:2" coordorigin="7164,4542" coordsize="1178,2">
              <v:shape style="position:absolute;left:7164;top:4542;width:1178;height:2" coordorigin="7164,4542" coordsize="1178,0" path="m7164,4542l8341,4542e" filled="false" stroked="true" strokeweight=".72pt" strokecolor="#000000">
                <v:path arrowok="t"/>
              </v:shape>
            </v:group>
            <v:group style="position:absolute;left:7164;top:4550;width:1178;height:2" coordorigin="7164,4550" coordsize="1178,2">
              <v:shape style="position:absolute;left:7164;top:4550;width:1178;height:2" coordorigin="7164,4550" coordsize="1178,0" path="m7164,4550l8341,4550e" filled="false" stroked="true" strokeweight=".06pt" strokecolor="#d2d2d2">
                <v:path arrowok="t"/>
              </v:shape>
            </v:group>
            <v:group style="position:absolute;left:8341;top:4550;width:15;height:2" coordorigin="8341,4550" coordsize="15,2">
              <v:shape style="position:absolute;left:8341;top:4550;width:15;height:2" coordorigin="8341,4550" coordsize="15,0" path="m8341,4550l8356,4550e" filled="false" stroked="true" strokeweight=".06pt" strokecolor="#d2d2d2">
                <v:path arrowok="t"/>
              </v:shape>
            </v:group>
            <v:group style="position:absolute;left:8356;top:4542;width:1182;height:2" coordorigin="8356,4542" coordsize="1182,2">
              <v:shape style="position:absolute;left:8356;top:4542;width:1182;height:2" coordorigin="8356,4542" coordsize="1182,0" path="m8356,4542l9538,4542e" filled="false" stroked="true" strokeweight=".72pt" strokecolor="#000000">
                <v:path arrowok="t"/>
              </v:shape>
            </v:group>
            <v:group style="position:absolute;left:8356;top:4550;width:1182;height:2" coordorigin="8356,4550" coordsize="1182,2">
              <v:shape style="position:absolute;left:8356;top:4550;width:1182;height:2" coordorigin="8356,4550" coordsize="1182,0" path="m8356,4550l9538,4550e" filled="false" stroked="true" strokeweight=".06pt" strokecolor="#d2d2d2">
                <v:path arrowok="t"/>
              </v:shape>
            </v:group>
            <v:group style="position:absolute;left:9538;top:4550;width:15;height:2" coordorigin="9538,4550" coordsize="15,2">
              <v:shape style="position:absolute;left:9538;top:4550;width:15;height:2" coordorigin="9538,4550" coordsize="15,0" path="m9538,4550l9552,4550e" filled="false" stroked="true" strokeweight=".06pt" strokecolor="#d2d2d2">
                <v:path arrowok="t"/>
              </v:shape>
            </v:group>
            <v:group style="position:absolute;left:9552;top:4542;width:1173;height:2" coordorigin="9552,4542" coordsize="1173,2">
              <v:shape style="position:absolute;left:9552;top:4542;width:1173;height:2" coordorigin="9552,4542" coordsize="1173,0" path="m9552,4542l10724,4542e" filled="false" stroked="true" strokeweight=".72pt" strokecolor="#000000">
                <v:path arrowok="t"/>
              </v:shape>
            </v:group>
            <v:group style="position:absolute;left:9552;top:4550;width:1173;height:2" coordorigin="9552,4550" coordsize="1173,2">
              <v:shape style="position:absolute;left:9552;top:4550;width:1173;height:2" coordorigin="9552,4550" coordsize="1173,0" path="m9552,4550l10724,4550e" filled="false" stroked="true" strokeweight=".06pt" strokecolor="#d2d2d2">
                <v:path arrowok="t"/>
              </v:shape>
            </v:group>
            <v:group style="position:absolute;left:1181;top:4957;width:1182;height:156" coordorigin="1181,4957" coordsize="1182,156">
              <v:shape style="position:absolute;left:1181;top:4957;width:1182;height:156" coordorigin="1181,4957" coordsize="1182,156" path="m1181,5113l2362,5113,2362,4957,1181,4957,1181,5113xe" filled="true" fillcolor="#d2d2d2" stroked="false">
                <v:path arrowok="t"/>
                <v:fill type="solid"/>
              </v:shape>
            </v:group>
            <v:group style="position:absolute;left:1187;top:5113;width:2;height:393" coordorigin="1187,5113" coordsize="2,393">
              <v:shape style="position:absolute;left:1187;top:5113;width:2;height:393" coordorigin="1187,5113" coordsize="0,393" path="m1187,5113l1187,5506e" filled="false" stroked="true" strokeweight=".66pt" strokecolor="#d2d2d2">
                <v:path arrowok="t"/>
              </v:shape>
            </v:group>
            <v:group style="position:absolute;left:2351;top:5113;width:2;height:393" coordorigin="2351,5113" coordsize="2,393">
              <v:shape style="position:absolute;left:2351;top:5113;width:2;height:393" coordorigin="2351,5113" coordsize="0,393" path="m2351,5113l2351,5506e" filled="false" stroked="true" strokeweight="1.08pt" strokecolor="#d2d2d2">
                <v:path arrowok="t"/>
              </v:shape>
            </v:group>
            <v:group style="position:absolute;left:1181;top:5506;width:1182;height:156" coordorigin="1181,5506" coordsize="1182,156">
              <v:shape style="position:absolute;left:1181;top:5506;width:1182;height:156" coordorigin="1181,5506" coordsize="1182,156" path="m1181,5662l2362,5662,2362,5506,1181,5506,1181,5662xe" filled="true" fillcolor="#d2d2d2" stroked="false">
                <v:path arrowok="t"/>
                <v:fill type="solid"/>
              </v:shape>
            </v:group>
            <v:group style="position:absolute;left:1194;top:5113;width:1147;height:393" coordorigin="1194,5113" coordsize="1147,393">
              <v:shape style="position:absolute;left:1194;top:5113;width:1147;height:393" coordorigin="1194,5113" coordsize="1147,393" path="m1194,5506l2340,5506,2340,5113,1194,5113,1194,5506xe" filled="true" fillcolor="#d2d2d2" stroked="false">
                <v:path arrowok="t"/>
                <v:fill type="solid"/>
              </v:shape>
            </v:group>
            <v:group style="position:absolute;left:5964;top:4957;width:1187;height:156" coordorigin="5964,4957" coordsize="1187,156">
              <v:shape style="position:absolute;left:5964;top:4957;width:1187;height:156" coordorigin="5964,4957" coordsize="1187,156" path="m5964,5113l7150,5113,7150,4957,5964,4957,5964,5113xe" filled="true" fillcolor="#d2d2d2" stroked="false">
                <v:path arrowok="t"/>
                <v:fill type="solid"/>
              </v:shape>
            </v:group>
            <v:group style="position:absolute;left:5974;top:5113;width:2;height:393" coordorigin="5974,5113" coordsize="2,393">
              <v:shape style="position:absolute;left:5974;top:5113;width:2;height:393" coordorigin="5974,5113" coordsize="0,393" path="m5974,5113l5974,5506e" filled="false" stroked="true" strokeweight="1.08pt" strokecolor="#d2d2d2">
                <v:path arrowok="t"/>
              </v:shape>
            </v:group>
            <v:group style="position:absolute;left:7140;top:5113;width:2;height:393" coordorigin="7140,5113" coordsize="2,393">
              <v:shape style="position:absolute;left:7140;top:5113;width:2;height:393" coordorigin="7140,5113" coordsize="0,393" path="m7140,5113l7140,5506e" filled="false" stroked="true" strokeweight="1.08pt" strokecolor="#d2d2d2">
                <v:path arrowok="t"/>
              </v:shape>
            </v:group>
            <v:group style="position:absolute;left:5964;top:5506;width:1187;height:156" coordorigin="5964,5506" coordsize="1187,156">
              <v:shape style="position:absolute;left:5964;top:5506;width:1187;height:156" coordorigin="5964,5506" coordsize="1187,156" path="m5964,5662l7150,5662,7150,5506,5964,5506,5964,5662xe" filled="true" fillcolor="#d2d2d2" stroked="false">
                <v:path arrowok="t"/>
                <v:fill type="solid"/>
              </v:shape>
            </v:group>
            <v:group style="position:absolute;left:5985;top:5113;width:1144;height:393" coordorigin="5985,5113" coordsize="1144,393">
              <v:shape style="position:absolute;left:5985;top:5113;width:1144;height:393" coordorigin="5985,5113" coordsize="1144,393" path="m5985,5506l7129,5506,7129,5113,5985,5113,5985,5506xe" filled="true" fillcolor="#d2d2d2" stroked="false">
                <v:path arrowok="t"/>
                <v:fill type="solid"/>
              </v:shape>
            </v:group>
            <v:group style="position:absolute;left:1181;top:4950;width:1180;height:2" coordorigin="1181,4950" coordsize="1180,2">
              <v:shape style="position:absolute;left:1181;top:4950;width:1180;height:2" coordorigin="1181,4950" coordsize="1180,0" path="m1181,4950l2361,4950e" filled="false" stroked="true" strokeweight=".72pt" strokecolor="#000000">
                <v:path arrowok="t"/>
              </v:shape>
            </v:group>
            <v:group style="position:absolute;left:1181;top:4958;width:1180;height:2" coordorigin="1181,4958" coordsize="1180,2">
              <v:shape style="position:absolute;left:1181;top:4958;width:1180;height:2" coordorigin="1181,4958" coordsize="1180,0" path="m1181,4958l2361,4958e" filled="false" stroked="true" strokeweight=".06pt" strokecolor="#d2d2d2">
                <v:path arrowok="t"/>
              </v:shape>
            </v:group>
            <v:group style="position:absolute;left:2375;top:4950;width:3574;height:2" coordorigin="2375,4950" coordsize="3574,2">
              <v:shape style="position:absolute;left:2375;top:4950;width:3574;height:2" coordorigin="2375,4950" coordsize="3574,0" path="m2375,4950l5949,4950e" filled="false" stroked="true" strokeweight=".72pt" strokecolor="#000000">
                <v:path arrowok="t"/>
              </v:shape>
            </v:group>
            <v:group style="position:absolute;left:5964;top:4950;width:1186;height:2" coordorigin="5964,4950" coordsize="1186,2">
              <v:shape style="position:absolute;left:5964;top:4950;width:1186;height:2" coordorigin="5964,4950" coordsize="1186,0" path="m5964,4950l7149,4950e" filled="false" stroked="true" strokeweight=".72pt" strokecolor="#000000">
                <v:path arrowok="t"/>
              </v:shape>
            </v:group>
            <v:group style="position:absolute;left:5964;top:4958;width:1186;height:2" coordorigin="5964,4958" coordsize="1186,2">
              <v:shape style="position:absolute;left:5964;top:4958;width:1186;height:2" coordorigin="5964,4958" coordsize="1186,0" path="m5964,4958l7149,4958e" filled="false" stroked="true" strokeweight=".06pt" strokecolor="#d2d2d2">
                <v:path arrowok="t"/>
              </v:shape>
            </v:group>
            <v:group style="position:absolute;left:7164;top:4950;width:3561;height:2" coordorigin="7164,4950" coordsize="3561,2">
              <v:shape style="position:absolute;left:7164;top:4950;width:3561;height:2" coordorigin="7164,4950" coordsize="3561,0" path="m7164,4950l10724,4950e" filled="false" stroked="true" strokeweight=".72pt" strokecolor="#000000">
                <v:path arrowok="t"/>
              </v:shape>
            </v:group>
            <v:group style="position:absolute;left:2368;top:4943;width:2;height:734" coordorigin="2368,4943" coordsize="2,734">
              <v:shape style="position:absolute;left:2368;top:4943;width:2;height:734" coordorigin="2368,4943" coordsize="0,734" path="m2368,4943l2368,5676e" filled="false" stroked="true" strokeweight=".72pt" strokecolor="#000000">
                <v:path arrowok="t"/>
              </v:shape>
            </v:group>
            <v:group style="position:absolute;left:5956;top:4943;width:2;height:734" coordorigin="5956,4943" coordsize="2,734">
              <v:shape style="position:absolute;left:5956;top:4943;width:2;height:734" coordorigin="5956,4943" coordsize="0,734" path="m5956,4943l5956,5676e" filled="false" stroked="true" strokeweight=".72pt" strokecolor="#000000">
                <v:path arrowok="t"/>
              </v:shape>
            </v:group>
            <v:group style="position:absolute;left:7156;top:4943;width:2;height:734" coordorigin="7156,4943" coordsize="2,734">
              <v:shape style="position:absolute;left:7156;top:4943;width:2;height:734" coordorigin="7156,4943" coordsize="0,734" path="m7156,4943l7156,5676e" filled="false" stroked="true" strokeweight=".72pt" strokecolor="#000000">
                <v:path arrowok="t"/>
              </v:shape>
            </v:group>
            <v:group style="position:absolute;left:1187;top:5676;width:2;height:1329" coordorigin="1187,5676" coordsize="2,1329">
              <v:shape style="position:absolute;left:1187;top:5676;width:2;height:1329" coordorigin="1187,5676" coordsize="0,1329" path="m1187,5676l1187,7005e" filled="false" stroked="true" strokeweight=".66pt" strokecolor="#d2d2d2">
                <v:path arrowok="t"/>
              </v:shape>
            </v:group>
            <v:group style="position:absolute;left:4343;top:5676;width:2;height:1329" coordorigin="4343,5676" coordsize="2,1329">
              <v:shape style="position:absolute;left:4343;top:5676;width:2;height:1329" coordorigin="4343,5676" coordsize="0,1329" path="m4343,5676l4343,7005e" filled="false" stroked="true" strokeweight="1.08pt" strokecolor="#d2d2d2">
                <v:path arrowok="t"/>
              </v:shape>
            </v:group>
            <v:group style="position:absolute;left:1194;top:5676;width:3139;height:353" coordorigin="1194,5676" coordsize="3139,353">
              <v:shape style="position:absolute;left:1194;top:5676;width:3139;height:353" coordorigin="1194,5676" coordsize="3139,353" path="m1194,6029l4332,6029,4332,5676,1194,5676,1194,6029xe" filled="true" fillcolor="#d2d2d2" stroked="false">
                <v:path arrowok="t"/>
                <v:fill type="solid"/>
              </v:shape>
            </v:group>
            <v:group style="position:absolute;left:1194;top:6029;width:3139;height:312" coordorigin="1194,6029" coordsize="3139,312">
              <v:shape style="position:absolute;left:1194;top:6029;width:3139;height:312" coordorigin="1194,6029" coordsize="3139,312" path="m1194,6341l4332,6341,4332,6029,1194,6029,1194,6341xe" filled="true" fillcolor="#d2d2d2" stroked="false">
                <v:path arrowok="t"/>
                <v:fill type="solid"/>
              </v:shape>
            </v:group>
            <v:group style="position:absolute;left:1194;top:6341;width:3139;height:312" coordorigin="1194,6341" coordsize="3139,312">
              <v:shape style="position:absolute;left:1194;top:6341;width:3139;height:312" coordorigin="1194,6341" coordsize="3139,312" path="m1194,6653l4332,6653,4332,6341,1194,6341,1194,6653xe" filled="true" fillcolor="#d2d2d2" stroked="false">
                <v:path arrowok="t"/>
                <v:fill type="solid"/>
              </v:shape>
            </v:group>
            <v:group style="position:absolute;left:1194;top:6653;width:3139;height:352" coordorigin="1194,6653" coordsize="3139,352">
              <v:shape style="position:absolute;left:1194;top:6653;width:3139;height:352" coordorigin="1194,6653" coordsize="3139,352" path="m1194,7005l4332,7005,4332,6653,1194,6653,1194,7005xe" filled="true" fillcolor="#d2d2d2" stroked="false">
                <v:path arrowok="t"/>
                <v:fill type="solid"/>
              </v:shape>
            </v:group>
            <v:group style="position:absolute;left:4367;top:5676;width:6359;height:468" coordorigin="4367,5676" coordsize="6359,468">
              <v:shape style="position:absolute;left:4367;top:5676;width:6359;height:468" coordorigin="4367,5676" coordsize="6359,468" path="m4367,6144l10726,6144,10726,5676,4367,5676,4367,6144xe" filled="true" fillcolor="#ffffff" stroked="false">
                <v:path arrowok="t"/>
                <v:fill type="solid"/>
              </v:shape>
            </v:group>
            <v:group style="position:absolute;left:4378;top:6144;width:2;height:393" coordorigin="4378,6144" coordsize="2,393">
              <v:shape style="position:absolute;left:4378;top:6144;width:2;height:393" coordorigin="4378,6144" coordsize="0,393" path="m4378,6144l4378,6537e" filled="false" stroked="true" strokeweight="1.08pt" strokecolor="#ffffff">
                <v:path arrowok="t"/>
              </v:shape>
            </v:group>
            <v:group style="position:absolute;left:4389;top:6144;width:6324;height:393" coordorigin="4389,6144" coordsize="6324,393">
              <v:shape style="position:absolute;left:4389;top:6144;width:6324;height:393" coordorigin="4389,6144" coordsize="6324,393" path="m4389,6537l10712,6537,10712,6144,4389,6144,4389,6537xe" filled="true" fillcolor="#ffffff" stroked="false">
                <v:path arrowok="t"/>
                <v:fill type="solid"/>
              </v:shape>
            </v:group>
            <v:group style="position:absolute;left:1181;top:5669;width:1180;height:2" coordorigin="1181,5669" coordsize="1180,2">
              <v:shape style="position:absolute;left:1181;top:5669;width:1180;height:2" coordorigin="1181,5669" coordsize="1180,0" path="m1181,5669l2361,5669e" filled="false" stroked="true" strokeweight=".72pt" strokecolor="#000000">
                <v:path arrowok="t"/>
              </v:shape>
            </v:group>
            <v:group style="position:absolute;left:1181;top:5677;width:1180;height:2" coordorigin="1181,5677" coordsize="1180,2">
              <v:shape style="position:absolute;left:1181;top:5677;width:1180;height:2" coordorigin="1181,5677" coordsize="1180,0" path="m1181,5677l2361,5677e" filled="false" stroked="true" strokeweight=".06pt" strokecolor="#d2d2d2">
                <v:path arrowok="t"/>
              </v:shape>
            </v:group>
            <v:group style="position:absolute;left:2361;top:5677;width:15;height:2" coordorigin="2361,5677" coordsize="15,2">
              <v:shape style="position:absolute;left:2361;top:5677;width:15;height:2" coordorigin="2361,5677" coordsize="15,0" path="m2361,5677l2375,5677e" filled="false" stroked="true" strokeweight=".06pt" strokecolor="#d2d2d2">
                <v:path arrowok="t"/>
              </v:shape>
            </v:group>
            <v:group style="position:absolute;left:2375;top:5669;width:1978;height:2" coordorigin="2375,5669" coordsize="1978,2">
              <v:shape style="position:absolute;left:2375;top:5669;width:1978;height:2" coordorigin="2375,5669" coordsize="1978,0" path="m2375,5669l4353,5669e" filled="false" stroked="true" strokeweight=".72pt" strokecolor="#000000">
                <v:path arrowok="t"/>
              </v:shape>
            </v:group>
            <v:group style="position:absolute;left:2375;top:5677;width:1978;height:2" coordorigin="2375,5677" coordsize="1978,2">
              <v:shape style="position:absolute;left:2375;top:5677;width:1978;height:2" coordorigin="2375,5677" coordsize="1978,0" path="m2375,5677l4353,5677e" filled="false" stroked="true" strokeweight=".06pt" strokecolor="#d2d2d2">
                <v:path arrowok="t"/>
              </v:shape>
            </v:group>
            <v:group style="position:absolute;left:4367;top:5669;width:1582;height:2" coordorigin="4367,5669" coordsize="1582,2">
              <v:shape style="position:absolute;left:4367;top:5669;width:1582;height:2" coordorigin="4367,5669" coordsize="1582,0" path="m4367,5669l5949,5669e" filled="false" stroked="true" strokeweight=".72pt" strokecolor="#000000">
                <v:path arrowok="t"/>
              </v:shape>
            </v:group>
            <v:group style="position:absolute;left:5964;top:5669;width:1186;height:2" coordorigin="5964,5669" coordsize="1186,2">
              <v:shape style="position:absolute;left:5964;top:5669;width:1186;height:2" coordorigin="5964,5669" coordsize="1186,0" path="m5964,5669l7149,5669e" filled="false" stroked="true" strokeweight=".72pt" strokecolor="#000000">
                <v:path arrowok="t"/>
              </v:shape>
            </v:group>
            <v:group style="position:absolute;left:7164;top:5669;width:3561;height:2" coordorigin="7164,5669" coordsize="3561,2">
              <v:shape style="position:absolute;left:7164;top:5669;width:3561;height:2" coordorigin="7164,5669" coordsize="3561,0" path="m7164,5669l10724,5669e" filled="false" stroked="true" strokeweight=".72pt" strokecolor="#000000">
                <v:path arrowok="t"/>
              </v:shape>
            </v:group>
            <v:group style="position:absolute;left:1166;top:-37;width:2;height:7072" coordorigin="1166,-37" coordsize="2,7072">
              <v:shape style="position:absolute;left:1166;top:-37;width:2;height:7072" coordorigin="1166,-37" coordsize="0,7072" path="m1166,-37l1166,7035e" filled="false" stroked="true" strokeweight="1.5pt" strokecolor="#000000">
                <v:path arrowok="t"/>
              </v:shape>
            </v:group>
            <v:group style="position:absolute;left:1181;top:7020;width:3172;height:2" coordorigin="1181,7020" coordsize="3172,2">
              <v:shape style="position:absolute;left:1181;top:7020;width:3172;height:2" coordorigin="1181,7020" coordsize="3172,0" path="m1181,7020l4353,7020e" filled="false" stroked="true" strokeweight="1.5pt" strokecolor="#000000">
                <v:path arrowok="t"/>
              </v:shape>
            </v:group>
            <v:group style="position:absolute;left:4360;top:5662;width:2;height:1343" coordorigin="4360,5662" coordsize="2,1343">
              <v:shape style="position:absolute;left:4360;top:5662;width:2;height:1343" coordorigin="4360,5662" coordsize="0,1343" path="m4360,5662l4360,7005e" filled="false" stroked="true" strokeweight=".72pt" strokecolor="#000000">
                <v:path arrowok="t"/>
              </v:shape>
            </v:group>
            <v:group style="position:absolute;left:4353;top:7020;width:30;height:2" coordorigin="4353,7020" coordsize="30,2">
              <v:shape style="position:absolute;left:4353;top:7020;width:30;height:2" coordorigin="4353,7020" coordsize="30,0" path="m4353,7020l4383,7020e" filled="false" stroked="true" strokeweight="1.5pt" strokecolor="#000000">
                <v:path arrowok="t"/>
              </v:shape>
            </v:group>
            <v:group style="position:absolute;left:4383;top:7020;width:6342;height:2" coordorigin="4383,7020" coordsize="6342,2">
              <v:shape style="position:absolute;left:4383;top:7020;width:6342;height:2" coordorigin="4383,7020" coordsize="6342,0" path="m4383,7020l10724,7020e" filled="false" stroked="true" strokeweight="1.5pt" strokecolor="#000000">
                <v:path arrowok="t"/>
              </v:shape>
            </v:group>
            <v:group style="position:absolute;left:10739;top:-37;width:2;height:7072" coordorigin="10739,-37" coordsize="2,7072">
              <v:shape style="position:absolute;left:10739;top:-37;width:2;height:7072" coordorigin="10739,-37" coordsize="0,7072" path="m10739,-37l10739,7035e" filled="false" stroked="true" strokeweight="1.5pt" strokecolor="#000000">
                <v:path arrowok="t"/>
              </v:shape>
            </v:group>
            <w10:wrap type="none"/>
          </v:group>
        </w:pict>
      </w:r>
      <w:r>
        <w:rPr>
          <w:rFonts w:ascii="宋体" w:hAnsi="宋体" w:cs="宋体" w:eastAsia="宋体" w:hint="default"/>
          <w:sz w:val="18"/>
          <w:szCs w:val="18"/>
        </w:rPr>
        <w:t>债券受托管理人：</w:t>
      </w:r>
    </w:p>
    <w:p>
      <w:pPr>
        <w:spacing w:line="240" w:lineRule="auto" w:before="9"/>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40"/>
          <w:pgMar w:header="877" w:footer="979" w:top="1060" w:bottom="1160" w:left="0" w:right="0"/>
        </w:sectPr>
      </w:pPr>
    </w:p>
    <w:p>
      <w:pPr>
        <w:spacing w:line="240" w:lineRule="auto" w:before="4"/>
        <w:rPr>
          <w:rFonts w:ascii="宋体" w:hAnsi="宋体" w:cs="宋体" w:eastAsia="宋体" w:hint="default"/>
          <w:sz w:val="15"/>
          <w:szCs w:val="15"/>
        </w:rPr>
      </w:pPr>
    </w:p>
    <w:p>
      <w:pPr>
        <w:spacing w:before="0"/>
        <w:ind w:left="0" w:right="149" w:firstLine="0"/>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、公司债券</w:t>
      </w:r>
    </w:p>
    <w:p>
      <w:pPr>
        <w:spacing w:line="312" w:lineRule="exact" w:before="22"/>
        <w:ind w:left="2396" w:right="0" w:firstLine="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112393</w:t>
      </w:r>
      <w:r>
        <w:rPr>
          <w:rFonts w:ascii="宋体" w:hAnsi="宋体" w:cs="宋体" w:eastAsia="宋体" w:hint="default"/>
          <w:sz w:val="18"/>
          <w:szCs w:val="18"/>
        </w:rPr>
        <w:t>）债 券受托管理人 为：中国国际 金融股份有限 </w:t>
      </w:r>
      <w:r>
        <w:rPr>
          <w:rFonts w:ascii="宋体" w:hAnsi="宋体" w:cs="宋体" w:eastAsia="宋体" w:hint="default"/>
          <w:spacing w:val="-5"/>
          <w:sz w:val="18"/>
          <w:szCs w:val="18"/>
        </w:rPr>
        <w:t>公司。</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、公司</w:t>
      </w:r>
    </w:p>
    <w:p>
      <w:pPr>
        <w:spacing w:line="95" w:lineRule="exact" w:before="0"/>
        <w:ind w:left="1175" w:right="1963" w:firstLine="0"/>
        <w:jc w:val="center"/>
        <w:rPr>
          <w:rFonts w:ascii="宋体" w:hAnsi="宋体" w:cs="宋体" w:eastAsia="宋体" w:hint="default"/>
          <w:sz w:val="18"/>
          <w:szCs w:val="18"/>
        </w:rPr>
      </w:pPr>
      <w:r>
        <w:rPr>
          <w:rFonts w:ascii="宋体" w:hAnsi="宋体" w:cs="宋体" w:eastAsia="宋体" w:hint="default"/>
          <w:sz w:val="18"/>
          <w:szCs w:val="18"/>
        </w:rPr>
        <w:t>名称</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0"/>
          <w:szCs w:val="20"/>
        </w:rPr>
      </w:pPr>
    </w:p>
    <w:p>
      <w:pPr>
        <w:spacing w:line="210" w:lineRule="exact" w:before="0"/>
        <w:ind w:left="13" w:right="-19" w:firstLine="0"/>
        <w:jc w:val="left"/>
        <w:rPr>
          <w:rFonts w:ascii="宋体" w:hAnsi="宋体" w:cs="宋体" w:eastAsia="宋体" w:hint="default"/>
          <w:sz w:val="18"/>
          <w:szCs w:val="18"/>
        </w:rPr>
      </w:pPr>
      <w:r>
        <w:rPr>
          <w:rFonts w:ascii="宋体" w:hAnsi="宋体" w:cs="宋体" w:eastAsia="宋体" w:hint="default"/>
          <w:sz w:val="18"/>
          <w:szCs w:val="18"/>
        </w:rPr>
        <w:t>办公地址</w:t>
      </w:r>
    </w:p>
    <w:p>
      <w:pPr>
        <w:spacing w:line="314" w:lineRule="auto" w:before="44"/>
        <w:ind w:left="436" w:right="582" w:firstLine="0"/>
        <w:jc w:val="left"/>
        <w:rPr>
          <w:rFonts w:ascii="宋体" w:hAnsi="宋体" w:cs="宋体" w:eastAsia="宋体" w:hint="default"/>
          <w:sz w:val="18"/>
          <w:szCs w:val="18"/>
        </w:rPr>
      </w:pPr>
      <w:r>
        <w:rPr>
          <w:spacing w:val="-5"/>
        </w:rPr>
        <w:br w:type="column"/>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、中国国际金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融股份有限公 司办公地址 为：北京市朝 阳区建国门外 大街</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号国贸</w:t>
      </w:r>
    </w:p>
    <w:p>
      <w:pPr>
        <w:spacing w:line="210" w:lineRule="exact" w:before="2"/>
        <w:ind w:left="436" w:right="-18" w:firstLine="0"/>
        <w:jc w:val="left"/>
        <w:rPr>
          <w:rFonts w:ascii="宋体" w:hAnsi="宋体" w:cs="宋体" w:eastAsia="宋体" w:hint="default"/>
          <w:sz w:val="18"/>
          <w:szCs w:val="18"/>
        </w:rPr>
      </w:pPr>
      <w:r>
        <w:rPr>
          <w:rFonts w:ascii="宋体" w:hAnsi="宋体" w:cs="宋体" w:eastAsia="宋体" w:hint="default"/>
          <w:sz w:val="18"/>
          <w:szCs w:val="18"/>
        </w:rPr>
        <w:t>大厦</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座</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层</w:t>
      </w:r>
      <w:r>
        <w:rPr>
          <w:rFonts w:ascii="宋体" w:hAnsi="宋体" w:cs="宋体" w:eastAsia="宋体" w:hint="default"/>
          <w:spacing w:val="-33"/>
          <w:sz w:val="18"/>
          <w:szCs w:val="18"/>
        </w:rPr>
        <w:t> </w:t>
      </w:r>
      <w:r>
        <w:rPr>
          <w:rFonts w:ascii="宋体" w:hAnsi="宋体" w:cs="宋体" w:eastAsia="宋体" w:hint="default"/>
          <w:sz w:val="18"/>
          <w:szCs w:val="18"/>
        </w:rPr>
        <w:t>联系人</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309" w:lineRule="auto" w:before="118"/>
        <w:ind w:left="619" w:right="0" w:firstLine="0"/>
        <w:jc w:val="left"/>
        <w:rPr>
          <w:rFonts w:ascii="宋体" w:hAnsi="宋体" w:cs="宋体" w:eastAsia="宋体" w:hint="default"/>
          <w:sz w:val="18"/>
          <w:szCs w:val="18"/>
        </w:rPr>
      </w:pP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、中国国际金</w:t>
      </w:r>
      <w:r>
        <w:rPr>
          <w:rFonts w:ascii="宋体" w:hAnsi="宋体" w:cs="宋体" w:eastAsia="宋体" w:hint="default"/>
          <w:sz w:val="18"/>
          <w:szCs w:val="18"/>
        </w:rPr>
        <w:t> 融股份有限公 司的联系人：</w:t>
      </w:r>
    </w:p>
    <w:p>
      <w:pPr>
        <w:spacing w:line="196" w:lineRule="exact" w:before="24"/>
        <w:ind w:left="619" w:right="0" w:firstLine="0"/>
        <w:jc w:val="left"/>
        <w:rPr>
          <w:rFonts w:ascii="宋体" w:hAnsi="宋体" w:cs="宋体" w:eastAsia="宋体" w:hint="default"/>
          <w:sz w:val="18"/>
          <w:szCs w:val="18"/>
        </w:rPr>
      </w:pPr>
      <w:r>
        <w:rPr>
          <w:rFonts w:ascii="宋体" w:hAnsi="宋体" w:cs="宋体" w:eastAsia="宋体" w:hint="default"/>
          <w:spacing w:val="-5"/>
          <w:sz w:val="18"/>
          <w:szCs w:val="18"/>
        </w:rPr>
        <w:t>章志皓、王超。</w:t>
      </w:r>
    </w:p>
    <w:p>
      <w:pPr>
        <w:spacing w:line="171"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联系人电话</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5"/>
          <w:szCs w:val="15"/>
        </w:rPr>
      </w:pPr>
    </w:p>
    <w:p>
      <w:pPr>
        <w:spacing w:line="312" w:lineRule="auto" w:before="0"/>
        <w:ind w:left="256" w:right="1179" w:firstLine="0"/>
        <w:jc w:val="left"/>
        <w:rPr>
          <w:rFonts w:ascii="宋体" w:hAnsi="宋体" w:cs="宋体" w:eastAsia="宋体" w:hint="default"/>
          <w:sz w:val="18"/>
          <w:szCs w:val="18"/>
        </w:rPr>
      </w:pP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、中国国际金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融股份有限公 司的联系人电 话：</w:t>
      </w:r>
    </w:p>
    <w:p>
      <w:pPr>
        <w:spacing w:line="212" w:lineRule="exact" w:before="22"/>
        <w:ind w:left="256"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010-65051166</w:t>
      </w:r>
      <w:r>
        <w:rPr>
          <w:rFonts w:ascii="宋体" w:hAnsi="宋体" w:cs="宋体" w:eastAsia="宋体" w:hint="default"/>
          <w:sz w:val="18"/>
          <w:szCs w:val="18"/>
        </w:rPr>
        <w:t>。</w:t>
      </w:r>
    </w:p>
    <w:p>
      <w:pPr>
        <w:spacing w:after="0" w:line="212" w:lineRule="exact"/>
        <w:jc w:val="left"/>
        <w:rPr>
          <w:rFonts w:ascii="宋体" w:hAnsi="宋体" w:cs="宋体" w:eastAsia="宋体" w:hint="default"/>
          <w:sz w:val="18"/>
          <w:szCs w:val="18"/>
        </w:rPr>
        <w:sectPr>
          <w:type w:val="continuous"/>
          <w:pgSz w:w="11910" w:h="16840"/>
          <w:pgMar w:top="1060" w:bottom="1160" w:left="0" w:right="0"/>
          <w:cols w:num="5" w:equalWidth="0">
            <w:col w:w="3539" w:space="40"/>
            <w:col w:w="735" w:space="40"/>
            <w:col w:w="2174" w:space="40"/>
            <w:col w:w="2711" w:space="40"/>
            <w:col w:w="2591"/>
          </w:cols>
        </w:sectPr>
      </w:pPr>
    </w:p>
    <w:p>
      <w:pPr>
        <w:spacing w:line="194" w:lineRule="exact" w:before="0"/>
        <w:ind w:left="2396" w:right="-10" w:firstLine="0"/>
        <w:jc w:val="left"/>
        <w:rPr>
          <w:rFonts w:ascii="宋体" w:hAnsi="宋体" w:cs="宋体" w:eastAsia="宋体" w:hint="default"/>
          <w:sz w:val="18"/>
          <w:szCs w:val="18"/>
        </w:rPr>
      </w:pPr>
      <w:r>
        <w:rPr>
          <w:rFonts w:ascii="宋体" w:hAnsi="宋体" w:cs="宋体" w:eastAsia="宋体" w:hint="default"/>
          <w:spacing w:val="-4"/>
          <w:sz w:val="18"/>
          <w:szCs w:val="18"/>
        </w:rPr>
        <w:t>债券（</w:t>
      </w:r>
      <w:r>
        <w:rPr>
          <w:rFonts w:ascii="Times New Roman" w:hAnsi="Times New Roman" w:cs="Times New Roman" w:eastAsia="Times New Roman" w:hint="default"/>
          <w:spacing w:val="-4"/>
          <w:sz w:val="18"/>
          <w:szCs w:val="18"/>
        </w:rPr>
        <w:t>112588</w:t>
      </w:r>
      <w:r>
        <w:rPr>
          <w:rFonts w:ascii="宋体" w:hAnsi="宋体" w:cs="宋体" w:eastAsia="宋体" w:hint="default"/>
          <w:spacing w:val="-4"/>
          <w:sz w:val="18"/>
          <w:szCs w:val="18"/>
        </w:rPr>
        <w:t>、</w:t>
      </w:r>
    </w:p>
    <w:p>
      <w:pPr>
        <w:spacing w:line="314" w:lineRule="auto" w:before="63"/>
        <w:ind w:left="2396" w:right="13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112640</w:t>
      </w:r>
      <w:r>
        <w:rPr>
          <w:rFonts w:ascii="宋体" w:hAnsi="宋体" w:cs="宋体" w:eastAsia="宋体" w:hint="default"/>
          <w:spacing w:val="-1"/>
          <w:sz w:val="18"/>
          <w:szCs w:val="18"/>
        </w:rPr>
        <w:t>）债券</w:t>
      </w:r>
      <w:r>
        <w:rPr>
          <w:rFonts w:ascii="宋体" w:hAnsi="宋体" w:cs="宋体" w:eastAsia="宋体" w:hint="default"/>
          <w:sz w:val="18"/>
          <w:szCs w:val="18"/>
        </w:rPr>
        <w:t> 受托管理人 为：海通证券 股份有限公 司。</w:t>
      </w:r>
    </w:p>
    <w:p>
      <w:pPr>
        <w:spacing w:line="312" w:lineRule="auto" w:before="100"/>
        <w:ind w:left="1121" w:right="0" w:firstLine="0"/>
        <w:jc w:val="both"/>
        <w:rPr>
          <w:rFonts w:ascii="宋体" w:hAnsi="宋体" w:cs="宋体" w:eastAsia="宋体" w:hint="default"/>
          <w:sz w:val="18"/>
          <w:szCs w:val="18"/>
        </w:rPr>
      </w:pPr>
      <w:r>
        <w:rPr/>
        <w:br w:type="column"/>
      </w:r>
      <w:r>
        <w:rPr>
          <w:rFonts w:ascii="宋体" w:hAnsi="宋体" w:cs="宋体" w:eastAsia="宋体" w:hint="default"/>
          <w:sz w:val="18"/>
          <w:szCs w:val="18"/>
        </w:rPr>
        <w:t>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r>
        <w:rPr>
          <w:rFonts w:ascii="Times New Roman" w:hAnsi="Times New Roman" w:cs="Times New Roman" w:eastAsia="Times New Roman" w:hint="default"/>
          <w:sz w:val="18"/>
          <w:szCs w:val="18"/>
        </w:rPr>
        <w:t>2</w:t>
      </w:r>
      <w:r>
        <w:rPr>
          <w:rFonts w:ascii="宋体" w:hAnsi="宋体" w:cs="宋体" w:eastAsia="宋体" w:hint="default"/>
          <w:sz w:val="18"/>
          <w:szCs w:val="18"/>
        </w:rPr>
        <w:t>、 海通证券股份 有限公司办公 地址为：上海 市广东路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689 </w:t>
      </w:r>
      <w:r>
        <w:rPr>
          <w:rFonts w:ascii="宋体" w:hAnsi="宋体" w:cs="宋体" w:eastAsia="宋体" w:hint="default"/>
          <w:sz w:val="18"/>
          <w:szCs w:val="18"/>
        </w:rPr>
        <w:t>号。</w:t>
      </w:r>
    </w:p>
    <w:p>
      <w:pPr>
        <w:spacing w:line="194" w:lineRule="exact" w:before="0"/>
        <w:ind w:left="1276" w:right="-19" w:firstLine="0"/>
        <w:jc w:val="left"/>
        <w:rPr>
          <w:rFonts w:ascii="宋体" w:hAnsi="宋体" w:cs="宋体" w:eastAsia="宋体" w:hint="default"/>
          <w:sz w:val="18"/>
          <w:szCs w:val="18"/>
        </w:rPr>
      </w:pPr>
      <w:r>
        <w:rPr>
          <w:spacing w:val="-5"/>
        </w:rPr>
        <w:br w:type="column"/>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、海通证券股</w:t>
      </w:r>
    </w:p>
    <w:p>
      <w:pPr>
        <w:spacing w:line="319" w:lineRule="auto" w:before="63"/>
        <w:ind w:left="1276" w:right="36" w:firstLine="0"/>
        <w:jc w:val="left"/>
        <w:rPr>
          <w:rFonts w:ascii="宋体" w:hAnsi="宋体" w:cs="宋体" w:eastAsia="宋体" w:hint="default"/>
          <w:sz w:val="18"/>
          <w:szCs w:val="18"/>
        </w:rPr>
      </w:pPr>
      <w:r>
        <w:rPr/>
        <w:pict>
          <v:shape style="position:absolute;margin-left:393.52301pt;margin-top:-3.198281pt;width:83.4pt;height:93.65pt;mso-position-horizontal-relative:page;mso-position-vertical-relative:paragraph;z-index:-1135696"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5"/>
                      <w:szCs w:val="1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郭实、</w:t>
                  </w:r>
                </w:p>
              </w:txbxContent>
            </v:textbox>
            <w10:wrap type="none"/>
          </v:shape>
        </w:pict>
      </w:r>
      <w:r>
        <w:rPr>
          <w:rFonts w:ascii="宋体" w:hAnsi="宋体" w:cs="宋体" w:eastAsia="宋体" w:hint="default"/>
          <w:sz w:val="18"/>
          <w:szCs w:val="18"/>
        </w:rPr>
        <w:t>份有限公司的 联系人： 郑云桥。</w:t>
      </w:r>
    </w:p>
    <w:p>
      <w:pPr>
        <w:spacing w:line="312" w:lineRule="auto" w:before="100"/>
        <w:ind w:left="1211" w:right="1102" w:firstLine="0"/>
        <w:jc w:val="left"/>
        <w:rPr>
          <w:rFonts w:ascii="宋体" w:hAnsi="宋体" w:cs="宋体" w:eastAsia="宋体" w:hint="default"/>
          <w:sz w:val="18"/>
          <w:szCs w:val="18"/>
        </w:rPr>
      </w:pPr>
      <w:r>
        <w:rPr>
          <w:spacing w:val="-5"/>
        </w:rPr>
        <w:br w:type="column"/>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、海通证券股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份有限公司的 联系人电话： </w:t>
      </w:r>
      <w:r>
        <w:rPr>
          <w:rFonts w:ascii="Times New Roman" w:hAnsi="Times New Roman" w:cs="Times New Roman" w:eastAsia="Times New Roman" w:hint="default"/>
          <w:sz w:val="18"/>
          <w:szCs w:val="18"/>
        </w:rPr>
        <w:t>010-88027267</w:t>
      </w:r>
      <w:r>
        <w:rPr>
          <w:rFonts w:ascii="宋体" w:hAnsi="宋体" w:cs="宋体" w:eastAsia="宋体" w:hint="default"/>
          <w:sz w:val="18"/>
          <w:szCs w:val="18"/>
        </w:rPr>
        <w:t>。</w:t>
      </w:r>
    </w:p>
    <w:p>
      <w:pPr>
        <w:spacing w:after="0" w:line="312" w:lineRule="auto"/>
        <w:jc w:val="left"/>
        <w:rPr>
          <w:rFonts w:ascii="宋体" w:hAnsi="宋体" w:cs="宋体" w:eastAsia="宋体" w:hint="default"/>
          <w:sz w:val="18"/>
          <w:szCs w:val="18"/>
        </w:rPr>
        <w:sectPr>
          <w:type w:val="continuous"/>
          <w:pgSz w:w="11910" w:h="16840"/>
          <w:pgMar w:top="1060" w:bottom="1160" w:left="0" w:right="0"/>
          <w:cols w:num="4" w:equalWidth="0">
            <w:col w:w="3627" w:space="40"/>
            <w:col w:w="2202" w:space="40"/>
            <w:col w:w="2413" w:space="40"/>
            <w:col w:w="3548"/>
          </w:cols>
        </w:sectPr>
      </w:pPr>
    </w:p>
    <w:p>
      <w:pPr>
        <w:spacing w:before="117"/>
        <w:ind w:left="1194" w:right="998" w:firstLine="0"/>
        <w:jc w:val="left"/>
        <w:rPr>
          <w:rFonts w:ascii="宋体" w:hAnsi="宋体" w:cs="宋体" w:eastAsia="宋体" w:hint="default"/>
          <w:sz w:val="18"/>
          <w:szCs w:val="18"/>
        </w:rPr>
      </w:pPr>
      <w:r>
        <w:rPr>
          <w:rFonts w:ascii="宋体" w:hAnsi="宋体" w:cs="宋体" w:eastAsia="宋体" w:hint="default"/>
          <w:sz w:val="18"/>
          <w:szCs w:val="18"/>
        </w:rPr>
        <w:t>报告期内对公司债券进行跟踪评级的资信评级机构：</w:t>
      </w:r>
    </w:p>
    <w:p>
      <w:pPr>
        <w:spacing w:line="240" w:lineRule="auto" w:before="9"/>
        <w:rPr>
          <w:rFonts w:ascii="宋体" w:hAnsi="宋体" w:cs="宋体" w:eastAsia="宋体" w:hint="default"/>
          <w:sz w:val="9"/>
          <w:szCs w:val="9"/>
        </w:rPr>
      </w:pPr>
    </w:p>
    <w:p>
      <w:pPr>
        <w:spacing w:after="0" w:line="240" w:lineRule="auto"/>
        <w:rPr>
          <w:rFonts w:ascii="宋体" w:hAnsi="宋体" w:cs="宋体" w:eastAsia="宋体" w:hint="default"/>
          <w:sz w:val="9"/>
          <w:szCs w:val="9"/>
        </w:rPr>
        <w:sectPr>
          <w:type w:val="continuous"/>
          <w:pgSz w:w="11910" w:h="16840"/>
          <w:pgMar w:top="1060" w:bottom="1160" w:left="0" w:right="0"/>
        </w:sectPr>
      </w:pPr>
    </w:p>
    <w:p>
      <w:pPr>
        <w:spacing w:line="240" w:lineRule="auto" w:before="4"/>
        <w:rPr>
          <w:rFonts w:ascii="宋体" w:hAnsi="宋体" w:cs="宋体" w:eastAsia="宋体" w:hint="default"/>
          <w:sz w:val="15"/>
          <w:szCs w:val="15"/>
        </w:rPr>
      </w:pPr>
    </w:p>
    <w:p>
      <w:pPr>
        <w:tabs>
          <w:tab w:pos="2396" w:val="left" w:leader="none"/>
          <w:tab w:pos="5985" w:val="left" w:leader="none"/>
        </w:tabs>
        <w:spacing w:before="0"/>
        <w:ind w:left="1194" w:right="-20" w:firstLine="0"/>
        <w:jc w:val="left"/>
        <w:rPr>
          <w:rFonts w:ascii="宋体" w:hAnsi="宋体" w:cs="宋体" w:eastAsia="宋体" w:hint="default"/>
          <w:sz w:val="18"/>
          <w:szCs w:val="18"/>
        </w:rPr>
      </w:pPr>
      <w:r>
        <w:rPr>
          <w:rFonts w:ascii="宋体" w:hAnsi="宋体" w:cs="宋体" w:eastAsia="宋体" w:hint="default"/>
          <w:sz w:val="18"/>
          <w:szCs w:val="18"/>
        </w:rPr>
        <w:t>名称</w:t>
        <w:tab/>
        <w:t>联合信用评级有限公司</w:t>
        <w:tab/>
        <w:t>办公地址</w:t>
      </w:r>
    </w:p>
    <w:p>
      <w:pPr>
        <w:spacing w:before="44"/>
        <w:ind w:left="439"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天津市南开区水上公园北道</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号爱俪园公寓</w:t>
      </w:r>
    </w:p>
    <w:p>
      <w:pPr>
        <w:spacing w:before="102"/>
        <w:ind w:left="439" w:right="0" w:firstLine="0"/>
        <w:jc w:val="left"/>
        <w:rPr>
          <w:rFonts w:ascii="Times New Roman" w:hAnsi="Times New Roman" w:cs="Times New Roman" w:eastAsia="Times New Roman" w:hint="default"/>
          <w:sz w:val="18"/>
          <w:szCs w:val="18"/>
        </w:rPr>
      </w:pPr>
      <w:r>
        <w:rPr>
          <w:rFonts w:ascii="Times New Roman"/>
          <w:sz w:val="18"/>
        </w:rPr>
        <w:t>508</w:t>
      </w:r>
    </w:p>
    <w:p>
      <w:pPr>
        <w:spacing w:after="0"/>
        <w:jc w:val="left"/>
        <w:rPr>
          <w:rFonts w:ascii="Times New Roman" w:hAnsi="Times New Roman" w:cs="Times New Roman" w:eastAsia="Times New Roman" w:hint="default"/>
          <w:sz w:val="18"/>
          <w:szCs w:val="18"/>
        </w:rPr>
        <w:sectPr>
          <w:type w:val="continuous"/>
          <w:pgSz w:w="11910" w:h="16840"/>
          <w:pgMar w:top="1060" w:bottom="1160" w:left="0" w:right="0"/>
          <w:cols w:num="2" w:equalWidth="0">
            <w:col w:w="6706" w:space="40"/>
            <w:col w:w="5164"/>
          </w:cols>
        </w:sectPr>
      </w:pPr>
    </w:p>
    <w:p>
      <w:pPr>
        <w:spacing w:line="240" w:lineRule="auto" w:before="1"/>
        <w:rPr>
          <w:rFonts w:ascii="Times New Roman" w:hAnsi="Times New Roman" w:cs="Times New Roman" w:eastAsia="Times New Roman" w:hint="default"/>
          <w:sz w:val="10"/>
          <w:szCs w:val="10"/>
        </w:rPr>
      </w:pPr>
    </w:p>
    <w:p>
      <w:pPr>
        <w:spacing w:line="312" w:lineRule="exact" w:before="5"/>
        <w:ind w:left="1194" w:right="7470" w:firstLine="0"/>
        <w:jc w:val="left"/>
        <w:rPr>
          <w:rFonts w:ascii="宋体" w:hAnsi="宋体" w:cs="宋体" w:eastAsia="宋体" w:hint="default"/>
          <w:sz w:val="18"/>
          <w:szCs w:val="18"/>
        </w:rPr>
      </w:pPr>
      <w:r>
        <w:rPr>
          <w:rFonts w:ascii="宋体" w:hAnsi="宋体" w:cs="宋体" w:eastAsia="宋体" w:hint="default"/>
          <w:sz w:val="18"/>
          <w:szCs w:val="18"/>
        </w:rPr>
        <w:t>报告期内公司聘请的债券受托管理人、 </w:t>
      </w:r>
      <w:r>
        <w:rPr>
          <w:rFonts w:ascii="宋体" w:hAnsi="宋体" w:cs="宋体" w:eastAsia="宋体" w:hint="default"/>
          <w:spacing w:val="-1"/>
          <w:sz w:val="18"/>
          <w:szCs w:val="18"/>
        </w:rPr>
        <w:t>资信评级机构发生变更的，变更的原因、</w:t>
      </w:r>
    </w:p>
    <w:p>
      <w:pPr>
        <w:spacing w:line="95" w:lineRule="exact" w:before="0"/>
        <w:ind w:left="817" w:right="3403" w:firstLine="0"/>
        <w:jc w:val="center"/>
        <w:rPr>
          <w:rFonts w:ascii="宋体" w:hAnsi="宋体" w:cs="宋体" w:eastAsia="宋体" w:hint="default"/>
          <w:sz w:val="18"/>
          <w:szCs w:val="18"/>
        </w:rPr>
      </w:pPr>
      <w:r>
        <w:rPr>
          <w:rFonts w:ascii="宋体" w:hAnsi="宋体" w:cs="宋体" w:eastAsia="宋体" w:hint="default"/>
          <w:sz w:val="18"/>
          <w:szCs w:val="18"/>
        </w:rPr>
        <w:t>不适用</w:t>
      </w:r>
    </w:p>
    <w:p>
      <w:pPr>
        <w:spacing w:line="180" w:lineRule="exact" w:before="0"/>
        <w:ind w:left="1194" w:right="998" w:firstLine="0"/>
        <w:jc w:val="left"/>
        <w:rPr>
          <w:rFonts w:ascii="宋体" w:hAnsi="宋体" w:cs="宋体" w:eastAsia="宋体" w:hint="default"/>
          <w:sz w:val="18"/>
          <w:szCs w:val="18"/>
        </w:rPr>
      </w:pPr>
      <w:r>
        <w:rPr>
          <w:rFonts w:ascii="宋体" w:hAnsi="宋体" w:cs="宋体" w:eastAsia="宋体" w:hint="default"/>
          <w:spacing w:val="-6"/>
          <w:sz w:val="18"/>
          <w:szCs w:val="18"/>
        </w:rPr>
        <w:t>履行的程序、对投资者利益的影响等（如</w:t>
      </w:r>
    </w:p>
    <w:p>
      <w:pPr>
        <w:spacing w:before="77"/>
        <w:ind w:left="1194" w:right="998" w:firstLine="0"/>
        <w:jc w:val="left"/>
        <w:rPr>
          <w:rFonts w:ascii="宋体" w:hAnsi="宋体" w:cs="宋体" w:eastAsia="宋体" w:hint="default"/>
          <w:sz w:val="18"/>
          <w:szCs w:val="18"/>
        </w:rPr>
      </w:pPr>
      <w:r>
        <w:rPr>
          <w:rFonts w:ascii="宋体" w:hAnsi="宋体" w:cs="宋体" w:eastAsia="宋体" w:hint="default"/>
          <w:sz w:val="18"/>
          <w:szCs w:val="18"/>
        </w:rPr>
        <w:t>适用）</w:t>
      </w:r>
    </w:p>
    <w:p>
      <w:pPr>
        <w:spacing w:line="240" w:lineRule="auto" w:before="5"/>
        <w:rPr>
          <w:rFonts w:ascii="宋体" w:hAnsi="宋体" w:cs="宋体" w:eastAsia="宋体" w:hint="default"/>
          <w:sz w:val="28"/>
          <w:szCs w:val="28"/>
        </w:rPr>
      </w:pPr>
    </w:p>
    <w:p>
      <w:pPr>
        <w:pStyle w:val="Heading4"/>
        <w:spacing w:line="240" w:lineRule="auto" w:before="26"/>
        <w:ind w:left="1134" w:right="998"/>
        <w:jc w:val="left"/>
        <w:rPr>
          <w:b w:val="0"/>
          <w:bCs w:val="0"/>
        </w:rPr>
      </w:pPr>
      <w:bookmarkStart w:name="三、公司债券募集资金使用情况" w:id="155"/>
      <w:bookmarkEnd w:id="155"/>
      <w:r>
        <w:rPr>
          <w:b w:val="0"/>
          <w:bCs w:val="0"/>
        </w:rPr>
      </w:r>
      <w:r>
        <w:rPr/>
        <w:t>三、公司债券募集资金使用情况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3"/>
          <w:szCs w:val="23"/>
        </w:rPr>
      </w:pPr>
    </w:p>
    <w:p>
      <w:pPr>
        <w:spacing w:before="44"/>
        <w:ind w:left="0" w:right="1105" w:firstLine="0"/>
        <w:jc w:val="right"/>
        <w:rPr>
          <w:rFonts w:ascii="宋体" w:hAnsi="宋体" w:cs="宋体" w:eastAsia="宋体" w:hint="default"/>
          <w:sz w:val="18"/>
          <w:szCs w:val="18"/>
        </w:rPr>
      </w:pPr>
      <w:r>
        <w:rPr/>
        <w:pict>
          <v:shape style="position:absolute;margin-left:57.689999pt;margin-top:-64.208290pt;width:480.75pt;height:145.4pt;mso-position-horizontal-relative:page;mso-position-vertical-relative:paragraph;z-index:23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91"/>
                    <w:gridCol w:w="6378"/>
                  </w:tblGrid>
                  <w:tr>
                    <w:trPr>
                      <w:trHeight w:val="2878" w:hRule="exact"/>
                    </w:trPr>
                    <w:tc>
                      <w:tcPr>
                        <w:tcW w:w="3191" w:type="dxa"/>
                        <w:tcBorders>
                          <w:top w:val="single" w:sz="12" w:space="0" w:color="000000"/>
                          <w:left w:val="single" w:sz="12" w:space="0" w:color="000000"/>
                          <w:bottom w:val="single" w:sz="12"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319" w:lineRule="auto"/>
                          <w:ind w:left="12" w:right="94"/>
                          <w:jc w:val="left"/>
                          <w:rPr>
                            <w:rFonts w:ascii="宋体" w:hAnsi="宋体" w:cs="宋体" w:eastAsia="宋体" w:hint="default"/>
                            <w:sz w:val="18"/>
                            <w:szCs w:val="18"/>
                          </w:rPr>
                        </w:pPr>
                        <w:r>
                          <w:rPr>
                            <w:rFonts w:ascii="宋体" w:hAnsi="宋体" w:cs="宋体" w:eastAsia="宋体" w:hint="default"/>
                            <w:sz w:val="18"/>
                            <w:szCs w:val="18"/>
                          </w:rPr>
                          <w:t>公司债券募集资金使用情况及履行的程 序</w:t>
                        </w:r>
                      </w:p>
                    </w:tc>
                    <w:tc>
                      <w:tcPr>
                        <w:tcW w:w="6378" w:type="dxa"/>
                        <w:tcBorders>
                          <w:top w:val="single" w:sz="12" w:space="0" w:color="000000"/>
                          <w:left w:val="single" w:sz="6" w:space="0" w:color="000000"/>
                          <w:bottom w:val="single" w:sz="12" w:space="0" w:color="000000"/>
                          <w:right w:val="single" w:sz="12" w:space="0" w:color="000000"/>
                        </w:tcBorders>
                      </w:tcPr>
                      <w:p>
                        <w:pPr>
                          <w:pStyle w:val="TableParagraph"/>
                          <w:spacing w:line="240" w:lineRule="auto" w:before="51"/>
                          <w:ind w:left="20" w:right="0"/>
                          <w:jc w:val="both"/>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日召开第二届董事会第二十次会议，且于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309" w:lineRule="auto" w:before="61"/>
                          <w:ind w:left="20" w:right="33"/>
                          <w:jc w:val="both"/>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年第八次临时股东大会，审议通过了《关于公司符合面向合格投 </w:t>
                        </w:r>
                        <w:r>
                          <w:rPr>
                            <w:rFonts w:ascii="宋体" w:hAnsi="宋体" w:cs="宋体" w:eastAsia="宋体" w:hint="default"/>
                            <w:spacing w:val="-5"/>
                            <w:sz w:val="18"/>
                            <w:szCs w:val="18"/>
                          </w:rPr>
                          <w:t>资者公开发行公司债券发行条件的议案》、《关于公司面向合格投资者公开发行公</w:t>
                        </w:r>
                        <w:r>
                          <w:rPr>
                            <w:rFonts w:ascii="宋体" w:hAnsi="宋体" w:cs="宋体" w:eastAsia="宋体" w:hint="default"/>
                            <w:sz w:val="18"/>
                            <w:szCs w:val="18"/>
                          </w:rPr>
                          <w:t> </w:t>
                        </w:r>
                        <w:r>
                          <w:rPr>
                            <w:rFonts w:ascii="宋体" w:hAnsi="宋体" w:cs="宋体" w:eastAsia="宋体" w:hint="default"/>
                            <w:spacing w:val="-7"/>
                            <w:sz w:val="18"/>
                            <w:szCs w:val="18"/>
                          </w:rPr>
                          <w:t>司债券的议案》，拟发行不超过</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亿元公司债券。并于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月获得中国证监</w:t>
                        </w:r>
                      </w:p>
                      <w:p>
                        <w:pPr>
                          <w:pStyle w:val="TableParagraph"/>
                          <w:spacing w:line="240" w:lineRule="auto" w:before="5"/>
                          <w:ind w:left="20" w:right="0"/>
                          <w:jc w:val="both"/>
                          <w:rPr>
                            <w:rFonts w:ascii="宋体" w:hAnsi="宋体" w:cs="宋体" w:eastAsia="宋体" w:hint="default"/>
                            <w:sz w:val="18"/>
                            <w:szCs w:val="18"/>
                          </w:rPr>
                        </w:pPr>
                        <w:r>
                          <w:rPr>
                            <w:rFonts w:ascii="宋体" w:hAnsi="宋体" w:cs="宋体" w:eastAsia="宋体" w:hint="default"/>
                            <w:sz w:val="18"/>
                            <w:szCs w:val="18"/>
                          </w:rPr>
                          <w:t>会的核准批复。发债工作于</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日完成，最终实际发行规模</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7.3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亿元</w:t>
                        </w:r>
                      </w:p>
                      <w:p>
                        <w:pPr>
                          <w:pStyle w:val="TableParagraph"/>
                          <w:spacing w:line="240" w:lineRule="auto" w:before="63"/>
                          <w:ind w:left="20" w:right="0"/>
                          <w:jc w:val="both"/>
                          <w:rPr>
                            <w:rFonts w:ascii="宋体" w:hAnsi="宋体" w:cs="宋体" w:eastAsia="宋体" w:hint="default"/>
                            <w:sz w:val="18"/>
                            <w:szCs w:val="18"/>
                          </w:rPr>
                        </w:pPr>
                        <w:r>
                          <w:rPr>
                            <w:rFonts w:ascii="宋体" w:hAnsi="宋体" w:cs="宋体" w:eastAsia="宋体" w:hint="default"/>
                            <w:spacing w:val="-4"/>
                            <w:sz w:val="18"/>
                            <w:szCs w:val="18"/>
                          </w:rPr>
                          <w:t>募集资金用于补充公司流动资金。公司于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日召开第二届董事会第</w:t>
                        </w:r>
                      </w:p>
                      <w:p>
                        <w:pPr>
                          <w:pStyle w:val="TableParagraph"/>
                          <w:spacing w:line="309" w:lineRule="auto" w:before="63"/>
                          <w:ind w:left="20" w:right="11"/>
                          <w:jc w:val="both"/>
                          <w:rPr>
                            <w:rFonts w:ascii="宋体" w:hAnsi="宋体" w:cs="宋体" w:eastAsia="宋体" w:hint="default"/>
                            <w:sz w:val="18"/>
                            <w:szCs w:val="18"/>
                          </w:rPr>
                        </w:pPr>
                        <w:r>
                          <w:rPr>
                            <w:rFonts w:ascii="宋体" w:hAnsi="宋体" w:cs="宋体" w:eastAsia="宋体" w:hint="default"/>
                            <w:sz w:val="18"/>
                            <w:szCs w:val="18"/>
                          </w:rPr>
                          <w:t>四十五次会议，且于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年第十五次临时股东大会，审 </w:t>
                        </w:r>
                        <w:r>
                          <w:rPr>
                            <w:rFonts w:ascii="宋体" w:hAnsi="宋体" w:cs="宋体" w:eastAsia="宋体" w:hint="default"/>
                            <w:spacing w:val="-10"/>
                            <w:sz w:val="18"/>
                            <w:szCs w:val="18"/>
                          </w:rPr>
                          <w:t>议通过了《关于公司符合面向合格投资者公开发行公司债券发行条件的议案》、《关</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pacing w:val="-6"/>
                            <w:sz w:val="18"/>
                            <w:szCs w:val="18"/>
                          </w:rPr>
                          <w:t>于公司面向合格投资者公开发行公司债券的议案》，拟发行不超过</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亿元创新创业</w:t>
                        </w: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type w:val="continuous"/>
          <w:pgSz w:w="11910" w:h="16840"/>
          <w:pgMar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p>
      <w:pPr>
        <w:spacing w:before="44"/>
        <w:ind w:left="0" w:right="1105" w:firstLine="0"/>
        <w:jc w:val="right"/>
        <w:rPr>
          <w:rFonts w:ascii="宋体" w:hAnsi="宋体" w:cs="宋体" w:eastAsia="宋体" w:hint="default"/>
          <w:sz w:val="18"/>
          <w:szCs w:val="18"/>
        </w:rPr>
      </w:pPr>
      <w:r>
        <w:rPr/>
        <w:pict>
          <v:shape style="position:absolute;margin-left:57.689999pt;margin-top:-71.788300pt;width:480.75pt;height:284.5pt;mso-position-horizontal-relative:page;mso-position-vertical-relative:paragraph;z-index:23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91"/>
                    <w:gridCol w:w="6378"/>
                  </w:tblGrid>
                  <w:tr>
                    <w:trPr>
                      <w:trHeight w:val="998" w:hRule="exact"/>
                    </w:trPr>
                    <w:tc>
                      <w:tcPr>
                        <w:tcW w:w="3191" w:type="dxa"/>
                        <w:tcBorders>
                          <w:top w:val="single" w:sz="12" w:space="0" w:color="000000"/>
                          <w:left w:val="single" w:sz="12" w:space="0" w:color="000000"/>
                          <w:bottom w:val="single" w:sz="6" w:space="0" w:color="000000"/>
                          <w:right w:val="single" w:sz="6" w:space="0" w:color="000000"/>
                        </w:tcBorders>
                        <w:shd w:val="clear" w:color="auto" w:fill="D2D2D2"/>
                      </w:tcPr>
                      <w:p>
                        <w:pPr/>
                      </w:p>
                    </w:tc>
                    <w:tc>
                      <w:tcPr>
                        <w:tcW w:w="637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
                          <w:ind w:left="2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公司债券。并于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日获得中国证监会的核准批复。发债工作于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2017</w:t>
                        </w:r>
                      </w:p>
                      <w:p>
                        <w:pPr>
                          <w:pStyle w:val="TableParagraph"/>
                          <w:spacing w:line="302" w:lineRule="auto" w:before="63"/>
                          <w:ind w:left="20" w:right="1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日完成，最终实际发行规模</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亿元，募集资金用于偿还公司债务、补 充营运资金。</w:t>
                        </w:r>
                      </w:p>
                    </w:tc>
                  </w:tr>
                  <w:tr>
                    <w:trPr>
                      <w:trHeight w:val="407" w:hRule="exact"/>
                    </w:trPr>
                    <w:tc>
                      <w:tcPr>
                        <w:tcW w:w="319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12" w:right="0"/>
                          <w:jc w:val="left"/>
                          <w:rPr>
                            <w:rFonts w:ascii="宋体" w:hAnsi="宋体" w:cs="宋体" w:eastAsia="宋体" w:hint="default"/>
                            <w:sz w:val="18"/>
                            <w:szCs w:val="18"/>
                          </w:rPr>
                        </w:pPr>
                        <w:r>
                          <w:rPr>
                            <w:rFonts w:ascii="宋体" w:hAnsi="宋体" w:cs="宋体" w:eastAsia="宋体" w:hint="default"/>
                            <w:sz w:val="18"/>
                            <w:szCs w:val="18"/>
                          </w:rPr>
                          <w:t>年末余额（万元）</w:t>
                        </w:r>
                      </w:p>
                    </w:tc>
                    <w:tc>
                      <w:tcPr>
                        <w:tcW w:w="63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8"/>
                          <w:ind w:right="11"/>
                          <w:jc w:val="right"/>
                          <w:rPr>
                            <w:rFonts w:ascii="Times New Roman" w:hAnsi="Times New Roman" w:cs="Times New Roman" w:eastAsia="Times New Roman" w:hint="default"/>
                            <w:sz w:val="12"/>
                            <w:szCs w:val="12"/>
                          </w:rPr>
                        </w:pPr>
                        <w:r>
                          <w:rPr>
                            <w:rFonts w:ascii="Times New Roman"/>
                            <w:sz w:val="18"/>
                          </w:rPr>
                          <w:t>1,493.96</w:t>
                        </w:r>
                        <w:r>
                          <w:rPr>
                            <w:rFonts w:ascii="Times New Roman"/>
                            <w:color w:val="FF0000"/>
                            <w:position w:val="8"/>
                            <w:sz w:val="12"/>
                          </w:rPr>
                          <w:t>1</w:t>
                        </w:r>
                        <w:r>
                          <w:rPr>
                            <w:rFonts w:ascii="Times New Roman"/>
                            <w:sz w:val="12"/>
                          </w:rPr>
                        </w:r>
                      </w:p>
                    </w:tc>
                  </w:tr>
                  <w:tr>
                    <w:trPr>
                      <w:trHeight w:val="3528" w:hRule="exact"/>
                    </w:trPr>
                    <w:tc>
                      <w:tcPr>
                        <w:tcW w:w="3191"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募集资金专项账户运作情况</w:t>
                        </w:r>
                      </w:p>
                    </w:tc>
                    <w:tc>
                      <w:tcPr>
                        <w:tcW w:w="6378" w:type="dxa"/>
                        <w:tcBorders>
                          <w:top w:val="single" w:sz="6" w:space="0" w:color="000000"/>
                          <w:left w:val="single" w:sz="6" w:space="0" w:color="000000"/>
                          <w:bottom w:val="single" w:sz="6" w:space="0" w:color="000000"/>
                          <w:right w:val="single" w:sz="12" w:space="0" w:color="000000"/>
                        </w:tcBorders>
                      </w:tcPr>
                      <w:p>
                        <w:pPr>
                          <w:pStyle w:val="TableParagraph"/>
                          <w:spacing w:line="312" w:lineRule="auto" w:before="52"/>
                          <w:ind w:left="20" w:right="10"/>
                          <w:jc w:val="left"/>
                          <w:rPr>
                            <w:rFonts w:ascii="宋体" w:hAnsi="宋体" w:cs="宋体" w:eastAsia="宋体" w:hint="default"/>
                            <w:sz w:val="18"/>
                            <w:szCs w:val="18"/>
                          </w:rPr>
                        </w:pPr>
                        <w:r>
                          <w:rPr>
                            <w:rFonts w:ascii="宋体" w:hAnsi="宋体" w:cs="宋体" w:eastAsia="宋体" w:hint="default"/>
                            <w:sz w:val="18"/>
                            <w:szCs w:val="18"/>
                          </w:rPr>
                          <w:t>公司根据相关法律法规的规定制定募集资金专用账户，用于债券募集资金的接受 </w:t>
                        </w:r>
                        <w:r>
                          <w:rPr>
                            <w:rFonts w:ascii="宋体" w:hAnsi="宋体" w:cs="宋体" w:eastAsia="宋体" w:hint="default"/>
                            <w:spacing w:val="-3"/>
                            <w:sz w:val="18"/>
                            <w:szCs w:val="18"/>
                          </w:rPr>
                          <w:t>存储、划转与本息偿付。</w:t>
                        </w:r>
                        <w:r>
                          <w:rPr>
                            <w:rFonts w:ascii="Times New Roman" w:hAnsi="Times New Roman" w:cs="Times New Roman" w:eastAsia="Times New Roman" w:hint="default"/>
                            <w:spacing w:val="-3"/>
                            <w:sz w:val="18"/>
                            <w:szCs w:val="18"/>
                          </w:rPr>
                          <w:t>7.3</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亿公司债募集资金专项账户开户信息如下：户名：北 京昆仑万维科技股份有限公司 开户行：江苏银行北京中关村支行 账号： </w:t>
                        </w:r>
                        <w:r>
                          <w:rPr>
                            <w:rFonts w:ascii="Times New Roman" w:hAnsi="Times New Roman" w:cs="Times New Roman" w:eastAsia="Times New Roman" w:hint="default"/>
                            <w:sz w:val="18"/>
                            <w:szCs w:val="18"/>
                          </w:rPr>
                          <w:t>32300188000043184.</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公司已经与募集资金开户银行及受托管理人签署了三方监</w:t>
                        </w:r>
                      </w:p>
                      <w:p>
                        <w:pPr>
                          <w:pStyle w:val="TableParagraph"/>
                          <w:spacing w:line="240" w:lineRule="auto" w:before="3"/>
                          <w:ind w:left="20" w:right="0"/>
                          <w:jc w:val="left"/>
                          <w:rPr>
                            <w:rFonts w:ascii="宋体" w:hAnsi="宋体" w:cs="宋体" w:eastAsia="宋体" w:hint="default"/>
                            <w:sz w:val="18"/>
                            <w:szCs w:val="18"/>
                          </w:rPr>
                        </w:pPr>
                        <w:r>
                          <w:rPr>
                            <w:rFonts w:ascii="宋体" w:hAnsi="宋体" w:cs="宋体" w:eastAsia="宋体" w:hint="default"/>
                            <w:sz w:val="18"/>
                            <w:szCs w:val="18"/>
                          </w:rPr>
                          <w:t>管协议。募集资金于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日提取完毕，</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日募集资金账户结息取</w:t>
                        </w:r>
                      </w:p>
                      <w:p>
                        <w:pPr>
                          <w:pStyle w:val="TableParagraph"/>
                          <w:spacing w:line="304" w:lineRule="auto" w:before="63"/>
                          <w:ind w:left="20" w:right="11"/>
                          <w:jc w:val="both"/>
                          <w:rPr>
                            <w:rFonts w:ascii="宋体" w:hAnsi="宋体" w:cs="宋体" w:eastAsia="宋体" w:hint="default"/>
                            <w:sz w:val="18"/>
                            <w:szCs w:val="18"/>
                          </w:rPr>
                        </w:pPr>
                        <w:r>
                          <w:rPr>
                            <w:rFonts w:ascii="宋体" w:hAnsi="宋体" w:cs="宋体" w:eastAsia="宋体" w:hint="default"/>
                            <w:sz w:val="18"/>
                            <w:szCs w:val="18"/>
                          </w:rPr>
                          <w:t>得利息收入</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4.25</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万元，</w:t>
                        </w:r>
                        <w:r>
                          <w:rPr>
                            <w:rFonts w:ascii="Times New Roman" w:hAnsi="Times New Roman" w:cs="Times New Roman" w:eastAsia="Times New Roman" w:hint="default"/>
                            <w:spacing w:val="-3"/>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日募集资金结息取得利息收入</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37.98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元，两笔利息 </w:t>
                        </w:r>
                        <w:r>
                          <w:rPr>
                            <w:rFonts w:ascii="宋体" w:hAnsi="宋体" w:cs="宋体" w:eastAsia="宋体" w:hint="default"/>
                            <w:spacing w:val="-4"/>
                            <w:sz w:val="18"/>
                            <w:szCs w:val="18"/>
                          </w:rPr>
                          <w:t>收入一并用于补充公司流动资金。</w:t>
                        </w:r>
                        <w:r>
                          <w:rPr>
                            <w:rFonts w:ascii="Times New Roman" w:hAnsi="Times New Roman" w:cs="Times New Roman" w:eastAsia="Times New Roman" w:hint="default"/>
                            <w:spacing w:val="-4"/>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亿创新创业公司债募集资金专项账户开户信 </w:t>
                        </w:r>
                        <w:r>
                          <w:rPr>
                            <w:rFonts w:ascii="宋体" w:hAnsi="宋体" w:cs="宋体" w:eastAsia="宋体" w:hint="default"/>
                            <w:spacing w:val="-3"/>
                            <w:sz w:val="18"/>
                            <w:szCs w:val="18"/>
                          </w:rPr>
                          <w:t>息如下：户名：北京昆仑万维科技股份有限公司</w:t>
                        </w:r>
                        <w:r>
                          <w:rPr>
                            <w:rFonts w:ascii="宋体" w:hAnsi="宋体" w:cs="宋体" w:eastAsia="宋体" w:hint="default"/>
                            <w:spacing w:val="-5"/>
                            <w:sz w:val="18"/>
                            <w:szCs w:val="18"/>
                          </w:rPr>
                          <w:t> </w:t>
                        </w:r>
                        <w:r>
                          <w:rPr>
                            <w:rFonts w:ascii="宋体" w:hAnsi="宋体" w:cs="宋体" w:eastAsia="宋体" w:hint="default"/>
                            <w:sz w:val="18"/>
                            <w:szCs w:val="18"/>
                          </w:rPr>
                          <w:t>开户行：平安银行北京东三环支</w:t>
                        </w:r>
                        <w:r>
                          <w:rPr>
                            <w:rFonts w:ascii="宋体" w:hAnsi="宋体" w:cs="宋体" w:eastAsia="宋体" w:hint="default"/>
                            <w:sz w:val="18"/>
                            <w:szCs w:val="18"/>
                          </w:rPr>
                          <w:t> 行 账号：</w:t>
                        </w:r>
                        <w:r>
                          <w:rPr>
                            <w:rFonts w:ascii="Times New Roman" w:hAnsi="Times New Roman" w:cs="Times New Roman" w:eastAsia="Times New Roman" w:hint="default"/>
                            <w:sz w:val="18"/>
                            <w:szCs w:val="18"/>
                          </w:rPr>
                          <w:t>15110071870173.</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公司已经与募集资金开户银行及受托管理人签署了三 方监管协议。募集资金于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日提取完毕，</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日募集资金账户</w:t>
                        </w:r>
                      </w:p>
                      <w:p>
                        <w:pPr>
                          <w:pStyle w:val="TableParagraph"/>
                          <w:spacing w:line="240" w:lineRule="auto" w:before="10"/>
                          <w:ind w:left="20" w:right="0"/>
                          <w:jc w:val="left"/>
                          <w:rPr>
                            <w:rFonts w:ascii="宋体" w:hAnsi="宋体" w:cs="宋体" w:eastAsia="宋体" w:hint="default"/>
                            <w:sz w:val="18"/>
                            <w:szCs w:val="18"/>
                          </w:rPr>
                        </w:pPr>
                        <w:r>
                          <w:rPr>
                            <w:rFonts w:ascii="宋体" w:hAnsi="宋体" w:cs="宋体" w:eastAsia="宋体" w:hint="default"/>
                            <w:sz w:val="18"/>
                            <w:szCs w:val="18"/>
                          </w:rPr>
                          <w:t>结息取得利息收入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8.32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万元，利息收入一并用于补充公司流动资金。</w:t>
                        </w:r>
                      </w:p>
                    </w:tc>
                  </w:tr>
                  <w:tr>
                    <w:trPr>
                      <w:trHeight w:val="727" w:hRule="exact"/>
                    </w:trPr>
                    <w:tc>
                      <w:tcPr>
                        <w:tcW w:w="3191"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316" w:lineRule="auto" w:before="51"/>
                          <w:ind w:left="12" w:right="95"/>
                          <w:jc w:val="left"/>
                          <w:rPr>
                            <w:rFonts w:ascii="宋体" w:hAnsi="宋体" w:cs="宋体" w:eastAsia="宋体" w:hint="default"/>
                            <w:sz w:val="18"/>
                            <w:szCs w:val="18"/>
                          </w:rPr>
                        </w:pPr>
                        <w:r>
                          <w:rPr>
                            <w:rFonts w:ascii="宋体" w:hAnsi="宋体" w:cs="宋体" w:eastAsia="宋体" w:hint="default"/>
                            <w:sz w:val="18"/>
                            <w:szCs w:val="18"/>
                          </w:rPr>
                          <w:t>募集资金使用是否与募集说明书承诺的 用途、使用计划及其他约定一致</w:t>
                        </w:r>
                      </w:p>
                    </w:tc>
                    <w:tc>
                      <w:tcPr>
                        <w:tcW w:w="637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 w:right="0"/>
                          <w:jc w:val="left"/>
                          <w:rPr>
                            <w:rFonts w:ascii="宋体" w:hAnsi="宋体" w:cs="宋体" w:eastAsia="宋体" w:hint="default"/>
                            <w:sz w:val="18"/>
                            <w:szCs w:val="18"/>
                          </w:rPr>
                        </w:pPr>
                        <w:r>
                          <w:rPr>
                            <w:rFonts w:ascii="宋体" w:hAnsi="宋体" w:cs="宋体" w:eastAsia="宋体" w:hint="default"/>
                            <w:sz w:val="18"/>
                            <w:szCs w:val="18"/>
                          </w:rPr>
                          <w:t>募集资金使用与募集说明书承诺的用途一致。</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spacing w:before="44"/>
        <w:ind w:left="1134" w:right="998" w:firstLine="0"/>
        <w:jc w:val="left"/>
        <w:rPr>
          <w:rFonts w:ascii="宋体" w:hAnsi="宋体" w:cs="宋体" w:eastAsia="宋体" w:hint="default"/>
          <w:sz w:val="18"/>
          <w:szCs w:val="18"/>
        </w:rPr>
      </w:pPr>
      <w:r>
        <w:rPr>
          <w:rFonts w:ascii="宋体" w:hAnsi="宋体" w:cs="宋体" w:eastAsia="宋体" w:hint="default"/>
          <w:sz w:val="18"/>
          <w:szCs w:val="18"/>
        </w:rPr>
        <w:t>注：</w:t>
      </w:r>
      <w:r>
        <w:rPr>
          <w:rFonts w:ascii="Times New Roman" w:hAnsi="Times New Roman" w:cs="Times New Roman" w:eastAsia="Times New Roman" w:hint="default"/>
          <w:sz w:val="18"/>
          <w:szCs w:val="18"/>
        </w:rPr>
        <w:t>1 16 </w:t>
      </w:r>
      <w:r>
        <w:rPr>
          <w:rFonts w:ascii="宋体" w:hAnsi="宋体" w:cs="宋体" w:eastAsia="宋体" w:hint="default"/>
          <w:sz w:val="18"/>
          <w:szCs w:val="18"/>
        </w:rPr>
        <w:t>万维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年末余额为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S1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年末余额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1493.96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line="240" w:lineRule="auto" w:before="12"/>
        <w:rPr>
          <w:rFonts w:ascii="宋体" w:hAnsi="宋体" w:cs="宋体" w:eastAsia="宋体" w:hint="default"/>
          <w:sz w:val="23"/>
          <w:szCs w:val="23"/>
        </w:rPr>
      </w:pPr>
    </w:p>
    <w:p>
      <w:pPr>
        <w:pStyle w:val="Heading4"/>
        <w:spacing w:line="240" w:lineRule="auto"/>
        <w:ind w:left="1134" w:right="998"/>
        <w:jc w:val="left"/>
        <w:rPr>
          <w:b w:val="0"/>
          <w:bCs w:val="0"/>
        </w:rPr>
      </w:pPr>
      <w:bookmarkStart w:name="四、公司债券信息评级情况" w:id="156"/>
      <w:bookmarkEnd w:id="156"/>
      <w:r>
        <w:rPr>
          <w:b w:val="0"/>
          <w:bCs w:val="0"/>
        </w:rPr>
      </w:r>
      <w:r>
        <w:rPr/>
        <w:t>四、公司债券信息评级情况</w:t>
      </w:r>
      <w:r>
        <w:rPr>
          <w:b w:val="0"/>
          <w:bCs w:val="0"/>
        </w:rPr>
      </w:r>
    </w:p>
    <w:p>
      <w:pPr>
        <w:spacing w:line="240" w:lineRule="auto" w:before="8"/>
        <w:rPr>
          <w:rFonts w:ascii="宋体" w:hAnsi="宋体" w:cs="宋体" w:eastAsia="宋体" w:hint="default"/>
          <w:b/>
          <w:bCs/>
          <w:sz w:val="30"/>
          <w:szCs w:val="30"/>
        </w:rPr>
      </w:pPr>
    </w:p>
    <w:p>
      <w:pPr>
        <w:pStyle w:val="BodyText"/>
        <w:spacing w:line="386" w:lineRule="auto"/>
        <w:ind w:right="998"/>
        <w:jc w:val="left"/>
      </w:pPr>
      <w:r>
        <w:rPr>
          <w:rFonts w:ascii="Times New Roman" w:hAnsi="Times New Roman" w:cs="Times New Roman" w:eastAsia="Times New Roman" w:hint="default"/>
          <w:spacing w:val="-3"/>
        </w:rPr>
        <w:t>1</w:t>
      </w:r>
      <w:r>
        <w:rPr>
          <w:spacing w:val="-3"/>
        </w:rPr>
        <w:t>、</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23</w:t>
      </w:r>
      <w:r>
        <w:rPr>
          <w:spacing w:val="-3"/>
        </w:rPr>
        <w:t>日，评级机构联合信用评级有限公司对公司债券</w:t>
      </w:r>
      <w:r>
        <w:rPr>
          <w:rFonts w:ascii="Times New Roman" w:hAnsi="Times New Roman" w:cs="Times New Roman" w:eastAsia="Times New Roman" w:hint="default"/>
          <w:spacing w:val="-3"/>
        </w:rPr>
        <w:t>16</w:t>
      </w:r>
      <w:r>
        <w:rPr>
          <w:spacing w:val="-3"/>
        </w:rPr>
        <w:t>万维</w:t>
      </w:r>
      <w:r>
        <w:rPr>
          <w:rFonts w:ascii="Times New Roman" w:hAnsi="Times New Roman" w:cs="Times New Roman" w:eastAsia="Times New Roman" w:hint="default"/>
          <w:spacing w:val="-3"/>
        </w:rPr>
        <w:t>01</w:t>
      </w:r>
      <w:r>
        <w:rPr>
          <w:spacing w:val="-3"/>
        </w:rPr>
        <w:t>出具了《</w:t>
      </w:r>
      <w:r>
        <w:rPr>
          <w:rFonts w:ascii="Times New Roman" w:hAnsi="Times New Roman" w:cs="Times New Roman" w:eastAsia="Times New Roman" w:hint="default"/>
          <w:spacing w:val="-3"/>
        </w:rPr>
        <w:t>2017</w:t>
      </w:r>
      <w:r>
        <w:rPr>
          <w:spacing w:val="-3"/>
        </w:rPr>
        <w:t>年跟踪评级报告》，</w:t>
      </w:r>
      <w:r>
        <w:rPr>
          <w:spacing w:val="-79"/>
        </w:rPr>
        <w:t> </w:t>
      </w:r>
      <w:r>
        <w:rPr>
          <w:spacing w:val="-79"/>
        </w:rPr>
      </w:r>
      <w:r>
        <w:rPr/>
        <w:t>确定：公司的长期信用等级为</w:t>
      </w:r>
      <w:r>
        <w:rPr>
          <w:rFonts w:ascii="Times New Roman" w:hAnsi="Times New Roman" w:cs="Times New Roman" w:eastAsia="Times New Roman" w:hint="default"/>
        </w:rPr>
        <w:t>AA</w:t>
      </w:r>
      <w:r>
        <w:rPr/>
        <w:t>，，评级展望为</w:t>
      </w:r>
      <w:r>
        <w:rPr>
          <w:rFonts w:ascii="Times New Roman" w:hAnsi="Times New Roman" w:cs="Times New Roman" w:eastAsia="Times New Roman" w:hint="default"/>
        </w:rPr>
        <w:t>“</w:t>
      </w:r>
      <w:r>
        <w:rPr/>
        <w:t>稳定</w:t>
      </w:r>
      <w:r>
        <w:rPr>
          <w:rFonts w:ascii="Times New Roman" w:hAnsi="Times New Roman" w:cs="Times New Roman" w:eastAsia="Times New Roman" w:hint="default"/>
        </w:rPr>
        <w:t>”</w:t>
      </w:r>
      <w:r>
        <w:rPr/>
        <w:t>，</w:t>
      </w:r>
      <w:r>
        <w:rPr>
          <w:rFonts w:ascii="Times New Roman" w:hAnsi="Times New Roman" w:cs="Times New Roman" w:eastAsia="Times New Roman" w:hint="default"/>
        </w:rPr>
        <w:t>“16</w:t>
      </w:r>
      <w:r>
        <w:rPr/>
        <w:t>万维</w:t>
      </w:r>
      <w:r>
        <w:rPr>
          <w:rFonts w:ascii="Times New Roman" w:hAnsi="Times New Roman" w:cs="Times New Roman" w:eastAsia="Times New Roman" w:hint="default"/>
        </w:rPr>
        <w:t>01”</w:t>
      </w:r>
      <w:r>
        <w:rPr/>
        <w:t>债券的评级等级为</w:t>
      </w:r>
      <w:r>
        <w:rPr>
          <w:rFonts w:ascii="Times New Roman" w:hAnsi="Times New Roman" w:cs="Times New Roman" w:eastAsia="Times New Roman" w:hint="default"/>
        </w:rPr>
        <w:t>AA</w:t>
      </w:r>
      <w:r>
        <w:rPr/>
        <w:t>。 </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18</w:t>
      </w:r>
      <w:r>
        <w:rPr/>
        <w:t>日，评级机构联合信用评级有限公司出具了《北京昆仑万维科技股份有限公司</w:t>
      </w:r>
      <w:r>
        <w:rPr>
          <w:rFonts w:ascii="Times New Roman" w:hAnsi="Times New Roman" w:cs="Times New Roman" w:eastAsia="Times New Roman" w:hint="default"/>
        </w:rPr>
        <w:t>2017</w:t>
      </w:r>
      <w:r>
        <w:rPr/>
        <w:t>年面向 合格投资者公开发行创新创业公司债券（第一期）信用评级报告》，确定：公司的长期信用等级为</w:t>
      </w:r>
      <w:r>
        <w:rPr>
          <w:rFonts w:ascii="Times New Roman" w:hAnsi="Times New Roman" w:cs="Times New Roman" w:eastAsia="Times New Roman" w:hint="default"/>
        </w:rPr>
        <w:t>AA</w:t>
      </w:r>
      <w:r>
        <w:rPr/>
        <w:t>， 评级展望为</w:t>
      </w:r>
      <w:r>
        <w:rPr>
          <w:rFonts w:ascii="Times New Roman" w:hAnsi="Times New Roman" w:cs="Times New Roman" w:eastAsia="Times New Roman" w:hint="default"/>
        </w:rPr>
        <w:t>“</w:t>
      </w:r>
      <w:r>
        <w:rPr/>
        <w:t>稳定</w:t>
      </w:r>
      <w:r>
        <w:rPr>
          <w:rFonts w:ascii="Times New Roman" w:hAnsi="Times New Roman" w:cs="Times New Roman" w:eastAsia="Times New Roman" w:hint="default"/>
        </w:rPr>
        <w:t>”</w:t>
      </w:r>
      <w:r>
        <w:rPr/>
        <w:t>，公司拟面向合格投资者公开发行创新创业公司债券（第一期）信用等级为</w:t>
      </w:r>
      <w:r>
        <w:rPr>
          <w:rFonts w:ascii="Times New Roman" w:hAnsi="Times New Roman" w:cs="Times New Roman" w:eastAsia="Times New Roman" w:hint="default"/>
        </w:rPr>
        <w:t>AA</w:t>
      </w:r>
      <w:r>
        <w:rPr/>
        <w:t>。 </w:t>
      </w:r>
      <w:r>
        <w:rPr>
          <w:rFonts w:ascii="Times New Roman" w:hAnsi="Times New Roman" w:cs="Times New Roman" w:eastAsia="Times New Roman" w:hint="default"/>
        </w:rPr>
        <w:t>3</w:t>
      </w:r>
      <w:r>
        <w:rPr/>
        <w:t>、评级机构联合信用评级有限公司将对公司债券出具跟踪评级报告，预计</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15</w:t>
      </w:r>
      <w:r>
        <w:rPr/>
        <w:t>日在巨潮资讯网刊 登，敬请广大投资者关注。</w:t>
      </w:r>
    </w:p>
    <w:p>
      <w:pPr>
        <w:spacing w:line="240" w:lineRule="auto" w:before="4"/>
        <w:rPr>
          <w:rFonts w:ascii="宋体" w:hAnsi="宋体" w:cs="宋体" w:eastAsia="宋体" w:hint="default"/>
          <w:sz w:val="20"/>
          <w:szCs w:val="20"/>
        </w:rPr>
      </w:pPr>
    </w:p>
    <w:p>
      <w:pPr>
        <w:pStyle w:val="Heading4"/>
        <w:spacing w:line="240" w:lineRule="auto"/>
        <w:ind w:right="998"/>
        <w:jc w:val="left"/>
        <w:rPr>
          <w:b w:val="0"/>
          <w:bCs w:val="0"/>
        </w:rPr>
      </w:pPr>
      <w:bookmarkStart w:name="五、公司债券增信机制、偿债计划及其他偿债保障措施" w:id="157"/>
      <w:bookmarkEnd w:id="157"/>
      <w:r>
        <w:rPr>
          <w:b w:val="0"/>
          <w:bCs w:val="0"/>
        </w:rPr>
      </w:r>
      <w:r>
        <w:rPr/>
        <w:t>五、公司债券增信机制、偿债计划及其他偿债保障措施</w:t>
      </w:r>
      <w:r>
        <w:rPr>
          <w:b w:val="0"/>
          <w:bCs w:val="0"/>
        </w:rPr>
      </w:r>
    </w:p>
    <w:p>
      <w:pPr>
        <w:spacing w:line="240" w:lineRule="auto" w:before="6"/>
        <w:rPr>
          <w:rFonts w:ascii="宋体" w:hAnsi="宋体" w:cs="宋体" w:eastAsia="宋体" w:hint="default"/>
          <w:b/>
          <w:bCs/>
          <w:sz w:val="32"/>
          <w:szCs w:val="32"/>
        </w:rPr>
      </w:pPr>
    </w:p>
    <w:p>
      <w:pPr>
        <w:spacing w:line="463" w:lineRule="auto"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、公司于</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23</w:t>
      </w:r>
      <w:r>
        <w:rPr>
          <w:rFonts w:ascii="宋体" w:hAnsi="宋体" w:cs="宋体" w:eastAsia="宋体" w:hint="default"/>
          <w:sz w:val="18"/>
          <w:szCs w:val="18"/>
        </w:rPr>
        <w:t>日支付了公司债券</w:t>
      </w:r>
      <w:r>
        <w:rPr>
          <w:rFonts w:ascii="Times New Roman" w:hAnsi="Times New Roman" w:cs="Times New Roman" w:eastAsia="Times New Roman" w:hint="default"/>
          <w:sz w:val="18"/>
          <w:szCs w:val="18"/>
        </w:rPr>
        <w:t>“16</w:t>
      </w:r>
      <w:r>
        <w:rPr>
          <w:rFonts w:ascii="宋体" w:hAnsi="宋体" w:cs="宋体" w:eastAsia="宋体" w:hint="default"/>
          <w:sz w:val="18"/>
          <w:szCs w:val="18"/>
        </w:rPr>
        <w:t>万维</w:t>
      </w:r>
      <w:r>
        <w:rPr>
          <w:rFonts w:ascii="Times New Roman" w:hAnsi="Times New Roman" w:cs="Times New Roman" w:eastAsia="Times New Roman" w:hint="default"/>
          <w:sz w:val="18"/>
          <w:szCs w:val="18"/>
        </w:rPr>
        <w:t>01”</w:t>
      </w:r>
      <w:r>
        <w:rPr>
          <w:rFonts w:ascii="宋体" w:hAnsi="宋体" w:cs="宋体" w:eastAsia="宋体" w:hint="default"/>
          <w:sz w:val="18"/>
          <w:szCs w:val="18"/>
        </w:rPr>
        <w:t>第一个付息年度的利息，并严格按照募集说明书中的约定执行偿债保障</w:t>
      </w:r>
      <w:r>
        <w:rPr>
          <w:rFonts w:ascii="宋体" w:hAnsi="宋体" w:cs="宋体" w:eastAsia="宋体" w:hint="default"/>
          <w:w w:val="100"/>
          <w:sz w:val="18"/>
          <w:szCs w:val="18"/>
        </w:rPr>
        <w:t> </w:t>
      </w:r>
      <w:r>
        <w:rPr>
          <w:rFonts w:ascii="宋体" w:hAnsi="宋体" w:cs="宋体" w:eastAsia="宋体" w:hint="default"/>
          <w:sz w:val="18"/>
          <w:szCs w:val="18"/>
        </w:rPr>
        <w:t>措施。</w:t>
      </w:r>
      <w:r>
        <w:rPr>
          <w:rFonts w:ascii="宋体" w:hAnsi="宋体" w:cs="宋体" w:eastAsia="宋体" w:hint="default"/>
          <w:w w:val="100"/>
          <w:sz w:val="18"/>
          <w:szCs w:val="18"/>
        </w:rPr>
        <w:t> </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、公司债券</w:t>
      </w:r>
      <w:r>
        <w:rPr>
          <w:rFonts w:ascii="Times New Roman" w:hAnsi="Times New Roman" w:cs="Times New Roman" w:eastAsia="Times New Roman" w:hint="default"/>
          <w:spacing w:val="-2"/>
          <w:sz w:val="18"/>
          <w:szCs w:val="18"/>
        </w:rPr>
        <w:t>“17</w:t>
      </w:r>
      <w:r>
        <w:rPr>
          <w:rFonts w:ascii="宋体" w:hAnsi="宋体" w:cs="宋体" w:eastAsia="宋体" w:hint="default"/>
          <w:spacing w:val="-2"/>
          <w:sz w:val="18"/>
          <w:szCs w:val="18"/>
        </w:rPr>
        <w:t>万维</w:t>
      </w:r>
      <w:r>
        <w:rPr>
          <w:rFonts w:ascii="Times New Roman" w:hAnsi="Times New Roman" w:cs="Times New Roman" w:eastAsia="Times New Roman" w:hint="default"/>
          <w:spacing w:val="-2"/>
          <w:sz w:val="18"/>
          <w:szCs w:val="18"/>
        </w:rPr>
        <w:t>S1”</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“18</w:t>
      </w:r>
      <w:r>
        <w:rPr>
          <w:rFonts w:ascii="宋体" w:hAnsi="宋体" w:cs="宋体" w:eastAsia="宋体" w:hint="default"/>
          <w:spacing w:val="-2"/>
          <w:sz w:val="18"/>
          <w:szCs w:val="18"/>
        </w:rPr>
        <w:t>万维</w:t>
      </w:r>
      <w:r>
        <w:rPr>
          <w:rFonts w:ascii="Times New Roman" w:hAnsi="Times New Roman" w:cs="Times New Roman" w:eastAsia="Times New Roman" w:hint="default"/>
          <w:spacing w:val="-2"/>
          <w:sz w:val="18"/>
          <w:szCs w:val="18"/>
        </w:rPr>
        <w:t>S1”</w:t>
      </w:r>
      <w:r>
        <w:rPr>
          <w:rFonts w:ascii="宋体" w:hAnsi="宋体" w:cs="宋体" w:eastAsia="宋体" w:hint="default"/>
          <w:spacing w:val="-2"/>
          <w:sz w:val="18"/>
          <w:szCs w:val="18"/>
        </w:rPr>
        <w:t>报告期内不涉及兑付兑息执行，公司严格按照募集说明书中的约定执行偿债保障措施。</w:t>
      </w:r>
    </w:p>
    <w:p>
      <w:pPr>
        <w:spacing w:line="240" w:lineRule="auto" w:before="12"/>
        <w:rPr>
          <w:rFonts w:ascii="宋体" w:hAnsi="宋体" w:cs="宋体" w:eastAsia="宋体" w:hint="default"/>
          <w:sz w:val="15"/>
          <w:szCs w:val="15"/>
        </w:rPr>
      </w:pPr>
    </w:p>
    <w:p>
      <w:pPr>
        <w:pStyle w:val="Heading4"/>
        <w:spacing w:line="240" w:lineRule="auto"/>
        <w:ind w:right="998"/>
        <w:jc w:val="left"/>
        <w:rPr>
          <w:b w:val="0"/>
          <w:bCs w:val="0"/>
        </w:rPr>
      </w:pPr>
      <w:bookmarkStart w:name="六、报告期内债券持有人会议的召开情况" w:id="158"/>
      <w:bookmarkEnd w:id="158"/>
      <w:r>
        <w:rPr>
          <w:b w:val="0"/>
          <w:bCs w:val="0"/>
        </w:rPr>
      </w:r>
      <w:r>
        <w:rPr/>
        <w:t>六、报告期内债券持有人会议的召开情况</w:t>
      </w:r>
      <w:r>
        <w:rPr>
          <w:b w:val="0"/>
          <w:bCs w:val="0"/>
        </w:rPr>
      </w:r>
    </w:p>
    <w:p>
      <w:pPr>
        <w:spacing w:line="240" w:lineRule="auto" w:before="6"/>
        <w:rPr>
          <w:rFonts w:ascii="宋体" w:hAnsi="宋体" w:cs="宋体" w:eastAsia="宋体" w:hint="default"/>
          <w:b/>
          <w:bCs/>
          <w:sz w:val="30"/>
          <w:szCs w:val="30"/>
        </w:rPr>
      </w:pPr>
    </w:p>
    <w:p>
      <w:pPr>
        <w:pStyle w:val="BodyText"/>
        <w:spacing w:line="240" w:lineRule="auto"/>
        <w:ind w:right="998"/>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30</w:t>
      </w:r>
      <w:r>
        <w:rPr/>
        <w:t>日在北京建国门外大街</w:t>
      </w:r>
      <w:r>
        <w:rPr>
          <w:rFonts w:ascii="Times New Roman" w:hAnsi="Times New Roman" w:cs="Times New Roman" w:eastAsia="Times New Roman" w:hint="default"/>
        </w:rPr>
        <w:t>1</w:t>
      </w:r>
      <w:r>
        <w:rPr/>
        <w:t>号国贸写字楼</w:t>
      </w:r>
      <w:r>
        <w:rPr>
          <w:rFonts w:ascii="Times New Roman" w:hAnsi="Times New Roman" w:cs="Times New Roman" w:eastAsia="Times New Roman" w:hint="default"/>
        </w:rPr>
        <w:t>2</w:t>
      </w:r>
      <w:r>
        <w:rPr/>
        <w:t>座</w:t>
      </w:r>
      <w:r>
        <w:rPr>
          <w:rFonts w:ascii="Times New Roman" w:hAnsi="Times New Roman" w:cs="Times New Roman" w:eastAsia="Times New Roman" w:hint="default"/>
        </w:rPr>
        <w:t>28</w:t>
      </w:r>
      <w:r>
        <w:rPr/>
        <w:t>层中国国际金融有限公司</w:t>
      </w:r>
      <w:r>
        <w:rPr>
          <w:rFonts w:ascii="Times New Roman" w:hAnsi="Times New Roman" w:cs="Times New Roman" w:eastAsia="Times New Roman" w:hint="default"/>
        </w:rPr>
        <w:t>2809</w:t>
      </w:r>
      <w:r>
        <w:rPr/>
        <w:t>会议室召开了</w:t>
      </w:r>
    </w:p>
    <w:p>
      <w:pPr>
        <w:spacing w:after="0" w:line="240" w:lineRule="auto"/>
        <w:jc w:val="left"/>
        <w:sectPr>
          <w:footerReference w:type="default" r:id="rId33"/>
          <w:pgSz w:w="11910" w:h="16840"/>
          <w:pgMar w:footer="979" w:header="877" w:top="1060" w:bottom="1160" w:left="0" w:right="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3"/>
          <w:szCs w:val="13"/>
        </w:rPr>
      </w:pPr>
    </w:p>
    <w:p>
      <w:pPr>
        <w:spacing w:line="408" w:lineRule="auto" w:before="0"/>
        <w:ind w:left="1133" w:right="1131" w:firstLine="0"/>
        <w:jc w:val="both"/>
        <w:rPr>
          <w:rFonts w:ascii="宋体" w:hAnsi="宋体" w:cs="宋体" w:eastAsia="宋体" w:hint="default"/>
          <w:sz w:val="18"/>
          <w:szCs w:val="18"/>
        </w:rPr>
      </w:pPr>
      <w:r>
        <w:rPr>
          <w:rFonts w:ascii="Times New Roman" w:hAnsi="Times New Roman" w:cs="Times New Roman" w:eastAsia="Times New Roman" w:hint="default"/>
          <w:sz w:val="21"/>
          <w:szCs w:val="21"/>
        </w:rPr>
        <w:t>“16</w:t>
      </w:r>
      <w:r>
        <w:rPr>
          <w:rFonts w:ascii="宋体" w:hAnsi="宋体" w:cs="宋体" w:eastAsia="宋体" w:hint="default"/>
          <w:sz w:val="21"/>
          <w:szCs w:val="21"/>
        </w:rPr>
        <w:t>万维</w:t>
      </w:r>
      <w:r>
        <w:rPr>
          <w:rFonts w:ascii="Times New Roman" w:hAnsi="Times New Roman" w:cs="Times New Roman" w:eastAsia="Times New Roman" w:hint="default"/>
          <w:sz w:val="21"/>
          <w:szCs w:val="21"/>
        </w:rPr>
        <w:t>01”2017</w:t>
      </w:r>
      <w:r>
        <w:rPr>
          <w:rFonts w:ascii="宋体" w:hAnsi="宋体" w:cs="宋体" w:eastAsia="宋体" w:hint="default"/>
          <w:sz w:val="21"/>
          <w:szCs w:val="21"/>
        </w:rPr>
        <w:t>年第一次债券持有人会议，审议</w:t>
      </w:r>
      <w:r>
        <w:rPr>
          <w:rFonts w:ascii="宋体" w:hAnsi="宋体" w:cs="宋体" w:eastAsia="宋体" w:hint="default"/>
          <w:sz w:val="18"/>
          <w:szCs w:val="18"/>
        </w:rPr>
        <w:t>《关于北京昆仑万维科技股份有限公司回购注销部分限制性股票减</w:t>
      </w:r>
      <w:r>
        <w:rPr>
          <w:rFonts w:ascii="宋体" w:hAnsi="宋体" w:cs="宋体" w:eastAsia="宋体" w:hint="default"/>
          <w:sz w:val="18"/>
          <w:szCs w:val="18"/>
        </w:rPr>
        <w:t> </w:t>
      </w:r>
      <w:r>
        <w:rPr>
          <w:rFonts w:ascii="宋体" w:hAnsi="宋体" w:cs="宋体" w:eastAsia="宋体" w:hint="default"/>
          <w:spacing w:val="-2"/>
          <w:sz w:val="18"/>
          <w:szCs w:val="18"/>
        </w:rPr>
        <w:t>资相关事项的议案》，</w:t>
      </w:r>
      <w:r>
        <w:rPr>
          <w:rFonts w:ascii="宋体" w:hAnsi="宋体" w:cs="宋体" w:eastAsia="宋体" w:hint="default"/>
          <w:spacing w:val="-2"/>
          <w:sz w:val="21"/>
          <w:szCs w:val="21"/>
        </w:rPr>
        <w:t>本次会议未形成有效决议。</w:t>
      </w:r>
      <w:r>
        <w:rPr>
          <w:rFonts w:ascii="宋体" w:hAnsi="宋体" w:cs="宋体" w:eastAsia="宋体" w:hint="default"/>
          <w:spacing w:val="-2"/>
          <w:sz w:val="18"/>
          <w:szCs w:val="18"/>
        </w:rPr>
        <w:t>但是本议案已经公司董事会和股东大会审议通过，不影响公司本次回</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购注销相关事项的继续实施。</w:t>
      </w:r>
    </w:p>
    <w:p>
      <w:pPr>
        <w:spacing w:line="408" w:lineRule="auto" w:before="81"/>
        <w:ind w:left="1134" w:right="1130" w:firstLine="0"/>
        <w:jc w:val="both"/>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w:t>
      </w:r>
      <w:r>
        <w:rPr>
          <w:rFonts w:ascii="Times New Roman" w:hAnsi="Times New Roman" w:cs="Times New Roman" w:eastAsia="Times New Roman" w:hint="default"/>
          <w:spacing w:val="-1"/>
          <w:sz w:val="21"/>
          <w:szCs w:val="21"/>
        </w:rPr>
        <w:t>2017</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11</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30</w:t>
      </w:r>
      <w:r>
        <w:rPr>
          <w:rFonts w:ascii="宋体" w:hAnsi="宋体" w:cs="宋体" w:eastAsia="宋体" w:hint="default"/>
          <w:spacing w:val="-1"/>
          <w:sz w:val="21"/>
          <w:szCs w:val="21"/>
        </w:rPr>
        <w:t>日以非现场形式召开了</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pacing w:val="-1"/>
          <w:sz w:val="21"/>
          <w:szCs w:val="21"/>
        </w:rPr>
        <w:t>7</w:t>
      </w:r>
      <w:r>
        <w:rPr>
          <w:rFonts w:ascii="宋体" w:hAnsi="宋体" w:cs="宋体" w:eastAsia="宋体" w:hint="default"/>
          <w:spacing w:val="-1"/>
          <w:sz w:val="21"/>
          <w:szCs w:val="21"/>
        </w:rPr>
        <w:t>万维</w:t>
      </w:r>
      <w:r>
        <w:rPr>
          <w:rFonts w:ascii="Times New Roman" w:hAnsi="Times New Roman" w:cs="Times New Roman" w:eastAsia="Times New Roman" w:hint="default"/>
          <w:spacing w:val="-1"/>
          <w:sz w:val="21"/>
          <w:szCs w:val="21"/>
        </w:rPr>
        <w:t>S1”2017</w:t>
      </w:r>
      <w:r>
        <w:rPr>
          <w:rFonts w:ascii="宋体" w:hAnsi="宋体" w:cs="宋体" w:eastAsia="宋体" w:hint="default"/>
          <w:spacing w:val="-1"/>
          <w:sz w:val="21"/>
          <w:szCs w:val="21"/>
        </w:rPr>
        <w:t>年第一次债券持有人会议，审议</w:t>
      </w:r>
      <w:r>
        <w:rPr>
          <w:rFonts w:ascii="宋体" w:hAnsi="宋体" w:cs="宋体" w:eastAsia="宋体" w:hint="default"/>
          <w:spacing w:val="-1"/>
          <w:sz w:val="18"/>
          <w:szCs w:val="18"/>
        </w:rPr>
        <w:t>《关于北京昆仑万维</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2"/>
          <w:sz w:val="18"/>
          <w:szCs w:val="18"/>
        </w:rPr>
        <w:t>科技股份有限公司回购注销部分限制性股票减资相关事项的议案》，</w:t>
      </w:r>
      <w:r>
        <w:rPr>
          <w:rFonts w:ascii="宋体" w:hAnsi="宋体" w:cs="宋体" w:eastAsia="宋体" w:hint="default"/>
          <w:spacing w:val="-2"/>
          <w:sz w:val="21"/>
          <w:szCs w:val="21"/>
        </w:rPr>
        <w:t>本次会议未形成有效决议。</w:t>
      </w:r>
      <w:r>
        <w:rPr>
          <w:rFonts w:ascii="宋体" w:hAnsi="宋体" w:cs="宋体" w:eastAsia="宋体" w:hint="default"/>
          <w:spacing w:val="-2"/>
          <w:sz w:val="18"/>
          <w:szCs w:val="18"/>
        </w:rPr>
        <w:t>但是本议案已经公司董</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事会和股东大会审议通过，不影响公司本次回购注销相关事项的继续实施。</w:t>
      </w:r>
    </w:p>
    <w:p>
      <w:pPr>
        <w:spacing w:line="240" w:lineRule="auto" w:before="6"/>
        <w:rPr>
          <w:rFonts w:ascii="宋体" w:hAnsi="宋体" w:cs="宋体" w:eastAsia="宋体" w:hint="default"/>
          <w:sz w:val="21"/>
          <w:szCs w:val="21"/>
        </w:rPr>
      </w:pPr>
    </w:p>
    <w:p>
      <w:pPr>
        <w:pStyle w:val="Heading4"/>
        <w:spacing w:line="240" w:lineRule="auto"/>
        <w:ind w:left="1134" w:right="0"/>
        <w:jc w:val="both"/>
        <w:rPr>
          <w:b w:val="0"/>
          <w:bCs w:val="0"/>
        </w:rPr>
      </w:pPr>
      <w:bookmarkStart w:name="七、报告期内债券受托管理人履行职责的情况" w:id="159"/>
      <w:bookmarkEnd w:id="159"/>
      <w:r>
        <w:rPr>
          <w:b w:val="0"/>
          <w:bCs w:val="0"/>
        </w:rPr>
      </w:r>
      <w:r>
        <w:rPr/>
        <w:t>七、报告期内债券受托管理人履行职责的情况</w:t>
      </w:r>
      <w:r>
        <w:rPr>
          <w:b w:val="0"/>
          <w:bCs w:val="0"/>
        </w:rPr>
      </w:r>
    </w:p>
    <w:p>
      <w:pPr>
        <w:spacing w:line="240" w:lineRule="auto" w:before="6"/>
        <w:rPr>
          <w:rFonts w:ascii="宋体" w:hAnsi="宋体" w:cs="宋体" w:eastAsia="宋体" w:hint="default"/>
          <w:b/>
          <w:bCs/>
          <w:sz w:val="32"/>
          <w:szCs w:val="32"/>
        </w:rPr>
      </w:pPr>
    </w:p>
    <w:p>
      <w:pPr>
        <w:spacing w:line="477" w:lineRule="auto" w:before="0"/>
        <w:ind w:left="1133" w:right="1133" w:firstLine="360"/>
        <w:jc w:val="both"/>
        <w:rPr>
          <w:rFonts w:ascii="宋体" w:hAnsi="宋体" w:cs="宋体" w:eastAsia="宋体" w:hint="default"/>
          <w:sz w:val="18"/>
          <w:szCs w:val="18"/>
        </w:rPr>
      </w:pPr>
      <w:r>
        <w:rPr>
          <w:rFonts w:ascii="宋体" w:hAnsi="宋体" w:cs="宋体" w:eastAsia="宋体" w:hint="default"/>
          <w:spacing w:val="-2"/>
          <w:sz w:val="18"/>
          <w:szCs w:val="18"/>
        </w:rPr>
        <w:t>报告期内，公司债券的债券受托管理人按照相关法律、法规的规定以及《债券受托管理协议》的约定恪尽职守，履行诚</w:t>
      </w:r>
      <w:r>
        <w:rPr>
          <w:rFonts w:ascii="宋体" w:hAnsi="宋体" w:cs="宋体" w:eastAsia="宋体" w:hint="default"/>
          <w:sz w:val="18"/>
          <w:szCs w:val="18"/>
        </w:rPr>
        <w:t> 实、信用、谨慎和有效管理的义务。公司债券的受托管理人对公司债券出具的受托管理事务报告，预计</w:t>
      </w:r>
      <w:r>
        <w:rPr>
          <w:rFonts w:ascii="宋体" w:hAnsi="宋体" w:cs="宋体" w:eastAsia="宋体" w:hint="default"/>
          <w:sz w:val="18"/>
          <w:szCs w:val="18"/>
        </w:rPr>
        <w:t>2018</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28</w:t>
      </w:r>
      <w:r>
        <w:rPr>
          <w:rFonts w:ascii="宋体" w:hAnsi="宋体" w:cs="宋体" w:eastAsia="宋体" w:hint="default"/>
          <w:sz w:val="18"/>
          <w:szCs w:val="18"/>
        </w:rPr>
        <w:t>日在巨 潮资讯网刊登，敬请广大投资者关注。</w:t>
      </w:r>
    </w:p>
    <w:p>
      <w:pPr>
        <w:spacing w:line="240" w:lineRule="auto" w:before="7"/>
        <w:rPr>
          <w:rFonts w:ascii="宋体" w:hAnsi="宋体" w:cs="宋体" w:eastAsia="宋体" w:hint="default"/>
          <w:sz w:val="17"/>
          <w:szCs w:val="17"/>
        </w:rPr>
      </w:pPr>
    </w:p>
    <w:p>
      <w:pPr>
        <w:pStyle w:val="Heading4"/>
        <w:spacing w:line="240" w:lineRule="auto"/>
        <w:ind w:right="0"/>
        <w:jc w:val="both"/>
        <w:rPr>
          <w:b w:val="0"/>
          <w:bCs w:val="0"/>
        </w:rPr>
      </w:pPr>
      <w:bookmarkStart w:name="八、截至报告期末公司近2年的主要会计数据和财务指标" w:id="160"/>
      <w:bookmarkEnd w:id="160"/>
      <w:r>
        <w:rPr>
          <w:b w:val="0"/>
          <w:bCs w:val="0"/>
        </w:rPr>
      </w:r>
      <w:r>
        <w:rPr/>
        <w:t>八、截至报告期末公司近</w:t>
      </w:r>
      <w:r>
        <w:rPr>
          <w:spacing w:val="-70"/>
        </w:rPr>
        <w:t> </w:t>
      </w:r>
      <w:r>
        <w:rPr>
          <w:rFonts w:ascii="Times New Roman" w:hAnsi="Times New Roman" w:cs="Times New Roman" w:eastAsia="Times New Roman" w:hint="default"/>
        </w:rPr>
        <w:t>2</w:t>
      </w:r>
      <w:r>
        <w:rPr>
          <w:rFonts w:ascii="Times New Roman" w:hAnsi="Times New Roman" w:cs="Times New Roman" w:eastAsia="Times New Roman" w:hint="default"/>
          <w:spacing w:val="-11"/>
        </w:rPr>
        <w:t> </w:t>
      </w:r>
      <w:r>
        <w:rPr/>
        <w:t>年的主要会计数据和财务指标</w:t>
      </w:r>
      <w:r>
        <w:rPr>
          <w:b w:val="0"/>
          <w:bCs w:val="0"/>
        </w:rPr>
      </w:r>
    </w:p>
    <w:p>
      <w:pPr>
        <w:spacing w:line="240" w:lineRule="auto" w:before="2"/>
        <w:rPr>
          <w:rFonts w:ascii="宋体" w:hAnsi="宋体" w:cs="宋体" w:eastAsia="宋体" w:hint="default"/>
          <w:b/>
          <w:bCs/>
          <w:sz w:val="25"/>
          <w:szCs w:val="25"/>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3"/>
        <w:rPr>
          <w:rFonts w:ascii="宋体" w:hAnsi="宋体" w:cs="宋体" w:eastAsia="宋体" w:hint="default"/>
          <w:sz w:val="7"/>
          <w:szCs w:val="7"/>
        </w:rPr>
      </w:pPr>
    </w:p>
    <w:tbl>
      <w:tblPr>
        <w:tblW w:w="0" w:type="auto"/>
        <w:jc w:val="left"/>
        <w:tblInd w:w="1159" w:type="dxa"/>
        <w:tblLayout w:type="fixed"/>
        <w:tblCellMar>
          <w:top w:w="0" w:type="dxa"/>
          <w:left w:w="0" w:type="dxa"/>
          <w:bottom w:w="0" w:type="dxa"/>
          <w:right w:w="0" w:type="dxa"/>
        </w:tblCellMar>
        <w:tblLook w:val="01E0"/>
      </w:tblPr>
      <w:tblGrid>
        <w:gridCol w:w="2376"/>
        <w:gridCol w:w="2403"/>
        <w:gridCol w:w="2392"/>
        <w:gridCol w:w="2392"/>
      </w:tblGrid>
      <w:tr>
        <w:trPr>
          <w:trHeight w:val="415" w:hRule="exact"/>
        </w:trPr>
        <w:tc>
          <w:tcPr>
            <w:tcW w:w="2376" w:type="dxa"/>
            <w:tcBorders>
              <w:top w:val="single" w:sz="12"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right="4"/>
              <w:jc w:val="center"/>
              <w:rPr>
                <w:rFonts w:ascii="宋体" w:hAnsi="宋体" w:cs="宋体" w:eastAsia="宋体" w:hint="default"/>
                <w:sz w:val="18"/>
                <w:szCs w:val="18"/>
              </w:rPr>
            </w:pPr>
            <w:r>
              <w:rPr>
                <w:rFonts w:ascii="宋体" w:hAnsi="宋体" w:cs="宋体" w:eastAsia="宋体" w:hint="default"/>
                <w:sz w:val="18"/>
                <w:szCs w:val="18"/>
              </w:rPr>
              <w:t>项目</w:t>
            </w:r>
          </w:p>
        </w:tc>
        <w:tc>
          <w:tcPr>
            <w:tcW w:w="2403"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12" w:space="0" w:color="000000"/>
              <w:left w:val="single" w:sz="6" w:space="0" w:color="000000"/>
              <w:bottom w:val="single" w:sz="6" w:space="0" w:color="000000"/>
              <w:right w:val="single" w:sz="12" w:space="0" w:color="000000"/>
            </w:tcBorders>
            <w:shd w:val="clear" w:color="auto" w:fill="D2D2D2"/>
          </w:tcPr>
          <w:p>
            <w:pPr>
              <w:pStyle w:val="TableParagraph"/>
              <w:spacing w:line="240" w:lineRule="auto" w:before="51"/>
              <w:ind w:left="739" w:right="0"/>
              <w:jc w:val="left"/>
              <w:rPr>
                <w:rFonts w:ascii="宋体" w:hAnsi="宋体" w:cs="宋体" w:eastAsia="宋体" w:hint="default"/>
                <w:sz w:val="18"/>
                <w:szCs w:val="18"/>
              </w:rPr>
            </w:pPr>
            <w:r>
              <w:rPr>
                <w:rFonts w:ascii="宋体" w:hAnsi="宋体" w:cs="宋体" w:eastAsia="宋体" w:hint="default"/>
                <w:sz w:val="18"/>
                <w:szCs w:val="18"/>
              </w:rPr>
              <w:t>同期变动率</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3"/>
              <w:ind w:left="6" w:right="0"/>
              <w:jc w:val="left"/>
              <w:rPr>
                <w:rFonts w:ascii="宋体" w:hAnsi="宋体" w:cs="宋体" w:eastAsia="宋体" w:hint="default"/>
                <w:sz w:val="18"/>
                <w:szCs w:val="18"/>
              </w:rPr>
            </w:pPr>
            <w:r>
              <w:rPr>
                <w:rFonts w:ascii="宋体" w:hAnsi="宋体" w:cs="宋体" w:eastAsia="宋体" w:hint="default"/>
                <w:sz w:val="18"/>
                <w:szCs w:val="18"/>
              </w:rPr>
              <w:t>息税折旧摊销前利润</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163,112.87</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64,271.23</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153.79%</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流动比率</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146.45%</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86.52%</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59.93%</w:t>
            </w:r>
          </w:p>
        </w:tc>
      </w:tr>
      <w:tr>
        <w:trPr>
          <w:trHeight w:val="408"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资产负债率</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26.52%</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49.56%</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-23.04%</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速动比率</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133.78%</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84.61%</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49.17%</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EBITDA</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全部债务比</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71.72%</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37.75%</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33.97%</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利息保障倍数</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13.87</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10.4</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33.37%</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现金利息保障倍数</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13.27</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14.39</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-7.78%</w:t>
            </w:r>
          </w:p>
        </w:tc>
      </w:tr>
      <w:tr>
        <w:trPr>
          <w:trHeight w:val="407"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EBITDA</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利息保障倍数</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14.33</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10.62</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34.93%</w:t>
            </w:r>
          </w:p>
        </w:tc>
      </w:tr>
      <w:tr>
        <w:trPr>
          <w:trHeight w:val="408" w:hRule="exact"/>
        </w:trPr>
        <w:tc>
          <w:tcPr>
            <w:tcW w:w="2376" w:type="dxa"/>
            <w:tcBorders>
              <w:top w:val="single" w:sz="6" w:space="0" w:color="000000"/>
              <w:left w:val="single" w:sz="12" w:space="0" w:color="000000"/>
              <w:bottom w:val="single" w:sz="6" w:space="0" w:color="000000"/>
              <w:right w:val="single" w:sz="6" w:space="0" w:color="000000"/>
            </w:tcBorders>
            <w:shd w:val="clear" w:color="auto" w:fill="D2D2D2"/>
          </w:tcPr>
          <w:p>
            <w:pPr>
              <w:pStyle w:val="TableParagraph"/>
              <w:spacing w:line="240" w:lineRule="auto" w:before="52"/>
              <w:ind w:left="6" w:right="0"/>
              <w:jc w:val="left"/>
              <w:rPr>
                <w:rFonts w:ascii="宋体" w:hAnsi="宋体" w:cs="宋体" w:eastAsia="宋体" w:hint="default"/>
                <w:sz w:val="18"/>
                <w:szCs w:val="18"/>
              </w:rPr>
            </w:pPr>
            <w:r>
              <w:rPr>
                <w:rFonts w:ascii="宋体" w:hAnsi="宋体" w:cs="宋体" w:eastAsia="宋体" w:hint="default"/>
                <w:sz w:val="18"/>
                <w:szCs w:val="18"/>
              </w:rPr>
              <w:t>贷款偿还率</w:t>
            </w:r>
          </w:p>
        </w:tc>
        <w:tc>
          <w:tcPr>
            <w:tcW w:w="2403" w:type="dxa"/>
            <w:tcBorders>
              <w:top w:val="single" w:sz="6" w:space="0" w:color="000000"/>
              <w:left w:val="single" w:sz="14" w:space="0" w:color="D2D2D2"/>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100.00%</w:t>
            </w:r>
          </w:p>
        </w:tc>
        <w:tc>
          <w:tcPr>
            <w:tcW w:w="2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100.00%</w:t>
            </w:r>
          </w:p>
        </w:tc>
        <w:tc>
          <w:tcPr>
            <w:tcW w:w="2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0.00%</w:t>
            </w:r>
          </w:p>
        </w:tc>
      </w:tr>
      <w:tr>
        <w:trPr>
          <w:trHeight w:val="415" w:hRule="exact"/>
        </w:trPr>
        <w:tc>
          <w:tcPr>
            <w:tcW w:w="2376" w:type="dxa"/>
            <w:tcBorders>
              <w:top w:val="single" w:sz="6" w:space="0" w:color="000000"/>
              <w:left w:val="single" w:sz="12" w:space="0" w:color="000000"/>
              <w:bottom w:val="single" w:sz="12" w:space="0" w:color="000000"/>
              <w:right w:val="single" w:sz="6" w:space="0" w:color="000000"/>
            </w:tcBorders>
            <w:shd w:val="clear" w:color="auto" w:fill="D2D2D2"/>
          </w:tcPr>
          <w:p>
            <w:pPr>
              <w:pStyle w:val="TableParagraph"/>
              <w:spacing w:line="240" w:lineRule="auto" w:before="51"/>
              <w:ind w:left="6" w:right="0"/>
              <w:jc w:val="left"/>
              <w:rPr>
                <w:rFonts w:ascii="宋体" w:hAnsi="宋体" w:cs="宋体" w:eastAsia="宋体" w:hint="default"/>
                <w:sz w:val="18"/>
                <w:szCs w:val="18"/>
              </w:rPr>
            </w:pPr>
            <w:r>
              <w:rPr>
                <w:rFonts w:ascii="宋体" w:hAnsi="宋体" w:cs="宋体" w:eastAsia="宋体" w:hint="default"/>
                <w:sz w:val="18"/>
                <w:szCs w:val="18"/>
              </w:rPr>
              <w:t>利息偿付率</w:t>
            </w:r>
          </w:p>
        </w:tc>
        <w:tc>
          <w:tcPr>
            <w:tcW w:w="2403" w:type="dxa"/>
            <w:tcBorders>
              <w:top w:val="single" w:sz="6" w:space="0" w:color="000000"/>
              <w:left w:val="single" w:sz="14" w:space="0" w:color="D2D2D2"/>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100.00%</w:t>
            </w:r>
          </w:p>
        </w:tc>
        <w:tc>
          <w:tcPr>
            <w:tcW w:w="23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100.00%</w:t>
            </w:r>
          </w:p>
        </w:tc>
        <w:tc>
          <w:tcPr>
            <w:tcW w:w="239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上述会计数据和财务指标同比变动超过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的主要原因</w:t>
      </w:r>
    </w:p>
    <w:p>
      <w:pPr>
        <w:spacing w:before="102"/>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13"/>
          <w:szCs w:val="13"/>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6"/>
          <w:sz w:val="18"/>
          <w:szCs w:val="18"/>
        </w:rPr>
        <w:t> </w:t>
      </w:r>
      <w:r>
        <w:rPr>
          <w:rFonts w:ascii="宋体" w:hAnsi="宋体" w:cs="宋体" w:eastAsia="宋体" w:hint="default"/>
          <w:sz w:val="18"/>
          <w:szCs w:val="18"/>
        </w:rPr>
        <w:t>息税折旧摊销前利润较去年增加，主要是利润增加所致；</w:t>
      </w:r>
    </w:p>
    <w:p>
      <w:pPr>
        <w:spacing w:line="240" w:lineRule="auto" w:before="9"/>
        <w:rPr>
          <w:rFonts w:ascii="宋体" w:hAnsi="宋体" w:cs="宋体" w:eastAsia="宋体" w:hint="default"/>
          <w:sz w:val="16"/>
          <w:szCs w:val="1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6"/>
          <w:sz w:val="18"/>
          <w:szCs w:val="18"/>
        </w:rPr>
        <w:t> </w:t>
      </w:r>
      <w:r>
        <w:rPr>
          <w:rFonts w:ascii="宋体" w:hAnsi="宋体" w:cs="宋体" w:eastAsia="宋体" w:hint="default"/>
          <w:sz w:val="18"/>
          <w:szCs w:val="18"/>
        </w:rPr>
        <w:t>流动比率、速动比率较去年增加，主要是年末银行存款余额有较大幅度上升；</w:t>
      </w:r>
    </w:p>
    <w:p>
      <w:pPr>
        <w:spacing w:line="240" w:lineRule="auto" w:before="10"/>
        <w:rPr>
          <w:rFonts w:ascii="宋体" w:hAnsi="宋体" w:cs="宋体" w:eastAsia="宋体" w:hint="default"/>
          <w:sz w:val="16"/>
          <w:szCs w:val="1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Times New Roman" w:hAnsi="Times New Roman" w:cs="Times New Roman" w:eastAsia="Times New Roman" w:hint="default"/>
          <w:sz w:val="18"/>
          <w:szCs w:val="18"/>
        </w:rPr>
        <w:t>EBITDA</w:t>
      </w:r>
      <w:r>
        <w:rPr>
          <w:rFonts w:ascii="宋体" w:hAnsi="宋体" w:cs="宋体" w:eastAsia="宋体" w:hint="default"/>
          <w:sz w:val="18"/>
          <w:szCs w:val="18"/>
        </w:rPr>
        <w:t>全部债务比、利息保障倍数和</w:t>
      </w:r>
      <w:r>
        <w:rPr>
          <w:rFonts w:ascii="Times New Roman" w:hAnsi="Times New Roman" w:cs="Times New Roman" w:eastAsia="Times New Roman" w:hint="default"/>
          <w:sz w:val="18"/>
          <w:szCs w:val="18"/>
        </w:rPr>
        <w:t>EBITDA</w:t>
      </w:r>
      <w:r>
        <w:rPr>
          <w:rFonts w:ascii="宋体" w:hAnsi="宋体" w:cs="宋体" w:eastAsia="宋体" w:hint="default"/>
          <w:sz w:val="18"/>
          <w:szCs w:val="18"/>
        </w:rPr>
        <w:t>利息保障倍数较去年增加，主要是利润增加所致。</w:t>
      </w:r>
    </w:p>
    <w:p>
      <w:pPr>
        <w:spacing w:after="0"/>
        <w:jc w:val="left"/>
        <w:rPr>
          <w:rFonts w:ascii="宋体" w:hAnsi="宋体" w:cs="宋体" w:eastAsia="宋体" w:hint="default"/>
          <w:sz w:val="18"/>
          <w:szCs w:val="18"/>
        </w:rPr>
        <w:sectPr>
          <w:footerReference w:type="default" r:id="rId34"/>
          <w:pgSz w:w="11910" w:h="16840"/>
          <w:pgMar w:footer="979" w:header="877" w:top="1060" w:bottom="1160" w:left="0" w:right="0"/>
          <w:pgNumType w:start="101"/>
        </w:sectPr>
      </w:pPr>
    </w:p>
    <w:p>
      <w:pPr>
        <w:spacing w:line="240" w:lineRule="auto" w:before="9"/>
        <w:rPr>
          <w:rFonts w:ascii="宋体" w:hAnsi="宋体" w:cs="宋体" w:eastAsia="宋体" w:hint="default"/>
          <w:sz w:val="23"/>
          <w:szCs w:val="23"/>
        </w:rPr>
      </w:pPr>
    </w:p>
    <w:p>
      <w:pPr>
        <w:pStyle w:val="Heading4"/>
        <w:spacing w:line="240" w:lineRule="auto" w:before="26"/>
        <w:ind w:right="998"/>
        <w:jc w:val="left"/>
        <w:rPr>
          <w:b w:val="0"/>
          <w:bCs w:val="0"/>
        </w:rPr>
      </w:pPr>
      <w:bookmarkStart w:name="九、报告期内对其他债券和债务融资工具的付息兑付情况" w:id="161"/>
      <w:bookmarkEnd w:id="161"/>
      <w:r>
        <w:rPr>
          <w:b w:val="0"/>
          <w:bCs w:val="0"/>
        </w:rPr>
      </w:r>
      <w:r>
        <w:rPr/>
        <w:t>九、报告期内对其他债券和债务融资工具的付息兑付情况</w:t>
      </w:r>
      <w:r>
        <w:rPr>
          <w:b w:val="0"/>
          <w:bCs w:val="0"/>
        </w:rPr>
      </w:r>
    </w:p>
    <w:p>
      <w:pPr>
        <w:spacing w:line="240" w:lineRule="auto" w:before="6"/>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2"/>
        <w:rPr>
          <w:rFonts w:ascii="宋体" w:hAnsi="宋体" w:cs="宋体" w:eastAsia="宋体" w:hint="default"/>
          <w:sz w:val="25"/>
          <w:szCs w:val="25"/>
        </w:rPr>
      </w:pPr>
    </w:p>
    <w:p>
      <w:pPr>
        <w:pStyle w:val="Heading4"/>
        <w:spacing w:line="240" w:lineRule="auto"/>
        <w:ind w:left="1134" w:right="998"/>
        <w:jc w:val="left"/>
        <w:rPr>
          <w:b w:val="0"/>
          <w:bCs w:val="0"/>
        </w:rPr>
      </w:pPr>
      <w:bookmarkStart w:name="十、报告期内获得的银行授信情况、使用情况以及偿还银行贷款的情况" w:id="162"/>
      <w:bookmarkEnd w:id="162"/>
      <w:r>
        <w:rPr>
          <w:b w:val="0"/>
          <w:bCs w:val="0"/>
        </w:rPr>
      </w:r>
      <w:r>
        <w:rPr/>
        <w:t>十、报告期内获得的银行授信情况、使用情况以及偿还银行贷款的情况</w:t>
      </w:r>
      <w:r>
        <w:rPr>
          <w:b w:val="0"/>
          <w:bCs w:val="0"/>
        </w:rPr>
      </w:r>
    </w:p>
    <w:p>
      <w:pPr>
        <w:spacing w:line="240" w:lineRule="auto" w:before="6"/>
        <w:rPr>
          <w:rFonts w:ascii="宋体" w:hAnsi="宋体" w:cs="宋体" w:eastAsia="宋体" w:hint="default"/>
          <w:b/>
          <w:bCs/>
          <w:sz w:val="32"/>
          <w:szCs w:val="32"/>
        </w:rPr>
      </w:pPr>
    </w:p>
    <w:p>
      <w:pPr>
        <w:spacing w:line="451" w:lineRule="auto" w:before="0"/>
        <w:ind w:left="1133" w:right="1131" w:firstLine="360"/>
        <w:jc w:val="both"/>
        <w:rPr>
          <w:rFonts w:ascii="宋体" w:hAnsi="宋体" w:cs="宋体" w:eastAsia="宋体" w:hint="default"/>
          <w:sz w:val="18"/>
          <w:szCs w:val="18"/>
        </w:rPr>
      </w:pPr>
      <w:r>
        <w:rPr>
          <w:rFonts w:ascii="宋体" w:hAnsi="宋体" w:cs="宋体" w:eastAsia="宋体" w:hint="default"/>
          <w:spacing w:val="-2"/>
          <w:sz w:val="18"/>
          <w:szCs w:val="18"/>
        </w:rPr>
        <w:t>公司资信状况良好，与国内主要银行建立了良好的长期合作关系。截至</w:t>
      </w:r>
      <w:r>
        <w:rPr>
          <w:rFonts w:ascii="Times New Roman" w:hAnsi="Times New Roman" w:cs="Times New Roman" w:eastAsia="Times New Roman" w:hint="default"/>
          <w:spacing w:val="-2"/>
          <w:sz w:val="18"/>
          <w:szCs w:val="18"/>
        </w:rPr>
        <w:t>2017</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12</w:t>
      </w:r>
      <w:r>
        <w:rPr>
          <w:rFonts w:ascii="宋体" w:hAnsi="宋体" w:cs="宋体" w:eastAsia="宋体" w:hint="default"/>
          <w:spacing w:val="-2"/>
          <w:sz w:val="18"/>
          <w:szCs w:val="18"/>
        </w:rPr>
        <w:t>月</w:t>
      </w:r>
      <w:r>
        <w:rPr>
          <w:rFonts w:ascii="Times New Roman" w:hAnsi="Times New Roman" w:cs="Times New Roman" w:eastAsia="Times New Roman" w:hint="default"/>
          <w:spacing w:val="-2"/>
          <w:sz w:val="18"/>
          <w:szCs w:val="18"/>
        </w:rPr>
        <w:t>31</w:t>
      </w:r>
      <w:r>
        <w:rPr>
          <w:rFonts w:ascii="宋体" w:hAnsi="宋体" w:cs="宋体" w:eastAsia="宋体" w:hint="default"/>
          <w:spacing w:val="-2"/>
          <w:sz w:val="18"/>
          <w:szCs w:val="18"/>
        </w:rPr>
        <w:t>日，公司获得的银行总授信额度为</w:t>
      </w:r>
      <w:r>
        <w:rPr>
          <w:rFonts w:ascii="宋体" w:hAnsi="宋体" w:cs="宋体" w:eastAsia="宋体" w:hint="default"/>
          <w:sz w:val="18"/>
          <w:szCs w:val="18"/>
        </w:rPr>
        <w:t> </w:t>
      </w:r>
      <w:r>
        <w:rPr>
          <w:rFonts w:ascii="Times New Roman" w:hAnsi="Times New Roman" w:cs="Times New Roman" w:eastAsia="Times New Roman" w:hint="default"/>
          <w:spacing w:val="-2"/>
          <w:sz w:val="18"/>
          <w:szCs w:val="18"/>
        </w:rPr>
        <w:t>290,443.6</w:t>
      </w:r>
      <w:r>
        <w:rPr>
          <w:rFonts w:ascii="宋体" w:hAnsi="宋体" w:cs="宋体" w:eastAsia="宋体" w:hint="default"/>
          <w:spacing w:val="-2"/>
          <w:sz w:val="18"/>
          <w:szCs w:val="18"/>
        </w:rPr>
        <w:t>万元人民币，尚未使用的授信额度为</w:t>
      </w:r>
      <w:r>
        <w:rPr>
          <w:rFonts w:ascii="Times New Roman" w:hAnsi="Times New Roman" w:cs="Times New Roman" w:eastAsia="Times New Roman" w:hint="default"/>
          <w:spacing w:val="-2"/>
          <w:sz w:val="18"/>
          <w:szCs w:val="18"/>
        </w:rPr>
        <w:t>175,818.9</w:t>
      </w:r>
      <w:r>
        <w:rPr>
          <w:rFonts w:ascii="宋体" w:hAnsi="宋体" w:cs="宋体" w:eastAsia="宋体" w:hint="default"/>
          <w:spacing w:val="-2"/>
          <w:sz w:val="18"/>
          <w:szCs w:val="18"/>
        </w:rPr>
        <w:t>万元；报告期公司偿还银行贷款</w:t>
      </w:r>
      <w:r>
        <w:rPr>
          <w:rFonts w:ascii="Times New Roman" w:hAnsi="Times New Roman" w:cs="Times New Roman" w:eastAsia="Times New Roman" w:hint="default"/>
          <w:spacing w:val="-2"/>
          <w:sz w:val="18"/>
          <w:szCs w:val="18"/>
        </w:rPr>
        <w:t>100,063.1</w:t>
      </w:r>
      <w:r>
        <w:rPr>
          <w:rFonts w:ascii="宋体" w:hAnsi="宋体" w:cs="宋体" w:eastAsia="宋体" w:hint="default"/>
          <w:spacing w:val="-2"/>
          <w:sz w:val="18"/>
          <w:szCs w:val="18"/>
        </w:rPr>
        <w:t>万元（含票据），其中按时</w:t>
      </w:r>
      <w:r>
        <w:rPr>
          <w:rFonts w:ascii="宋体" w:hAnsi="宋体" w:cs="宋体" w:eastAsia="宋体" w:hint="default"/>
          <w:spacing w:val="-40"/>
          <w:sz w:val="18"/>
          <w:szCs w:val="18"/>
        </w:rPr>
        <w:t> </w:t>
      </w:r>
      <w:r>
        <w:rPr>
          <w:rFonts w:ascii="宋体" w:hAnsi="宋体" w:cs="宋体" w:eastAsia="宋体" w:hint="default"/>
          <w:spacing w:val="-40"/>
          <w:sz w:val="18"/>
          <w:szCs w:val="18"/>
        </w:rPr>
      </w:r>
      <w:r>
        <w:rPr>
          <w:rFonts w:ascii="宋体" w:hAnsi="宋体" w:cs="宋体" w:eastAsia="宋体" w:hint="default"/>
          <w:sz w:val="18"/>
          <w:szCs w:val="18"/>
        </w:rPr>
        <w:t>偿还</w:t>
      </w:r>
      <w:r>
        <w:rPr>
          <w:rFonts w:ascii="Times New Roman" w:hAnsi="Times New Roman" w:cs="Times New Roman" w:eastAsia="Times New Roman" w:hint="default"/>
          <w:sz w:val="18"/>
          <w:szCs w:val="18"/>
        </w:rPr>
        <w:t>100,063.1</w:t>
      </w:r>
      <w:r>
        <w:rPr>
          <w:rFonts w:ascii="宋体" w:hAnsi="宋体" w:cs="宋体" w:eastAsia="宋体" w:hint="default"/>
          <w:sz w:val="18"/>
          <w:szCs w:val="18"/>
        </w:rPr>
        <w:t>万元（含票据），银行贷款展期</w:t>
      </w:r>
      <w:r>
        <w:rPr>
          <w:rFonts w:ascii="Times New Roman" w:hAnsi="Times New Roman" w:cs="Times New Roman" w:eastAsia="Times New Roman" w:hint="default"/>
          <w:sz w:val="18"/>
          <w:szCs w:val="18"/>
        </w:rPr>
        <w:t>0</w:t>
      </w:r>
      <w:r>
        <w:rPr>
          <w:rFonts w:ascii="宋体" w:hAnsi="宋体" w:cs="宋体" w:eastAsia="宋体" w:hint="default"/>
          <w:sz w:val="18"/>
          <w:szCs w:val="18"/>
        </w:rPr>
        <w:t>万元，减免</w:t>
      </w:r>
      <w:r>
        <w:rPr>
          <w:rFonts w:ascii="Times New Roman" w:hAnsi="Times New Roman" w:cs="Times New Roman" w:eastAsia="Times New Roman" w:hint="default"/>
          <w:sz w:val="18"/>
          <w:szCs w:val="18"/>
        </w:rPr>
        <w:t>0</w:t>
      </w:r>
      <w:r>
        <w:rPr>
          <w:rFonts w:ascii="宋体" w:hAnsi="宋体" w:cs="宋体" w:eastAsia="宋体" w:hint="default"/>
          <w:sz w:val="18"/>
          <w:szCs w:val="18"/>
        </w:rPr>
        <w:t>万元。</w:t>
      </w:r>
    </w:p>
    <w:p>
      <w:pPr>
        <w:spacing w:line="240" w:lineRule="auto" w:before="9"/>
        <w:rPr>
          <w:rFonts w:ascii="宋体" w:hAnsi="宋体" w:cs="宋体" w:eastAsia="宋体" w:hint="default"/>
          <w:sz w:val="16"/>
          <w:szCs w:val="16"/>
        </w:rPr>
      </w:pPr>
    </w:p>
    <w:p>
      <w:pPr>
        <w:pStyle w:val="Heading4"/>
        <w:spacing w:line="240" w:lineRule="auto"/>
        <w:ind w:right="998"/>
        <w:jc w:val="left"/>
        <w:rPr>
          <w:b w:val="0"/>
          <w:bCs w:val="0"/>
        </w:rPr>
      </w:pPr>
      <w:bookmarkStart w:name="十一、报告期内执行公司债券募集说明书相关约定或承诺的情况" w:id="163"/>
      <w:bookmarkEnd w:id="163"/>
      <w:r>
        <w:rPr>
          <w:b w:val="0"/>
          <w:bCs w:val="0"/>
        </w:rPr>
      </w:r>
      <w:r>
        <w:rPr/>
        <w:t>十一、报告期内执行公司债券募集说明书相关约定或承诺的情况</w:t>
      </w:r>
      <w:r>
        <w:rPr>
          <w:b w:val="0"/>
          <w:bCs w:val="0"/>
        </w:rPr>
      </w:r>
    </w:p>
    <w:p>
      <w:pPr>
        <w:spacing w:line="240" w:lineRule="auto" w:before="6"/>
        <w:rPr>
          <w:rFonts w:ascii="宋体" w:hAnsi="宋体" w:cs="宋体" w:eastAsia="宋体" w:hint="default"/>
          <w:b/>
          <w:bCs/>
          <w:sz w:val="30"/>
          <w:szCs w:val="30"/>
        </w:rPr>
      </w:pPr>
    </w:p>
    <w:p>
      <w:pPr>
        <w:pStyle w:val="BodyText"/>
        <w:spacing w:line="240" w:lineRule="auto"/>
        <w:ind w:left="1553" w:right="998"/>
        <w:jc w:val="left"/>
      </w:pPr>
      <w:r>
        <w:rPr/>
        <w:t>报告期内，公司严格执行债券募集说明书相关约定和承诺，对债券投资者的利益提供了充分的保障。</w:t>
      </w:r>
    </w:p>
    <w:p>
      <w:pPr>
        <w:spacing w:line="240" w:lineRule="auto" w:before="0"/>
        <w:rPr>
          <w:rFonts w:ascii="宋体" w:hAnsi="宋体" w:cs="宋体" w:eastAsia="宋体" w:hint="default"/>
          <w:sz w:val="20"/>
          <w:szCs w:val="20"/>
        </w:rPr>
      </w:pPr>
    </w:p>
    <w:p>
      <w:pPr>
        <w:pStyle w:val="Heading4"/>
        <w:spacing w:line="240" w:lineRule="auto" w:before="131"/>
        <w:ind w:left="1134" w:right="998"/>
        <w:jc w:val="left"/>
        <w:rPr>
          <w:b w:val="0"/>
          <w:bCs w:val="0"/>
        </w:rPr>
      </w:pPr>
      <w:bookmarkStart w:name="十二、报告期内发生的重大事项" w:id="164"/>
      <w:bookmarkEnd w:id="164"/>
      <w:r>
        <w:rPr>
          <w:b w:val="0"/>
          <w:bCs w:val="0"/>
        </w:rPr>
      </w:r>
      <w:r>
        <w:rPr/>
        <w:t>十二、报告期内发生的重大事项</w:t>
      </w:r>
      <w:r>
        <w:rPr>
          <w:b w:val="0"/>
          <w:bCs w:val="0"/>
        </w:rPr>
      </w:r>
    </w:p>
    <w:p>
      <w:pPr>
        <w:spacing w:line="240" w:lineRule="auto" w:before="6"/>
        <w:rPr>
          <w:rFonts w:ascii="宋体" w:hAnsi="宋体" w:cs="宋体" w:eastAsia="宋体" w:hint="default"/>
          <w:b/>
          <w:bCs/>
          <w:sz w:val="30"/>
          <w:szCs w:val="30"/>
        </w:rPr>
      </w:pPr>
    </w:p>
    <w:p>
      <w:pPr>
        <w:pStyle w:val="BodyText"/>
        <w:spacing w:line="240" w:lineRule="auto"/>
        <w:ind w:left="1134" w:right="998"/>
        <w:jc w:val="left"/>
      </w:pPr>
      <w:r>
        <w:rPr>
          <w:rFonts w:ascii="Times New Roman" w:hAnsi="Times New Roman" w:cs="Times New Roman" w:eastAsia="Times New Roman" w:hint="default"/>
        </w:rPr>
        <w:t>1</w:t>
      </w:r>
      <w:r>
        <w:rPr/>
        <w:t>、报告期内的重大诉讼、仲裁事项详见本报告“第五节 重要事项</w:t>
      </w:r>
      <w:r>
        <w:rPr>
          <w:spacing w:val="40"/>
        </w:rPr>
        <w:t> </w:t>
      </w:r>
      <w:r>
        <w:rPr/>
        <w:t>十一、重大诉讼、仲裁事项”。</w:t>
      </w:r>
    </w:p>
    <w:p>
      <w:pPr>
        <w:spacing w:line="240" w:lineRule="auto" w:before="6"/>
        <w:rPr>
          <w:rFonts w:ascii="宋体" w:hAnsi="宋体" w:cs="宋体" w:eastAsia="宋体" w:hint="default"/>
          <w:sz w:val="15"/>
          <w:szCs w:val="15"/>
        </w:rPr>
      </w:pPr>
    </w:p>
    <w:p>
      <w:pPr>
        <w:spacing w:line="451" w:lineRule="auto" w:before="0"/>
        <w:ind w:left="1134" w:right="114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、报告期内因激励对象离职和受业绩影响未能解锁的限制性股票，公司进行了限制性股票的回购注销并减资，具体内容可 参见刊登巨潮资讯网的《关于回购注销部分限制性股票的减资公告》（公告编号：</w:t>
      </w:r>
      <w:r>
        <w:rPr>
          <w:rFonts w:ascii="Times New Roman" w:hAnsi="Times New Roman" w:cs="Times New Roman" w:eastAsia="Times New Roman" w:hint="default"/>
          <w:sz w:val="18"/>
          <w:szCs w:val="18"/>
        </w:rPr>
        <w:t>2017-045</w:t>
      </w:r>
      <w:r>
        <w:rPr>
          <w:rFonts w:ascii="宋体" w:hAnsi="宋体" w:cs="宋体" w:eastAsia="宋体" w:hint="default"/>
          <w:sz w:val="18"/>
          <w:szCs w:val="18"/>
        </w:rPr>
        <w:t>、</w:t>
      </w:r>
      <w:r>
        <w:rPr>
          <w:rFonts w:ascii="Times New Roman" w:hAnsi="Times New Roman" w:cs="Times New Roman" w:eastAsia="Times New Roman" w:hint="default"/>
          <w:sz w:val="18"/>
          <w:szCs w:val="18"/>
        </w:rPr>
        <w:t>2017-069</w:t>
      </w:r>
      <w:r>
        <w:rPr>
          <w:rFonts w:ascii="宋体" w:hAnsi="宋体" w:cs="宋体" w:eastAsia="宋体" w:hint="default"/>
          <w:sz w:val="18"/>
          <w:szCs w:val="18"/>
        </w:rPr>
        <w:t>、</w:t>
      </w:r>
      <w:r>
        <w:rPr>
          <w:rFonts w:ascii="Times New Roman" w:hAnsi="Times New Roman" w:cs="Times New Roman" w:eastAsia="Times New Roman" w:hint="default"/>
          <w:sz w:val="18"/>
          <w:szCs w:val="18"/>
        </w:rPr>
        <w:t>2017-154</w:t>
      </w:r>
      <w:r>
        <w:rPr>
          <w:rFonts w:ascii="宋体" w:hAnsi="宋体" w:cs="宋体" w:eastAsia="宋体" w:hint="default"/>
          <w:sz w:val="18"/>
          <w:szCs w:val="18"/>
        </w:rPr>
        <w:t>）。</w:t>
      </w:r>
    </w:p>
    <w:p>
      <w:pPr>
        <w:spacing w:line="240" w:lineRule="auto" w:before="9"/>
        <w:rPr>
          <w:rFonts w:ascii="宋体" w:hAnsi="宋体" w:cs="宋体" w:eastAsia="宋体" w:hint="default"/>
          <w:sz w:val="16"/>
          <w:szCs w:val="16"/>
        </w:rPr>
      </w:pPr>
    </w:p>
    <w:p>
      <w:pPr>
        <w:pStyle w:val="Heading4"/>
        <w:spacing w:line="240" w:lineRule="auto"/>
        <w:ind w:right="998"/>
        <w:jc w:val="left"/>
        <w:rPr>
          <w:b w:val="0"/>
          <w:bCs w:val="0"/>
        </w:rPr>
      </w:pPr>
      <w:bookmarkStart w:name="十三、公司债券是否存在保证人" w:id="165"/>
      <w:bookmarkEnd w:id="165"/>
      <w:r>
        <w:rPr>
          <w:b w:val="0"/>
          <w:bCs w:val="0"/>
        </w:rPr>
      </w:r>
      <w:r>
        <w:rPr/>
        <w:t>十三、公司债券是否存在保证人</w:t>
      </w:r>
      <w:r>
        <w:rPr>
          <w:b w:val="0"/>
          <w:bCs w:val="0"/>
        </w:rPr>
      </w:r>
    </w:p>
    <w:p>
      <w:pPr>
        <w:spacing w:line="240" w:lineRule="auto" w:before="7"/>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3403"/>
        <w:jc w:val="center"/>
        <w:rPr>
          <w:b w:val="0"/>
          <w:bCs w:val="0"/>
        </w:rPr>
      </w:pPr>
      <w:bookmarkStart w:name="_TOC_250001" w:id="166"/>
      <w:bookmarkStart w:name="第十一节 财务报告" w:id="167"/>
      <w:r>
        <w:rPr>
          <w:b w:val="0"/>
          <w:bCs w:val="0"/>
        </w:rPr>
      </w:r>
      <w:r>
        <w:rPr/>
        <w:t>第十一节</w:t>
      </w:r>
      <w:r>
        <w:rPr>
          <w:spacing w:val="-6"/>
        </w:rPr>
        <w:t> </w:t>
      </w:r>
      <w:r>
        <w:rPr/>
        <w:t>财务报告</w:t>
      </w:r>
      <w:bookmarkEnd w:id="166"/>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4"/>
        <w:spacing w:line="240" w:lineRule="auto" w:before="26"/>
        <w:ind w:right="998"/>
        <w:jc w:val="left"/>
        <w:rPr>
          <w:b w:val="0"/>
          <w:bCs w:val="0"/>
        </w:rPr>
      </w:pPr>
      <w:bookmarkStart w:name="一、审计报告" w:id="168"/>
      <w:bookmarkEnd w:id="168"/>
      <w:r>
        <w:rPr>
          <w:b w:val="0"/>
          <w:bCs w:val="0"/>
        </w:rPr>
      </w: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4784"/>
        <w:gridCol w:w="4785"/>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信会师报字</w:t>
            </w:r>
            <w:r>
              <w:rPr>
                <w:rFonts w:ascii="Times New Roman" w:hAnsi="Times New Roman" w:cs="Times New Roman" w:eastAsia="Times New Roman" w:hint="default"/>
                <w:sz w:val="18"/>
                <w:szCs w:val="18"/>
              </w:rPr>
              <w:t>[2018]</w:t>
            </w:r>
            <w:r>
              <w:rPr>
                <w:rFonts w:ascii="宋体" w:hAnsi="宋体" w:cs="宋体" w:eastAsia="宋体" w:hint="default"/>
                <w:sz w:val="18"/>
                <w:szCs w:val="18"/>
              </w:rPr>
              <w:t>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ZB10842 </w:t>
            </w:r>
            <w:r>
              <w:rPr>
                <w:rFonts w:ascii="宋体" w:hAnsi="宋体" w:cs="宋体" w:eastAsia="宋体" w:hint="default"/>
                <w:sz w:val="18"/>
                <w:szCs w:val="18"/>
              </w:rPr>
              <w:t>号</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强桂英  孙继伟</w:t>
            </w:r>
          </w:p>
        </w:tc>
      </w:tr>
    </w:tbl>
    <w:p>
      <w:pPr>
        <w:spacing w:before="51"/>
        <w:ind w:left="3403" w:right="3402" w:firstLine="0"/>
        <w:jc w:val="center"/>
        <w:rPr>
          <w:rFonts w:ascii="宋体" w:hAnsi="宋体" w:cs="宋体" w:eastAsia="宋体" w:hint="default"/>
          <w:sz w:val="18"/>
          <w:szCs w:val="18"/>
        </w:rPr>
      </w:pPr>
      <w:r>
        <w:rPr>
          <w:rFonts w:ascii="宋体" w:hAnsi="宋体" w:cs="宋体" w:eastAsia="宋体" w:hint="default"/>
          <w:sz w:val="18"/>
          <w:szCs w:val="18"/>
        </w:rPr>
        <w:t>审计报告正文</w:t>
      </w:r>
    </w:p>
    <w:p>
      <w:pPr>
        <w:spacing w:line="240" w:lineRule="auto" w:before="6"/>
        <w:rPr>
          <w:rFonts w:ascii="宋体" w:hAnsi="宋体" w:cs="宋体" w:eastAsia="宋体" w:hint="default"/>
          <w:sz w:val="14"/>
          <w:szCs w:val="14"/>
        </w:rPr>
      </w:pPr>
    </w:p>
    <w:p>
      <w:pPr>
        <w:pStyle w:val="Heading2"/>
        <w:spacing w:line="240" w:lineRule="auto"/>
        <w:ind w:right="998"/>
        <w:jc w:val="left"/>
        <w:rPr>
          <w:b w:val="0"/>
          <w:bCs w:val="0"/>
        </w:rPr>
      </w:pPr>
      <w:r>
        <w:rPr/>
        <w:t>北京昆仑万维科技股份有限公司全体股东：</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39"/>
          <w:szCs w:val="39"/>
        </w:rPr>
      </w:pPr>
    </w:p>
    <w:p>
      <w:pPr>
        <w:pStyle w:val="Heading2"/>
        <w:spacing w:line="240" w:lineRule="auto"/>
        <w:ind w:left="1134" w:right="998"/>
        <w:jc w:val="left"/>
        <w:rPr>
          <w:b w:val="0"/>
          <w:bCs w:val="0"/>
        </w:rPr>
      </w:pPr>
      <w:r>
        <w:rPr/>
        <w:t>一、审计意见</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39"/>
          <w:szCs w:val="39"/>
        </w:rPr>
      </w:pPr>
    </w:p>
    <w:p>
      <w:pPr>
        <w:pStyle w:val="Heading3"/>
        <w:spacing w:line="400" w:lineRule="auto"/>
        <w:ind w:left="1134" w:right="977"/>
        <w:jc w:val="left"/>
      </w:pPr>
      <w:r>
        <w:rPr>
          <w:spacing w:val="-1"/>
        </w:rPr>
        <w:t>我们审计了北京昆仑万维科技股份有限公司（以下简称昆仑万维或贵公司）</w:t>
      </w:r>
      <w:r>
        <w:rPr>
          <w:w w:val="99"/>
        </w:rPr>
        <w:t> </w:t>
      </w:r>
      <w:r>
        <w:rPr/>
        <w:t>财务报表，包括</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日的合并及母公司资产负债表，</w:t>
      </w:r>
      <w:r>
        <w:rPr>
          <w:rFonts w:ascii="Times New Roman" w:hAnsi="Times New Roman" w:cs="Times New Roman" w:eastAsia="Times New Roman" w:hint="default"/>
        </w:rPr>
        <w:t>2017</w:t>
      </w:r>
      <w:r>
        <w:rPr/>
        <w:t>年度的合并</w:t>
      </w:r>
      <w:r>
        <w:rPr>
          <w:w w:val="99"/>
        </w:rPr>
        <w:t> </w:t>
      </w:r>
      <w:r>
        <w:rPr/>
        <w:t>及母公司利润表、合并及母公司现金流量表、合并及母公司股东权益变动表以</w:t>
      </w:r>
      <w:r>
        <w:rPr>
          <w:w w:val="99"/>
        </w:rPr>
        <w:t> </w:t>
      </w:r>
      <w:r>
        <w:rPr/>
        <w:t>及相关财务报表附注。</w:t>
      </w:r>
    </w:p>
    <w:p>
      <w:pPr>
        <w:pStyle w:val="Heading3"/>
        <w:spacing w:line="398" w:lineRule="auto" w:before="70"/>
        <w:ind w:left="1134" w:right="977"/>
        <w:jc w:val="left"/>
      </w:pPr>
      <w:r>
        <w:rPr>
          <w:spacing w:val="-1"/>
        </w:rPr>
        <w:t>我们认为，后附的财务报表在所有重大方面按照企业会计准则的规定编制，</w:t>
      </w:r>
      <w:r>
        <w:rPr>
          <w:w w:val="99"/>
        </w:rPr>
        <w:t> </w:t>
      </w:r>
      <w:r>
        <w:rPr/>
        <w:t>公允反映了昆仑万维</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日的合并及母公司财务状况以及</w:t>
      </w:r>
      <w:r>
        <w:rPr>
          <w:rFonts w:ascii="Times New Roman" w:hAnsi="Times New Roman" w:cs="Times New Roman" w:eastAsia="Times New Roman" w:hint="default"/>
        </w:rPr>
        <w:t>2017</w:t>
      </w:r>
      <w:r>
        <w:rPr/>
        <w:t>年度的</w:t>
      </w:r>
      <w:r>
        <w:rPr>
          <w:w w:val="99"/>
        </w:rPr>
        <w:t> </w:t>
      </w:r>
      <w:r>
        <w:rPr/>
        <w:t>合并及母公司经营成果和现金流量。</w:t>
      </w:r>
    </w:p>
    <w:p>
      <w:pPr>
        <w:spacing w:line="240" w:lineRule="auto" w:before="0"/>
        <w:rPr>
          <w:rFonts w:ascii="宋体" w:hAnsi="宋体" w:cs="宋体" w:eastAsia="宋体" w:hint="default"/>
          <w:sz w:val="28"/>
          <w:szCs w:val="28"/>
        </w:rPr>
      </w:pPr>
    </w:p>
    <w:p>
      <w:pPr>
        <w:spacing w:line="240" w:lineRule="auto" w:before="3"/>
        <w:rPr>
          <w:rFonts w:ascii="宋体" w:hAnsi="宋体" w:cs="宋体" w:eastAsia="宋体" w:hint="default"/>
          <w:sz w:val="25"/>
          <w:szCs w:val="25"/>
        </w:rPr>
      </w:pPr>
    </w:p>
    <w:p>
      <w:pPr>
        <w:pStyle w:val="Heading2"/>
        <w:spacing w:line="240" w:lineRule="auto"/>
        <w:ind w:left="1134" w:right="998"/>
        <w:jc w:val="left"/>
        <w:rPr>
          <w:b w:val="0"/>
          <w:bCs w:val="0"/>
        </w:rPr>
      </w:pPr>
      <w:r>
        <w:rPr/>
        <w:t>二、形成审计意见的基础</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39"/>
          <w:szCs w:val="39"/>
        </w:rPr>
      </w:pPr>
    </w:p>
    <w:p>
      <w:pPr>
        <w:pStyle w:val="Heading3"/>
        <w:spacing w:line="240" w:lineRule="auto"/>
        <w:ind w:left="1702" w:right="998" w:firstLine="0"/>
        <w:jc w:val="left"/>
      </w:pPr>
      <w:r>
        <w:rPr/>
        <w:t>我们按照中国注册会计师审计准则的规定执行了审计工作。审计报告的</w:t>
      </w:r>
      <w:r>
        <w:rPr>
          <w:rFonts w:ascii="Times New Roman" w:hAnsi="Times New Roman" w:cs="Times New Roman" w:eastAsia="Times New Roman" w:hint="default"/>
        </w:rPr>
        <w:t>“</w:t>
      </w:r>
      <w:r>
        <w:rPr/>
        <w:t>注</w:t>
      </w:r>
    </w:p>
    <w:p>
      <w:pPr>
        <w:spacing w:after="0" w:line="240" w:lineRule="auto"/>
        <w:jc w:val="left"/>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Heading3"/>
        <w:spacing w:line="400" w:lineRule="auto" w:before="13"/>
        <w:ind w:right="998" w:firstLine="0"/>
        <w:jc w:val="left"/>
      </w:pPr>
      <w:r>
        <w:rPr>
          <w:w w:val="95"/>
        </w:rPr>
        <w:t>册会计师对财务报表审计的责任</w:t>
      </w:r>
      <w:r>
        <w:rPr>
          <w:rFonts w:ascii="Times New Roman" w:hAnsi="Times New Roman" w:cs="Times New Roman" w:eastAsia="Times New Roman" w:hint="default"/>
          <w:w w:val="95"/>
        </w:rPr>
        <w:t>”</w:t>
      </w:r>
      <w:r>
        <w:rPr>
          <w:w w:val="95"/>
        </w:rPr>
        <w:t>部分进一步阐述了我们在这些准则下的责任。</w:t>
      </w:r>
      <w:r>
        <w:rPr>
          <w:spacing w:val="70"/>
          <w:w w:val="95"/>
        </w:rPr>
        <w:t> </w:t>
      </w:r>
      <w:r>
        <w:rPr/>
        <w:t>按照中国注册会计师职业道德守则，我们独立于昆仑万维，并履行了职业道德</w:t>
      </w:r>
      <w:r>
        <w:rPr>
          <w:w w:val="99"/>
        </w:rPr>
        <w:t> </w:t>
      </w:r>
      <w:r>
        <w:rPr/>
        <w:t>方面的其他责任。我们相信，我们获取的审计证据是充分、适当的，为发表审</w:t>
      </w:r>
      <w:r>
        <w:rPr>
          <w:w w:val="99"/>
        </w:rPr>
        <w:t> </w:t>
      </w:r>
      <w:r>
        <w:rPr/>
        <w:t>计意见提供了基础。</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5"/>
          <w:szCs w:val="25"/>
        </w:rPr>
      </w:pPr>
    </w:p>
    <w:p>
      <w:pPr>
        <w:pStyle w:val="Heading2"/>
        <w:spacing w:line="240" w:lineRule="auto"/>
        <w:ind w:right="998"/>
        <w:jc w:val="left"/>
        <w:rPr>
          <w:b w:val="0"/>
          <w:bCs w:val="0"/>
        </w:rPr>
      </w:pPr>
      <w:r>
        <w:rPr/>
        <w:t>三、关键审计事项</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39"/>
          <w:szCs w:val="39"/>
        </w:rPr>
      </w:pPr>
    </w:p>
    <w:p>
      <w:pPr>
        <w:pStyle w:val="Heading3"/>
        <w:spacing w:line="408" w:lineRule="auto"/>
        <w:ind w:right="1249"/>
        <w:jc w:val="both"/>
      </w:pPr>
      <w:r>
        <w:rPr>
          <w:w w:val="95"/>
        </w:rPr>
        <w:t>关键审计事项是我们根据职业判断，认为对本期财务报表审计最为重要的</w:t>
      </w:r>
      <w:r>
        <w:rPr>
          <w:w w:val="99"/>
        </w:rPr>
        <w:t> </w:t>
      </w:r>
      <w:r>
        <w:rPr/>
        <w:t>事项。这些事项的应对以对财务报表整体进行审计并形成审计意见为背景，我</w:t>
      </w:r>
      <w:r>
        <w:rPr>
          <w:w w:val="99"/>
        </w:rPr>
        <w:t> </w:t>
      </w:r>
      <w:r>
        <w:rPr/>
        <w:t>们不对这些事项单独发表意见。我们确定下列事项是需要在审计报告中沟通的</w:t>
      </w:r>
      <w:r>
        <w:rPr>
          <w:w w:val="99"/>
        </w:rPr>
        <w:t> </w:t>
      </w:r>
      <w:r>
        <w:rPr/>
        <w:t>关键审计事项。</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tbl>
      <w:tblPr>
        <w:tblW w:w="0" w:type="auto"/>
        <w:jc w:val="left"/>
        <w:tblInd w:w="1126" w:type="dxa"/>
        <w:tblLayout w:type="fixed"/>
        <w:tblCellMar>
          <w:top w:w="0" w:type="dxa"/>
          <w:left w:w="0" w:type="dxa"/>
          <w:bottom w:w="0" w:type="dxa"/>
          <w:right w:w="0" w:type="dxa"/>
        </w:tblCellMar>
        <w:tblLook w:val="01E0"/>
      </w:tblPr>
      <w:tblGrid>
        <w:gridCol w:w="4141"/>
        <w:gridCol w:w="4055"/>
      </w:tblGrid>
      <w:tr>
        <w:trPr>
          <w:trHeight w:val="659" w:hRule="exact"/>
        </w:trPr>
        <w:tc>
          <w:tcPr>
            <w:tcW w:w="41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5"/>
              <w:ind w:left="1219" w:right="0"/>
              <w:jc w:val="left"/>
              <w:rPr>
                <w:rFonts w:ascii="宋体" w:hAnsi="宋体" w:cs="宋体" w:eastAsia="宋体" w:hint="default"/>
                <w:sz w:val="28"/>
                <w:szCs w:val="28"/>
              </w:rPr>
            </w:pPr>
            <w:r>
              <w:rPr>
                <w:rFonts w:ascii="宋体" w:hAnsi="宋体" w:cs="宋体" w:eastAsia="宋体" w:hint="default"/>
                <w:b/>
                <w:bCs/>
                <w:sz w:val="28"/>
                <w:szCs w:val="28"/>
              </w:rPr>
              <w:t>关键审计事项</w:t>
            </w:r>
            <w:r>
              <w:rPr>
                <w:rFonts w:ascii="宋体" w:hAnsi="宋体" w:cs="宋体" w:eastAsia="宋体" w:hint="default"/>
                <w:sz w:val="28"/>
                <w:szCs w:val="28"/>
              </w:rPr>
            </w:r>
          </w:p>
        </w:tc>
        <w:tc>
          <w:tcPr>
            <w:tcW w:w="4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5"/>
              <w:ind w:left="193" w:right="0"/>
              <w:jc w:val="left"/>
              <w:rPr>
                <w:rFonts w:ascii="宋体" w:hAnsi="宋体" w:cs="宋体" w:eastAsia="宋体" w:hint="default"/>
                <w:sz w:val="28"/>
                <w:szCs w:val="28"/>
              </w:rPr>
            </w:pPr>
            <w:r>
              <w:rPr>
                <w:rFonts w:ascii="宋体" w:hAnsi="宋体" w:cs="宋体" w:eastAsia="宋体" w:hint="default"/>
                <w:b/>
                <w:bCs/>
                <w:sz w:val="28"/>
                <w:szCs w:val="28"/>
              </w:rPr>
              <w:t>该事项在审计中是如何应对的</w:t>
            </w:r>
            <w:r>
              <w:rPr>
                <w:rFonts w:ascii="宋体" w:hAnsi="宋体" w:cs="宋体" w:eastAsia="宋体" w:hint="default"/>
                <w:sz w:val="28"/>
                <w:szCs w:val="28"/>
              </w:rPr>
            </w:r>
          </w:p>
        </w:tc>
      </w:tr>
      <w:tr>
        <w:trPr>
          <w:trHeight w:val="659" w:hRule="exact"/>
        </w:trPr>
        <w:tc>
          <w:tcPr>
            <w:tcW w:w="819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95"/>
              <w:ind w:left="2" w:right="0"/>
              <w:jc w:val="left"/>
              <w:rPr>
                <w:rFonts w:ascii="宋体" w:hAnsi="宋体" w:cs="宋体" w:eastAsia="宋体" w:hint="default"/>
                <w:sz w:val="28"/>
                <w:szCs w:val="28"/>
              </w:rPr>
            </w:pPr>
            <w:r>
              <w:rPr>
                <w:rFonts w:ascii="宋体" w:hAnsi="宋体" w:cs="宋体" w:eastAsia="宋体" w:hint="default"/>
                <w:b/>
                <w:bCs/>
                <w:sz w:val="28"/>
                <w:szCs w:val="28"/>
              </w:rPr>
              <w:t>（一）收入确认</w:t>
            </w:r>
            <w:r>
              <w:rPr>
                <w:rFonts w:ascii="宋体" w:hAnsi="宋体" w:cs="宋体" w:eastAsia="宋体" w:hint="default"/>
                <w:sz w:val="28"/>
                <w:szCs w:val="28"/>
              </w:rPr>
            </w:r>
          </w:p>
        </w:tc>
      </w:tr>
      <w:tr>
        <w:trPr>
          <w:trHeight w:val="5028" w:hRule="exact"/>
        </w:trPr>
        <w:tc>
          <w:tcPr>
            <w:tcW w:w="4141" w:type="dxa"/>
            <w:tcBorders>
              <w:top w:val="single" w:sz="6" w:space="0" w:color="000000"/>
              <w:left w:val="single" w:sz="6" w:space="0" w:color="000000"/>
              <w:bottom w:val="single" w:sz="6" w:space="0" w:color="000000"/>
              <w:right w:val="single" w:sz="6" w:space="0" w:color="000000"/>
            </w:tcBorders>
          </w:tcPr>
          <w:p>
            <w:pPr>
              <w:pStyle w:val="TableParagraph"/>
              <w:spacing w:line="405" w:lineRule="auto" w:before="95"/>
              <w:ind w:left="2" w:right="-17"/>
              <w:jc w:val="left"/>
              <w:rPr>
                <w:rFonts w:ascii="宋体" w:hAnsi="宋体" w:cs="宋体" w:eastAsia="宋体" w:hint="default"/>
                <w:sz w:val="28"/>
                <w:szCs w:val="28"/>
              </w:rPr>
            </w:pPr>
            <w:r>
              <w:rPr>
                <w:rFonts w:ascii="宋体" w:hAnsi="宋体" w:cs="宋体" w:eastAsia="宋体" w:hint="default"/>
                <w:spacing w:val="-22"/>
                <w:w w:val="99"/>
                <w:sz w:val="28"/>
                <w:szCs w:val="28"/>
              </w:rPr>
              <w:t>如合并财务报表附注五、（三十一）</w:t>
            </w:r>
            <w:r>
              <w:rPr>
                <w:rFonts w:ascii="宋体" w:hAnsi="宋体" w:cs="宋体" w:eastAsia="宋体" w:hint="default"/>
                <w:spacing w:val="-124"/>
                <w:w w:val="99"/>
                <w:sz w:val="28"/>
                <w:szCs w:val="28"/>
              </w:rPr>
              <w:t> </w:t>
            </w:r>
            <w:r>
              <w:rPr>
                <w:rFonts w:ascii="宋体" w:hAnsi="宋体" w:cs="宋体" w:eastAsia="宋体" w:hint="default"/>
                <w:spacing w:val="-124"/>
                <w:w w:val="99"/>
                <w:sz w:val="28"/>
                <w:szCs w:val="28"/>
              </w:rPr>
            </w:r>
            <w:r>
              <w:rPr>
                <w:rFonts w:ascii="宋体" w:hAnsi="宋体" w:cs="宋体" w:eastAsia="宋体" w:hint="default"/>
                <w:sz w:val="28"/>
                <w:szCs w:val="28"/>
              </w:rPr>
              <w:t>所列示，贵公司本期营业收入</w:t>
            </w:r>
            <w:r>
              <w:rPr>
                <w:rFonts w:ascii="宋体" w:hAnsi="宋体" w:cs="宋体" w:eastAsia="宋体" w:hint="default"/>
                <w:w w:val="99"/>
                <w:sz w:val="28"/>
                <w:szCs w:val="28"/>
              </w:rPr>
              <w:t> </w:t>
            </w:r>
            <w:r>
              <w:rPr>
                <w:rFonts w:ascii="Times New Roman" w:hAnsi="Times New Roman" w:cs="Times New Roman" w:eastAsia="Times New Roman" w:hint="default"/>
                <w:sz w:val="28"/>
                <w:szCs w:val="28"/>
              </w:rPr>
              <w:t>34.36</w:t>
            </w:r>
            <w:r>
              <w:rPr>
                <w:rFonts w:ascii="宋体" w:hAnsi="宋体" w:cs="宋体" w:eastAsia="宋体" w:hint="default"/>
                <w:sz w:val="28"/>
                <w:szCs w:val="28"/>
              </w:rPr>
              <w:t>亿元。</w:t>
            </w:r>
            <w:r>
              <w:rPr>
                <w:rFonts w:ascii="宋体" w:hAnsi="宋体" w:cs="宋体" w:eastAsia="宋体" w:hint="default"/>
                <w:w w:val="99"/>
                <w:sz w:val="28"/>
                <w:szCs w:val="28"/>
              </w:rPr>
              <w:t> </w:t>
            </w:r>
            <w:r>
              <w:rPr>
                <w:rFonts w:ascii="宋体" w:hAnsi="宋体" w:cs="宋体" w:eastAsia="宋体" w:hint="default"/>
                <w:spacing w:val="-22"/>
                <w:w w:val="99"/>
                <w:sz w:val="28"/>
                <w:szCs w:val="28"/>
              </w:rPr>
              <w:t>请参阅财务报表附注三、（二十一）</w:t>
            </w:r>
            <w:r>
              <w:rPr>
                <w:rFonts w:ascii="宋体" w:hAnsi="宋体" w:cs="宋体" w:eastAsia="宋体" w:hint="default"/>
                <w:spacing w:val="-124"/>
                <w:w w:val="99"/>
                <w:sz w:val="28"/>
                <w:szCs w:val="28"/>
              </w:rPr>
              <w:t> </w:t>
            </w:r>
            <w:r>
              <w:rPr>
                <w:rFonts w:ascii="宋体" w:hAnsi="宋体" w:cs="宋体" w:eastAsia="宋体" w:hint="default"/>
                <w:spacing w:val="-124"/>
                <w:w w:val="99"/>
                <w:sz w:val="28"/>
                <w:szCs w:val="28"/>
              </w:rPr>
            </w:r>
            <w:r>
              <w:rPr>
                <w:rFonts w:ascii="宋体" w:hAnsi="宋体" w:cs="宋体" w:eastAsia="宋体" w:hint="default"/>
                <w:spacing w:val="-6"/>
                <w:sz w:val="28"/>
                <w:szCs w:val="28"/>
              </w:rPr>
              <w:t>所列示，贵公司收入主要来源于游</w:t>
            </w:r>
            <w:r>
              <w:rPr>
                <w:rFonts w:ascii="宋体" w:hAnsi="宋体" w:cs="宋体" w:eastAsia="宋体" w:hint="default"/>
                <w:spacing w:val="-137"/>
                <w:sz w:val="28"/>
                <w:szCs w:val="28"/>
              </w:rPr>
              <w:t> </w:t>
            </w:r>
            <w:r>
              <w:rPr>
                <w:rFonts w:ascii="宋体" w:hAnsi="宋体" w:cs="宋体" w:eastAsia="宋体" w:hint="default"/>
                <w:spacing w:val="-137"/>
                <w:sz w:val="28"/>
                <w:szCs w:val="28"/>
              </w:rPr>
            </w:r>
            <w:r>
              <w:rPr>
                <w:rFonts w:ascii="宋体" w:hAnsi="宋体" w:cs="宋体" w:eastAsia="宋体" w:hint="default"/>
                <w:spacing w:val="-6"/>
                <w:sz w:val="28"/>
                <w:szCs w:val="28"/>
              </w:rPr>
              <w:t>戏收入和互联网产品收入，贵公司</w:t>
            </w:r>
            <w:r>
              <w:rPr>
                <w:rFonts w:ascii="宋体" w:hAnsi="宋体" w:cs="宋体" w:eastAsia="宋体" w:hint="default"/>
                <w:spacing w:val="-137"/>
                <w:sz w:val="28"/>
                <w:szCs w:val="28"/>
              </w:rPr>
              <w:t> </w:t>
            </w:r>
            <w:r>
              <w:rPr>
                <w:rFonts w:ascii="宋体" w:hAnsi="宋体" w:cs="宋体" w:eastAsia="宋体" w:hint="default"/>
                <w:spacing w:val="-137"/>
                <w:sz w:val="28"/>
                <w:szCs w:val="28"/>
              </w:rPr>
            </w:r>
            <w:r>
              <w:rPr>
                <w:rFonts w:ascii="宋体" w:hAnsi="宋体" w:cs="宋体" w:eastAsia="宋体" w:hint="default"/>
                <w:sz w:val="28"/>
                <w:szCs w:val="28"/>
              </w:rPr>
              <w:t>游戏收入按照不同的运营模式进</w:t>
            </w:r>
            <w:r>
              <w:rPr>
                <w:rFonts w:ascii="宋体" w:hAnsi="宋体" w:cs="宋体" w:eastAsia="宋体" w:hint="default"/>
                <w:w w:val="99"/>
                <w:sz w:val="28"/>
                <w:szCs w:val="28"/>
              </w:rPr>
              <w:t> </w:t>
            </w:r>
            <w:r>
              <w:rPr>
                <w:rFonts w:ascii="宋体" w:hAnsi="宋体" w:cs="宋体" w:eastAsia="宋体" w:hint="default"/>
                <w:spacing w:val="-6"/>
                <w:sz w:val="28"/>
                <w:szCs w:val="28"/>
              </w:rPr>
              <w:t>行确认，具体如下：在自主运营模</w:t>
            </w:r>
          </w:p>
        </w:tc>
        <w:tc>
          <w:tcPr>
            <w:tcW w:w="4055" w:type="dxa"/>
            <w:tcBorders>
              <w:top w:val="single" w:sz="6" w:space="0" w:color="000000"/>
              <w:left w:val="single" w:sz="6" w:space="0" w:color="000000"/>
              <w:bottom w:val="single" w:sz="6" w:space="0" w:color="000000"/>
              <w:right w:val="single" w:sz="6" w:space="0" w:color="000000"/>
            </w:tcBorders>
          </w:tcPr>
          <w:p>
            <w:pPr>
              <w:pStyle w:val="TableParagraph"/>
              <w:spacing w:line="405" w:lineRule="auto" w:before="95"/>
              <w:ind w:left="2" w:right="4"/>
              <w:jc w:val="left"/>
              <w:rPr>
                <w:rFonts w:ascii="宋体" w:hAnsi="宋体" w:cs="宋体" w:eastAsia="宋体" w:hint="default"/>
                <w:sz w:val="28"/>
                <w:szCs w:val="28"/>
              </w:rPr>
            </w:pPr>
            <w:r>
              <w:rPr>
                <w:rFonts w:ascii="宋体" w:hAnsi="宋体" w:cs="宋体" w:eastAsia="宋体" w:hint="default"/>
                <w:sz w:val="28"/>
                <w:szCs w:val="28"/>
              </w:rPr>
              <w:t>我们针对这一关键审计事项执行</w:t>
            </w:r>
            <w:r>
              <w:rPr>
                <w:rFonts w:ascii="宋体" w:hAnsi="宋体" w:cs="宋体" w:eastAsia="宋体" w:hint="default"/>
                <w:w w:val="99"/>
                <w:sz w:val="28"/>
                <w:szCs w:val="28"/>
              </w:rPr>
              <w:t> </w:t>
            </w:r>
            <w:r>
              <w:rPr>
                <w:rFonts w:ascii="宋体" w:hAnsi="宋体" w:cs="宋体" w:eastAsia="宋体" w:hint="default"/>
                <w:sz w:val="28"/>
                <w:szCs w:val="28"/>
              </w:rPr>
              <w:t>的审计程序主要包括：</w:t>
            </w:r>
            <w:r>
              <w:rPr>
                <w:rFonts w:ascii="宋体" w:hAnsi="宋体" w:cs="宋体" w:eastAsia="宋体" w:hint="default"/>
                <w:w w:val="99"/>
                <w:sz w:val="28"/>
                <w:szCs w:val="28"/>
              </w:rPr>
              <w:t> </w:t>
            </w:r>
            <w:r>
              <w:rPr>
                <w:rFonts w:ascii="Times New Roman" w:hAnsi="Times New Roman" w:cs="Times New Roman" w:eastAsia="Times New Roman" w:hint="default"/>
                <w:spacing w:val="-7"/>
                <w:sz w:val="28"/>
                <w:szCs w:val="28"/>
              </w:rPr>
              <w:t>A</w:t>
            </w:r>
            <w:r>
              <w:rPr>
                <w:rFonts w:ascii="宋体" w:hAnsi="宋体" w:cs="宋体" w:eastAsia="宋体" w:hint="default"/>
                <w:spacing w:val="-7"/>
                <w:sz w:val="28"/>
                <w:szCs w:val="28"/>
              </w:rPr>
              <w:t>、我们了解、评估及验证与确认</w:t>
            </w:r>
            <w:r>
              <w:rPr>
                <w:rFonts w:ascii="宋体" w:hAnsi="宋体" w:cs="宋体" w:eastAsia="宋体" w:hint="default"/>
                <w:spacing w:val="-130"/>
                <w:sz w:val="28"/>
                <w:szCs w:val="28"/>
              </w:rPr>
              <w:t> </w:t>
            </w:r>
            <w:r>
              <w:rPr>
                <w:rFonts w:ascii="宋体" w:hAnsi="宋体" w:cs="宋体" w:eastAsia="宋体" w:hint="default"/>
                <w:spacing w:val="-130"/>
                <w:sz w:val="28"/>
                <w:szCs w:val="28"/>
              </w:rPr>
            </w:r>
            <w:r>
              <w:rPr>
                <w:rFonts w:ascii="宋体" w:hAnsi="宋体" w:cs="宋体" w:eastAsia="宋体" w:hint="default"/>
                <w:sz w:val="28"/>
                <w:szCs w:val="28"/>
              </w:rPr>
              <w:t>游戏虚拟道具产生收益有关的内</w:t>
            </w:r>
            <w:r>
              <w:rPr>
                <w:rFonts w:ascii="宋体" w:hAnsi="宋体" w:cs="宋体" w:eastAsia="宋体" w:hint="default"/>
                <w:w w:val="99"/>
                <w:sz w:val="28"/>
                <w:szCs w:val="28"/>
              </w:rPr>
              <w:t> </w:t>
            </w:r>
            <w:r>
              <w:rPr>
                <w:rFonts w:ascii="宋体" w:hAnsi="宋体" w:cs="宋体" w:eastAsia="宋体" w:hint="default"/>
                <w:sz w:val="28"/>
                <w:szCs w:val="28"/>
              </w:rPr>
              <w:t>部控制措施设计的合理性及有效</w:t>
            </w:r>
            <w:r>
              <w:rPr>
                <w:rFonts w:ascii="宋体" w:hAnsi="宋体" w:cs="宋体" w:eastAsia="宋体" w:hint="default"/>
                <w:w w:val="99"/>
                <w:sz w:val="28"/>
                <w:szCs w:val="28"/>
              </w:rPr>
              <w:t> </w:t>
            </w:r>
            <w:r>
              <w:rPr>
                <w:rFonts w:ascii="宋体" w:hAnsi="宋体" w:cs="宋体" w:eastAsia="宋体" w:hint="default"/>
                <w:sz w:val="28"/>
                <w:szCs w:val="28"/>
              </w:rPr>
              <w:t>性，包括管理层在评估玩家生命</w:t>
            </w:r>
            <w:r>
              <w:rPr>
                <w:rFonts w:ascii="宋体" w:hAnsi="宋体" w:cs="宋体" w:eastAsia="宋体" w:hint="default"/>
                <w:w w:val="99"/>
                <w:sz w:val="28"/>
                <w:szCs w:val="28"/>
              </w:rPr>
              <w:t> </w:t>
            </w:r>
            <w:r>
              <w:rPr>
                <w:rFonts w:ascii="宋体" w:hAnsi="宋体" w:cs="宋体" w:eastAsia="宋体" w:hint="default"/>
                <w:sz w:val="28"/>
                <w:szCs w:val="28"/>
              </w:rPr>
              <w:t>周期以及由贵公司信息系统应用</w:t>
            </w:r>
            <w:r>
              <w:rPr>
                <w:rFonts w:ascii="宋体" w:hAnsi="宋体" w:cs="宋体" w:eastAsia="宋体" w:hint="default"/>
                <w:w w:val="99"/>
                <w:sz w:val="28"/>
                <w:szCs w:val="28"/>
              </w:rPr>
              <w:t> </w:t>
            </w:r>
            <w:r>
              <w:rPr>
                <w:rFonts w:ascii="宋体" w:hAnsi="宋体" w:cs="宋体" w:eastAsia="宋体" w:hint="default"/>
                <w:sz w:val="28"/>
                <w:szCs w:val="28"/>
              </w:rPr>
              <w:t>计算的基于虚拟道具消耗的每月</w:t>
            </w:r>
          </w:p>
        </w:tc>
      </w:tr>
    </w:tbl>
    <w:p>
      <w:pPr>
        <w:spacing w:after="0" w:line="405" w:lineRule="auto"/>
        <w:jc w:val="left"/>
        <w:rPr>
          <w:rFonts w:ascii="宋体" w:hAnsi="宋体" w:cs="宋体" w:eastAsia="宋体" w:hint="default"/>
          <w:sz w:val="28"/>
          <w:szCs w:val="2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6" w:type="dxa"/>
        <w:tblLayout w:type="fixed"/>
        <w:tblCellMar>
          <w:top w:w="0" w:type="dxa"/>
          <w:left w:w="0" w:type="dxa"/>
          <w:bottom w:w="0" w:type="dxa"/>
          <w:right w:w="0" w:type="dxa"/>
        </w:tblCellMar>
        <w:tblLook w:val="01E0"/>
      </w:tblPr>
      <w:tblGrid>
        <w:gridCol w:w="4141"/>
        <w:gridCol w:w="4055"/>
      </w:tblGrid>
      <w:tr>
        <w:trPr>
          <w:trHeight w:val="11268" w:hRule="exact"/>
        </w:trPr>
        <w:tc>
          <w:tcPr>
            <w:tcW w:w="4141" w:type="dxa"/>
            <w:tcBorders>
              <w:top w:val="single" w:sz="6" w:space="0" w:color="000000"/>
              <w:left w:val="single" w:sz="6" w:space="0" w:color="000000"/>
              <w:bottom w:val="single" w:sz="6" w:space="0" w:color="000000"/>
              <w:right w:val="single" w:sz="6" w:space="0" w:color="000000"/>
            </w:tcBorders>
          </w:tcPr>
          <w:p>
            <w:pPr>
              <w:pStyle w:val="TableParagraph"/>
              <w:spacing w:line="405" w:lineRule="auto" w:before="95"/>
              <w:ind w:left="2" w:right="-17"/>
              <w:jc w:val="left"/>
              <w:rPr>
                <w:rFonts w:ascii="宋体" w:hAnsi="宋体" w:cs="宋体" w:eastAsia="宋体" w:hint="default"/>
                <w:sz w:val="28"/>
                <w:szCs w:val="28"/>
              </w:rPr>
            </w:pPr>
            <w:r>
              <w:rPr>
                <w:rFonts w:ascii="宋体" w:hAnsi="宋体" w:cs="宋体" w:eastAsia="宋体" w:hint="default"/>
                <w:sz w:val="28"/>
                <w:szCs w:val="28"/>
              </w:rPr>
              <w:t>式下按照道具消耗金额确认收入</w:t>
            </w:r>
            <w:r>
              <w:rPr>
                <w:rFonts w:ascii="Times New Roman" w:hAnsi="Times New Roman" w:cs="Times New Roman" w:eastAsia="Times New Roman" w:hint="default"/>
                <w:sz w:val="28"/>
                <w:szCs w:val="28"/>
              </w:rPr>
              <w:t>;</w:t>
            </w:r>
            <w:r>
              <w:rPr>
                <w:rFonts w:ascii="Times New Roman" w:hAnsi="Times New Roman" w:cs="Times New Roman" w:eastAsia="Times New Roman" w:hint="default"/>
                <w:w w:val="99"/>
                <w:sz w:val="28"/>
                <w:szCs w:val="28"/>
              </w:rPr>
              <w:t> </w:t>
            </w:r>
            <w:r>
              <w:rPr>
                <w:rFonts w:ascii="宋体" w:hAnsi="宋体" w:cs="宋体" w:eastAsia="宋体" w:hint="default"/>
                <w:spacing w:val="-4"/>
                <w:sz w:val="28"/>
                <w:szCs w:val="28"/>
              </w:rPr>
              <w:t>在转授权运营模式下按照净额法，</w:t>
            </w:r>
            <w:r>
              <w:rPr>
                <w:rFonts w:ascii="宋体" w:hAnsi="宋体" w:cs="宋体" w:eastAsia="宋体" w:hint="default"/>
                <w:spacing w:val="-56"/>
                <w:w w:val="99"/>
                <w:sz w:val="28"/>
                <w:szCs w:val="28"/>
              </w:rPr>
              <w:t> </w:t>
            </w:r>
            <w:r>
              <w:rPr>
                <w:rFonts w:ascii="宋体" w:hAnsi="宋体" w:cs="宋体" w:eastAsia="宋体" w:hint="default"/>
                <w:sz w:val="28"/>
                <w:szCs w:val="28"/>
              </w:rPr>
              <w:t>即合作运营方支付的分成款项扣</w:t>
            </w:r>
            <w:r>
              <w:rPr>
                <w:rFonts w:ascii="宋体" w:hAnsi="宋体" w:cs="宋体" w:eastAsia="宋体" w:hint="default"/>
                <w:w w:val="99"/>
                <w:sz w:val="28"/>
                <w:szCs w:val="28"/>
              </w:rPr>
              <w:t> </w:t>
            </w:r>
            <w:r>
              <w:rPr>
                <w:rFonts w:ascii="宋体" w:hAnsi="宋体" w:cs="宋体" w:eastAsia="宋体" w:hint="default"/>
                <w:sz w:val="28"/>
                <w:szCs w:val="28"/>
              </w:rPr>
              <w:t>除应付研发方分成后的净额确认</w:t>
            </w:r>
            <w:r>
              <w:rPr>
                <w:rFonts w:ascii="宋体" w:hAnsi="宋体" w:cs="宋体" w:eastAsia="宋体" w:hint="default"/>
                <w:w w:val="99"/>
                <w:sz w:val="28"/>
                <w:szCs w:val="28"/>
              </w:rPr>
              <w:t> </w:t>
            </w:r>
            <w:r>
              <w:rPr>
                <w:rFonts w:ascii="宋体" w:hAnsi="宋体" w:cs="宋体" w:eastAsia="宋体" w:hint="default"/>
                <w:sz w:val="28"/>
                <w:szCs w:val="28"/>
              </w:rPr>
              <w:t>收入</w:t>
            </w:r>
            <w:r>
              <w:rPr>
                <w:rFonts w:ascii="Times New Roman" w:hAnsi="Times New Roman" w:cs="Times New Roman" w:eastAsia="Times New Roman" w:hint="default"/>
                <w:sz w:val="28"/>
                <w:szCs w:val="28"/>
              </w:rPr>
              <w:t>;</w:t>
            </w:r>
            <w:r>
              <w:rPr>
                <w:rFonts w:ascii="Times New Roman" w:hAnsi="Times New Roman" w:cs="Times New Roman" w:eastAsia="Times New Roman" w:hint="default"/>
                <w:spacing w:val="11"/>
                <w:sz w:val="28"/>
                <w:szCs w:val="28"/>
              </w:rPr>
              <w:t> </w:t>
            </w:r>
            <w:r>
              <w:rPr>
                <w:rFonts w:ascii="宋体" w:hAnsi="宋体" w:cs="宋体" w:eastAsia="宋体" w:hint="default"/>
                <w:sz w:val="28"/>
                <w:szCs w:val="28"/>
              </w:rPr>
              <w:t>在代理运营模式下按照总额</w:t>
            </w:r>
            <w:r>
              <w:rPr>
                <w:rFonts w:ascii="宋体" w:hAnsi="宋体" w:cs="宋体" w:eastAsia="宋体" w:hint="default"/>
                <w:w w:val="99"/>
                <w:sz w:val="28"/>
                <w:szCs w:val="28"/>
              </w:rPr>
              <w:t> </w:t>
            </w:r>
            <w:r>
              <w:rPr>
                <w:rFonts w:ascii="宋体" w:hAnsi="宋体" w:cs="宋体" w:eastAsia="宋体" w:hint="default"/>
                <w:spacing w:val="-6"/>
                <w:sz w:val="28"/>
                <w:szCs w:val="28"/>
              </w:rPr>
              <w:t>法，采用基于用户生命周期的收入</w:t>
            </w:r>
            <w:r>
              <w:rPr>
                <w:rFonts w:ascii="宋体" w:hAnsi="宋体" w:cs="宋体" w:eastAsia="宋体" w:hint="default"/>
                <w:spacing w:val="-138"/>
                <w:sz w:val="28"/>
                <w:szCs w:val="28"/>
              </w:rPr>
              <w:t> </w:t>
            </w:r>
            <w:r>
              <w:rPr>
                <w:rFonts w:ascii="宋体" w:hAnsi="宋体" w:cs="宋体" w:eastAsia="宋体" w:hint="default"/>
                <w:spacing w:val="-138"/>
                <w:sz w:val="28"/>
                <w:szCs w:val="28"/>
              </w:rPr>
            </w:r>
            <w:r>
              <w:rPr>
                <w:rFonts w:ascii="宋体" w:hAnsi="宋体" w:cs="宋体" w:eastAsia="宋体" w:hint="default"/>
                <w:spacing w:val="-6"/>
                <w:sz w:val="28"/>
                <w:szCs w:val="28"/>
              </w:rPr>
              <w:t>确认模型，将用户兑换游戏币的金</w:t>
            </w:r>
            <w:r>
              <w:rPr>
                <w:rFonts w:ascii="宋体" w:hAnsi="宋体" w:cs="宋体" w:eastAsia="宋体" w:hint="default"/>
                <w:spacing w:val="-138"/>
                <w:sz w:val="28"/>
                <w:szCs w:val="28"/>
              </w:rPr>
              <w:t> </w:t>
            </w:r>
            <w:r>
              <w:rPr>
                <w:rFonts w:ascii="宋体" w:hAnsi="宋体" w:cs="宋体" w:eastAsia="宋体" w:hint="default"/>
                <w:spacing w:val="-138"/>
                <w:sz w:val="28"/>
                <w:szCs w:val="28"/>
              </w:rPr>
            </w:r>
            <w:r>
              <w:rPr>
                <w:rFonts w:ascii="宋体" w:hAnsi="宋体" w:cs="宋体" w:eastAsia="宋体" w:hint="default"/>
                <w:sz w:val="28"/>
                <w:szCs w:val="28"/>
              </w:rPr>
              <w:t>额按照用户生命周期分摊确认收</w:t>
            </w:r>
            <w:r>
              <w:rPr>
                <w:rFonts w:ascii="宋体" w:hAnsi="宋体" w:cs="宋体" w:eastAsia="宋体" w:hint="default"/>
                <w:w w:val="99"/>
                <w:sz w:val="28"/>
                <w:szCs w:val="28"/>
              </w:rPr>
              <w:t> </w:t>
            </w:r>
            <w:r>
              <w:rPr>
                <w:rFonts w:ascii="宋体" w:hAnsi="宋体" w:cs="宋体" w:eastAsia="宋体" w:hint="default"/>
                <w:spacing w:val="-6"/>
                <w:sz w:val="28"/>
                <w:szCs w:val="28"/>
              </w:rPr>
              <w:t>入。自主运营及代理运营模式下收</w:t>
            </w:r>
            <w:r>
              <w:rPr>
                <w:rFonts w:ascii="宋体" w:hAnsi="宋体" w:cs="宋体" w:eastAsia="宋体" w:hint="default"/>
                <w:spacing w:val="-138"/>
                <w:sz w:val="28"/>
                <w:szCs w:val="28"/>
              </w:rPr>
              <w:t> </w:t>
            </w:r>
            <w:r>
              <w:rPr>
                <w:rFonts w:ascii="宋体" w:hAnsi="宋体" w:cs="宋体" w:eastAsia="宋体" w:hint="default"/>
                <w:spacing w:val="-138"/>
                <w:sz w:val="28"/>
                <w:szCs w:val="28"/>
              </w:rPr>
            </w:r>
            <w:r>
              <w:rPr>
                <w:rFonts w:ascii="宋体" w:hAnsi="宋体" w:cs="宋体" w:eastAsia="宋体" w:hint="default"/>
                <w:spacing w:val="-6"/>
                <w:sz w:val="28"/>
                <w:szCs w:val="28"/>
              </w:rPr>
              <w:t>入主要来源于虚拟道具的销售，相</w:t>
            </w:r>
            <w:r>
              <w:rPr>
                <w:rFonts w:ascii="宋体" w:hAnsi="宋体" w:cs="宋体" w:eastAsia="宋体" w:hint="default"/>
                <w:spacing w:val="-138"/>
                <w:sz w:val="28"/>
                <w:szCs w:val="28"/>
              </w:rPr>
              <w:t> </w:t>
            </w:r>
            <w:r>
              <w:rPr>
                <w:rFonts w:ascii="宋体" w:hAnsi="宋体" w:cs="宋体" w:eastAsia="宋体" w:hint="default"/>
                <w:spacing w:val="-138"/>
                <w:sz w:val="28"/>
                <w:szCs w:val="28"/>
              </w:rPr>
            </w:r>
            <w:r>
              <w:rPr>
                <w:rFonts w:ascii="宋体" w:hAnsi="宋体" w:cs="宋体" w:eastAsia="宋体" w:hint="default"/>
                <w:sz w:val="28"/>
                <w:szCs w:val="28"/>
              </w:rPr>
              <w:t>关收入的确认依赖于游戏玩家登</w:t>
            </w:r>
            <w:r>
              <w:rPr>
                <w:rFonts w:ascii="宋体" w:hAnsi="宋体" w:cs="宋体" w:eastAsia="宋体" w:hint="default"/>
                <w:w w:val="99"/>
                <w:sz w:val="28"/>
                <w:szCs w:val="28"/>
              </w:rPr>
              <w:t> </w:t>
            </w:r>
            <w:r>
              <w:rPr>
                <w:rFonts w:ascii="宋体" w:hAnsi="宋体" w:cs="宋体" w:eastAsia="宋体" w:hint="default"/>
                <w:spacing w:val="-6"/>
                <w:sz w:val="28"/>
                <w:szCs w:val="28"/>
              </w:rPr>
              <w:t>录信息及充值的真实性、系统记录</w:t>
            </w:r>
            <w:r>
              <w:rPr>
                <w:rFonts w:ascii="宋体" w:hAnsi="宋体" w:cs="宋体" w:eastAsia="宋体" w:hint="default"/>
                <w:spacing w:val="-136"/>
                <w:sz w:val="28"/>
                <w:szCs w:val="28"/>
              </w:rPr>
              <w:t> </w:t>
            </w:r>
            <w:r>
              <w:rPr>
                <w:rFonts w:ascii="宋体" w:hAnsi="宋体" w:cs="宋体" w:eastAsia="宋体" w:hint="default"/>
                <w:spacing w:val="-136"/>
                <w:sz w:val="28"/>
                <w:szCs w:val="28"/>
              </w:rPr>
            </w:r>
            <w:r>
              <w:rPr>
                <w:rFonts w:ascii="宋体" w:hAnsi="宋体" w:cs="宋体" w:eastAsia="宋体" w:hint="default"/>
                <w:sz w:val="28"/>
                <w:szCs w:val="28"/>
              </w:rPr>
              <w:t>的虚拟道具数据准确性以及对道</w:t>
            </w:r>
            <w:r>
              <w:rPr>
                <w:rFonts w:ascii="宋体" w:hAnsi="宋体" w:cs="宋体" w:eastAsia="宋体" w:hint="default"/>
                <w:w w:val="99"/>
                <w:sz w:val="28"/>
                <w:szCs w:val="28"/>
              </w:rPr>
              <w:t> </w:t>
            </w:r>
            <w:r>
              <w:rPr>
                <w:rFonts w:ascii="宋体" w:hAnsi="宋体" w:cs="宋体" w:eastAsia="宋体" w:hint="default"/>
                <w:spacing w:val="-6"/>
                <w:sz w:val="28"/>
                <w:szCs w:val="28"/>
              </w:rPr>
              <w:t>具类型的判断，使得收入存在可能</w:t>
            </w:r>
            <w:r>
              <w:rPr>
                <w:rFonts w:ascii="宋体" w:hAnsi="宋体" w:cs="宋体" w:eastAsia="宋体" w:hint="default"/>
                <w:spacing w:val="-137"/>
                <w:sz w:val="28"/>
                <w:szCs w:val="28"/>
              </w:rPr>
              <w:t> </w:t>
            </w:r>
            <w:r>
              <w:rPr>
                <w:rFonts w:ascii="宋体" w:hAnsi="宋体" w:cs="宋体" w:eastAsia="宋体" w:hint="default"/>
                <w:spacing w:val="-137"/>
                <w:sz w:val="28"/>
                <w:szCs w:val="28"/>
              </w:rPr>
            </w:r>
            <w:r>
              <w:rPr>
                <w:rFonts w:ascii="宋体" w:hAnsi="宋体" w:cs="宋体" w:eastAsia="宋体" w:hint="default"/>
                <w:sz w:val="28"/>
                <w:szCs w:val="28"/>
              </w:rPr>
              <w:t>被确认于不正确的期间或被操控</w:t>
            </w:r>
            <w:r>
              <w:rPr>
                <w:rFonts w:ascii="宋体" w:hAnsi="宋体" w:cs="宋体" w:eastAsia="宋体" w:hint="default"/>
                <w:w w:val="99"/>
                <w:sz w:val="28"/>
                <w:szCs w:val="28"/>
              </w:rPr>
              <w:t> </w:t>
            </w:r>
            <w:r>
              <w:rPr>
                <w:rFonts w:ascii="宋体" w:hAnsi="宋体" w:cs="宋体" w:eastAsia="宋体" w:hint="default"/>
                <w:sz w:val="28"/>
                <w:szCs w:val="28"/>
              </w:rPr>
              <w:t>以达到目标或预期水平的固有风</w:t>
            </w:r>
            <w:r>
              <w:rPr>
                <w:rFonts w:ascii="宋体" w:hAnsi="宋体" w:cs="宋体" w:eastAsia="宋体" w:hint="default"/>
                <w:w w:val="99"/>
                <w:sz w:val="28"/>
                <w:szCs w:val="28"/>
              </w:rPr>
              <w:t> </w:t>
            </w:r>
            <w:r>
              <w:rPr>
                <w:rFonts w:ascii="宋体" w:hAnsi="宋体" w:cs="宋体" w:eastAsia="宋体" w:hint="default"/>
                <w:spacing w:val="-6"/>
                <w:sz w:val="28"/>
                <w:szCs w:val="28"/>
              </w:rPr>
              <w:t>险，我们将贵公司收入确认识别为</w:t>
            </w:r>
          </w:p>
          <w:p>
            <w:pPr>
              <w:pStyle w:val="TableParagraph"/>
              <w:spacing w:line="240" w:lineRule="auto" w:before="64"/>
              <w:ind w:left="2" w:right="0"/>
              <w:jc w:val="left"/>
              <w:rPr>
                <w:rFonts w:ascii="宋体" w:hAnsi="宋体" w:cs="宋体" w:eastAsia="宋体" w:hint="default"/>
                <w:sz w:val="28"/>
                <w:szCs w:val="28"/>
              </w:rPr>
            </w:pPr>
            <w:r>
              <w:rPr>
                <w:rFonts w:ascii="宋体" w:hAnsi="宋体" w:cs="宋体" w:eastAsia="宋体" w:hint="default"/>
                <w:sz w:val="28"/>
                <w:szCs w:val="28"/>
              </w:rPr>
              <w:t>关键审计事项。</w:t>
            </w:r>
          </w:p>
        </w:tc>
        <w:tc>
          <w:tcPr>
            <w:tcW w:w="4055" w:type="dxa"/>
            <w:tcBorders>
              <w:top w:val="single" w:sz="6" w:space="0" w:color="000000"/>
              <w:left w:val="single" w:sz="6" w:space="0" w:color="000000"/>
              <w:bottom w:val="single" w:sz="6" w:space="0" w:color="000000"/>
              <w:right w:val="single" w:sz="6" w:space="0" w:color="000000"/>
            </w:tcBorders>
          </w:tcPr>
          <w:p>
            <w:pPr>
              <w:pStyle w:val="TableParagraph"/>
              <w:spacing w:line="403" w:lineRule="auto" w:before="95"/>
              <w:ind w:left="2" w:right="3"/>
              <w:jc w:val="left"/>
              <w:rPr>
                <w:rFonts w:ascii="宋体" w:hAnsi="宋体" w:cs="宋体" w:eastAsia="宋体" w:hint="default"/>
                <w:sz w:val="28"/>
                <w:szCs w:val="28"/>
              </w:rPr>
            </w:pPr>
            <w:r>
              <w:rPr>
                <w:rFonts w:ascii="宋体" w:hAnsi="宋体" w:cs="宋体" w:eastAsia="宋体" w:hint="default"/>
                <w:sz w:val="28"/>
                <w:szCs w:val="28"/>
              </w:rPr>
              <w:t>收益方面的监督，检查管理层审</w:t>
            </w:r>
            <w:r>
              <w:rPr>
                <w:rFonts w:ascii="宋体" w:hAnsi="宋体" w:cs="宋体" w:eastAsia="宋体" w:hint="default"/>
                <w:w w:val="99"/>
                <w:sz w:val="28"/>
                <w:szCs w:val="28"/>
              </w:rPr>
              <w:t> </w:t>
            </w:r>
            <w:r>
              <w:rPr>
                <w:rFonts w:ascii="宋体" w:hAnsi="宋体" w:cs="宋体" w:eastAsia="宋体" w:hint="default"/>
                <w:sz w:val="28"/>
                <w:szCs w:val="28"/>
              </w:rPr>
              <w:t>核的凭证，检查玩家生命周期计</w:t>
            </w:r>
            <w:r>
              <w:rPr>
                <w:rFonts w:ascii="宋体" w:hAnsi="宋体" w:cs="宋体" w:eastAsia="宋体" w:hint="default"/>
                <w:w w:val="99"/>
                <w:sz w:val="28"/>
                <w:szCs w:val="28"/>
              </w:rPr>
              <w:t> </w:t>
            </w:r>
            <w:r>
              <w:rPr>
                <w:rFonts w:ascii="宋体" w:hAnsi="宋体" w:cs="宋体" w:eastAsia="宋体" w:hint="default"/>
                <w:sz w:val="28"/>
                <w:szCs w:val="28"/>
              </w:rPr>
              <w:t>算逻辑；</w:t>
            </w:r>
            <w:r>
              <w:rPr>
                <w:rFonts w:ascii="宋体" w:hAnsi="宋体" w:cs="宋体" w:eastAsia="宋体" w:hint="default"/>
                <w:w w:val="99"/>
                <w:sz w:val="28"/>
                <w:szCs w:val="28"/>
              </w:rPr>
              <w:t> </w:t>
            </w:r>
            <w:r>
              <w:rPr>
                <w:rFonts w:ascii="Times New Roman" w:hAnsi="Times New Roman" w:cs="Times New Roman" w:eastAsia="Times New Roman" w:hint="default"/>
                <w:spacing w:val="-4"/>
                <w:sz w:val="28"/>
                <w:szCs w:val="28"/>
              </w:rPr>
              <w:t>B</w:t>
            </w:r>
            <w:r>
              <w:rPr>
                <w:rFonts w:ascii="宋体" w:hAnsi="宋体" w:cs="宋体" w:eastAsia="宋体" w:hint="default"/>
                <w:spacing w:val="-4"/>
                <w:sz w:val="28"/>
                <w:szCs w:val="28"/>
              </w:rPr>
              <w:t>、对信息系统进行</w:t>
            </w:r>
            <w:r>
              <w:rPr>
                <w:rFonts w:ascii="Times New Roman" w:hAnsi="Times New Roman" w:cs="Times New Roman" w:eastAsia="Times New Roman" w:hint="default"/>
                <w:spacing w:val="-4"/>
                <w:sz w:val="28"/>
                <w:szCs w:val="28"/>
              </w:rPr>
              <w:t>IT</w:t>
            </w:r>
            <w:r>
              <w:rPr>
                <w:rFonts w:ascii="宋体" w:hAnsi="宋体" w:cs="宋体" w:eastAsia="宋体" w:hint="default"/>
                <w:spacing w:val="-4"/>
                <w:sz w:val="28"/>
                <w:szCs w:val="28"/>
              </w:rPr>
              <w:t>测试，包括</w:t>
            </w:r>
            <w:r>
              <w:rPr>
                <w:rFonts w:ascii="宋体" w:hAnsi="宋体" w:cs="宋体" w:eastAsia="宋体" w:hint="default"/>
                <w:w w:val="99"/>
                <w:sz w:val="28"/>
                <w:szCs w:val="28"/>
              </w:rPr>
              <w:t> </w:t>
            </w:r>
            <w:r>
              <w:rPr>
                <w:rFonts w:ascii="宋体" w:hAnsi="宋体" w:cs="宋体" w:eastAsia="宋体" w:hint="default"/>
                <w:sz w:val="28"/>
                <w:szCs w:val="28"/>
              </w:rPr>
              <w:t>测试玩家充值金额记录的准确</w:t>
            </w:r>
            <w:r>
              <w:rPr>
                <w:rFonts w:ascii="宋体" w:hAnsi="宋体" w:cs="宋体" w:eastAsia="宋体" w:hint="default"/>
                <w:w w:val="99"/>
                <w:sz w:val="28"/>
                <w:szCs w:val="28"/>
              </w:rPr>
              <w:t> </w:t>
            </w:r>
            <w:r>
              <w:rPr>
                <w:rFonts w:ascii="宋体" w:hAnsi="宋体" w:cs="宋体" w:eastAsia="宋体" w:hint="default"/>
                <w:sz w:val="28"/>
                <w:szCs w:val="28"/>
              </w:rPr>
              <w:t>性，验证玩家购买及消耗道具数</w:t>
            </w:r>
            <w:r>
              <w:rPr>
                <w:rFonts w:ascii="宋体" w:hAnsi="宋体" w:cs="宋体" w:eastAsia="宋体" w:hint="default"/>
                <w:w w:val="99"/>
                <w:sz w:val="28"/>
                <w:szCs w:val="28"/>
              </w:rPr>
              <w:t> </w:t>
            </w:r>
            <w:r>
              <w:rPr>
                <w:rFonts w:ascii="宋体" w:hAnsi="宋体" w:cs="宋体" w:eastAsia="宋体" w:hint="default"/>
                <w:sz w:val="28"/>
                <w:szCs w:val="28"/>
              </w:rPr>
              <w:t>据的准确性，验证玩家注册和登</w:t>
            </w:r>
            <w:r>
              <w:rPr>
                <w:rFonts w:ascii="宋体" w:hAnsi="宋体" w:cs="宋体" w:eastAsia="宋体" w:hint="default"/>
                <w:w w:val="99"/>
                <w:sz w:val="28"/>
                <w:szCs w:val="28"/>
              </w:rPr>
              <w:t> </w:t>
            </w:r>
            <w:r>
              <w:rPr>
                <w:rFonts w:ascii="宋体" w:hAnsi="宋体" w:cs="宋体" w:eastAsia="宋体" w:hint="default"/>
                <w:sz w:val="28"/>
                <w:szCs w:val="28"/>
              </w:rPr>
              <w:t>录信息并测算用户生命周期；</w:t>
            </w:r>
            <w:r>
              <w:rPr>
                <w:rFonts w:ascii="宋体" w:hAnsi="宋体" w:cs="宋体" w:eastAsia="宋体" w:hint="default"/>
                <w:w w:val="99"/>
                <w:sz w:val="28"/>
                <w:szCs w:val="28"/>
              </w:rPr>
              <w:t> </w:t>
            </w:r>
            <w:r>
              <w:rPr>
                <w:rFonts w:ascii="Times New Roman" w:hAnsi="Times New Roman" w:cs="Times New Roman" w:eastAsia="Times New Roman" w:hint="default"/>
                <w:spacing w:val="-5"/>
                <w:sz w:val="28"/>
                <w:szCs w:val="28"/>
              </w:rPr>
              <w:t>C</w:t>
            </w:r>
            <w:r>
              <w:rPr>
                <w:rFonts w:ascii="宋体" w:hAnsi="宋体" w:cs="宋体" w:eastAsia="宋体" w:hint="default"/>
                <w:spacing w:val="-5"/>
                <w:sz w:val="28"/>
                <w:szCs w:val="28"/>
              </w:rPr>
              <w:t>、我们审核了系统记录的充值数</w:t>
            </w:r>
            <w:r>
              <w:rPr>
                <w:rFonts w:ascii="宋体" w:hAnsi="宋体" w:cs="宋体" w:eastAsia="宋体" w:hint="default"/>
                <w:w w:val="99"/>
                <w:sz w:val="28"/>
                <w:szCs w:val="28"/>
              </w:rPr>
              <w:t> </w:t>
            </w:r>
            <w:r>
              <w:rPr>
                <w:rFonts w:ascii="宋体" w:hAnsi="宋体" w:cs="宋体" w:eastAsia="宋体" w:hint="default"/>
                <w:sz w:val="28"/>
                <w:szCs w:val="28"/>
              </w:rPr>
              <w:t>据，并与第三方充值渠道记录数</w:t>
            </w:r>
            <w:r>
              <w:rPr>
                <w:rFonts w:ascii="宋体" w:hAnsi="宋体" w:cs="宋体" w:eastAsia="宋体" w:hint="default"/>
                <w:w w:val="99"/>
                <w:sz w:val="28"/>
                <w:szCs w:val="28"/>
              </w:rPr>
              <w:t> </w:t>
            </w:r>
            <w:r>
              <w:rPr>
                <w:rFonts w:ascii="宋体" w:hAnsi="宋体" w:cs="宋体" w:eastAsia="宋体" w:hint="default"/>
                <w:sz w:val="28"/>
                <w:szCs w:val="28"/>
              </w:rPr>
              <w:t>据及银行回款金额进行核对；</w:t>
            </w:r>
            <w:r>
              <w:rPr>
                <w:rFonts w:ascii="宋体" w:hAnsi="宋体" w:cs="宋体" w:eastAsia="宋体" w:hint="default"/>
                <w:w w:val="99"/>
                <w:sz w:val="28"/>
                <w:szCs w:val="28"/>
              </w:rPr>
              <w:t> </w:t>
            </w:r>
            <w:r>
              <w:rPr>
                <w:rFonts w:ascii="Times New Roman" w:hAnsi="Times New Roman" w:cs="Times New Roman" w:eastAsia="Times New Roman" w:hint="default"/>
                <w:spacing w:val="-6"/>
                <w:sz w:val="28"/>
                <w:szCs w:val="28"/>
              </w:rPr>
              <w:t>D</w:t>
            </w:r>
            <w:r>
              <w:rPr>
                <w:rFonts w:ascii="宋体" w:hAnsi="宋体" w:cs="宋体" w:eastAsia="宋体" w:hint="default"/>
                <w:spacing w:val="-6"/>
                <w:sz w:val="28"/>
                <w:szCs w:val="28"/>
              </w:rPr>
              <w:t>、我们重新计算了自主运营游戏</w:t>
            </w:r>
            <w:r>
              <w:rPr>
                <w:rFonts w:ascii="宋体" w:hAnsi="宋体" w:cs="宋体" w:eastAsia="宋体" w:hint="default"/>
                <w:w w:val="99"/>
                <w:sz w:val="28"/>
                <w:szCs w:val="28"/>
              </w:rPr>
              <w:t> </w:t>
            </w:r>
            <w:r>
              <w:rPr>
                <w:rFonts w:ascii="宋体" w:hAnsi="宋体" w:cs="宋体" w:eastAsia="宋体" w:hint="default"/>
                <w:sz w:val="28"/>
                <w:szCs w:val="28"/>
              </w:rPr>
              <w:t>虚拟币及虚拟道具的单价及消耗</w:t>
            </w:r>
            <w:r>
              <w:rPr>
                <w:rFonts w:ascii="宋体" w:hAnsi="宋体" w:cs="宋体" w:eastAsia="宋体" w:hint="default"/>
                <w:w w:val="99"/>
                <w:sz w:val="28"/>
                <w:szCs w:val="28"/>
              </w:rPr>
              <w:t> </w:t>
            </w:r>
            <w:r>
              <w:rPr>
                <w:rFonts w:ascii="宋体" w:hAnsi="宋体" w:cs="宋体" w:eastAsia="宋体" w:hint="default"/>
                <w:sz w:val="28"/>
                <w:szCs w:val="28"/>
              </w:rPr>
              <w:t>金额；测算了代理运营游戏收入</w:t>
            </w:r>
            <w:r>
              <w:rPr>
                <w:rFonts w:ascii="宋体" w:hAnsi="宋体" w:cs="宋体" w:eastAsia="宋体" w:hint="default"/>
                <w:w w:val="99"/>
                <w:sz w:val="28"/>
                <w:szCs w:val="28"/>
              </w:rPr>
              <w:t> </w:t>
            </w:r>
            <w:r>
              <w:rPr>
                <w:rFonts w:ascii="宋体" w:hAnsi="宋体" w:cs="宋体" w:eastAsia="宋体" w:hint="default"/>
                <w:sz w:val="28"/>
                <w:szCs w:val="28"/>
              </w:rPr>
              <w:t>按用户生命周期分摊确认金额。</w:t>
            </w:r>
          </w:p>
        </w:tc>
      </w:tr>
      <w:tr>
        <w:trPr>
          <w:trHeight w:val="659" w:hRule="exact"/>
        </w:trPr>
        <w:tc>
          <w:tcPr>
            <w:tcW w:w="819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95"/>
              <w:ind w:left="2" w:right="0"/>
              <w:jc w:val="left"/>
              <w:rPr>
                <w:rFonts w:ascii="宋体" w:hAnsi="宋体" w:cs="宋体" w:eastAsia="宋体" w:hint="default"/>
                <w:sz w:val="28"/>
                <w:szCs w:val="28"/>
              </w:rPr>
            </w:pPr>
            <w:r>
              <w:rPr>
                <w:rFonts w:ascii="宋体" w:hAnsi="宋体" w:cs="宋体" w:eastAsia="宋体" w:hint="default"/>
                <w:b/>
                <w:bCs/>
                <w:sz w:val="28"/>
                <w:szCs w:val="28"/>
              </w:rPr>
              <w:t>（二）商誉减值</w:t>
            </w:r>
            <w:r>
              <w:rPr>
                <w:rFonts w:ascii="宋体" w:hAnsi="宋体" w:cs="宋体" w:eastAsia="宋体" w:hint="default"/>
                <w:sz w:val="28"/>
                <w:szCs w:val="28"/>
              </w:rPr>
            </w:r>
          </w:p>
        </w:tc>
      </w:tr>
      <w:tr>
        <w:trPr>
          <w:trHeight w:val="1908" w:hRule="exact"/>
        </w:trPr>
        <w:tc>
          <w:tcPr>
            <w:tcW w:w="41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5"/>
              <w:ind w:left="2" w:right="0"/>
              <w:jc w:val="left"/>
              <w:rPr>
                <w:rFonts w:ascii="宋体" w:hAnsi="宋体" w:cs="宋体" w:eastAsia="宋体" w:hint="default"/>
                <w:sz w:val="28"/>
                <w:szCs w:val="28"/>
              </w:rPr>
            </w:pPr>
            <w:r>
              <w:rPr>
                <w:rFonts w:ascii="宋体" w:hAnsi="宋体" w:cs="宋体" w:eastAsia="宋体" w:hint="default"/>
                <w:spacing w:val="-6"/>
                <w:sz w:val="28"/>
                <w:szCs w:val="28"/>
              </w:rPr>
              <w:t>如合并财务报表附注五、（十）所</w:t>
            </w:r>
          </w:p>
          <w:p>
            <w:pPr>
              <w:pStyle w:val="TableParagraph"/>
              <w:spacing w:line="620" w:lineRule="atLeast" w:before="25"/>
              <w:ind w:left="2" w:right="3"/>
              <w:jc w:val="left"/>
              <w:rPr>
                <w:rFonts w:ascii="宋体" w:hAnsi="宋体" w:cs="宋体" w:eastAsia="宋体" w:hint="default"/>
                <w:sz w:val="28"/>
                <w:szCs w:val="28"/>
              </w:rPr>
            </w:pPr>
            <w:r>
              <w:rPr>
                <w:rFonts w:ascii="宋体" w:hAnsi="宋体" w:cs="宋体" w:eastAsia="宋体" w:hint="default"/>
                <w:spacing w:val="-5"/>
                <w:sz w:val="28"/>
                <w:szCs w:val="28"/>
              </w:rPr>
              <w:t>列示，截至</w:t>
            </w:r>
            <w:r>
              <w:rPr>
                <w:rFonts w:ascii="Times New Roman" w:hAnsi="Times New Roman" w:cs="Times New Roman" w:eastAsia="Times New Roman" w:hint="default"/>
                <w:spacing w:val="-5"/>
                <w:sz w:val="28"/>
                <w:szCs w:val="28"/>
              </w:rPr>
              <w:t>2017</w:t>
            </w:r>
            <w:r>
              <w:rPr>
                <w:rFonts w:ascii="宋体" w:hAnsi="宋体" w:cs="宋体" w:eastAsia="宋体" w:hint="default"/>
                <w:spacing w:val="-5"/>
                <w:sz w:val="28"/>
                <w:szCs w:val="28"/>
              </w:rPr>
              <w:t>年</w:t>
            </w:r>
            <w:r>
              <w:rPr>
                <w:rFonts w:ascii="Times New Roman" w:hAnsi="Times New Roman" w:cs="Times New Roman" w:eastAsia="Times New Roman" w:hint="default"/>
                <w:spacing w:val="-5"/>
                <w:sz w:val="28"/>
                <w:szCs w:val="28"/>
              </w:rPr>
              <w:t>12</w:t>
            </w:r>
            <w:r>
              <w:rPr>
                <w:rFonts w:ascii="宋体" w:hAnsi="宋体" w:cs="宋体" w:eastAsia="宋体" w:hint="default"/>
                <w:spacing w:val="-5"/>
                <w:sz w:val="28"/>
                <w:szCs w:val="28"/>
              </w:rPr>
              <w:t>月</w:t>
            </w:r>
            <w:r>
              <w:rPr>
                <w:rFonts w:ascii="Times New Roman" w:hAnsi="Times New Roman" w:cs="Times New Roman" w:eastAsia="Times New Roman" w:hint="default"/>
                <w:spacing w:val="-5"/>
                <w:sz w:val="28"/>
                <w:szCs w:val="28"/>
              </w:rPr>
              <w:t>31</w:t>
            </w:r>
            <w:r>
              <w:rPr>
                <w:rFonts w:ascii="宋体" w:hAnsi="宋体" w:cs="宋体" w:eastAsia="宋体" w:hint="default"/>
                <w:spacing w:val="-5"/>
                <w:sz w:val="28"/>
                <w:szCs w:val="28"/>
              </w:rPr>
              <w:t>日，贵公</w:t>
            </w:r>
            <w:r>
              <w:rPr>
                <w:rFonts w:ascii="宋体" w:hAnsi="宋体" w:cs="宋体" w:eastAsia="宋体" w:hint="default"/>
                <w:spacing w:val="-135"/>
                <w:sz w:val="28"/>
                <w:szCs w:val="28"/>
              </w:rPr>
              <w:t> </w:t>
            </w:r>
            <w:r>
              <w:rPr>
                <w:rFonts w:ascii="宋体" w:hAnsi="宋体" w:cs="宋体" w:eastAsia="宋体" w:hint="default"/>
                <w:spacing w:val="-135"/>
                <w:sz w:val="28"/>
                <w:szCs w:val="28"/>
              </w:rPr>
            </w:r>
            <w:r>
              <w:rPr>
                <w:rFonts w:ascii="宋体" w:hAnsi="宋体" w:cs="宋体" w:eastAsia="宋体" w:hint="default"/>
                <w:sz w:val="28"/>
                <w:szCs w:val="28"/>
              </w:rPr>
              <w:t>司商誉账面原值</w:t>
            </w:r>
            <w:r>
              <w:rPr>
                <w:rFonts w:ascii="Times New Roman" w:hAnsi="Times New Roman" w:cs="Times New Roman" w:eastAsia="Times New Roman" w:hint="default"/>
                <w:sz w:val="28"/>
                <w:szCs w:val="28"/>
              </w:rPr>
              <w:t>15.43</w:t>
            </w:r>
            <w:r>
              <w:rPr>
                <w:rFonts w:ascii="宋体" w:hAnsi="宋体" w:cs="宋体" w:eastAsia="宋体" w:hint="default"/>
                <w:sz w:val="28"/>
                <w:szCs w:val="28"/>
              </w:rPr>
              <w:t>亿元，相应</w:t>
            </w:r>
          </w:p>
        </w:tc>
        <w:tc>
          <w:tcPr>
            <w:tcW w:w="4055" w:type="dxa"/>
            <w:tcBorders>
              <w:top w:val="single" w:sz="6" w:space="0" w:color="000000"/>
              <w:left w:val="single" w:sz="6" w:space="0" w:color="000000"/>
              <w:bottom w:val="single" w:sz="6" w:space="0" w:color="000000"/>
              <w:right w:val="single" w:sz="6" w:space="0" w:color="000000"/>
            </w:tcBorders>
          </w:tcPr>
          <w:p>
            <w:pPr>
              <w:pStyle w:val="TableParagraph"/>
              <w:spacing w:line="408" w:lineRule="auto" w:before="95"/>
              <w:ind w:left="2" w:right="4"/>
              <w:jc w:val="left"/>
              <w:rPr>
                <w:rFonts w:ascii="宋体" w:hAnsi="宋体" w:cs="宋体" w:eastAsia="宋体" w:hint="default"/>
                <w:sz w:val="28"/>
                <w:szCs w:val="28"/>
              </w:rPr>
            </w:pPr>
            <w:r>
              <w:rPr>
                <w:rFonts w:ascii="宋体" w:hAnsi="宋体" w:cs="宋体" w:eastAsia="宋体" w:hint="default"/>
                <w:sz w:val="28"/>
                <w:szCs w:val="28"/>
              </w:rPr>
              <w:t>我们对商誉的减值测试与计量执</w:t>
            </w:r>
            <w:r>
              <w:rPr>
                <w:rFonts w:ascii="宋体" w:hAnsi="宋体" w:cs="宋体" w:eastAsia="宋体" w:hint="default"/>
                <w:w w:val="99"/>
                <w:sz w:val="28"/>
                <w:szCs w:val="28"/>
              </w:rPr>
              <w:t> </w:t>
            </w:r>
            <w:r>
              <w:rPr>
                <w:rFonts w:ascii="宋体" w:hAnsi="宋体" w:cs="宋体" w:eastAsia="宋体" w:hint="default"/>
                <w:sz w:val="28"/>
                <w:szCs w:val="28"/>
              </w:rPr>
              <w:t>行的审计程序包括：</w:t>
            </w:r>
          </w:p>
          <w:p>
            <w:pPr>
              <w:pStyle w:val="TableParagraph"/>
              <w:spacing w:line="240" w:lineRule="auto" w:before="61"/>
              <w:ind w:left="2" w:right="0"/>
              <w:jc w:val="left"/>
              <w:rPr>
                <w:rFonts w:ascii="宋体" w:hAnsi="宋体" w:cs="宋体" w:eastAsia="宋体" w:hint="default"/>
                <w:sz w:val="28"/>
                <w:szCs w:val="28"/>
              </w:rPr>
            </w:pPr>
            <w:r>
              <w:rPr>
                <w:rFonts w:ascii="Times New Roman" w:hAnsi="Times New Roman" w:cs="Times New Roman" w:eastAsia="Times New Roman" w:hint="default"/>
                <w:spacing w:val="-6"/>
                <w:sz w:val="28"/>
                <w:szCs w:val="28"/>
              </w:rPr>
              <w:t>A</w:t>
            </w:r>
            <w:r>
              <w:rPr>
                <w:rFonts w:ascii="宋体" w:hAnsi="宋体" w:cs="宋体" w:eastAsia="宋体" w:hint="default"/>
                <w:spacing w:val="-6"/>
                <w:sz w:val="28"/>
                <w:szCs w:val="28"/>
              </w:rPr>
              <w:t>、了解贵公司商誉减值测试的控</w:t>
            </w:r>
          </w:p>
        </w:tc>
      </w:tr>
    </w:tbl>
    <w:p>
      <w:pPr>
        <w:spacing w:after="0" w:line="240" w:lineRule="auto"/>
        <w:jc w:val="left"/>
        <w:rPr>
          <w:rFonts w:ascii="宋体" w:hAnsi="宋体" w:cs="宋体" w:eastAsia="宋体" w:hint="default"/>
          <w:sz w:val="28"/>
          <w:szCs w:val="2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6" w:type="dxa"/>
        <w:tblLayout w:type="fixed"/>
        <w:tblCellMar>
          <w:top w:w="0" w:type="dxa"/>
          <w:left w:w="0" w:type="dxa"/>
          <w:bottom w:w="0" w:type="dxa"/>
          <w:right w:w="0" w:type="dxa"/>
        </w:tblCellMar>
        <w:tblLook w:val="01E0"/>
      </w:tblPr>
      <w:tblGrid>
        <w:gridCol w:w="4141"/>
        <w:gridCol w:w="4055"/>
      </w:tblGrid>
      <w:tr>
        <w:trPr>
          <w:trHeight w:val="7524" w:hRule="exact"/>
        </w:trPr>
        <w:tc>
          <w:tcPr>
            <w:tcW w:w="4141" w:type="dxa"/>
            <w:tcBorders>
              <w:top w:val="single" w:sz="6" w:space="0" w:color="000000"/>
              <w:left w:val="single" w:sz="6" w:space="0" w:color="000000"/>
              <w:bottom w:val="single" w:sz="6" w:space="0" w:color="000000"/>
              <w:right w:val="single" w:sz="6" w:space="0" w:color="000000"/>
            </w:tcBorders>
          </w:tcPr>
          <w:p>
            <w:pPr>
              <w:pStyle w:val="TableParagraph"/>
              <w:spacing w:line="405" w:lineRule="auto" w:before="95"/>
              <w:ind w:left="2" w:right="4"/>
              <w:jc w:val="left"/>
              <w:rPr>
                <w:rFonts w:ascii="宋体" w:hAnsi="宋体" w:cs="宋体" w:eastAsia="宋体" w:hint="default"/>
                <w:sz w:val="28"/>
                <w:szCs w:val="28"/>
              </w:rPr>
            </w:pPr>
            <w:r>
              <w:rPr>
                <w:rFonts w:ascii="宋体" w:hAnsi="宋体" w:cs="宋体" w:eastAsia="宋体" w:hint="default"/>
                <w:sz w:val="28"/>
                <w:szCs w:val="28"/>
              </w:rPr>
              <w:t>的减值准备余额为</w:t>
            </w:r>
            <w:r>
              <w:rPr>
                <w:rFonts w:ascii="Times New Roman" w:hAnsi="Times New Roman" w:cs="Times New Roman" w:eastAsia="Times New Roman" w:hint="default"/>
                <w:sz w:val="28"/>
                <w:szCs w:val="28"/>
              </w:rPr>
              <w:t>0.08</w:t>
            </w:r>
            <w:r>
              <w:rPr>
                <w:rFonts w:ascii="宋体" w:hAnsi="宋体" w:cs="宋体" w:eastAsia="宋体" w:hint="default"/>
                <w:sz w:val="28"/>
                <w:szCs w:val="28"/>
              </w:rPr>
              <w:t>亿元。</w:t>
            </w:r>
            <w:r>
              <w:rPr>
                <w:rFonts w:ascii="宋体" w:hAnsi="宋体" w:cs="宋体" w:eastAsia="宋体" w:hint="default"/>
                <w:w w:val="99"/>
                <w:sz w:val="28"/>
                <w:szCs w:val="28"/>
              </w:rPr>
              <w:t> </w:t>
            </w:r>
            <w:r>
              <w:rPr>
                <w:rFonts w:ascii="宋体" w:hAnsi="宋体" w:cs="宋体" w:eastAsia="宋体" w:hint="default"/>
                <w:sz w:val="28"/>
                <w:szCs w:val="28"/>
              </w:rPr>
              <w:t>在对包含商誉的相关资产组或者</w:t>
            </w:r>
            <w:r>
              <w:rPr>
                <w:rFonts w:ascii="宋体" w:hAnsi="宋体" w:cs="宋体" w:eastAsia="宋体" w:hint="default"/>
                <w:w w:val="99"/>
                <w:sz w:val="28"/>
                <w:szCs w:val="28"/>
              </w:rPr>
              <w:t> </w:t>
            </w:r>
            <w:r>
              <w:rPr>
                <w:rFonts w:ascii="宋体" w:hAnsi="宋体" w:cs="宋体" w:eastAsia="宋体" w:hint="default"/>
                <w:spacing w:val="-6"/>
                <w:sz w:val="28"/>
                <w:szCs w:val="28"/>
              </w:rPr>
              <w:t>资产组组合进行减值测试时，要求</w:t>
            </w:r>
            <w:r>
              <w:rPr>
                <w:rFonts w:ascii="宋体" w:hAnsi="宋体" w:cs="宋体" w:eastAsia="宋体" w:hint="default"/>
                <w:spacing w:val="-138"/>
                <w:sz w:val="28"/>
                <w:szCs w:val="28"/>
              </w:rPr>
              <w:t> </w:t>
            </w:r>
            <w:r>
              <w:rPr>
                <w:rFonts w:ascii="宋体" w:hAnsi="宋体" w:cs="宋体" w:eastAsia="宋体" w:hint="default"/>
                <w:spacing w:val="-138"/>
                <w:sz w:val="28"/>
                <w:szCs w:val="28"/>
              </w:rPr>
            </w:r>
            <w:r>
              <w:rPr>
                <w:rFonts w:ascii="宋体" w:hAnsi="宋体" w:cs="宋体" w:eastAsia="宋体" w:hint="default"/>
                <w:sz w:val="28"/>
                <w:szCs w:val="28"/>
              </w:rPr>
              <w:t>贵公司估计相关资产组或者资产</w:t>
            </w:r>
            <w:r>
              <w:rPr>
                <w:rFonts w:ascii="宋体" w:hAnsi="宋体" w:cs="宋体" w:eastAsia="宋体" w:hint="default"/>
                <w:w w:val="99"/>
                <w:sz w:val="28"/>
                <w:szCs w:val="28"/>
              </w:rPr>
              <w:t> </w:t>
            </w:r>
            <w:r>
              <w:rPr>
                <w:rFonts w:ascii="宋体" w:hAnsi="宋体" w:cs="宋体" w:eastAsia="宋体" w:hint="default"/>
                <w:sz w:val="28"/>
                <w:szCs w:val="28"/>
              </w:rPr>
              <w:t>组组合未来的现金流入以及确定</w:t>
            </w:r>
            <w:r>
              <w:rPr>
                <w:rFonts w:ascii="宋体" w:hAnsi="宋体" w:cs="宋体" w:eastAsia="宋体" w:hint="default"/>
                <w:w w:val="99"/>
                <w:sz w:val="28"/>
                <w:szCs w:val="28"/>
              </w:rPr>
              <w:t> </w:t>
            </w:r>
            <w:r>
              <w:rPr>
                <w:rFonts w:ascii="宋体" w:hAnsi="宋体" w:cs="宋体" w:eastAsia="宋体" w:hint="default"/>
                <w:spacing w:val="-6"/>
                <w:sz w:val="28"/>
                <w:szCs w:val="28"/>
              </w:rPr>
              <w:t>合适的折现率计算现值。若相关资</w:t>
            </w:r>
            <w:r>
              <w:rPr>
                <w:rFonts w:ascii="宋体" w:hAnsi="宋体" w:cs="宋体" w:eastAsia="宋体" w:hint="default"/>
                <w:spacing w:val="-137"/>
                <w:sz w:val="28"/>
                <w:szCs w:val="28"/>
              </w:rPr>
              <w:t> </w:t>
            </w:r>
            <w:r>
              <w:rPr>
                <w:rFonts w:ascii="宋体" w:hAnsi="宋体" w:cs="宋体" w:eastAsia="宋体" w:hint="default"/>
                <w:spacing w:val="-137"/>
                <w:sz w:val="28"/>
                <w:szCs w:val="28"/>
              </w:rPr>
            </w:r>
            <w:r>
              <w:rPr>
                <w:rFonts w:ascii="宋体" w:hAnsi="宋体" w:cs="宋体" w:eastAsia="宋体" w:hint="default"/>
                <w:sz w:val="28"/>
                <w:szCs w:val="28"/>
              </w:rPr>
              <w:t>产组的现金流量现值低于其账面</w:t>
            </w:r>
            <w:r>
              <w:rPr>
                <w:rFonts w:ascii="宋体" w:hAnsi="宋体" w:cs="宋体" w:eastAsia="宋体" w:hint="default"/>
                <w:w w:val="99"/>
                <w:sz w:val="28"/>
                <w:szCs w:val="28"/>
              </w:rPr>
              <w:t> </w:t>
            </w:r>
            <w:r>
              <w:rPr>
                <w:rFonts w:ascii="宋体" w:hAnsi="宋体" w:cs="宋体" w:eastAsia="宋体" w:hint="default"/>
                <w:sz w:val="28"/>
                <w:szCs w:val="28"/>
              </w:rPr>
              <w:t>价值，确认商誉的减值损失。</w:t>
            </w:r>
            <w:r>
              <w:rPr>
                <w:rFonts w:ascii="宋体" w:hAnsi="宋体" w:cs="宋体" w:eastAsia="宋体" w:hint="default"/>
                <w:w w:val="99"/>
                <w:sz w:val="28"/>
                <w:szCs w:val="28"/>
              </w:rPr>
              <w:t> </w:t>
            </w:r>
            <w:r>
              <w:rPr>
                <w:rFonts w:ascii="宋体" w:hAnsi="宋体" w:cs="宋体" w:eastAsia="宋体" w:hint="default"/>
                <w:sz w:val="28"/>
                <w:szCs w:val="28"/>
              </w:rPr>
              <w:t>由于相关减值评估与测试需要管</w:t>
            </w:r>
            <w:r>
              <w:rPr>
                <w:rFonts w:ascii="宋体" w:hAnsi="宋体" w:cs="宋体" w:eastAsia="宋体" w:hint="default"/>
                <w:w w:val="99"/>
                <w:sz w:val="28"/>
                <w:szCs w:val="28"/>
              </w:rPr>
              <w:t> </w:t>
            </w:r>
            <w:r>
              <w:rPr>
                <w:rFonts w:ascii="宋体" w:hAnsi="宋体" w:cs="宋体" w:eastAsia="宋体" w:hint="default"/>
                <w:spacing w:val="-6"/>
                <w:sz w:val="28"/>
                <w:szCs w:val="28"/>
              </w:rPr>
              <w:t>理层作出重大判断，因此我们将该</w:t>
            </w:r>
            <w:r>
              <w:rPr>
                <w:rFonts w:ascii="宋体" w:hAnsi="宋体" w:cs="宋体" w:eastAsia="宋体" w:hint="default"/>
                <w:spacing w:val="-138"/>
                <w:sz w:val="28"/>
                <w:szCs w:val="28"/>
              </w:rPr>
              <w:t> </w:t>
            </w:r>
            <w:r>
              <w:rPr>
                <w:rFonts w:ascii="宋体" w:hAnsi="宋体" w:cs="宋体" w:eastAsia="宋体" w:hint="default"/>
                <w:spacing w:val="-138"/>
                <w:sz w:val="28"/>
                <w:szCs w:val="28"/>
              </w:rPr>
            </w:r>
            <w:r>
              <w:rPr>
                <w:rFonts w:ascii="宋体" w:hAnsi="宋体" w:cs="宋体" w:eastAsia="宋体" w:hint="default"/>
                <w:sz w:val="28"/>
                <w:szCs w:val="28"/>
              </w:rPr>
              <w:t>类资产的减值测试确认为重要审</w:t>
            </w:r>
          </w:p>
          <w:p>
            <w:pPr>
              <w:pStyle w:val="TableParagraph"/>
              <w:spacing w:line="240" w:lineRule="auto" w:before="64"/>
              <w:ind w:left="2" w:right="0"/>
              <w:jc w:val="left"/>
              <w:rPr>
                <w:rFonts w:ascii="宋体" w:hAnsi="宋体" w:cs="宋体" w:eastAsia="宋体" w:hint="default"/>
                <w:sz w:val="28"/>
                <w:szCs w:val="28"/>
              </w:rPr>
            </w:pPr>
            <w:r>
              <w:rPr>
                <w:rFonts w:ascii="宋体" w:hAnsi="宋体" w:cs="宋体" w:eastAsia="宋体" w:hint="default"/>
                <w:sz w:val="28"/>
                <w:szCs w:val="28"/>
              </w:rPr>
              <w:t>计领域。</w:t>
            </w:r>
          </w:p>
        </w:tc>
        <w:tc>
          <w:tcPr>
            <w:tcW w:w="4055" w:type="dxa"/>
            <w:tcBorders>
              <w:top w:val="single" w:sz="6" w:space="0" w:color="000000"/>
              <w:left w:val="single" w:sz="6" w:space="0" w:color="000000"/>
              <w:bottom w:val="single" w:sz="6" w:space="0" w:color="000000"/>
              <w:right w:val="single" w:sz="6" w:space="0" w:color="000000"/>
            </w:tcBorders>
          </w:tcPr>
          <w:p>
            <w:pPr>
              <w:pStyle w:val="TableParagraph"/>
              <w:spacing w:line="400" w:lineRule="auto" w:before="95"/>
              <w:ind w:left="2" w:right="4"/>
              <w:jc w:val="left"/>
              <w:rPr>
                <w:rFonts w:ascii="宋体" w:hAnsi="宋体" w:cs="宋体" w:eastAsia="宋体" w:hint="default"/>
                <w:sz w:val="28"/>
                <w:szCs w:val="28"/>
              </w:rPr>
            </w:pPr>
            <w:r>
              <w:rPr>
                <w:rFonts w:ascii="宋体" w:hAnsi="宋体" w:cs="宋体" w:eastAsia="宋体" w:hint="default"/>
                <w:sz w:val="28"/>
                <w:szCs w:val="28"/>
              </w:rPr>
              <w:t>制程序，包括了解贵公司划分的</w:t>
            </w:r>
            <w:r>
              <w:rPr>
                <w:rFonts w:ascii="宋体" w:hAnsi="宋体" w:cs="宋体" w:eastAsia="宋体" w:hint="default"/>
                <w:w w:val="99"/>
                <w:sz w:val="28"/>
                <w:szCs w:val="28"/>
              </w:rPr>
              <w:t> </w:t>
            </w:r>
            <w:r>
              <w:rPr>
                <w:rFonts w:ascii="宋体" w:hAnsi="宋体" w:cs="宋体" w:eastAsia="宋体" w:hint="default"/>
                <w:sz w:val="28"/>
                <w:szCs w:val="28"/>
              </w:rPr>
              <w:t>资产组及贵公司对资产组价值的</w:t>
            </w:r>
            <w:r>
              <w:rPr>
                <w:rFonts w:ascii="宋体" w:hAnsi="宋体" w:cs="宋体" w:eastAsia="宋体" w:hint="default"/>
                <w:w w:val="99"/>
                <w:sz w:val="28"/>
                <w:szCs w:val="28"/>
              </w:rPr>
              <w:t> </w:t>
            </w:r>
            <w:r>
              <w:rPr>
                <w:rFonts w:ascii="宋体" w:hAnsi="宋体" w:cs="宋体" w:eastAsia="宋体" w:hint="default"/>
                <w:sz w:val="28"/>
                <w:szCs w:val="28"/>
              </w:rPr>
              <w:t>判定；</w:t>
            </w:r>
            <w:r>
              <w:rPr>
                <w:rFonts w:ascii="宋体" w:hAnsi="宋体" w:cs="宋体" w:eastAsia="宋体" w:hint="default"/>
                <w:w w:val="99"/>
                <w:sz w:val="28"/>
                <w:szCs w:val="28"/>
              </w:rPr>
              <w:t> </w:t>
            </w:r>
            <w:r>
              <w:rPr>
                <w:rFonts w:ascii="Times New Roman" w:hAnsi="Times New Roman" w:cs="Times New Roman" w:eastAsia="Times New Roman" w:hint="default"/>
                <w:sz w:val="28"/>
                <w:szCs w:val="28"/>
              </w:rPr>
              <w:t>B</w:t>
            </w:r>
            <w:r>
              <w:rPr>
                <w:rFonts w:ascii="宋体" w:hAnsi="宋体" w:cs="宋体" w:eastAsia="宋体" w:hint="default"/>
                <w:sz w:val="28"/>
                <w:szCs w:val="28"/>
              </w:rPr>
              <w:t>、评估商誉减值测试的估值方</w:t>
            </w:r>
            <w:r>
              <w:rPr>
                <w:rFonts w:ascii="宋体" w:hAnsi="宋体" w:cs="宋体" w:eastAsia="宋体" w:hint="default"/>
                <w:w w:val="99"/>
                <w:sz w:val="28"/>
                <w:szCs w:val="28"/>
              </w:rPr>
              <w:t> </w:t>
            </w:r>
            <w:r>
              <w:rPr>
                <w:rFonts w:ascii="宋体" w:hAnsi="宋体" w:cs="宋体" w:eastAsia="宋体" w:hint="default"/>
                <w:sz w:val="28"/>
                <w:szCs w:val="28"/>
              </w:rPr>
              <w:t>法；</w:t>
            </w:r>
            <w:r>
              <w:rPr>
                <w:rFonts w:ascii="宋体" w:hAnsi="宋体" w:cs="宋体" w:eastAsia="宋体" w:hint="default"/>
                <w:w w:val="99"/>
                <w:sz w:val="28"/>
                <w:szCs w:val="28"/>
              </w:rPr>
              <w:t> </w:t>
            </w:r>
            <w:r>
              <w:rPr>
                <w:rFonts w:ascii="Times New Roman" w:hAnsi="Times New Roman" w:cs="Times New Roman" w:eastAsia="Times New Roman" w:hint="default"/>
                <w:spacing w:val="-5"/>
                <w:sz w:val="28"/>
                <w:szCs w:val="28"/>
              </w:rPr>
              <w:t>C</w:t>
            </w:r>
            <w:r>
              <w:rPr>
                <w:rFonts w:ascii="宋体" w:hAnsi="宋体" w:cs="宋体" w:eastAsia="宋体" w:hint="default"/>
                <w:spacing w:val="-5"/>
                <w:sz w:val="28"/>
                <w:szCs w:val="28"/>
              </w:rPr>
              <w:t>、评价商誉减值测试关键假设的</w:t>
            </w:r>
            <w:r>
              <w:rPr>
                <w:rFonts w:ascii="宋体" w:hAnsi="宋体" w:cs="宋体" w:eastAsia="宋体" w:hint="default"/>
                <w:w w:val="99"/>
                <w:sz w:val="28"/>
                <w:szCs w:val="28"/>
              </w:rPr>
              <w:t> </w:t>
            </w:r>
            <w:r>
              <w:rPr>
                <w:rFonts w:ascii="宋体" w:hAnsi="宋体" w:cs="宋体" w:eastAsia="宋体" w:hint="default"/>
                <w:sz w:val="28"/>
                <w:szCs w:val="28"/>
              </w:rPr>
              <w:t>适当性；</w:t>
            </w:r>
            <w:r>
              <w:rPr>
                <w:rFonts w:ascii="宋体" w:hAnsi="宋体" w:cs="宋体" w:eastAsia="宋体" w:hint="default"/>
                <w:w w:val="99"/>
                <w:sz w:val="28"/>
                <w:szCs w:val="28"/>
              </w:rPr>
              <w:t> </w:t>
            </w:r>
            <w:r>
              <w:rPr>
                <w:rFonts w:ascii="Times New Roman" w:hAnsi="Times New Roman" w:cs="Times New Roman" w:eastAsia="Times New Roman" w:hint="default"/>
                <w:sz w:val="28"/>
                <w:szCs w:val="28"/>
              </w:rPr>
              <w:t>D</w:t>
            </w:r>
            <w:r>
              <w:rPr>
                <w:rFonts w:ascii="宋体" w:hAnsi="宋体" w:cs="宋体" w:eastAsia="宋体" w:hint="default"/>
                <w:sz w:val="28"/>
                <w:szCs w:val="28"/>
              </w:rPr>
              <w:t>、评价测试所引用参数的合理</w:t>
            </w:r>
            <w:r>
              <w:rPr>
                <w:rFonts w:ascii="宋体" w:hAnsi="宋体" w:cs="宋体" w:eastAsia="宋体" w:hint="default"/>
                <w:w w:val="99"/>
                <w:sz w:val="28"/>
                <w:szCs w:val="28"/>
              </w:rPr>
              <w:t> </w:t>
            </w:r>
            <w:r>
              <w:rPr>
                <w:rFonts w:ascii="宋体" w:hAnsi="宋体" w:cs="宋体" w:eastAsia="宋体" w:hint="default"/>
                <w:sz w:val="28"/>
                <w:szCs w:val="28"/>
              </w:rPr>
              <w:t>性。</w:t>
            </w:r>
          </w:p>
        </w:tc>
      </w:tr>
      <w:tr>
        <w:trPr>
          <w:trHeight w:val="659" w:hRule="exact"/>
        </w:trPr>
        <w:tc>
          <w:tcPr>
            <w:tcW w:w="819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95"/>
              <w:ind w:left="2" w:right="0"/>
              <w:jc w:val="left"/>
              <w:rPr>
                <w:rFonts w:ascii="宋体" w:hAnsi="宋体" w:cs="宋体" w:eastAsia="宋体" w:hint="default"/>
                <w:sz w:val="28"/>
                <w:szCs w:val="28"/>
              </w:rPr>
            </w:pPr>
            <w:r>
              <w:rPr>
                <w:rFonts w:ascii="宋体" w:hAnsi="宋体" w:cs="宋体" w:eastAsia="宋体" w:hint="default"/>
                <w:b/>
                <w:bCs/>
                <w:sz w:val="28"/>
                <w:szCs w:val="28"/>
              </w:rPr>
              <w:t>（三）可供出售金融资产减值</w:t>
            </w:r>
            <w:r>
              <w:rPr>
                <w:rFonts w:ascii="宋体" w:hAnsi="宋体" w:cs="宋体" w:eastAsia="宋体" w:hint="default"/>
                <w:sz w:val="28"/>
                <w:szCs w:val="28"/>
              </w:rPr>
            </w:r>
          </w:p>
        </w:tc>
      </w:tr>
      <w:tr>
        <w:trPr>
          <w:trHeight w:val="5652" w:hRule="exact"/>
        </w:trPr>
        <w:tc>
          <w:tcPr>
            <w:tcW w:w="4141" w:type="dxa"/>
            <w:tcBorders>
              <w:top w:val="single" w:sz="6" w:space="0" w:color="000000"/>
              <w:left w:val="single" w:sz="6" w:space="0" w:color="000000"/>
              <w:bottom w:val="single" w:sz="6" w:space="0" w:color="000000"/>
              <w:right w:val="single" w:sz="6" w:space="0" w:color="000000"/>
            </w:tcBorders>
          </w:tcPr>
          <w:p>
            <w:pPr>
              <w:pStyle w:val="TableParagraph"/>
              <w:spacing w:line="403" w:lineRule="auto" w:before="95"/>
              <w:ind w:left="2" w:right="-17"/>
              <w:jc w:val="left"/>
              <w:rPr>
                <w:rFonts w:ascii="宋体" w:hAnsi="宋体" w:cs="宋体" w:eastAsia="宋体" w:hint="default"/>
                <w:sz w:val="28"/>
                <w:szCs w:val="28"/>
              </w:rPr>
            </w:pPr>
            <w:r>
              <w:rPr>
                <w:rFonts w:ascii="宋体" w:hAnsi="宋体" w:cs="宋体" w:eastAsia="宋体" w:hint="default"/>
                <w:spacing w:val="-6"/>
                <w:sz w:val="28"/>
                <w:szCs w:val="28"/>
              </w:rPr>
              <w:t>如合并财务报表附注五、（六）所</w:t>
            </w:r>
            <w:r>
              <w:rPr>
                <w:rFonts w:ascii="宋体" w:hAnsi="宋体" w:cs="宋体" w:eastAsia="宋体" w:hint="default"/>
                <w:spacing w:val="-136"/>
                <w:sz w:val="28"/>
                <w:szCs w:val="28"/>
              </w:rPr>
              <w:t> </w:t>
            </w:r>
            <w:r>
              <w:rPr>
                <w:rFonts w:ascii="宋体" w:hAnsi="宋体" w:cs="宋体" w:eastAsia="宋体" w:hint="default"/>
                <w:spacing w:val="-136"/>
                <w:sz w:val="28"/>
                <w:szCs w:val="28"/>
              </w:rPr>
            </w:r>
            <w:r>
              <w:rPr>
                <w:rFonts w:ascii="宋体" w:hAnsi="宋体" w:cs="宋体" w:eastAsia="宋体" w:hint="default"/>
                <w:spacing w:val="-5"/>
                <w:sz w:val="28"/>
                <w:szCs w:val="28"/>
              </w:rPr>
              <w:t>列示，截至</w:t>
            </w:r>
            <w:r>
              <w:rPr>
                <w:rFonts w:ascii="Times New Roman" w:hAnsi="Times New Roman" w:cs="Times New Roman" w:eastAsia="Times New Roman" w:hint="default"/>
                <w:spacing w:val="-5"/>
                <w:sz w:val="28"/>
                <w:szCs w:val="28"/>
              </w:rPr>
              <w:t>2017</w:t>
            </w:r>
            <w:r>
              <w:rPr>
                <w:rFonts w:ascii="宋体" w:hAnsi="宋体" w:cs="宋体" w:eastAsia="宋体" w:hint="default"/>
                <w:spacing w:val="-5"/>
                <w:sz w:val="28"/>
                <w:szCs w:val="28"/>
              </w:rPr>
              <w:t>年</w:t>
            </w:r>
            <w:r>
              <w:rPr>
                <w:rFonts w:ascii="Times New Roman" w:hAnsi="Times New Roman" w:cs="Times New Roman" w:eastAsia="Times New Roman" w:hint="default"/>
                <w:spacing w:val="-5"/>
                <w:sz w:val="28"/>
                <w:szCs w:val="28"/>
              </w:rPr>
              <w:t>12</w:t>
            </w:r>
            <w:r>
              <w:rPr>
                <w:rFonts w:ascii="宋体" w:hAnsi="宋体" w:cs="宋体" w:eastAsia="宋体" w:hint="default"/>
                <w:spacing w:val="-5"/>
                <w:sz w:val="28"/>
                <w:szCs w:val="28"/>
              </w:rPr>
              <w:t>月</w:t>
            </w:r>
            <w:r>
              <w:rPr>
                <w:rFonts w:ascii="Times New Roman" w:hAnsi="Times New Roman" w:cs="Times New Roman" w:eastAsia="Times New Roman" w:hint="default"/>
                <w:spacing w:val="-5"/>
                <w:sz w:val="28"/>
                <w:szCs w:val="28"/>
              </w:rPr>
              <w:t>31</w:t>
            </w:r>
            <w:r>
              <w:rPr>
                <w:rFonts w:ascii="宋体" w:hAnsi="宋体" w:cs="宋体" w:eastAsia="宋体" w:hint="default"/>
                <w:spacing w:val="-5"/>
                <w:sz w:val="28"/>
                <w:szCs w:val="28"/>
              </w:rPr>
              <w:t>日，可供</w:t>
            </w:r>
            <w:r>
              <w:rPr>
                <w:rFonts w:ascii="宋体" w:hAnsi="宋体" w:cs="宋体" w:eastAsia="宋体" w:hint="default"/>
                <w:spacing w:val="-135"/>
                <w:sz w:val="28"/>
                <w:szCs w:val="28"/>
              </w:rPr>
              <w:t> </w:t>
            </w:r>
            <w:r>
              <w:rPr>
                <w:rFonts w:ascii="宋体" w:hAnsi="宋体" w:cs="宋体" w:eastAsia="宋体" w:hint="default"/>
                <w:spacing w:val="-135"/>
                <w:sz w:val="28"/>
                <w:szCs w:val="28"/>
              </w:rPr>
            </w:r>
            <w:r>
              <w:rPr>
                <w:rFonts w:ascii="宋体" w:hAnsi="宋体" w:cs="宋体" w:eastAsia="宋体" w:hint="default"/>
                <w:sz w:val="28"/>
                <w:szCs w:val="28"/>
              </w:rPr>
              <w:t>出售金融资产权益工具的账面余</w:t>
            </w:r>
            <w:r>
              <w:rPr>
                <w:rFonts w:ascii="宋体" w:hAnsi="宋体" w:cs="宋体" w:eastAsia="宋体" w:hint="default"/>
                <w:w w:val="99"/>
                <w:sz w:val="28"/>
                <w:szCs w:val="28"/>
              </w:rPr>
              <w:t> </w:t>
            </w:r>
            <w:r>
              <w:rPr>
                <w:rFonts w:ascii="宋体" w:hAnsi="宋体" w:cs="宋体" w:eastAsia="宋体" w:hint="default"/>
                <w:sz w:val="28"/>
                <w:szCs w:val="28"/>
              </w:rPr>
              <w:t>额为</w:t>
            </w:r>
            <w:r>
              <w:rPr>
                <w:rFonts w:ascii="Times New Roman" w:hAnsi="Times New Roman" w:cs="Times New Roman" w:eastAsia="Times New Roman" w:hint="default"/>
                <w:sz w:val="28"/>
                <w:szCs w:val="28"/>
              </w:rPr>
              <w:t>57.07</w:t>
            </w:r>
            <w:r>
              <w:rPr>
                <w:rFonts w:ascii="宋体" w:hAnsi="宋体" w:cs="宋体" w:eastAsia="宋体" w:hint="default"/>
                <w:sz w:val="28"/>
                <w:szCs w:val="28"/>
              </w:rPr>
              <w:t>亿元。</w:t>
            </w:r>
            <w:r>
              <w:rPr>
                <w:rFonts w:ascii="宋体" w:hAnsi="宋体" w:cs="宋体" w:eastAsia="宋体" w:hint="default"/>
                <w:w w:val="99"/>
                <w:sz w:val="28"/>
                <w:szCs w:val="28"/>
              </w:rPr>
              <w:t> </w:t>
            </w:r>
            <w:r>
              <w:rPr>
                <w:rFonts w:ascii="宋体" w:hAnsi="宋体" w:cs="宋体" w:eastAsia="宋体" w:hint="default"/>
                <w:spacing w:val="14"/>
                <w:sz w:val="28"/>
                <w:szCs w:val="28"/>
              </w:rPr>
              <w:t>管理层在资产负债表日对供出售</w:t>
            </w:r>
            <w:r>
              <w:rPr>
                <w:rFonts w:ascii="宋体" w:hAnsi="宋体" w:cs="宋体" w:eastAsia="宋体" w:hint="default"/>
                <w:w w:val="99"/>
                <w:sz w:val="28"/>
                <w:szCs w:val="28"/>
              </w:rPr>
              <w:t> </w:t>
            </w:r>
            <w:r>
              <w:rPr>
                <w:rFonts w:ascii="宋体" w:hAnsi="宋体" w:cs="宋体" w:eastAsia="宋体" w:hint="default"/>
                <w:spacing w:val="-6"/>
                <w:sz w:val="28"/>
                <w:szCs w:val="28"/>
              </w:rPr>
              <w:t>金融资产减值情况进行判断。对于</w:t>
            </w:r>
            <w:r>
              <w:rPr>
                <w:rFonts w:ascii="宋体" w:hAnsi="宋体" w:cs="宋体" w:eastAsia="宋体" w:hint="default"/>
                <w:spacing w:val="-138"/>
                <w:sz w:val="28"/>
                <w:szCs w:val="28"/>
              </w:rPr>
              <w:t> </w:t>
            </w:r>
            <w:r>
              <w:rPr>
                <w:rFonts w:ascii="宋体" w:hAnsi="宋体" w:cs="宋体" w:eastAsia="宋体" w:hint="default"/>
                <w:spacing w:val="-138"/>
                <w:sz w:val="28"/>
                <w:szCs w:val="28"/>
              </w:rPr>
            </w:r>
            <w:r>
              <w:rPr>
                <w:rFonts w:ascii="宋体" w:hAnsi="宋体" w:cs="宋体" w:eastAsia="宋体" w:hint="default"/>
                <w:spacing w:val="14"/>
                <w:sz w:val="28"/>
                <w:szCs w:val="28"/>
              </w:rPr>
              <w:t>以公允价值计量的供出售金融资</w:t>
            </w:r>
            <w:r>
              <w:rPr>
                <w:rFonts w:ascii="宋体" w:hAnsi="宋体" w:cs="宋体" w:eastAsia="宋体" w:hint="default"/>
                <w:w w:val="99"/>
                <w:sz w:val="28"/>
                <w:szCs w:val="28"/>
              </w:rPr>
              <w:t> </w:t>
            </w:r>
            <w:r>
              <w:rPr>
                <w:rFonts w:ascii="宋体" w:hAnsi="宋体" w:cs="宋体" w:eastAsia="宋体" w:hint="default"/>
                <w:spacing w:val="-4"/>
                <w:sz w:val="28"/>
                <w:szCs w:val="28"/>
              </w:rPr>
              <w:t>产若公允价值发生较大幅度下降，</w:t>
            </w:r>
            <w:r>
              <w:rPr>
                <w:rFonts w:ascii="宋体" w:hAnsi="宋体" w:cs="宋体" w:eastAsia="宋体" w:hint="default"/>
                <w:spacing w:val="-56"/>
                <w:w w:val="99"/>
                <w:sz w:val="28"/>
                <w:szCs w:val="28"/>
              </w:rPr>
              <w:t> </w:t>
            </w:r>
            <w:r>
              <w:rPr>
                <w:rFonts w:ascii="宋体" w:hAnsi="宋体" w:cs="宋体" w:eastAsia="宋体" w:hint="default"/>
                <w:spacing w:val="-6"/>
                <w:sz w:val="28"/>
                <w:szCs w:val="28"/>
              </w:rPr>
              <w:t>或在综合考虑各种相关因素后、或</w:t>
            </w:r>
          </w:p>
        </w:tc>
        <w:tc>
          <w:tcPr>
            <w:tcW w:w="4055" w:type="dxa"/>
            <w:tcBorders>
              <w:top w:val="single" w:sz="6" w:space="0" w:color="000000"/>
              <w:left w:val="single" w:sz="6" w:space="0" w:color="000000"/>
              <w:bottom w:val="single" w:sz="6" w:space="0" w:color="000000"/>
              <w:right w:val="single" w:sz="6" w:space="0" w:color="000000"/>
            </w:tcBorders>
          </w:tcPr>
          <w:p>
            <w:pPr>
              <w:pStyle w:val="TableParagraph"/>
              <w:spacing w:line="403" w:lineRule="auto" w:before="95"/>
              <w:ind w:left="2" w:right="4"/>
              <w:jc w:val="left"/>
              <w:rPr>
                <w:rFonts w:ascii="宋体" w:hAnsi="宋体" w:cs="宋体" w:eastAsia="宋体" w:hint="default"/>
                <w:sz w:val="28"/>
                <w:szCs w:val="28"/>
              </w:rPr>
            </w:pPr>
            <w:r>
              <w:rPr>
                <w:rFonts w:ascii="宋体" w:hAnsi="宋体" w:cs="宋体" w:eastAsia="宋体" w:hint="default"/>
                <w:sz w:val="28"/>
                <w:szCs w:val="28"/>
              </w:rPr>
              <w:t>在可供出售金融资产减值准备计</w:t>
            </w:r>
            <w:r>
              <w:rPr>
                <w:rFonts w:ascii="宋体" w:hAnsi="宋体" w:cs="宋体" w:eastAsia="宋体" w:hint="default"/>
                <w:w w:val="99"/>
                <w:sz w:val="28"/>
                <w:szCs w:val="28"/>
              </w:rPr>
              <w:t> </w:t>
            </w:r>
            <w:r>
              <w:rPr>
                <w:rFonts w:ascii="宋体" w:hAnsi="宋体" w:cs="宋体" w:eastAsia="宋体" w:hint="default"/>
                <w:sz w:val="28"/>
                <w:szCs w:val="28"/>
              </w:rPr>
              <w:t>提的审计过程中，我们实施的审</w:t>
            </w:r>
            <w:r>
              <w:rPr>
                <w:rFonts w:ascii="宋体" w:hAnsi="宋体" w:cs="宋体" w:eastAsia="宋体" w:hint="default"/>
                <w:w w:val="99"/>
                <w:sz w:val="28"/>
                <w:szCs w:val="28"/>
              </w:rPr>
              <w:t> </w:t>
            </w:r>
            <w:r>
              <w:rPr>
                <w:rFonts w:ascii="宋体" w:hAnsi="宋体" w:cs="宋体" w:eastAsia="宋体" w:hint="default"/>
                <w:sz w:val="28"/>
                <w:szCs w:val="28"/>
              </w:rPr>
              <w:t>计程序主要包括：</w:t>
            </w:r>
            <w:r>
              <w:rPr>
                <w:rFonts w:ascii="宋体" w:hAnsi="宋体" w:cs="宋体" w:eastAsia="宋体" w:hint="default"/>
                <w:w w:val="99"/>
                <w:sz w:val="28"/>
                <w:szCs w:val="28"/>
              </w:rPr>
              <w:t> </w:t>
            </w:r>
            <w:r>
              <w:rPr>
                <w:rFonts w:ascii="Times New Roman" w:hAnsi="Times New Roman" w:cs="Times New Roman" w:eastAsia="Times New Roman" w:hint="default"/>
                <w:spacing w:val="-6"/>
                <w:sz w:val="28"/>
                <w:szCs w:val="28"/>
              </w:rPr>
              <w:t>A</w:t>
            </w:r>
            <w:r>
              <w:rPr>
                <w:rFonts w:ascii="宋体" w:hAnsi="宋体" w:cs="宋体" w:eastAsia="宋体" w:hint="default"/>
                <w:spacing w:val="-6"/>
                <w:sz w:val="28"/>
                <w:szCs w:val="28"/>
              </w:rPr>
              <w:t>、了解和评估公司与投资相关的</w:t>
            </w:r>
            <w:r>
              <w:rPr>
                <w:rFonts w:ascii="宋体" w:hAnsi="宋体" w:cs="宋体" w:eastAsia="宋体" w:hint="default"/>
                <w:w w:val="99"/>
                <w:sz w:val="28"/>
                <w:szCs w:val="28"/>
              </w:rPr>
              <w:t> </w:t>
            </w:r>
            <w:r>
              <w:rPr>
                <w:rFonts w:ascii="宋体" w:hAnsi="宋体" w:cs="宋体" w:eastAsia="宋体" w:hint="default"/>
                <w:sz w:val="28"/>
                <w:szCs w:val="28"/>
              </w:rPr>
              <w:t>内部控制设计的合理性和有效</w:t>
            </w:r>
            <w:r>
              <w:rPr>
                <w:rFonts w:ascii="宋体" w:hAnsi="宋体" w:cs="宋体" w:eastAsia="宋体" w:hint="default"/>
                <w:w w:val="99"/>
                <w:sz w:val="28"/>
                <w:szCs w:val="28"/>
              </w:rPr>
              <w:t> </w:t>
            </w:r>
            <w:r>
              <w:rPr>
                <w:rFonts w:ascii="宋体" w:hAnsi="宋体" w:cs="宋体" w:eastAsia="宋体" w:hint="default"/>
                <w:sz w:val="28"/>
                <w:szCs w:val="28"/>
              </w:rPr>
              <w:t>性。</w:t>
            </w:r>
            <w:r>
              <w:rPr>
                <w:rFonts w:ascii="宋体" w:hAnsi="宋体" w:cs="宋体" w:eastAsia="宋体" w:hint="default"/>
                <w:w w:val="99"/>
                <w:sz w:val="28"/>
                <w:szCs w:val="28"/>
              </w:rPr>
              <w:t> </w:t>
            </w:r>
            <w:r>
              <w:rPr>
                <w:rFonts w:ascii="Times New Roman" w:hAnsi="Times New Roman" w:cs="Times New Roman" w:eastAsia="Times New Roman" w:hint="default"/>
                <w:spacing w:val="-5"/>
                <w:sz w:val="28"/>
                <w:szCs w:val="28"/>
              </w:rPr>
              <w:t>B</w:t>
            </w:r>
            <w:r>
              <w:rPr>
                <w:rFonts w:ascii="宋体" w:hAnsi="宋体" w:cs="宋体" w:eastAsia="宋体" w:hint="default"/>
                <w:spacing w:val="-5"/>
                <w:sz w:val="28"/>
                <w:szCs w:val="28"/>
              </w:rPr>
              <w:t>、对于以公允价值计量的可供出</w:t>
            </w:r>
            <w:r>
              <w:rPr>
                <w:rFonts w:ascii="宋体" w:hAnsi="宋体" w:cs="宋体" w:eastAsia="宋体" w:hint="default"/>
                <w:w w:val="99"/>
                <w:sz w:val="28"/>
                <w:szCs w:val="28"/>
              </w:rPr>
              <w:t> </w:t>
            </w:r>
            <w:r>
              <w:rPr>
                <w:rFonts w:ascii="宋体" w:hAnsi="宋体" w:cs="宋体" w:eastAsia="宋体" w:hint="default"/>
                <w:spacing w:val="8"/>
                <w:sz w:val="28"/>
                <w:szCs w:val="28"/>
              </w:rPr>
              <w:t>售金融资产权益工具，我们评估</w:t>
            </w:r>
            <w:r>
              <w:rPr>
                <w:rFonts w:ascii="宋体" w:hAnsi="宋体" w:cs="宋体" w:eastAsia="宋体" w:hint="default"/>
                <w:w w:val="99"/>
                <w:sz w:val="28"/>
                <w:szCs w:val="28"/>
              </w:rPr>
              <w:t> </w:t>
            </w:r>
            <w:r>
              <w:rPr>
                <w:rFonts w:ascii="宋体" w:hAnsi="宋体" w:cs="宋体" w:eastAsia="宋体" w:hint="default"/>
                <w:spacing w:val="8"/>
                <w:sz w:val="28"/>
                <w:szCs w:val="28"/>
              </w:rPr>
              <w:t>了管理层识别是否存在减值迹象</w:t>
            </w:r>
          </w:p>
        </w:tc>
      </w:tr>
    </w:tbl>
    <w:p>
      <w:pPr>
        <w:spacing w:after="0" w:line="403" w:lineRule="auto"/>
        <w:jc w:val="left"/>
        <w:rPr>
          <w:rFonts w:ascii="宋体" w:hAnsi="宋体" w:cs="宋体" w:eastAsia="宋体" w:hint="default"/>
          <w:sz w:val="28"/>
          <w:szCs w:val="28"/>
        </w:rPr>
        <w:sectPr>
          <w:pgSz w:w="11910" w:h="16840"/>
          <w:pgMar w:header="877" w:footer="979" w:top="1060" w:bottom="1160" w:left="0" w:right="0"/>
        </w:sectPr>
      </w:pPr>
    </w:p>
    <w:p>
      <w:pPr>
        <w:spacing w:line="240" w:lineRule="auto" w:before="11"/>
        <w:rPr>
          <w:rFonts w:ascii="Times New Roman" w:hAnsi="Times New Roman" w:cs="Times New Roman" w:eastAsia="Times New Roman" w:hint="default"/>
          <w:sz w:val="3"/>
          <w:szCs w:val="3"/>
        </w:rPr>
      </w:pPr>
      <w:r>
        <w:rPr/>
        <w:pict>
          <v:group style="position:absolute;margin-left:55.200001pt;margin-top:55.619984pt;width:485pt;height:.1pt;mso-position-horizontal-relative:page;mso-position-vertical-relative:page;z-index:-1135600"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group style="position:absolute;margin-left:466.5pt;margin-top:71.999985pt;width:.1pt;height:689pt;mso-position-horizontal-relative:page;mso-position-vertical-relative:page;z-index:-1135576" coordorigin="9330,1440" coordsize="2,13780">
            <v:shape style="position:absolute;left:9330;top:1440;width:2;height:13780" coordorigin="9330,1440" coordsize="0,13780" path="m9330,1440l9330,15220e" filled="false" stroked="true" strokeweight=".72pt" strokecolor="#000000">
              <v:path arrowok="t"/>
            </v:shape>
            <w10:wrap type="none"/>
          </v:group>
        </w:pict>
      </w:r>
    </w:p>
    <w:tbl>
      <w:tblPr>
        <w:tblW w:w="0" w:type="auto"/>
        <w:jc w:val="left"/>
        <w:tblInd w:w="1126" w:type="dxa"/>
        <w:tblLayout w:type="fixed"/>
        <w:tblCellMar>
          <w:top w:w="0" w:type="dxa"/>
          <w:left w:w="0" w:type="dxa"/>
          <w:bottom w:w="0" w:type="dxa"/>
          <w:right w:w="0" w:type="dxa"/>
        </w:tblCellMar>
        <w:tblLook w:val="01E0"/>
      </w:tblPr>
      <w:tblGrid>
        <w:gridCol w:w="4141"/>
        <w:gridCol w:w="4382"/>
      </w:tblGrid>
      <w:tr>
        <w:trPr>
          <w:trHeight w:val="335" w:hRule="exact"/>
        </w:trPr>
        <w:tc>
          <w:tcPr>
            <w:tcW w:w="4141" w:type="dxa"/>
            <w:tcBorders>
              <w:top w:val="nil" w:sz="6" w:space="0" w:color="auto"/>
              <w:left w:val="nil" w:sz="6" w:space="0" w:color="auto"/>
              <w:bottom w:val="single" w:sz="6" w:space="0" w:color="000000"/>
              <w:right w:val="nil" w:sz="6" w:space="0" w:color="auto"/>
            </w:tcBorders>
          </w:tcPr>
          <w:p>
            <w:pPr/>
          </w:p>
        </w:tc>
        <w:tc>
          <w:tcPr>
            <w:tcW w:w="4382" w:type="dxa"/>
            <w:tcBorders>
              <w:top w:val="nil" w:sz="6" w:space="0" w:color="auto"/>
              <w:left w:val="nil" w:sz="6" w:space="0" w:color="auto"/>
              <w:bottom w:val="single" w:sz="6" w:space="0" w:color="000000"/>
              <w:right w:val="nil" w:sz="6" w:space="0" w:color="auto"/>
            </w:tcBorders>
          </w:tcPr>
          <w:p>
            <w:pPr/>
          </w:p>
        </w:tc>
      </w:tr>
      <w:tr>
        <w:trPr>
          <w:trHeight w:val="13765" w:hRule="exact"/>
        </w:trPr>
        <w:tc>
          <w:tcPr>
            <w:tcW w:w="4141" w:type="dxa"/>
            <w:tcBorders>
              <w:top w:val="single" w:sz="6" w:space="0" w:color="000000"/>
              <w:left w:val="single" w:sz="6" w:space="0" w:color="000000"/>
              <w:bottom w:val="single" w:sz="6" w:space="0" w:color="000000"/>
              <w:right w:val="single" w:sz="6" w:space="0" w:color="000000"/>
            </w:tcBorders>
          </w:tcPr>
          <w:p>
            <w:pPr>
              <w:pStyle w:val="TableParagraph"/>
              <w:spacing w:line="408" w:lineRule="auto" w:before="95"/>
              <w:ind w:left="2" w:right="2"/>
              <w:jc w:val="left"/>
              <w:rPr>
                <w:rFonts w:ascii="宋体" w:hAnsi="宋体" w:cs="宋体" w:eastAsia="宋体" w:hint="default"/>
                <w:sz w:val="28"/>
                <w:szCs w:val="28"/>
              </w:rPr>
            </w:pPr>
            <w:r>
              <w:rPr>
                <w:rFonts w:ascii="宋体" w:hAnsi="宋体" w:cs="宋体" w:eastAsia="宋体" w:hint="default"/>
                <w:spacing w:val="-6"/>
                <w:sz w:val="28"/>
                <w:szCs w:val="28"/>
              </w:rPr>
              <w:t>这种下降趋势属于非暂时性的，或</w:t>
            </w:r>
            <w:r>
              <w:rPr>
                <w:rFonts w:ascii="宋体" w:hAnsi="宋体" w:cs="宋体" w:eastAsia="宋体" w:hint="default"/>
                <w:spacing w:val="-138"/>
                <w:sz w:val="28"/>
                <w:szCs w:val="28"/>
              </w:rPr>
              <w:t> </w:t>
            </w:r>
            <w:r>
              <w:rPr>
                <w:rFonts w:ascii="宋体" w:hAnsi="宋体" w:cs="宋体" w:eastAsia="宋体" w:hint="default"/>
                <w:spacing w:val="-138"/>
                <w:sz w:val="28"/>
                <w:szCs w:val="28"/>
              </w:rPr>
            </w:r>
            <w:r>
              <w:rPr>
                <w:rFonts w:ascii="宋体" w:hAnsi="宋体" w:cs="宋体" w:eastAsia="宋体" w:hint="default"/>
                <w:spacing w:val="14"/>
                <w:sz w:val="28"/>
                <w:szCs w:val="28"/>
              </w:rPr>
              <w:t>被投资单位经营所处的技术、市</w:t>
            </w:r>
            <w:r>
              <w:rPr>
                <w:rFonts w:ascii="宋体" w:hAnsi="宋体" w:cs="宋体" w:eastAsia="宋体" w:hint="default"/>
                <w:w w:val="99"/>
                <w:sz w:val="28"/>
                <w:szCs w:val="28"/>
              </w:rPr>
              <w:t> </w:t>
            </w:r>
            <w:r>
              <w:rPr>
                <w:rFonts w:ascii="宋体" w:hAnsi="宋体" w:cs="宋体" w:eastAsia="宋体" w:hint="default"/>
                <w:spacing w:val="-6"/>
                <w:sz w:val="28"/>
                <w:szCs w:val="28"/>
              </w:rPr>
              <w:t>场、经济或法律环境等综合因素发</w:t>
            </w:r>
            <w:r>
              <w:rPr>
                <w:rFonts w:ascii="宋体" w:hAnsi="宋体" w:cs="宋体" w:eastAsia="宋体" w:hint="default"/>
                <w:spacing w:val="-138"/>
                <w:sz w:val="28"/>
                <w:szCs w:val="28"/>
              </w:rPr>
              <w:t> </w:t>
            </w:r>
            <w:r>
              <w:rPr>
                <w:rFonts w:ascii="宋体" w:hAnsi="宋体" w:cs="宋体" w:eastAsia="宋体" w:hint="default"/>
                <w:spacing w:val="-138"/>
                <w:sz w:val="28"/>
                <w:szCs w:val="28"/>
              </w:rPr>
            </w:r>
            <w:r>
              <w:rPr>
                <w:rFonts w:ascii="宋体" w:hAnsi="宋体" w:cs="宋体" w:eastAsia="宋体" w:hint="default"/>
                <w:spacing w:val="-6"/>
                <w:sz w:val="28"/>
                <w:szCs w:val="28"/>
              </w:rPr>
              <w:t>生重大不利变化等，则认定该类资</w:t>
            </w:r>
            <w:r>
              <w:rPr>
                <w:rFonts w:ascii="宋体" w:hAnsi="宋体" w:cs="宋体" w:eastAsia="宋体" w:hint="default"/>
                <w:spacing w:val="-138"/>
                <w:sz w:val="28"/>
                <w:szCs w:val="28"/>
              </w:rPr>
              <w:t> </w:t>
            </w:r>
            <w:r>
              <w:rPr>
                <w:rFonts w:ascii="宋体" w:hAnsi="宋体" w:cs="宋体" w:eastAsia="宋体" w:hint="default"/>
                <w:spacing w:val="-138"/>
                <w:sz w:val="28"/>
                <w:szCs w:val="28"/>
              </w:rPr>
            </w:r>
            <w:r>
              <w:rPr>
                <w:rFonts w:ascii="宋体" w:hAnsi="宋体" w:cs="宋体" w:eastAsia="宋体" w:hint="default"/>
                <w:spacing w:val="-6"/>
                <w:sz w:val="28"/>
                <w:szCs w:val="28"/>
              </w:rPr>
              <w:t>产存在客观的减值证据，确认减值</w:t>
            </w:r>
            <w:r>
              <w:rPr>
                <w:rFonts w:ascii="宋体" w:hAnsi="宋体" w:cs="宋体" w:eastAsia="宋体" w:hint="default"/>
                <w:spacing w:val="-137"/>
                <w:sz w:val="28"/>
                <w:szCs w:val="28"/>
              </w:rPr>
              <w:t> </w:t>
            </w:r>
            <w:r>
              <w:rPr>
                <w:rFonts w:ascii="宋体" w:hAnsi="宋体" w:cs="宋体" w:eastAsia="宋体" w:hint="default"/>
                <w:spacing w:val="-137"/>
                <w:sz w:val="28"/>
                <w:szCs w:val="28"/>
              </w:rPr>
            </w:r>
            <w:r>
              <w:rPr>
                <w:rFonts w:ascii="宋体" w:hAnsi="宋体" w:cs="宋体" w:eastAsia="宋体" w:hint="default"/>
                <w:spacing w:val="-6"/>
                <w:sz w:val="28"/>
                <w:szCs w:val="28"/>
              </w:rPr>
              <w:t>损失。贵公司对以成本模式计量的</w:t>
            </w:r>
            <w:r>
              <w:rPr>
                <w:rFonts w:ascii="宋体" w:hAnsi="宋体" w:cs="宋体" w:eastAsia="宋体" w:hint="default"/>
                <w:spacing w:val="-137"/>
                <w:sz w:val="28"/>
                <w:szCs w:val="28"/>
              </w:rPr>
              <w:t> </w:t>
            </w:r>
            <w:r>
              <w:rPr>
                <w:rFonts w:ascii="宋体" w:hAnsi="宋体" w:cs="宋体" w:eastAsia="宋体" w:hint="default"/>
                <w:spacing w:val="-137"/>
                <w:sz w:val="28"/>
                <w:szCs w:val="28"/>
              </w:rPr>
            </w:r>
            <w:r>
              <w:rPr>
                <w:rFonts w:ascii="宋体" w:hAnsi="宋体" w:cs="宋体" w:eastAsia="宋体" w:hint="default"/>
                <w:spacing w:val="-6"/>
                <w:sz w:val="28"/>
                <w:szCs w:val="28"/>
              </w:rPr>
              <w:t>供出售金融资产，若被投资单位存</w:t>
            </w:r>
            <w:r>
              <w:rPr>
                <w:rFonts w:ascii="宋体" w:hAnsi="宋体" w:cs="宋体" w:eastAsia="宋体" w:hint="default"/>
                <w:spacing w:val="-137"/>
                <w:sz w:val="28"/>
                <w:szCs w:val="28"/>
              </w:rPr>
              <w:t> </w:t>
            </w:r>
            <w:r>
              <w:rPr>
                <w:rFonts w:ascii="宋体" w:hAnsi="宋体" w:cs="宋体" w:eastAsia="宋体" w:hint="default"/>
                <w:spacing w:val="-137"/>
                <w:sz w:val="28"/>
                <w:szCs w:val="28"/>
              </w:rPr>
            </w:r>
            <w:r>
              <w:rPr>
                <w:rFonts w:ascii="宋体" w:hAnsi="宋体" w:cs="宋体" w:eastAsia="宋体" w:hint="default"/>
                <w:spacing w:val="-6"/>
                <w:sz w:val="28"/>
                <w:szCs w:val="28"/>
              </w:rPr>
              <w:t>在严重财务困难或可能倒闭时，则</w:t>
            </w:r>
            <w:r>
              <w:rPr>
                <w:rFonts w:ascii="宋体" w:hAnsi="宋体" w:cs="宋体" w:eastAsia="宋体" w:hint="default"/>
                <w:spacing w:val="-138"/>
                <w:sz w:val="28"/>
                <w:szCs w:val="28"/>
              </w:rPr>
              <w:t> </w:t>
            </w:r>
            <w:r>
              <w:rPr>
                <w:rFonts w:ascii="宋体" w:hAnsi="宋体" w:cs="宋体" w:eastAsia="宋体" w:hint="default"/>
                <w:spacing w:val="-138"/>
                <w:sz w:val="28"/>
                <w:szCs w:val="28"/>
              </w:rPr>
            </w:r>
            <w:r>
              <w:rPr>
                <w:rFonts w:ascii="宋体" w:hAnsi="宋体" w:cs="宋体" w:eastAsia="宋体" w:hint="default"/>
                <w:spacing w:val="14"/>
                <w:sz w:val="28"/>
                <w:szCs w:val="28"/>
              </w:rPr>
              <w:t>认定该类资产存在客观的减值证</w:t>
            </w:r>
            <w:r>
              <w:rPr>
                <w:rFonts w:ascii="宋体" w:hAnsi="宋体" w:cs="宋体" w:eastAsia="宋体" w:hint="default"/>
                <w:w w:val="99"/>
                <w:sz w:val="28"/>
                <w:szCs w:val="28"/>
              </w:rPr>
              <w:t> </w:t>
            </w:r>
            <w:r>
              <w:rPr>
                <w:rFonts w:ascii="宋体" w:hAnsi="宋体" w:cs="宋体" w:eastAsia="宋体" w:hint="default"/>
                <w:spacing w:val="-6"/>
                <w:sz w:val="28"/>
                <w:szCs w:val="28"/>
              </w:rPr>
              <w:t>据。存在减值迹象的投资，根据其</w:t>
            </w:r>
            <w:r>
              <w:rPr>
                <w:rFonts w:ascii="宋体" w:hAnsi="宋体" w:cs="宋体" w:eastAsia="宋体" w:hint="default"/>
                <w:spacing w:val="-135"/>
                <w:sz w:val="28"/>
                <w:szCs w:val="28"/>
              </w:rPr>
              <w:t> </w:t>
            </w:r>
            <w:r>
              <w:rPr>
                <w:rFonts w:ascii="宋体" w:hAnsi="宋体" w:cs="宋体" w:eastAsia="宋体" w:hint="default"/>
                <w:spacing w:val="-135"/>
                <w:sz w:val="28"/>
                <w:szCs w:val="28"/>
              </w:rPr>
            </w:r>
            <w:r>
              <w:rPr>
                <w:rFonts w:ascii="宋体" w:hAnsi="宋体" w:cs="宋体" w:eastAsia="宋体" w:hint="default"/>
                <w:spacing w:val="14"/>
                <w:sz w:val="28"/>
                <w:szCs w:val="28"/>
              </w:rPr>
              <w:t>账面价值与预计未来现金流量折</w:t>
            </w:r>
            <w:r>
              <w:rPr>
                <w:rFonts w:ascii="宋体" w:hAnsi="宋体" w:cs="宋体" w:eastAsia="宋体" w:hint="default"/>
                <w:w w:val="99"/>
                <w:sz w:val="28"/>
                <w:szCs w:val="28"/>
              </w:rPr>
              <w:t> </w:t>
            </w:r>
            <w:r>
              <w:rPr>
                <w:rFonts w:ascii="宋体" w:hAnsi="宋体" w:cs="宋体" w:eastAsia="宋体" w:hint="default"/>
                <w:spacing w:val="14"/>
                <w:sz w:val="28"/>
                <w:szCs w:val="28"/>
              </w:rPr>
              <w:t>现确定的现值之间的差额确认减</w:t>
            </w:r>
            <w:r>
              <w:rPr>
                <w:rFonts w:ascii="宋体" w:hAnsi="宋体" w:cs="宋体" w:eastAsia="宋体" w:hint="default"/>
                <w:w w:val="99"/>
                <w:sz w:val="28"/>
                <w:szCs w:val="28"/>
              </w:rPr>
              <w:t> </w:t>
            </w:r>
            <w:r>
              <w:rPr>
                <w:rFonts w:ascii="宋体" w:hAnsi="宋体" w:cs="宋体" w:eastAsia="宋体" w:hint="default"/>
                <w:sz w:val="28"/>
                <w:szCs w:val="28"/>
              </w:rPr>
              <w:t>值损失。</w:t>
            </w:r>
            <w:r>
              <w:rPr>
                <w:rFonts w:ascii="宋体" w:hAnsi="宋体" w:cs="宋体" w:eastAsia="宋体" w:hint="default"/>
                <w:w w:val="99"/>
                <w:sz w:val="28"/>
                <w:szCs w:val="28"/>
              </w:rPr>
              <w:t> </w:t>
            </w:r>
            <w:r>
              <w:rPr>
                <w:rFonts w:ascii="宋体" w:hAnsi="宋体" w:cs="宋体" w:eastAsia="宋体" w:hint="default"/>
                <w:spacing w:val="-6"/>
                <w:sz w:val="28"/>
                <w:szCs w:val="28"/>
              </w:rPr>
              <w:t>由于相关资产金额重大，其减值评</w:t>
            </w:r>
            <w:r>
              <w:rPr>
                <w:rFonts w:ascii="宋体" w:hAnsi="宋体" w:cs="宋体" w:eastAsia="宋体" w:hint="default"/>
                <w:spacing w:val="-137"/>
                <w:sz w:val="28"/>
                <w:szCs w:val="28"/>
              </w:rPr>
              <w:t> </w:t>
            </w:r>
            <w:r>
              <w:rPr>
                <w:rFonts w:ascii="宋体" w:hAnsi="宋体" w:cs="宋体" w:eastAsia="宋体" w:hint="default"/>
                <w:spacing w:val="-137"/>
                <w:sz w:val="28"/>
                <w:szCs w:val="28"/>
              </w:rPr>
            </w:r>
            <w:r>
              <w:rPr>
                <w:rFonts w:ascii="宋体" w:hAnsi="宋体" w:cs="宋体" w:eastAsia="宋体" w:hint="default"/>
                <w:spacing w:val="-6"/>
                <w:sz w:val="28"/>
                <w:szCs w:val="28"/>
              </w:rPr>
              <w:t>估需要管理层作出重大判断，我们</w:t>
            </w:r>
            <w:r>
              <w:rPr>
                <w:rFonts w:ascii="宋体" w:hAnsi="宋体" w:cs="宋体" w:eastAsia="宋体" w:hint="default"/>
                <w:spacing w:val="-138"/>
                <w:sz w:val="28"/>
                <w:szCs w:val="28"/>
              </w:rPr>
              <w:t> </w:t>
            </w:r>
            <w:r>
              <w:rPr>
                <w:rFonts w:ascii="宋体" w:hAnsi="宋体" w:cs="宋体" w:eastAsia="宋体" w:hint="default"/>
                <w:spacing w:val="-138"/>
                <w:sz w:val="28"/>
                <w:szCs w:val="28"/>
              </w:rPr>
            </w:r>
            <w:r>
              <w:rPr>
                <w:rFonts w:ascii="宋体" w:hAnsi="宋体" w:cs="宋体" w:eastAsia="宋体" w:hint="default"/>
                <w:sz w:val="28"/>
                <w:szCs w:val="28"/>
              </w:rPr>
              <w:t>将该类资产的减值评估确认为重</w:t>
            </w:r>
            <w:r>
              <w:rPr>
                <w:rFonts w:ascii="宋体" w:hAnsi="宋体" w:cs="宋体" w:eastAsia="宋体" w:hint="default"/>
                <w:w w:val="99"/>
                <w:sz w:val="28"/>
                <w:szCs w:val="28"/>
              </w:rPr>
              <w:t> </w:t>
            </w:r>
            <w:r>
              <w:rPr>
                <w:rFonts w:ascii="宋体" w:hAnsi="宋体" w:cs="宋体" w:eastAsia="宋体" w:hint="default"/>
                <w:sz w:val="28"/>
                <w:szCs w:val="28"/>
              </w:rPr>
              <w:t>要审计领域。</w:t>
            </w:r>
          </w:p>
        </w:tc>
        <w:tc>
          <w:tcPr>
            <w:tcW w:w="4382" w:type="dxa"/>
            <w:tcBorders>
              <w:top w:val="single" w:sz="6" w:space="0" w:color="000000"/>
              <w:left w:val="single" w:sz="6" w:space="0" w:color="000000"/>
              <w:bottom w:val="single" w:sz="6" w:space="0" w:color="000000"/>
              <w:right w:val="nil" w:sz="6" w:space="0" w:color="auto"/>
            </w:tcBorders>
          </w:tcPr>
          <w:p>
            <w:pPr>
              <w:pStyle w:val="TableParagraph"/>
              <w:spacing w:line="405" w:lineRule="auto" w:before="95"/>
              <w:ind w:left="2" w:right="198"/>
              <w:jc w:val="left"/>
              <w:rPr>
                <w:rFonts w:ascii="宋体" w:hAnsi="宋体" w:cs="宋体" w:eastAsia="宋体" w:hint="default"/>
                <w:sz w:val="28"/>
                <w:szCs w:val="28"/>
              </w:rPr>
            </w:pPr>
            <w:r>
              <w:rPr>
                <w:rFonts w:ascii="宋体" w:hAnsi="宋体" w:cs="宋体" w:eastAsia="宋体" w:hint="default"/>
                <w:spacing w:val="8"/>
                <w:sz w:val="28"/>
                <w:szCs w:val="28"/>
              </w:rPr>
              <w:t>所作出的判断，该评估基于该金</w:t>
            </w:r>
            <w:r>
              <w:rPr>
                <w:rFonts w:ascii="宋体" w:hAnsi="宋体" w:cs="宋体" w:eastAsia="宋体" w:hint="default"/>
                <w:w w:val="99"/>
                <w:sz w:val="28"/>
                <w:szCs w:val="28"/>
              </w:rPr>
              <w:t> </w:t>
            </w:r>
            <w:r>
              <w:rPr>
                <w:rFonts w:ascii="宋体" w:hAnsi="宋体" w:cs="宋体" w:eastAsia="宋体" w:hint="default"/>
                <w:spacing w:val="8"/>
                <w:sz w:val="28"/>
                <w:szCs w:val="28"/>
              </w:rPr>
              <w:t>融工具的市场价格，同时，我们</w:t>
            </w:r>
            <w:r>
              <w:rPr>
                <w:rFonts w:ascii="宋体" w:hAnsi="宋体" w:cs="宋体" w:eastAsia="宋体" w:hint="default"/>
                <w:w w:val="99"/>
                <w:sz w:val="28"/>
                <w:szCs w:val="28"/>
              </w:rPr>
              <w:t> </w:t>
            </w:r>
            <w:r>
              <w:rPr>
                <w:rFonts w:ascii="宋体" w:hAnsi="宋体" w:cs="宋体" w:eastAsia="宋体" w:hint="default"/>
                <w:spacing w:val="8"/>
                <w:sz w:val="28"/>
                <w:szCs w:val="28"/>
              </w:rPr>
              <w:t>还评估了管理层判断该工具符合</w:t>
            </w:r>
            <w:r>
              <w:rPr>
                <w:rFonts w:ascii="宋体" w:hAnsi="宋体" w:cs="宋体" w:eastAsia="宋体" w:hint="default"/>
                <w:w w:val="99"/>
                <w:sz w:val="28"/>
                <w:szCs w:val="28"/>
              </w:rPr>
              <w:t> </w:t>
            </w:r>
            <w:r>
              <w:rPr>
                <w:rFonts w:ascii="宋体" w:hAnsi="宋体" w:cs="宋体" w:eastAsia="宋体" w:hint="default"/>
                <w:spacing w:val="8"/>
                <w:sz w:val="28"/>
                <w:szCs w:val="28"/>
              </w:rPr>
              <w:t>公允价值发生严重或非暂时性下</w:t>
            </w:r>
            <w:r>
              <w:rPr>
                <w:rFonts w:ascii="宋体" w:hAnsi="宋体" w:cs="宋体" w:eastAsia="宋体" w:hint="default"/>
                <w:w w:val="99"/>
                <w:sz w:val="28"/>
                <w:szCs w:val="28"/>
              </w:rPr>
              <w:t> </w:t>
            </w:r>
            <w:r>
              <w:rPr>
                <w:rFonts w:ascii="宋体" w:hAnsi="宋体" w:cs="宋体" w:eastAsia="宋体" w:hint="default"/>
                <w:spacing w:val="8"/>
                <w:sz w:val="28"/>
                <w:szCs w:val="28"/>
              </w:rPr>
              <w:t>跌标准的合理性，并将其与行业</w:t>
            </w:r>
            <w:r>
              <w:rPr>
                <w:rFonts w:ascii="宋体" w:hAnsi="宋体" w:cs="宋体" w:eastAsia="宋体" w:hint="default"/>
                <w:w w:val="99"/>
                <w:sz w:val="28"/>
                <w:szCs w:val="28"/>
              </w:rPr>
              <w:t> </w:t>
            </w:r>
            <w:r>
              <w:rPr>
                <w:rFonts w:ascii="宋体" w:hAnsi="宋体" w:cs="宋体" w:eastAsia="宋体" w:hint="default"/>
                <w:spacing w:val="-2"/>
                <w:sz w:val="28"/>
                <w:szCs w:val="28"/>
              </w:rPr>
              <w:t>惯例进行了比较。我们抽取样本，</w:t>
            </w:r>
            <w:r>
              <w:rPr>
                <w:rFonts w:ascii="宋体" w:hAnsi="宋体" w:cs="宋体" w:eastAsia="宋体" w:hint="default"/>
                <w:w w:val="99"/>
                <w:sz w:val="28"/>
                <w:szCs w:val="28"/>
              </w:rPr>
              <w:t> </w:t>
            </w:r>
            <w:r>
              <w:rPr>
                <w:rFonts w:ascii="宋体" w:hAnsi="宋体" w:cs="宋体" w:eastAsia="宋体" w:hint="default"/>
                <w:spacing w:val="8"/>
                <w:sz w:val="28"/>
                <w:szCs w:val="28"/>
              </w:rPr>
              <w:t>核对管理层使用的公允价值与公</w:t>
            </w:r>
            <w:r>
              <w:rPr>
                <w:rFonts w:ascii="宋体" w:hAnsi="宋体" w:cs="宋体" w:eastAsia="宋体" w:hint="default"/>
                <w:w w:val="99"/>
                <w:sz w:val="28"/>
                <w:szCs w:val="28"/>
              </w:rPr>
              <w:t> </w:t>
            </w:r>
            <w:r>
              <w:rPr>
                <w:rFonts w:ascii="宋体" w:hAnsi="宋体" w:cs="宋体" w:eastAsia="宋体" w:hint="default"/>
                <w:sz w:val="28"/>
                <w:szCs w:val="28"/>
              </w:rPr>
              <w:t>开市场报价是否一致。</w:t>
            </w:r>
            <w:r>
              <w:rPr>
                <w:rFonts w:ascii="宋体" w:hAnsi="宋体" w:cs="宋体" w:eastAsia="宋体" w:hint="default"/>
                <w:w w:val="99"/>
                <w:sz w:val="28"/>
                <w:szCs w:val="28"/>
              </w:rPr>
              <w:t> </w:t>
            </w:r>
            <w:r>
              <w:rPr>
                <w:rFonts w:ascii="Times New Roman" w:hAnsi="Times New Roman" w:cs="Times New Roman" w:eastAsia="Times New Roman" w:hint="default"/>
                <w:spacing w:val="-5"/>
                <w:sz w:val="28"/>
                <w:szCs w:val="28"/>
              </w:rPr>
              <w:t>C</w:t>
            </w:r>
            <w:r>
              <w:rPr>
                <w:rFonts w:ascii="宋体" w:hAnsi="宋体" w:cs="宋体" w:eastAsia="宋体" w:hint="default"/>
                <w:spacing w:val="-5"/>
                <w:sz w:val="28"/>
                <w:szCs w:val="28"/>
              </w:rPr>
              <w:t>、对于以成本计量的可供出售金</w:t>
            </w:r>
            <w:r>
              <w:rPr>
                <w:rFonts w:ascii="宋体" w:hAnsi="宋体" w:cs="宋体" w:eastAsia="宋体" w:hint="default"/>
                <w:w w:val="99"/>
                <w:sz w:val="28"/>
                <w:szCs w:val="28"/>
              </w:rPr>
              <w:t> </w:t>
            </w:r>
            <w:r>
              <w:rPr>
                <w:rFonts w:ascii="宋体" w:hAnsi="宋体" w:cs="宋体" w:eastAsia="宋体" w:hint="default"/>
                <w:spacing w:val="8"/>
                <w:sz w:val="28"/>
                <w:szCs w:val="28"/>
              </w:rPr>
              <w:t>融资产权益工具，我们测试公司</w:t>
            </w:r>
            <w:r>
              <w:rPr>
                <w:rFonts w:ascii="宋体" w:hAnsi="宋体" w:cs="宋体" w:eastAsia="宋体" w:hint="default"/>
                <w:w w:val="99"/>
                <w:sz w:val="28"/>
                <w:szCs w:val="28"/>
              </w:rPr>
              <w:t> </w:t>
            </w:r>
            <w:r>
              <w:rPr>
                <w:rFonts w:ascii="宋体" w:hAnsi="宋体" w:cs="宋体" w:eastAsia="宋体" w:hint="default"/>
                <w:spacing w:val="8"/>
                <w:sz w:val="28"/>
                <w:szCs w:val="28"/>
              </w:rPr>
              <w:t>与计提减值准备相关的内部控制</w:t>
            </w:r>
            <w:r>
              <w:rPr>
                <w:rFonts w:ascii="宋体" w:hAnsi="宋体" w:cs="宋体" w:eastAsia="宋体" w:hint="default"/>
                <w:w w:val="99"/>
                <w:sz w:val="28"/>
                <w:szCs w:val="28"/>
              </w:rPr>
              <w:t> </w:t>
            </w:r>
            <w:r>
              <w:rPr>
                <w:rFonts w:ascii="宋体" w:hAnsi="宋体" w:cs="宋体" w:eastAsia="宋体" w:hint="default"/>
                <w:sz w:val="28"/>
                <w:szCs w:val="28"/>
              </w:rPr>
              <w:t>是否得到有效实施；从</w:t>
            </w:r>
            <w:r>
              <w:rPr>
                <w:rFonts w:ascii="宋体" w:hAnsi="宋体" w:cs="宋体" w:eastAsia="宋体" w:hint="default"/>
                <w:spacing w:val="-29"/>
                <w:sz w:val="28"/>
                <w:szCs w:val="28"/>
              </w:rPr>
              <w:t> </w:t>
            </w:r>
            <w:r>
              <w:rPr>
                <w:rFonts w:ascii="宋体" w:hAnsi="宋体" w:cs="宋体" w:eastAsia="宋体" w:hint="default"/>
                <w:sz w:val="28"/>
                <w:szCs w:val="28"/>
              </w:rPr>
              <w:t>中选取样</w:t>
            </w:r>
            <w:r>
              <w:rPr>
                <w:rFonts w:ascii="宋体" w:hAnsi="宋体" w:cs="宋体" w:eastAsia="宋体" w:hint="default"/>
                <w:w w:val="99"/>
                <w:sz w:val="28"/>
                <w:szCs w:val="28"/>
              </w:rPr>
              <w:t> </w:t>
            </w:r>
            <w:r>
              <w:rPr>
                <w:rFonts w:ascii="宋体" w:hAnsi="宋体" w:cs="宋体" w:eastAsia="宋体" w:hint="default"/>
                <w:spacing w:val="8"/>
                <w:sz w:val="28"/>
                <w:szCs w:val="28"/>
              </w:rPr>
              <w:t>本，分析被投资单位的财务信息</w:t>
            </w:r>
            <w:r>
              <w:rPr>
                <w:rFonts w:ascii="宋体" w:hAnsi="宋体" w:cs="宋体" w:eastAsia="宋体" w:hint="default"/>
                <w:w w:val="99"/>
                <w:sz w:val="28"/>
                <w:szCs w:val="28"/>
              </w:rPr>
              <w:t> </w:t>
            </w:r>
            <w:r>
              <w:rPr>
                <w:rFonts w:ascii="宋体" w:hAnsi="宋体" w:cs="宋体" w:eastAsia="宋体" w:hint="default"/>
                <w:spacing w:val="8"/>
                <w:sz w:val="28"/>
                <w:szCs w:val="28"/>
              </w:rPr>
              <w:t>及所在行业信息，判断管理层对</w:t>
            </w:r>
            <w:r>
              <w:rPr>
                <w:rFonts w:ascii="宋体" w:hAnsi="宋体" w:cs="宋体" w:eastAsia="宋体" w:hint="default"/>
                <w:w w:val="99"/>
                <w:sz w:val="28"/>
                <w:szCs w:val="28"/>
              </w:rPr>
              <w:t> </w:t>
            </w:r>
            <w:r>
              <w:rPr>
                <w:rFonts w:ascii="宋体" w:hAnsi="宋体" w:cs="宋体" w:eastAsia="宋体" w:hint="default"/>
                <w:spacing w:val="8"/>
                <w:sz w:val="28"/>
                <w:szCs w:val="28"/>
              </w:rPr>
              <w:t>其减值迹象的判断是否合理；分</w:t>
            </w:r>
            <w:r>
              <w:rPr>
                <w:rFonts w:ascii="宋体" w:hAnsi="宋体" w:cs="宋体" w:eastAsia="宋体" w:hint="default"/>
                <w:w w:val="99"/>
                <w:sz w:val="28"/>
                <w:szCs w:val="28"/>
              </w:rPr>
              <w:t> </w:t>
            </w:r>
            <w:r>
              <w:rPr>
                <w:rFonts w:ascii="宋体" w:hAnsi="宋体" w:cs="宋体" w:eastAsia="宋体" w:hint="default"/>
                <w:spacing w:val="8"/>
                <w:sz w:val="28"/>
                <w:szCs w:val="28"/>
              </w:rPr>
              <w:t>析现金流量的预测及折现率的选</w:t>
            </w:r>
            <w:r>
              <w:rPr>
                <w:rFonts w:ascii="宋体" w:hAnsi="宋体" w:cs="宋体" w:eastAsia="宋体" w:hint="default"/>
                <w:w w:val="99"/>
                <w:sz w:val="28"/>
                <w:szCs w:val="28"/>
              </w:rPr>
              <w:t> </w:t>
            </w:r>
            <w:r>
              <w:rPr>
                <w:rFonts w:ascii="宋体" w:hAnsi="宋体" w:cs="宋体" w:eastAsia="宋体" w:hint="default"/>
                <w:sz w:val="28"/>
                <w:szCs w:val="28"/>
              </w:rPr>
              <w:t>择是否合理。</w:t>
            </w:r>
            <w:r>
              <w:rPr>
                <w:rFonts w:ascii="宋体" w:hAnsi="宋体" w:cs="宋体" w:eastAsia="宋体" w:hint="default"/>
                <w:w w:val="99"/>
                <w:sz w:val="28"/>
                <w:szCs w:val="28"/>
              </w:rPr>
              <w:t> </w:t>
            </w:r>
            <w:r>
              <w:rPr>
                <w:rFonts w:ascii="Times New Roman" w:hAnsi="Times New Roman" w:cs="Times New Roman" w:eastAsia="Times New Roman" w:hint="default"/>
                <w:spacing w:val="-6"/>
                <w:sz w:val="28"/>
                <w:szCs w:val="28"/>
              </w:rPr>
              <w:t>D</w:t>
            </w:r>
            <w:r>
              <w:rPr>
                <w:rFonts w:ascii="宋体" w:hAnsi="宋体" w:cs="宋体" w:eastAsia="宋体" w:hint="default"/>
                <w:spacing w:val="-6"/>
                <w:sz w:val="28"/>
                <w:szCs w:val="28"/>
              </w:rPr>
              <w:t>、对于发生减值或损失的可供出</w:t>
            </w:r>
            <w:r>
              <w:rPr>
                <w:rFonts w:ascii="宋体" w:hAnsi="宋体" w:cs="宋体" w:eastAsia="宋体" w:hint="default"/>
                <w:w w:val="99"/>
                <w:sz w:val="28"/>
                <w:szCs w:val="28"/>
              </w:rPr>
              <w:t> </w:t>
            </w:r>
            <w:r>
              <w:rPr>
                <w:rFonts w:ascii="宋体" w:hAnsi="宋体" w:cs="宋体" w:eastAsia="宋体" w:hint="default"/>
                <w:spacing w:val="8"/>
                <w:sz w:val="28"/>
                <w:szCs w:val="28"/>
              </w:rPr>
              <w:t>售金融资产，我们测试了管理层</w:t>
            </w:r>
            <w:r>
              <w:rPr>
                <w:rFonts w:ascii="宋体" w:hAnsi="宋体" w:cs="宋体" w:eastAsia="宋体" w:hint="default"/>
                <w:w w:val="99"/>
                <w:sz w:val="28"/>
                <w:szCs w:val="28"/>
              </w:rPr>
              <w:t> </w:t>
            </w:r>
            <w:r>
              <w:rPr>
                <w:rFonts w:ascii="宋体" w:hAnsi="宋体" w:cs="宋体" w:eastAsia="宋体" w:hint="default"/>
                <w:sz w:val="28"/>
                <w:szCs w:val="28"/>
              </w:rPr>
              <w:t>计提的减值准备的金额。我们</w:t>
            </w:r>
            <w:r>
              <w:rPr>
                <w:rFonts w:ascii="宋体" w:hAnsi="宋体" w:cs="宋体" w:eastAsia="宋体" w:hint="default"/>
                <w:spacing w:val="-28"/>
                <w:sz w:val="28"/>
                <w:szCs w:val="28"/>
              </w:rPr>
              <w:t> </w:t>
            </w:r>
            <w:r>
              <w:rPr>
                <w:rFonts w:ascii="宋体" w:hAnsi="宋体" w:cs="宋体" w:eastAsia="宋体" w:hint="default"/>
                <w:sz w:val="28"/>
                <w:szCs w:val="28"/>
              </w:rPr>
              <w:t>在</w:t>
            </w:r>
            <w:r>
              <w:rPr>
                <w:rFonts w:ascii="宋体" w:hAnsi="宋体" w:cs="宋体" w:eastAsia="宋体" w:hint="default"/>
                <w:w w:val="99"/>
                <w:sz w:val="28"/>
                <w:szCs w:val="28"/>
              </w:rPr>
              <w:t> </w:t>
            </w:r>
            <w:r>
              <w:rPr>
                <w:rFonts w:ascii="宋体" w:hAnsi="宋体" w:cs="宋体" w:eastAsia="宋体" w:hint="default"/>
                <w:spacing w:val="8"/>
                <w:sz w:val="28"/>
                <w:szCs w:val="28"/>
              </w:rPr>
              <w:t>测试过程中分析了被投资单位的</w:t>
            </w:r>
          </w:p>
          <w:p>
            <w:pPr>
              <w:pStyle w:val="TableParagraph"/>
              <w:spacing w:line="240" w:lineRule="auto" w:before="64"/>
              <w:ind w:left="2" w:right="0"/>
              <w:jc w:val="left"/>
              <w:rPr>
                <w:rFonts w:ascii="宋体" w:hAnsi="宋体" w:cs="宋体" w:eastAsia="宋体" w:hint="default"/>
                <w:sz w:val="28"/>
                <w:szCs w:val="28"/>
              </w:rPr>
            </w:pPr>
            <w:r>
              <w:rPr>
                <w:rFonts w:ascii="宋体" w:hAnsi="宋体" w:cs="宋体" w:eastAsia="宋体" w:hint="default"/>
                <w:spacing w:val="8"/>
                <w:sz w:val="28"/>
                <w:szCs w:val="28"/>
              </w:rPr>
              <w:t>财务状况、可持续经营能力及确</w:t>
            </w:r>
          </w:p>
        </w:tc>
      </w:tr>
    </w:tbl>
    <w:p>
      <w:pPr>
        <w:spacing w:after="0" w:line="240" w:lineRule="auto"/>
        <w:jc w:val="left"/>
        <w:rPr>
          <w:rFonts w:ascii="宋体" w:hAnsi="宋体" w:cs="宋体" w:eastAsia="宋体" w:hint="default"/>
          <w:sz w:val="28"/>
          <w:szCs w:val="28"/>
        </w:rPr>
        <w:sectPr>
          <w:pgSz w:w="11910" w:h="16840"/>
          <w:pgMar w:header="877" w:footer="979" w:top="1060" w:bottom="1160" w:left="0" w:right="0"/>
        </w:sectPr>
      </w:pPr>
    </w:p>
    <w:p>
      <w:pPr>
        <w:spacing w:line="240" w:lineRule="auto" w:before="4"/>
        <w:rPr>
          <w:rFonts w:ascii="Times New Roman" w:hAnsi="Times New Roman" w:cs="Times New Roman" w:eastAsia="Times New Roman" w:hint="default"/>
          <w:sz w:val="3"/>
          <w:szCs w:val="3"/>
        </w:rPr>
      </w:pPr>
    </w:p>
    <w:p>
      <w:pPr>
        <w:spacing w:line="20" w:lineRule="exact"/>
        <w:ind w:left="109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9"/>
        <w:rPr>
          <w:rFonts w:ascii="Times New Roman" w:hAnsi="Times New Roman" w:cs="Times New Roman" w:eastAsia="Times New Roman" w:hint="default"/>
          <w:sz w:val="26"/>
          <w:szCs w:val="26"/>
        </w:rPr>
      </w:pPr>
    </w:p>
    <w:p>
      <w:pPr>
        <w:spacing w:line="688" w:lineRule="exact"/>
        <w:ind w:left="112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3"/>
          <w:sz w:val="20"/>
          <w:szCs w:val="20"/>
        </w:rPr>
        <w:pict>
          <v:group style="width:410.55pt;height:34.450pt;mso-position-horizontal-relative:char;mso-position-vertical-relative:line" coordorigin="0,0" coordsize="8211,689">
            <v:group style="position:absolute;left:14;top:14;width:4127;height:2" coordorigin="14,14" coordsize="4127,2">
              <v:shape style="position:absolute;left:14;top:14;width:4127;height:2" coordorigin="14,14" coordsize="4127,0" path="m14,14l4141,14e" filled="false" stroked="true" strokeweight=".72pt" strokecolor="#000000">
                <v:path arrowok="t"/>
              </v:shape>
            </v:group>
            <v:group style="position:absolute;left:4155;top:14;width:4041;height:2" coordorigin="4155,14" coordsize="4041,2">
              <v:shape style="position:absolute;left:4155;top:14;width:4041;height:2" coordorigin="4155,14" coordsize="4041,0" path="m4155,14l8196,14e" filled="false" stroked="true" strokeweight=".72pt" strokecolor="#000000">
                <v:path arrowok="t"/>
              </v:shape>
            </v:group>
            <v:group style="position:absolute;left:7;top:7;width:2;height:675" coordorigin="7,7" coordsize="2,675">
              <v:shape style="position:absolute;left:7;top:7;width:2;height:675" coordorigin="7,7" coordsize="0,675" path="m7,7l7,682e" filled="false" stroked="true" strokeweight=".72pt" strokecolor="#000000">
                <v:path arrowok="t"/>
              </v:shape>
            </v:group>
            <v:group style="position:absolute;left:14;top:674;width:4127;height:2" coordorigin="14,674" coordsize="4127,2">
              <v:shape style="position:absolute;left:14;top:674;width:4127;height:2" coordorigin="14,674" coordsize="4127,0" path="m14,674l4141,674e" filled="false" stroked="true" strokeweight=".72pt" strokecolor="#000000">
                <v:path arrowok="t"/>
              </v:shape>
            </v:group>
            <v:group style="position:absolute;left:4148;top:7;width:2;height:675" coordorigin="4148,7" coordsize="2,675">
              <v:shape style="position:absolute;left:4148;top:7;width:2;height:675" coordorigin="4148,7" coordsize="0,675" path="m4148,7l4148,682e" filled="false" stroked="true" strokeweight=".72pt" strokecolor="#000000">
                <v:path arrowok="t"/>
              </v:shape>
            </v:group>
            <v:group style="position:absolute;left:4155;top:674;width:4041;height:2" coordorigin="4155,674" coordsize="4041,2">
              <v:shape style="position:absolute;left:4155;top:674;width:4041;height:2" coordorigin="4155,674" coordsize="4041,0" path="m4155,674l8196,674e" filled="false" stroked="true" strokeweight=".72pt" strokecolor="#000000">
                <v:path arrowok="t"/>
              </v:shape>
            </v:group>
            <v:group style="position:absolute;left:8203;top:7;width:2;height:675" coordorigin="8203,7" coordsize="2,675">
              <v:shape style="position:absolute;left:8203;top:7;width:2;height:675" coordorigin="8203,7" coordsize="0,675" path="m8203,7l8203,682e" filled="false" stroked="true" strokeweight=".72pt" strokecolor="#000000">
                <v:path arrowok="t"/>
              </v:shape>
              <v:shape style="position:absolute;left:4148;top:14;width:4056;height:660" type="#_x0000_t202" filled="false" stroked="false">
                <v:textbox inset="0,0,0,0">
                  <w:txbxContent>
                    <w:p>
                      <w:pPr>
                        <w:spacing w:before="102"/>
                        <w:ind w:left="9" w:right="0" w:firstLine="0"/>
                        <w:jc w:val="left"/>
                        <w:rPr>
                          <w:rFonts w:ascii="宋体" w:hAnsi="宋体" w:cs="宋体" w:eastAsia="宋体" w:hint="default"/>
                          <w:sz w:val="28"/>
                          <w:szCs w:val="28"/>
                        </w:rPr>
                      </w:pPr>
                      <w:r>
                        <w:rPr>
                          <w:rFonts w:ascii="宋体" w:hAnsi="宋体" w:cs="宋体" w:eastAsia="宋体" w:hint="default"/>
                          <w:sz w:val="28"/>
                          <w:szCs w:val="28"/>
                        </w:rPr>
                        <w:t>定的预计可收回金额的适当性。</w:t>
                      </w:r>
                    </w:p>
                  </w:txbxContent>
                </v:textbox>
                <w10:wrap type="none"/>
              </v:shape>
            </v:group>
          </v:group>
        </w:pict>
      </w:r>
      <w:r>
        <w:rPr>
          <w:rFonts w:ascii="Times New Roman" w:hAnsi="Times New Roman" w:cs="Times New Roman" w:eastAsia="Times New Roman" w:hint="default"/>
          <w:position w:val="-13"/>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9"/>
          <w:szCs w:val="19"/>
        </w:rPr>
      </w:pPr>
    </w:p>
    <w:p>
      <w:pPr>
        <w:pStyle w:val="Heading2"/>
        <w:spacing w:line="240" w:lineRule="auto" w:before="13"/>
        <w:ind w:right="998"/>
        <w:jc w:val="left"/>
        <w:rPr>
          <w:b w:val="0"/>
          <w:bCs w:val="0"/>
        </w:rPr>
      </w:pPr>
      <w:r>
        <w:rPr/>
        <w:t>四、其他信息</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39"/>
          <w:szCs w:val="39"/>
        </w:rPr>
      </w:pPr>
    </w:p>
    <w:p>
      <w:pPr>
        <w:pStyle w:val="Heading3"/>
        <w:spacing w:line="408" w:lineRule="auto"/>
        <w:ind w:right="1249"/>
        <w:jc w:val="both"/>
      </w:pPr>
      <w:r>
        <w:rPr>
          <w:w w:val="95"/>
        </w:rPr>
        <w:t>昆仑万维管理层（以下简称管理层）对其他信息负责。其他信息包括昆仑</w:t>
      </w:r>
      <w:r>
        <w:rPr>
          <w:w w:val="99"/>
        </w:rPr>
        <w:t> </w:t>
      </w:r>
      <w:r>
        <w:rPr/>
        <w:t>万维</w:t>
      </w:r>
      <w:r>
        <w:rPr>
          <w:rFonts w:ascii="Times New Roman" w:hAnsi="Times New Roman" w:cs="Times New Roman" w:eastAsia="Times New Roman" w:hint="default"/>
        </w:rPr>
        <w:t>2017</w:t>
      </w:r>
      <w:r>
        <w:rPr/>
        <w:t>年年度报告中涵盖的信息，但不包括财务报表和我们的审计报告。</w:t>
      </w:r>
    </w:p>
    <w:p>
      <w:pPr>
        <w:pStyle w:val="Heading3"/>
        <w:spacing w:line="408" w:lineRule="auto" w:before="19"/>
        <w:ind w:right="1249"/>
        <w:jc w:val="both"/>
      </w:pPr>
      <w:r>
        <w:rPr>
          <w:w w:val="95"/>
        </w:rPr>
        <w:t>我们对财务报表发表的审计意见不涵盖其他信息，我们也不对其他信息发</w:t>
      </w:r>
      <w:r>
        <w:rPr>
          <w:w w:val="99"/>
        </w:rPr>
        <w:t> </w:t>
      </w:r>
      <w:r>
        <w:rPr/>
        <w:t>表任何形式的鉴证结论。</w:t>
      </w:r>
    </w:p>
    <w:p>
      <w:pPr>
        <w:pStyle w:val="Heading3"/>
        <w:spacing w:line="408" w:lineRule="auto" w:before="61"/>
        <w:ind w:right="1249"/>
        <w:jc w:val="both"/>
      </w:pPr>
      <w:r>
        <w:rPr>
          <w:w w:val="95"/>
        </w:rPr>
        <w:t>结合我们对财务报表的审计，我们的责任是阅读其他信息，在此过程中，</w:t>
      </w:r>
      <w:r>
        <w:rPr>
          <w:w w:val="99"/>
        </w:rPr>
        <w:t> </w:t>
      </w:r>
      <w:r>
        <w:rPr/>
        <w:t>考虑其他信息是否与财务报表或我们在审计过程中了解到的情况存在重大不一</w:t>
      </w:r>
      <w:r>
        <w:rPr>
          <w:w w:val="99"/>
        </w:rPr>
        <w:t> </w:t>
      </w:r>
      <w:r>
        <w:rPr/>
        <w:t>致或者似乎存在重大错报。</w:t>
      </w:r>
    </w:p>
    <w:p>
      <w:pPr>
        <w:pStyle w:val="Heading3"/>
        <w:spacing w:line="408" w:lineRule="auto" w:before="62"/>
        <w:ind w:right="1245"/>
        <w:jc w:val="both"/>
      </w:pPr>
      <w:r>
        <w:rPr>
          <w:w w:val="95"/>
        </w:rPr>
        <w:t>基于我们已执行的工作，如果我们确定其他信息存在重大错报，我们应当</w:t>
      </w:r>
      <w:r>
        <w:rPr>
          <w:w w:val="99"/>
        </w:rPr>
        <w:t> </w:t>
      </w:r>
      <w:r>
        <w:rPr/>
        <w:t>报告该事实。在这方面，我们无任何事项需要报告。</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pStyle w:val="Heading2"/>
        <w:spacing w:line="240" w:lineRule="auto"/>
        <w:ind w:right="998"/>
        <w:jc w:val="left"/>
        <w:rPr>
          <w:b w:val="0"/>
          <w:bCs w:val="0"/>
        </w:rPr>
      </w:pPr>
      <w:r>
        <w:rPr/>
        <w:t>五、管理层和治理层对财务报表的责任</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39"/>
          <w:szCs w:val="39"/>
        </w:rPr>
      </w:pPr>
    </w:p>
    <w:p>
      <w:pPr>
        <w:pStyle w:val="Heading3"/>
        <w:spacing w:line="408" w:lineRule="auto"/>
        <w:ind w:right="1249"/>
        <w:jc w:val="both"/>
      </w:pPr>
      <w:r>
        <w:rPr>
          <w:w w:val="95"/>
        </w:rPr>
        <w:t>管理层负责按照企业会计准则的规定编制财务报表，使其实现公允反映，</w:t>
      </w:r>
      <w:r>
        <w:rPr>
          <w:w w:val="99"/>
        </w:rPr>
        <w:t> </w:t>
      </w:r>
      <w:r>
        <w:rPr/>
        <w:t>并设计、执行和维护必要的内部控制，以使财务报表不存在由于舞弊或错误导</w:t>
      </w:r>
      <w:r>
        <w:rPr>
          <w:w w:val="99"/>
        </w:rPr>
        <w:t> </w:t>
      </w:r>
      <w:r>
        <w:rPr/>
        <w:t>致的重大错报。</w:t>
      </w:r>
    </w:p>
    <w:p>
      <w:pPr>
        <w:pStyle w:val="Heading3"/>
        <w:spacing w:line="408" w:lineRule="auto" w:before="61"/>
        <w:ind w:right="1249"/>
        <w:jc w:val="both"/>
      </w:pPr>
      <w:r>
        <w:rPr>
          <w:w w:val="95"/>
        </w:rPr>
        <w:t>在编制财务报表时，管理层负责评估昆仑万维的持续经营能力，披露与持</w:t>
      </w:r>
      <w:r>
        <w:rPr>
          <w:w w:val="99"/>
        </w:rPr>
        <w:t> </w:t>
      </w:r>
      <w:r>
        <w:rPr/>
        <w:t>续经营相关的事项（如适用），并运用持续经营假设，除非计划进行清算、终</w:t>
      </w:r>
      <w:r>
        <w:rPr>
          <w:w w:val="99"/>
        </w:rPr>
        <w:t> </w:t>
      </w:r>
      <w:r>
        <w:rPr/>
        <w:t>止运营或别无其他现实的选择。</w:t>
      </w:r>
    </w:p>
    <w:p>
      <w:pPr>
        <w:spacing w:after="0" w:line="408" w:lineRule="auto"/>
        <w:jc w:val="both"/>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Heading3"/>
        <w:spacing w:line="240" w:lineRule="auto" w:before="13"/>
        <w:ind w:left="1701" w:right="998" w:firstLine="0"/>
        <w:jc w:val="left"/>
      </w:pPr>
      <w:r>
        <w:rPr/>
        <w:t>治理层负责监督昆仑万维的财务报告过程。</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39"/>
          <w:szCs w:val="39"/>
        </w:rPr>
      </w:pPr>
    </w:p>
    <w:p>
      <w:pPr>
        <w:pStyle w:val="Heading2"/>
        <w:spacing w:line="240" w:lineRule="auto"/>
        <w:ind w:right="998"/>
        <w:jc w:val="left"/>
        <w:rPr>
          <w:b w:val="0"/>
          <w:bCs w:val="0"/>
        </w:rPr>
      </w:pPr>
      <w:r>
        <w:rPr/>
        <w:t>六、注册会计师对财务报表审计的责任</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39"/>
          <w:szCs w:val="39"/>
        </w:rPr>
      </w:pPr>
    </w:p>
    <w:p>
      <w:pPr>
        <w:pStyle w:val="Heading3"/>
        <w:spacing w:line="408" w:lineRule="auto"/>
        <w:ind w:right="1247"/>
        <w:jc w:val="both"/>
      </w:pPr>
      <w:r>
        <w:rPr>
          <w:w w:val="95"/>
        </w:rPr>
        <w:t>我们的目标是对财务报表整体是否不存在由于舞弊或错误导致的重大错报</w:t>
      </w:r>
      <w:r>
        <w:rPr>
          <w:w w:val="99"/>
        </w:rPr>
        <w:t> </w:t>
      </w:r>
      <w:r>
        <w:rPr/>
        <w:t>获取合理保证，并出具包含审计意见的审计报告。合理保证是高水平的保证，</w:t>
      </w:r>
      <w:r>
        <w:rPr>
          <w:w w:val="99"/>
        </w:rPr>
        <w:t> </w:t>
      </w:r>
      <w:r>
        <w:rPr/>
        <w:t>但并不能保证按照审计准则执行的审计在某一重大错报存在时总能发现。错报</w:t>
      </w:r>
      <w:r>
        <w:rPr>
          <w:w w:val="99"/>
        </w:rPr>
        <w:t> </w:t>
      </w:r>
      <w:r>
        <w:rPr/>
        <w:t>可能由于舞弊或错误导致，如果合理预期错报单独或汇总起来可能影响财务报</w:t>
      </w:r>
      <w:r>
        <w:rPr>
          <w:w w:val="99"/>
        </w:rPr>
        <w:t> </w:t>
      </w:r>
      <w:r>
        <w:rPr/>
        <w:t>表使用者依据财务报表作出的经济决策，则通常认为错报是重大的。</w:t>
      </w:r>
    </w:p>
    <w:p>
      <w:pPr>
        <w:pStyle w:val="Heading3"/>
        <w:spacing w:line="408" w:lineRule="auto" w:before="61"/>
        <w:ind w:right="998"/>
        <w:jc w:val="left"/>
      </w:pPr>
      <w:r>
        <w:rPr>
          <w:w w:val="95"/>
        </w:rPr>
        <w:t>在按照审计准则执行审计工作的过程中，我们运用职业判断，并保持职业</w:t>
      </w:r>
      <w:r>
        <w:rPr>
          <w:w w:val="99"/>
        </w:rPr>
        <w:t> </w:t>
      </w:r>
      <w:r>
        <w:rPr/>
        <w:t>怀疑。同时，我们也执行以下工作：</w:t>
      </w:r>
    </w:p>
    <w:p>
      <w:pPr>
        <w:pStyle w:val="Heading3"/>
        <w:spacing w:line="403" w:lineRule="auto" w:before="62"/>
        <w:ind w:right="1118"/>
        <w:jc w:val="left"/>
      </w:pPr>
      <w:r>
        <w:rPr>
          <w:spacing w:val="-1"/>
        </w:rPr>
        <w:t>（</w:t>
      </w:r>
      <w:r>
        <w:rPr>
          <w:rFonts w:ascii="Times New Roman" w:hAnsi="Times New Roman" w:cs="Times New Roman" w:eastAsia="Times New Roman" w:hint="default"/>
          <w:spacing w:val="-1"/>
        </w:rPr>
        <w:t>1</w:t>
      </w:r>
      <w:r>
        <w:rPr>
          <w:spacing w:val="-1"/>
        </w:rPr>
        <w:t>）识别和评估由于舞弊或错误导致的财务报表重大错报风险，设计和实</w:t>
      </w:r>
      <w:r>
        <w:rPr>
          <w:w w:val="99"/>
        </w:rPr>
        <w:t> </w:t>
      </w:r>
      <w:r>
        <w:rPr/>
        <w:t>施审计程序以应对这些风险，并获取充分、适当的审计证据，作为发表审计意</w:t>
      </w:r>
      <w:r>
        <w:rPr>
          <w:w w:val="99"/>
        </w:rPr>
        <w:t> </w:t>
      </w:r>
      <w:r>
        <w:rPr/>
        <w:t>见的基础。由于舞弊可能涉及串通、伪造、故意遗漏、虚假陈述或凌驾于内部</w:t>
      </w:r>
      <w:r>
        <w:rPr>
          <w:w w:val="99"/>
        </w:rPr>
        <w:t> </w:t>
      </w:r>
      <w:r>
        <w:rPr/>
        <w:t>控制之上，未能发现由于舞弊导致的重大错报的风险高于未能发现由于错误导</w:t>
      </w:r>
      <w:r>
        <w:rPr>
          <w:w w:val="99"/>
        </w:rPr>
        <w:t> </w:t>
      </w:r>
      <w:r>
        <w:rPr/>
        <w:t>致的重大错报的风险。</w:t>
      </w:r>
    </w:p>
    <w:p>
      <w:pPr>
        <w:pStyle w:val="Heading3"/>
        <w:spacing w:line="386" w:lineRule="auto" w:before="67"/>
        <w:ind w:right="1118"/>
        <w:jc w:val="left"/>
      </w:pPr>
      <w:r>
        <w:rPr>
          <w:spacing w:val="-1"/>
        </w:rPr>
        <w:t>（</w:t>
      </w:r>
      <w:r>
        <w:rPr>
          <w:rFonts w:ascii="Times New Roman" w:hAnsi="Times New Roman" w:cs="Times New Roman" w:eastAsia="Times New Roman" w:hint="default"/>
          <w:spacing w:val="-1"/>
        </w:rPr>
        <w:t>2</w:t>
      </w:r>
      <w:r>
        <w:rPr>
          <w:spacing w:val="-1"/>
        </w:rPr>
        <w:t>）了解与审计相关的内部控制，以设计恰当的审计程序，但目的并非对</w:t>
      </w:r>
      <w:r>
        <w:rPr>
          <w:w w:val="99"/>
        </w:rPr>
        <w:t> </w:t>
      </w:r>
      <w:r>
        <w:rPr/>
        <w:t>内部控制的有效性发表意见。</w:t>
      </w:r>
    </w:p>
    <w:p>
      <w:pPr>
        <w:pStyle w:val="Heading3"/>
        <w:spacing w:line="240" w:lineRule="auto" w:before="86"/>
        <w:ind w:left="1702" w:right="998" w:firstLine="0"/>
        <w:jc w:val="left"/>
      </w:pPr>
      <w:r>
        <w:rPr/>
        <w:t>（</w:t>
      </w:r>
      <w:r>
        <w:rPr>
          <w:rFonts w:ascii="Times New Roman" w:hAnsi="Times New Roman" w:cs="Times New Roman" w:eastAsia="Times New Roman" w:hint="default"/>
        </w:rPr>
        <w:t>3</w:t>
      </w:r>
      <w:r>
        <w:rPr/>
        <w:t>）评价管理层选用会计政策的恰当性和作出会计估计及相关披露的合理</w:t>
      </w:r>
    </w:p>
    <w:p>
      <w:pPr>
        <w:pStyle w:val="Heading3"/>
        <w:spacing w:line="240" w:lineRule="auto" w:before="236"/>
        <w:ind w:right="998" w:firstLine="0"/>
        <w:jc w:val="left"/>
      </w:pPr>
      <w:r>
        <w:rPr/>
        <w:t>性。</w:t>
      </w:r>
    </w:p>
    <w:p>
      <w:pPr>
        <w:spacing w:line="240" w:lineRule="auto" w:before="9"/>
        <w:rPr>
          <w:rFonts w:ascii="宋体" w:hAnsi="宋体" w:cs="宋体" w:eastAsia="宋体" w:hint="default"/>
          <w:sz w:val="19"/>
          <w:szCs w:val="19"/>
        </w:rPr>
      </w:pPr>
    </w:p>
    <w:p>
      <w:pPr>
        <w:pStyle w:val="Heading3"/>
        <w:spacing w:line="386" w:lineRule="auto"/>
        <w:ind w:right="1118"/>
        <w:jc w:val="left"/>
      </w:pPr>
      <w:r>
        <w:rPr>
          <w:spacing w:val="-1"/>
        </w:rPr>
        <w:t>（</w:t>
      </w:r>
      <w:r>
        <w:rPr>
          <w:rFonts w:ascii="Times New Roman" w:hAnsi="Times New Roman" w:cs="Times New Roman" w:eastAsia="Times New Roman" w:hint="default"/>
          <w:spacing w:val="-1"/>
        </w:rPr>
        <w:t>4</w:t>
      </w:r>
      <w:r>
        <w:rPr>
          <w:spacing w:val="-1"/>
        </w:rPr>
        <w:t>）对管理层使用持续经营假设的恰当性得出结论。同时，根据获取的审</w:t>
      </w:r>
      <w:r>
        <w:rPr>
          <w:w w:val="99"/>
        </w:rPr>
        <w:t> </w:t>
      </w:r>
      <w:r>
        <w:rPr/>
        <w:t>计证据，就可能导致对昆仑万维持续经营能力产生重大疑虑的事项或情况是否</w:t>
      </w:r>
    </w:p>
    <w:p>
      <w:pPr>
        <w:spacing w:after="0" w:line="386" w:lineRule="auto"/>
        <w:jc w:val="left"/>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Heading3"/>
        <w:spacing w:line="408" w:lineRule="auto" w:before="13"/>
        <w:ind w:right="1255" w:firstLine="0"/>
        <w:jc w:val="both"/>
      </w:pPr>
      <w:r>
        <w:rPr>
          <w:w w:val="95"/>
        </w:rPr>
        <w:t>存在重大不确定性得出结论。如果我们得出结论认为存在重大不确定性，审计</w:t>
      </w:r>
      <w:r>
        <w:rPr>
          <w:spacing w:val="65"/>
          <w:w w:val="95"/>
        </w:rPr>
        <w:t> </w:t>
      </w:r>
      <w:r>
        <w:rPr>
          <w:spacing w:val="65"/>
          <w:w w:val="95"/>
        </w:rPr>
      </w:r>
      <w:r>
        <w:rPr>
          <w:w w:val="95"/>
        </w:rPr>
        <w:t>准则要求我们在审计报告中提请报表使用者注意财务报表中的相关披露；如果</w:t>
      </w:r>
      <w:r>
        <w:rPr>
          <w:spacing w:val="63"/>
          <w:w w:val="95"/>
        </w:rPr>
        <w:t> </w:t>
      </w:r>
      <w:r>
        <w:rPr>
          <w:w w:val="95"/>
        </w:rPr>
        <w:t>披露不充分，我们应当发表非无保留意见。我们的结论基于截至审计报告日可</w:t>
      </w:r>
      <w:r>
        <w:rPr>
          <w:spacing w:val="63"/>
          <w:w w:val="95"/>
        </w:rPr>
        <w:t> </w:t>
      </w:r>
      <w:r>
        <w:rPr/>
        <w:t>获得的信息。然而，未来的事项或情况可能导致昆仑万维不能持续经营。</w:t>
      </w:r>
    </w:p>
    <w:p>
      <w:pPr>
        <w:pStyle w:val="Heading3"/>
        <w:spacing w:line="386" w:lineRule="auto" w:before="61"/>
        <w:ind w:right="1118"/>
        <w:jc w:val="left"/>
      </w:pPr>
      <w:r>
        <w:rPr>
          <w:spacing w:val="-1"/>
        </w:rPr>
        <w:t>（</w:t>
      </w:r>
      <w:r>
        <w:rPr>
          <w:rFonts w:ascii="Times New Roman" w:hAnsi="Times New Roman" w:cs="Times New Roman" w:eastAsia="Times New Roman" w:hint="default"/>
          <w:spacing w:val="-1"/>
        </w:rPr>
        <w:t>5</w:t>
      </w:r>
      <w:r>
        <w:rPr>
          <w:spacing w:val="-1"/>
        </w:rPr>
        <w:t>）评价财务报表的总体列报、结构和内容（包括披露），并评价财务报</w:t>
      </w:r>
      <w:r>
        <w:rPr>
          <w:w w:val="99"/>
        </w:rPr>
        <w:t> </w:t>
      </w:r>
      <w:r>
        <w:rPr/>
        <w:t>表是否公允反映相关交易和事项。</w:t>
      </w:r>
    </w:p>
    <w:p>
      <w:pPr>
        <w:pStyle w:val="Heading3"/>
        <w:spacing w:line="398" w:lineRule="auto" w:before="86"/>
        <w:ind w:right="998"/>
        <w:jc w:val="left"/>
      </w:pPr>
      <w:r>
        <w:rPr>
          <w:spacing w:val="-5"/>
          <w:w w:val="95"/>
        </w:rPr>
        <w:t>（</w:t>
      </w:r>
      <w:r>
        <w:rPr>
          <w:rFonts w:ascii="Times New Roman" w:hAnsi="Times New Roman" w:cs="Times New Roman" w:eastAsia="Times New Roman" w:hint="default"/>
          <w:spacing w:val="-5"/>
          <w:w w:val="95"/>
        </w:rPr>
        <w:t>6</w:t>
      </w:r>
      <w:r>
        <w:rPr>
          <w:spacing w:val="-5"/>
          <w:w w:val="95"/>
        </w:rPr>
        <w:t>）就昆仑万维中实体或业务活动的财务信息获取充分、适当的审计证据，</w:t>
      </w:r>
      <w:r>
        <w:rPr>
          <w:w w:val="99"/>
        </w:rPr>
        <w:t> </w:t>
      </w:r>
      <w:r>
        <w:rPr/>
        <w:t>以对财务报表发表审计意见。我们负责指导、监督和执行集团审计，并对审计</w:t>
      </w:r>
      <w:r>
        <w:rPr>
          <w:w w:val="99"/>
        </w:rPr>
        <w:t> </w:t>
      </w:r>
      <w:r>
        <w:rPr/>
        <w:t>意见承担全部责任。</w:t>
      </w:r>
    </w:p>
    <w:p>
      <w:pPr>
        <w:pStyle w:val="Heading3"/>
        <w:spacing w:line="408" w:lineRule="auto" w:before="72"/>
        <w:ind w:right="1247"/>
        <w:jc w:val="both"/>
      </w:pPr>
      <w:r>
        <w:rPr>
          <w:w w:val="95"/>
        </w:rPr>
        <w:t>我们与治理层就计划的审计范围、时间安排和重大审计发现等事项进行沟</w:t>
      </w:r>
      <w:r>
        <w:rPr>
          <w:w w:val="99"/>
        </w:rPr>
        <w:t> </w:t>
      </w:r>
      <w:r>
        <w:rPr/>
        <w:t>通，包括沟通我们在审计中识别出的值得关注的内部控制缺陷。</w:t>
      </w:r>
    </w:p>
    <w:p>
      <w:pPr>
        <w:pStyle w:val="Heading3"/>
        <w:spacing w:line="408" w:lineRule="auto" w:before="62"/>
        <w:ind w:left="1134" w:right="1249"/>
        <w:jc w:val="both"/>
      </w:pPr>
      <w:r>
        <w:rPr>
          <w:w w:val="95"/>
        </w:rPr>
        <w:t>我们还就已遵守与独立性相关的职业道德要求向治理层提供声明，并与治</w:t>
      </w:r>
      <w:r>
        <w:rPr>
          <w:w w:val="99"/>
        </w:rPr>
        <w:t> </w:t>
      </w:r>
      <w:r>
        <w:rPr/>
        <w:t>理层沟通可能被合理认为影响我们独立性的所有关系和其他事项，以及相关的</w:t>
      </w:r>
      <w:r>
        <w:rPr>
          <w:w w:val="99"/>
        </w:rPr>
        <w:t> </w:t>
      </w:r>
      <w:r>
        <w:rPr/>
        <w:t>防范措施（如适用）。</w:t>
      </w:r>
    </w:p>
    <w:p>
      <w:pPr>
        <w:pStyle w:val="Heading3"/>
        <w:spacing w:line="408" w:lineRule="auto" w:before="61"/>
        <w:ind w:left="1134" w:right="1249"/>
        <w:jc w:val="both"/>
      </w:pPr>
      <w:r>
        <w:rPr>
          <w:w w:val="95"/>
        </w:rPr>
        <w:t>从与治理层沟通过的事项中，我们确定哪些事项对本期财务报表审计最为</w:t>
      </w:r>
      <w:r>
        <w:rPr>
          <w:w w:val="99"/>
        </w:rPr>
        <w:t> </w:t>
      </w:r>
      <w:r>
        <w:rPr/>
        <w:t>重要，因而构成关键审计事项。我们在审计报告中描述这些事项，除非法律法</w:t>
      </w:r>
      <w:r>
        <w:rPr>
          <w:w w:val="99"/>
        </w:rPr>
        <w:t> </w:t>
      </w:r>
      <w:r>
        <w:rPr/>
        <w:t>规禁止公开披露这些事项，或在极少数情形下，如果合理预期在审计报告中沟</w:t>
      </w:r>
      <w:r>
        <w:rPr>
          <w:w w:val="99"/>
        </w:rPr>
        <w:t> </w:t>
      </w:r>
      <w:r>
        <w:rPr/>
        <w:t>通某事项造成的负面后果超过在公众利益方面产生的益处，我们确定不应在审</w:t>
      </w:r>
      <w:r>
        <w:rPr>
          <w:w w:val="99"/>
        </w:rPr>
        <w:t> </w:t>
      </w:r>
      <w:r>
        <w:rPr/>
        <w:t>计报告中沟通该事项。</w:t>
      </w:r>
    </w:p>
    <w:p>
      <w:pPr>
        <w:spacing w:after="0" w:line="408" w:lineRule="auto"/>
        <w:jc w:val="both"/>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Heading2"/>
        <w:tabs>
          <w:tab w:pos="4909" w:val="left" w:leader="none"/>
        </w:tabs>
        <w:spacing w:line="240" w:lineRule="auto" w:before="13"/>
        <w:ind w:left="1408" w:right="998"/>
        <w:jc w:val="left"/>
        <w:rPr>
          <w:b w:val="0"/>
          <w:bCs w:val="0"/>
        </w:rPr>
      </w:pPr>
      <w:r>
        <w:rPr>
          <w:w w:val="95"/>
        </w:rPr>
        <w:t>立信会计师事务所</w:t>
        <w:tab/>
      </w:r>
      <w:r>
        <w:rPr/>
        <w:t>中国注册会计师：</w:t>
      </w:r>
      <w:r>
        <w:rPr>
          <w:b w:val="0"/>
          <w:bCs w:val="0"/>
        </w:rPr>
      </w:r>
    </w:p>
    <w:p>
      <w:pPr>
        <w:spacing w:line="240" w:lineRule="auto" w:before="9"/>
        <w:rPr>
          <w:rFonts w:ascii="宋体" w:hAnsi="宋体" w:cs="宋体" w:eastAsia="宋体" w:hint="default"/>
          <w:b/>
          <w:bCs/>
          <w:sz w:val="19"/>
          <w:szCs w:val="19"/>
        </w:rPr>
      </w:pPr>
    </w:p>
    <w:p>
      <w:pPr>
        <w:pStyle w:val="Heading2"/>
        <w:tabs>
          <w:tab w:pos="4972" w:val="left" w:leader="none"/>
        </w:tabs>
        <w:spacing w:line="240" w:lineRule="auto"/>
        <w:ind w:left="1408" w:right="998"/>
        <w:jc w:val="left"/>
        <w:rPr>
          <w:b w:val="0"/>
          <w:bCs w:val="0"/>
        </w:rPr>
      </w:pPr>
      <w:r>
        <w:rPr>
          <w:w w:val="95"/>
        </w:rPr>
        <w:t>（特殊普通合伙）</w:t>
        <w:tab/>
      </w:r>
      <w:r>
        <w:rPr/>
        <w:t>（项目合伙人）</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10"/>
        <w:rPr>
          <w:rFonts w:ascii="宋体" w:hAnsi="宋体" w:cs="宋体" w:eastAsia="宋体" w:hint="default"/>
          <w:b/>
          <w:bCs/>
          <w:sz w:val="22"/>
          <w:szCs w:val="22"/>
        </w:rPr>
      </w:pPr>
    </w:p>
    <w:p>
      <w:pPr>
        <w:pStyle w:val="Heading2"/>
        <w:spacing w:line="240" w:lineRule="auto"/>
        <w:ind w:left="2724" w:right="3403"/>
        <w:jc w:val="center"/>
        <w:rPr>
          <w:b w:val="0"/>
          <w:bCs w:val="0"/>
        </w:rPr>
      </w:pPr>
      <w:r>
        <w:rPr/>
        <w:t>中国注册会计师：</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10"/>
        <w:rPr>
          <w:rFonts w:ascii="宋体" w:hAnsi="宋体" w:cs="宋体" w:eastAsia="宋体" w:hint="default"/>
          <w:b/>
          <w:bCs/>
          <w:sz w:val="22"/>
          <w:szCs w:val="22"/>
        </w:rPr>
      </w:pPr>
    </w:p>
    <w:p>
      <w:pPr>
        <w:pStyle w:val="Heading2"/>
        <w:tabs>
          <w:tab w:pos="4550" w:val="left" w:leader="none"/>
        </w:tabs>
        <w:spacing w:line="240" w:lineRule="auto"/>
        <w:ind w:left="1691" w:right="998"/>
        <w:jc w:val="left"/>
        <w:rPr>
          <w:b w:val="0"/>
          <w:bCs w:val="0"/>
        </w:rPr>
      </w:pPr>
      <w:r>
        <w:rPr>
          <w:w w:val="95"/>
        </w:rPr>
        <w:t>中国</w:t>
      </w:r>
      <w:r>
        <w:rPr>
          <w:rFonts w:ascii="Times New Roman" w:hAnsi="Times New Roman" w:cs="Times New Roman" w:eastAsia="Times New Roman" w:hint="default"/>
          <w:w w:val="95"/>
        </w:rPr>
        <w:t>•</w:t>
      </w:r>
      <w:r>
        <w:rPr>
          <w:w w:val="95"/>
        </w:rPr>
        <w:t>上海</w:t>
        <w:tab/>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19</w:t>
      </w:r>
      <w:r>
        <w:rPr/>
        <w:t>日</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pStyle w:val="Heading4"/>
        <w:spacing w:line="240" w:lineRule="auto" w:before="198"/>
        <w:ind w:left="1134" w:right="998"/>
        <w:jc w:val="left"/>
        <w:rPr>
          <w:b w:val="0"/>
          <w:bCs w:val="0"/>
        </w:rPr>
      </w:pPr>
      <w:bookmarkStart w:name="二、财务报表" w:id="169"/>
      <w:bookmarkEnd w:id="169"/>
      <w:r>
        <w:rPr>
          <w:b w:val="0"/>
          <w:bCs w:val="0"/>
        </w:rPr>
      </w:r>
      <w:r>
        <w:rPr/>
        <w:t>二、财务报表</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财务附注中报表的单位为：人民币元</w:t>
      </w:r>
    </w:p>
    <w:p>
      <w:pPr>
        <w:spacing w:line="240" w:lineRule="auto" w:before="10"/>
        <w:rPr>
          <w:rFonts w:ascii="宋体" w:hAnsi="宋体" w:cs="宋体" w:eastAsia="宋体" w:hint="default"/>
          <w:sz w:val="26"/>
          <w:szCs w:val="26"/>
        </w:rPr>
      </w:pPr>
    </w:p>
    <w:p>
      <w:pPr>
        <w:pStyle w:val="Heading6"/>
        <w:spacing w:line="240" w:lineRule="auto"/>
        <w:ind w:right="998"/>
        <w:jc w:val="left"/>
        <w:rPr>
          <w:b w:val="0"/>
          <w:bCs w:val="0"/>
        </w:rPr>
      </w:pPr>
      <w:bookmarkStart w:name="1、合并资产负债表" w:id="170"/>
      <w:bookmarkEnd w:id="170"/>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979" w:top="1060" w:bottom="1160" w:left="0" w:right="0"/>
        </w:sectPr>
      </w:pPr>
    </w:p>
    <w:p>
      <w:pPr>
        <w:spacing w:before="44"/>
        <w:ind w:left="1134" w:right="-20" w:firstLine="0"/>
        <w:jc w:val="left"/>
        <w:rPr>
          <w:rFonts w:ascii="宋体" w:hAnsi="宋体" w:cs="宋体" w:eastAsia="宋体" w:hint="default"/>
          <w:sz w:val="18"/>
          <w:szCs w:val="18"/>
        </w:rPr>
      </w:pPr>
      <w:r>
        <w:rPr>
          <w:rFonts w:ascii="宋体" w:hAnsi="宋体" w:cs="宋体" w:eastAsia="宋体" w:hint="default"/>
          <w:sz w:val="18"/>
          <w:szCs w:val="18"/>
        </w:rPr>
        <w:t>编制单位：北京昆仑万维科技股份有限公司</w:t>
      </w:r>
    </w:p>
    <w:p>
      <w:pPr>
        <w:spacing w:line="240" w:lineRule="auto" w:before="0"/>
        <w:rPr>
          <w:rFonts w:ascii="宋体" w:hAnsi="宋体" w:cs="宋体" w:eastAsia="宋体" w:hint="default"/>
          <w:sz w:val="18"/>
          <w:szCs w:val="18"/>
        </w:rPr>
      </w:pPr>
      <w:r>
        <w:rPr/>
        <w:br w:type="column"/>
      </w:r>
      <w:r>
        <w:rPr>
          <w:rFonts w:ascii="宋体"/>
          <w:sz w:val="18"/>
        </w:rPr>
      </w:r>
    </w:p>
    <w:p>
      <w:pPr>
        <w:spacing w:before="160"/>
        <w:ind w:left="617" w:right="-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单位：元</w:t>
      </w:r>
    </w:p>
    <w:p>
      <w:pPr>
        <w:spacing w:after="0"/>
        <w:jc w:val="center"/>
        <w:rPr>
          <w:rFonts w:ascii="宋体" w:hAnsi="宋体" w:cs="宋体" w:eastAsia="宋体" w:hint="default"/>
          <w:sz w:val="18"/>
          <w:szCs w:val="18"/>
        </w:rPr>
        <w:sectPr>
          <w:type w:val="continuous"/>
          <w:pgSz w:w="11910" w:h="16840"/>
          <w:pgMar w:top="1060" w:bottom="1160" w:left="0" w:right="0"/>
          <w:cols w:num="3" w:equalWidth="0">
            <w:col w:w="4555" w:space="40"/>
            <w:col w:w="2102" w:space="2223"/>
            <w:col w:w="2990"/>
          </w:cols>
        </w:sectPr>
      </w:pP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006" w:right="0"/>
              <w:jc w:val="left"/>
              <w:rPr>
                <w:rFonts w:ascii="Times New Roman" w:hAnsi="Times New Roman" w:cs="Times New Roman" w:eastAsia="Times New Roman" w:hint="default"/>
                <w:sz w:val="18"/>
                <w:szCs w:val="18"/>
              </w:rPr>
            </w:pPr>
            <w:r>
              <w:rPr>
                <w:rFonts w:ascii="Times New Roman"/>
                <w:sz w:val="18"/>
              </w:rPr>
              <w:t>2,033,688,090.38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07" w:right="0"/>
              <w:jc w:val="left"/>
              <w:rPr>
                <w:rFonts w:ascii="Times New Roman" w:hAnsi="Times New Roman" w:cs="Times New Roman" w:eastAsia="Times New Roman" w:hint="default"/>
                <w:sz w:val="18"/>
                <w:szCs w:val="18"/>
              </w:rPr>
            </w:pPr>
            <w:r>
              <w:rPr>
                <w:rFonts w:ascii="Times New Roman"/>
                <w:sz w:val="18"/>
              </w:rPr>
              <w:t>1,076,385,538.40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409,752,912.42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579,971,332.03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117,531,429.26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206,697,332.29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187,246,696.81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153,293,254.65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持有待售的资产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260,268,268.23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45,426,685.61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3,008,487,397.10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2,061,774,142.98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5,707,402,632.80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1,855,783,846.56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1,331,593,498.72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1,327,317,058.53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22,951,588.41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25,949,831.32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31,307,813.66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36,346,699.61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1,534,878,489.90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578,535,838.14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29,691,608.75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68,033,124.67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2,520,274.64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4,637,897.84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392,572,404.49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347,672,041.34</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9,052,918,311.37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4,244,276,338.01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12,061,405,708.47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6,306,050,480.99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1,144,367,076.67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982,902,879.96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242,184,967.74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350,480,107.65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387,208,043.63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254,318,829.33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62,764,175.02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31,486,635.12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25,212,887.05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42,730,948.82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36,544,842.20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30,561,771.30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8,911,620.10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45,502,167.45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147,118,848.63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645,043,746.34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持有待售的负债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2,054,312,461.04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2,383,027,085.97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962,777,761.81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719,641,668.05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167,071,215.51</w:t>
            </w: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14,814,975.74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22,344,259.11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1,144,663,953.06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741,985,927.16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3,198,976,414.10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3,125,013,013.13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1,151,897,160.00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1,126,866,019.00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1,409,096,461.24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952,037,214.10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128,017,464.75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258,951,660.27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4,005,195,181.77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-62,493,681.41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103,293,653.86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90,763,500.15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2,168,265,705.05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1,303,806,501.31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8,709,730,697.17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3,152,027,892.88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152,698,597.20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29,009,574.98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8,862,429,294.37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3,181,037,467.86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12,061,405,708.47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6,306,050,480.99</w:t>
            </w:r>
          </w:p>
        </w:tc>
      </w:tr>
    </w:tbl>
    <w:p>
      <w:pPr>
        <w:spacing w:line="240" w:lineRule="auto" w:before="3"/>
        <w:rPr>
          <w:rFonts w:ascii="Times New Roman" w:hAnsi="Times New Roman" w:cs="Times New Roman" w:eastAsia="Times New Roman" w:hint="default"/>
          <w:sz w:val="23"/>
          <w:szCs w:val="23"/>
        </w:rPr>
      </w:pPr>
    </w:p>
    <w:p>
      <w:pPr>
        <w:tabs>
          <w:tab w:pos="3420" w:val="left" w:leader="none"/>
          <w:tab w:pos="7561" w:val="left" w:leader="none"/>
        </w:tabs>
        <w:spacing w:before="44"/>
        <w:ind w:left="0" w:right="1229" w:firstLine="0"/>
        <w:jc w:val="right"/>
        <w:rPr>
          <w:rFonts w:ascii="宋体" w:hAnsi="宋体" w:cs="宋体" w:eastAsia="宋体" w:hint="default"/>
          <w:sz w:val="18"/>
          <w:szCs w:val="18"/>
        </w:rPr>
      </w:pPr>
      <w:r>
        <w:rPr>
          <w:rFonts w:ascii="宋体" w:hAnsi="宋体" w:cs="宋体" w:eastAsia="宋体" w:hint="default"/>
          <w:sz w:val="18"/>
          <w:szCs w:val="18"/>
        </w:rPr>
        <w:t>法定代表人：周亚辉</w:t>
        <w:tab/>
        <w:t>主管会计工作负责人：王立伟</w:t>
        <w:tab/>
        <w:t>会计机构负责人：马苓月</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2、母公司资产负债表" w:id="171"/>
      <w:bookmarkEnd w:id="171"/>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142" w:right="0"/>
              <w:jc w:val="left"/>
              <w:rPr>
                <w:rFonts w:ascii="Times New Roman" w:hAnsi="Times New Roman" w:cs="Times New Roman" w:eastAsia="Times New Roman" w:hint="default"/>
                <w:sz w:val="18"/>
                <w:szCs w:val="18"/>
              </w:rPr>
            </w:pPr>
            <w:r>
              <w:rPr>
                <w:rFonts w:ascii="Times New Roman"/>
                <w:sz w:val="18"/>
              </w:rPr>
              <w:t>425,167,105.19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43" w:right="0"/>
              <w:jc w:val="left"/>
              <w:rPr>
                <w:rFonts w:ascii="Times New Roman" w:hAnsi="Times New Roman" w:cs="Times New Roman" w:eastAsia="Times New Roman" w:hint="default"/>
                <w:sz w:val="18"/>
                <w:szCs w:val="18"/>
              </w:rPr>
            </w:pPr>
            <w:r>
              <w:rPr>
                <w:rFonts w:ascii="Times New Roman"/>
                <w:sz w:val="18"/>
              </w:rPr>
              <w:t>513,629,502.49</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3,517,053.11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7,130,471.33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3,918,058.25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3,568,280.37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416,672,200.72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208,709,677.81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753,054,456.88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480,499,830.70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持有待售的资产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2,244,451.85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454,796.78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1,604,573,326.00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1,213,992,559.48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181,876,323.93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221,856,323.93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3,689,597,826.97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2,776,316,079.45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2,655,131.10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3,955,679.97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2,738,642.92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2,428,710.89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3,054,765.46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3,879,922,690.38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3,004,583,794.24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5,484,496,016.38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4,218,576,353.72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689,930,685.00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190,000,000.00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371"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36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期损益的金融负债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60,522,713.90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56,635,872.00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3,706,085.85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3,851,239.25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7,023,925.19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5,570,123.94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451,823.54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6,077,120.97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34,732,146.27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29,434,575.01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8,911,620.10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8,178,958.99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941,420,897.41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1,166,076,409.87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持有待售的负债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1,746,699,897.26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1,465,824,300.03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962,777,761.81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719,641,668.05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125,258,551.06</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1,088,036,312.87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719,641,668.05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2,834,736,210.13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2,185,465,968.08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1,151,897,160.00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1,126,866,019.00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1,408,692,178.42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951,632,931.28</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128,017,464.75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258,951,660.27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103,293,653.86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90,763,500.15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113,894,278.72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122,799,595.48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2,649,759,806.25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2,033,110,385.64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5,484,496,016.38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4,218,576,353.72</w:t>
            </w:r>
          </w:p>
        </w:tc>
      </w:tr>
    </w:tbl>
    <w:p>
      <w:pPr>
        <w:spacing w:line="240" w:lineRule="auto" w:before="10"/>
        <w:rPr>
          <w:rFonts w:ascii="Times New Roman" w:hAnsi="Times New Roman" w:cs="Times New Roman" w:eastAsia="Times New Roman" w:hint="default"/>
          <w:sz w:val="21"/>
          <w:szCs w:val="21"/>
        </w:rPr>
      </w:pPr>
    </w:p>
    <w:p>
      <w:pPr>
        <w:pStyle w:val="Heading6"/>
        <w:spacing w:line="240" w:lineRule="auto" w:before="35"/>
        <w:ind w:right="998"/>
        <w:jc w:val="left"/>
        <w:rPr>
          <w:b w:val="0"/>
          <w:bCs w:val="0"/>
        </w:rPr>
      </w:pPr>
      <w:bookmarkStart w:name="3、合并利润表" w:id="172"/>
      <w:bookmarkEnd w:id="172"/>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3057"/>
        <w:gridCol w:w="3222"/>
        <w:gridCol w:w="3278"/>
      </w:tblGrid>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3,436,369,668.04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2,424,670,626.82</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3,436,369,668.04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2,424,670,626.82</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2,453,865,368.07</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2,359,910,105.62</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694,547,836.83</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1,139,908,886.99</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10,600,415.23</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4,044,682.95</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953,910,836.54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638,900,658.96</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666,730,798.65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443,522,811.44</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96,408,579.24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55,053,404.45</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31,666,901.58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78,479,660.83</w:t>
            </w: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p>
          <w:p>
            <w:pPr>
              <w:pStyle w:val="TableParagraph"/>
              <w:spacing w:line="240" w:lineRule="auto" w:before="77"/>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444,016,282.31</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492,610,760.31</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r>
        <w:rPr/>
        <w:pict>
          <v:group style="position:absolute;margin-left:212.119995pt;margin-top:108.179985pt;width:157.7pt;height:19.650pt;mso-position-horizontal-relative:page;mso-position-vertical-relative:page;z-index:-1135480" coordorigin="4242,2164" coordsize="3154,393">
            <v:shape style="position:absolute;left:4242;top:2164;width:3154;height:393" coordorigin="4242,2164" coordsize="3154,393" path="m4242,2556l7396,2556,7396,2164,4242,2164,4242,2556xe" filled="true" fillcolor="#ffffff" stroked="false">
              <v:path arrowok="t"/>
              <v:fill type="solid"/>
            </v:shape>
            <w10:wrap type="none"/>
          </v:group>
        </w:pict>
      </w:r>
      <w:r>
        <w:rPr/>
        <w:pict>
          <v:group style="position:absolute;margin-left:212.119995pt;margin-top:244.399979pt;width:157.7pt;height:19.650pt;mso-position-horizontal-relative:page;mso-position-vertical-relative:page;z-index:-1135456" coordorigin="4242,4888" coordsize="3154,393">
            <v:shape style="position:absolute;left:4242;top:4888;width:3154;height:393" coordorigin="4242,4888" coordsize="3154,393" path="m4242,5280l7396,5280,7396,4888,4242,4888,4242,5280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3080"/>
        <w:gridCol w:w="993"/>
        <w:gridCol w:w="2218"/>
        <w:gridCol w:w="3278"/>
      </w:tblGrid>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firstLine="720"/>
              <w:jc w:val="left"/>
              <w:rPr>
                <w:rFonts w:ascii="宋体" w:hAnsi="宋体" w:cs="宋体" w:eastAsia="宋体" w:hint="default"/>
                <w:sz w:val="18"/>
                <w:szCs w:val="18"/>
              </w:rPr>
            </w:pPr>
            <w:r>
              <w:rPr>
                <w:rFonts w:ascii="宋体" w:hAnsi="宋体" w:cs="宋体" w:eastAsia="宋体" w:hint="default"/>
                <w:spacing w:val="-3"/>
                <w:sz w:val="18"/>
                <w:szCs w:val="18"/>
              </w:rPr>
              <w:t>其中：对联营企业和合营企业</w:t>
            </w:r>
            <w:r>
              <w:rPr>
                <w:rFonts w:ascii="宋体" w:hAnsi="宋体" w:cs="宋体" w:eastAsia="宋体" w:hint="default"/>
                <w:sz w:val="18"/>
                <w:szCs w:val="18"/>
              </w:rPr>
              <w:t> 的投资收益</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6,577,234.20</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-4,942,002.27</w:t>
            </w:r>
          </w:p>
        </w:tc>
      </w:tr>
      <w:tr>
        <w:trPr>
          <w:trHeight w:val="402" w:hRule="exact"/>
        </w:trPr>
        <w:tc>
          <w:tcPr>
            <w:tcW w:w="3080" w:type="dxa"/>
            <w:tcBorders>
              <w:top w:val="single" w:sz="4" w:space="0" w:color="000000"/>
              <w:left w:val="single" w:sz="4" w:space="0" w:color="000000"/>
              <w:bottom w:val="single" w:sz="4" w:space="0" w:color="000000"/>
              <w:right w:val="single" w:sz="9" w:space="0" w:color="FFFFFF"/>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9" w:space="0" w:color="FFFFFF"/>
              <w:bottom w:val="single" w:sz="4" w:space="0" w:color="000000"/>
              <w:right w:val="single" w:sz="4" w:space="0" w:color="000000"/>
            </w:tcBorders>
          </w:tcPr>
          <w:p>
            <w:pPr>
              <w:pStyle w:val="TableParagraph"/>
              <w:spacing w:line="240" w:lineRule="auto" w:before="51"/>
              <w:ind w:left="-144" w:right="0"/>
              <w:jc w:val="left"/>
              <w:rPr>
                <w:rFonts w:ascii="宋体" w:hAnsi="宋体" w:cs="宋体" w:eastAsia="宋体" w:hint="default"/>
                <w:sz w:val="18"/>
                <w:szCs w:val="18"/>
              </w:rPr>
            </w:pPr>
            <w:r>
              <w:rPr>
                <w:rFonts w:ascii="宋体" w:hAnsi="宋体" w:cs="宋体" w:eastAsia="宋体" w:hint="default"/>
                <w:sz w:val="18"/>
                <w:szCs w:val="18"/>
              </w:rPr>
              <w:t>）</w:t>
            </w: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资产处置收</w:t>
            </w:r>
            <w:r>
              <w:rPr>
                <w:rFonts w:ascii="宋体" w:hAnsi="宋体" w:cs="宋体" w:eastAsia="宋体" w:hint="default"/>
                <w:spacing w:val="-76"/>
                <w:sz w:val="18"/>
                <w:szCs w:val="18"/>
              </w:rPr>
              <w:t>益</w:t>
            </w:r>
            <w:r>
              <w:rPr>
                <w:rFonts w:ascii="宋体" w:hAnsi="宋体" w:cs="宋体" w:eastAsia="宋体" w:hint="default"/>
                <w:sz w:val="18"/>
                <w:szCs w:val="18"/>
              </w:rPr>
              <w:t>（损失以</w:t>
            </w:r>
            <w:r>
              <w:rPr>
                <w:rFonts w:ascii="Times New Roman" w:hAnsi="Times New Roman" w:cs="Times New Roman" w:eastAsia="Times New Roman" w:hint="default"/>
                <w:spacing w:val="-1"/>
                <w:w w:val="100"/>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w w:val="100"/>
                <w:sz w:val="18"/>
                <w:szCs w:val="18"/>
              </w:rPr>
              <w:t>”</w:t>
            </w:r>
            <w:r>
              <w:rPr>
                <w:rFonts w:ascii="宋体" w:hAnsi="宋体" w:cs="宋体" w:eastAsia="宋体" w:hint="default"/>
                <w:sz w:val="18"/>
                <w:szCs w:val="18"/>
              </w:rPr>
              <w:t>号填</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1,250,264.28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-198,409.24</w:t>
            </w:r>
            <w:r>
              <w:rPr>
                <w:rFonts w:ascii="Times New Roman"/>
                <w:sz w:val="18"/>
              </w:rPr>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35,581,798.35</w:t>
            </w: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17" w:right="0"/>
              <w:jc w:val="left"/>
              <w:rPr>
                <w:rFonts w:ascii="Times New Roman" w:hAnsi="Times New Roman" w:cs="Times New Roman" w:eastAsia="Times New Roman" w:hint="default"/>
                <w:sz w:val="18"/>
                <w:szCs w:val="18"/>
              </w:rPr>
            </w:pPr>
            <w:r>
              <w:rPr>
                <w:rFonts w:ascii="Times New Roman"/>
                <w:sz w:val="18"/>
              </w:rPr>
              <w:t>1,463,352,644.91</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557,172,872.27</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3,319,083.59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13,391,014.43</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1,728,521.26</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1,169,113.99</w:t>
            </w:r>
          </w:p>
        </w:tc>
      </w:tr>
      <w:tr>
        <w:trPr>
          <w:trHeight w:val="402" w:hRule="exact"/>
        </w:trPr>
        <w:tc>
          <w:tcPr>
            <w:tcW w:w="3080" w:type="dxa"/>
            <w:tcBorders>
              <w:top w:val="single" w:sz="4" w:space="0" w:color="000000"/>
              <w:left w:val="single" w:sz="4" w:space="0" w:color="000000"/>
              <w:bottom w:val="single" w:sz="4" w:space="0" w:color="000000"/>
              <w:right w:val="single" w:sz="9" w:space="0" w:color="FFFFFF"/>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6"/>
                <w:sz w:val="18"/>
                <w:szCs w:val="18"/>
              </w:rPr>
              <w:t>四、利润总额（亏损总额以</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号填列</w:t>
            </w:r>
          </w:p>
        </w:tc>
        <w:tc>
          <w:tcPr>
            <w:tcW w:w="993" w:type="dxa"/>
            <w:tcBorders>
              <w:top w:val="single" w:sz="4" w:space="0" w:color="000000"/>
              <w:left w:val="single" w:sz="9" w:space="0" w:color="FFFFFF"/>
              <w:bottom w:val="single" w:sz="4" w:space="0" w:color="000000"/>
              <w:right w:val="nil" w:sz="6" w:space="0" w:color="auto"/>
            </w:tcBorders>
          </w:tcPr>
          <w:p>
            <w:pPr>
              <w:pStyle w:val="TableParagraph"/>
              <w:spacing w:line="240" w:lineRule="auto" w:before="51"/>
              <w:ind w:left="-129" w:right="0"/>
              <w:jc w:val="left"/>
              <w:rPr>
                <w:rFonts w:ascii="宋体" w:hAnsi="宋体" w:cs="宋体" w:eastAsia="宋体" w:hint="default"/>
                <w:sz w:val="18"/>
                <w:szCs w:val="18"/>
              </w:rPr>
            </w:pPr>
            <w:r>
              <w:rPr>
                <w:rFonts w:ascii="宋体" w:hAnsi="宋体" w:cs="宋体" w:eastAsia="宋体" w:hint="default"/>
                <w:sz w:val="18"/>
                <w:szCs w:val="18"/>
              </w:rPr>
              <w:t>）</w:t>
            </w:r>
          </w:p>
        </w:tc>
        <w:tc>
          <w:tcPr>
            <w:tcW w:w="2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left="929" w:right="0"/>
              <w:jc w:val="left"/>
              <w:rPr>
                <w:rFonts w:ascii="Times New Roman" w:hAnsi="Times New Roman" w:cs="Times New Roman" w:eastAsia="Times New Roman" w:hint="default"/>
                <w:sz w:val="18"/>
                <w:szCs w:val="18"/>
              </w:rPr>
            </w:pPr>
            <w:r>
              <w:rPr>
                <w:rFonts w:ascii="Times New Roman"/>
                <w:sz w:val="18"/>
              </w:rPr>
              <w:t>1,464,943,207.24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569,394,772.71</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46,256,797.69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24,143,876.16</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17" w:right="0"/>
              <w:jc w:val="left"/>
              <w:rPr>
                <w:rFonts w:ascii="Times New Roman" w:hAnsi="Times New Roman" w:cs="Times New Roman" w:eastAsia="Times New Roman" w:hint="default"/>
                <w:sz w:val="18"/>
                <w:szCs w:val="18"/>
              </w:rPr>
            </w:pPr>
            <w:r>
              <w:rPr>
                <w:rFonts w:ascii="Times New Roman"/>
                <w:sz w:val="18"/>
              </w:rPr>
              <w:t>1,418,686,409.55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545,250,896.55</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0" w:right="0"/>
              <w:jc w:val="left"/>
              <w:rPr>
                <w:rFonts w:ascii="宋体" w:hAnsi="宋体" w:cs="宋体" w:eastAsia="宋体" w:hint="default"/>
                <w:sz w:val="18"/>
                <w:szCs w:val="18"/>
              </w:rPr>
            </w:pPr>
            <w:r>
              <w:rPr>
                <w:rFonts w:ascii="宋体" w:hAnsi="宋体" w:cs="宋体" w:eastAsia="宋体" w:hint="default"/>
                <w:spacing w:val="-2"/>
                <w:sz w:val="18"/>
                <w:szCs w:val="18"/>
              </w:rPr>
              <w:t>（一）持续经营净利润（净亏损以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917" w:right="0"/>
              <w:jc w:val="left"/>
              <w:rPr>
                <w:rFonts w:ascii="Times New Roman" w:hAnsi="Times New Roman" w:cs="Times New Roman" w:eastAsia="Times New Roman" w:hint="default"/>
                <w:sz w:val="18"/>
                <w:szCs w:val="18"/>
              </w:rPr>
            </w:pPr>
            <w:r>
              <w:rPr>
                <w:rFonts w:ascii="Times New Roman"/>
                <w:sz w:val="18"/>
              </w:rPr>
              <w:t>1,418,686,409.55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545,250,896.55</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0" w:right="0"/>
              <w:jc w:val="left"/>
              <w:rPr>
                <w:rFonts w:ascii="宋体" w:hAnsi="宋体" w:cs="宋体" w:eastAsia="宋体" w:hint="default"/>
                <w:sz w:val="18"/>
                <w:szCs w:val="18"/>
              </w:rPr>
            </w:pPr>
            <w:r>
              <w:rPr>
                <w:rFonts w:ascii="宋体" w:hAnsi="宋体" w:cs="宋体" w:eastAsia="宋体" w:hint="default"/>
                <w:spacing w:val="-2"/>
                <w:sz w:val="18"/>
                <w:szCs w:val="18"/>
              </w:rPr>
              <w:t>（二）终止经营净利润（净亏损以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3" w:right="0"/>
              <w:jc w:val="left"/>
              <w:rPr>
                <w:rFonts w:ascii="Times New Roman" w:hAnsi="Times New Roman" w:cs="Times New Roman" w:eastAsia="Times New Roman" w:hint="default"/>
                <w:sz w:val="18"/>
                <w:szCs w:val="18"/>
              </w:rPr>
            </w:pPr>
            <w:r>
              <w:rPr>
                <w:rFonts w:ascii="Times New Roman"/>
                <w:sz w:val="18"/>
              </w:rPr>
              <w:t>998,666,057.61</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531,497,123.47</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3" w:right="0"/>
              <w:jc w:val="left"/>
              <w:rPr>
                <w:rFonts w:ascii="Times New Roman" w:hAnsi="Times New Roman" w:cs="Times New Roman" w:eastAsia="Times New Roman" w:hint="default"/>
                <w:sz w:val="18"/>
                <w:szCs w:val="18"/>
              </w:rPr>
            </w:pPr>
            <w:r>
              <w:rPr>
                <w:rFonts w:ascii="Times New Roman"/>
                <w:sz w:val="18"/>
              </w:rPr>
              <w:t>420,020,351.94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13,753,773.08</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17" w:right="0"/>
              <w:jc w:val="left"/>
              <w:rPr>
                <w:rFonts w:ascii="Times New Roman" w:hAnsi="Times New Roman" w:cs="Times New Roman" w:eastAsia="Times New Roman" w:hint="default"/>
                <w:sz w:val="18"/>
                <w:szCs w:val="18"/>
              </w:rPr>
            </w:pPr>
            <w:r>
              <w:rPr>
                <w:rFonts w:ascii="Times New Roman"/>
                <w:sz w:val="18"/>
              </w:rPr>
              <w:t>4,065,820,881.99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-24,985,107.28</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5"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 的税后净额</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917" w:right="0"/>
              <w:jc w:val="left"/>
              <w:rPr>
                <w:rFonts w:ascii="Times New Roman" w:hAnsi="Times New Roman" w:cs="Times New Roman" w:eastAsia="Times New Roman" w:hint="default"/>
                <w:sz w:val="18"/>
                <w:szCs w:val="18"/>
              </w:rPr>
            </w:pPr>
            <w:r>
              <w:rPr>
                <w:rFonts w:ascii="Times New Roman"/>
                <w:sz w:val="18"/>
              </w:rPr>
              <w:t>4,067,688,863.18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-25,873,535.17</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firstLine="342"/>
              <w:jc w:val="left"/>
              <w:rPr>
                <w:rFonts w:ascii="宋体" w:hAnsi="宋体" w:cs="宋体" w:eastAsia="宋体" w:hint="default"/>
                <w:sz w:val="18"/>
                <w:szCs w:val="18"/>
              </w:rPr>
            </w:pPr>
            <w:r>
              <w:rPr>
                <w:rFonts w:ascii="宋体" w:hAnsi="宋体" w:cs="宋体" w:eastAsia="宋体" w:hint="default"/>
                <w:spacing w:val="-2"/>
                <w:sz w:val="18"/>
                <w:szCs w:val="18"/>
              </w:rPr>
              <w:t>（一）以后不能重分类进损益的其</w:t>
            </w:r>
            <w:r>
              <w:rPr>
                <w:rFonts w:ascii="宋体" w:hAnsi="宋体" w:cs="宋体" w:eastAsia="宋体" w:hint="default"/>
                <w:sz w:val="18"/>
                <w:szCs w:val="18"/>
              </w:rPr>
              <w:t> 他综合收益</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32"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重新计量设定受益计划净 负债或净资产的变动</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31"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权益法下在被投资单位不 能重分类进损益的其他综合收益中享 有的份额</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firstLine="342"/>
              <w:jc w:val="left"/>
              <w:rPr>
                <w:rFonts w:ascii="宋体" w:hAnsi="宋体" w:cs="宋体" w:eastAsia="宋体" w:hint="default"/>
                <w:sz w:val="18"/>
                <w:szCs w:val="18"/>
              </w:rPr>
            </w:pPr>
            <w:r>
              <w:rPr>
                <w:rFonts w:ascii="宋体" w:hAnsi="宋体" w:cs="宋体" w:eastAsia="宋体" w:hint="default"/>
                <w:spacing w:val="-2"/>
                <w:sz w:val="18"/>
                <w:szCs w:val="18"/>
              </w:rPr>
              <w:t>（二）以后将重分类进损益的其他</w:t>
            </w:r>
            <w:r>
              <w:rPr>
                <w:rFonts w:ascii="宋体" w:hAnsi="宋体" w:cs="宋体" w:eastAsia="宋体" w:hint="default"/>
                <w:sz w:val="18"/>
                <w:szCs w:val="18"/>
              </w:rPr>
              <w:t> 综合收益</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917" w:right="0"/>
              <w:jc w:val="left"/>
              <w:rPr>
                <w:rFonts w:ascii="Times New Roman" w:hAnsi="Times New Roman" w:cs="Times New Roman" w:eastAsia="Times New Roman" w:hint="default"/>
                <w:sz w:val="18"/>
                <w:szCs w:val="18"/>
              </w:rPr>
            </w:pPr>
            <w:r>
              <w:rPr>
                <w:rFonts w:ascii="Times New Roman"/>
                <w:sz w:val="18"/>
              </w:rPr>
              <w:t>4,067,688,863.18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-25,873,535.17</w:t>
            </w:r>
          </w:p>
        </w:tc>
      </w:tr>
      <w:tr>
        <w:trPr>
          <w:trHeight w:val="1026"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31"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权益法下在被投资单位以 后将重分类进损益的其他综合收益中 享有的份额</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可供出售金融资产公允价</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值变动损益</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917" w:right="0"/>
              <w:jc w:val="left"/>
              <w:rPr>
                <w:rFonts w:ascii="Times New Roman" w:hAnsi="Times New Roman" w:cs="Times New Roman" w:eastAsia="Times New Roman" w:hint="default"/>
                <w:sz w:val="18"/>
                <w:szCs w:val="18"/>
              </w:rPr>
            </w:pPr>
            <w:r>
              <w:rPr>
                <w:rFonts w:ascii="Times New Roman"/>
                <w:sz w:val="18"/>
              </w:rPr>
              <w:t>4,101,614,487.23</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-12,074,167.56</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31"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持有至到期投资重分类为 可供出售金融资产损益</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40" w:type="dxa"/>
        <w:tblLayout w:type="fixed"/>
        <w:tblCellMar>
          <w:top w:w="0" w:type="dxa"/>
          <w:left w:w="0" w:type="dxa"/>
          <w:bottom w:w="0" w:type="dxa"/>
          <w:right w:w="0" w:type="dxa"/>
        </w:tblCellMar>
        <w:tblLook w:val="01E0"/>
      </w:tblPr>
      <w:tblGrid>
        <w:gridCol w:w="3057"/>
        <w:gridCol w:w="3222"/>
        <w:gridCol w:w="3278"/>
      </w:tblGrid>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部分</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99"/>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外币财务报表折算差额</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-33,925,624.05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-13,799,367.61</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54"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 税后净额</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-1,867,981.19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888,427.89</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5,484,507,291.54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520,265,789.27</w:t>
            </w: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54" w:firstLine="36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 总额</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5,066,354,920.79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505,623,588.30</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4"/>
              <w:jc w:val="righ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418,152,370.75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14,642,200.97</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0.47</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0.47</w:t>
            </w:r>
          </w:p>
        </w:tc>
      </w:tr>
    </w:tbl>
    <w:p>
      <w:pPr>
        <w:tabs>
          <w:tab w:pos="4554" w:val="left" w:leader="none"/>
          <w:tab w:pos="8695" w:val="left" w:leader="none"/>
        </w:tabs>
        <w:spacing w:line="624" w:lineRule="auto" w:before="51"/>
        <w:ind w:left="1133" w:right="1229" w:firstLine="0"/>
        <w:jc w:val="left"/>
        <w:rPr>
          <w:rFonts w:ascii="宋体" w:hAnsi="宋体" w:cs="宋体" w:eastAsia="宋体" w:hint="default"/>
          <w:sz w:val="18"/>
          <w:szCs w:val="18"/>
        </w:rPr>
      </w:pPr>
      <w:r>
        <w:rPr>
          <w:rFonts w:ascii="宋体" w:hAnsi="宋体" w:cs="宋体" w:eastAsia="宋体" w:hint="default"/>
          <w:sz w:val="18"/>
          <w:szCs w:val="18"/>
        </w:rPr>
        <w:t>本期发生同一控制下企业合并的，被合并方在合并前实现的净利润为：元，上期被合并方实现的净利润为：元。 法定代表人：周亚辉</w:t>
        <w:tab/>
        <w:t>主管会计工作负责人：王立伟</w:t>
        <w:tab/>
        <w:t>会计机构负责人：马苓月</w:t>
      </w:r>
    </w:p>
    <w:p>
      <w:pPr>
        <w:pStyle w:val="Heading6"/>
        <w:spacing w:line="240" w:lineRule="auto" w:before="63"/>
        <w:ind w:left="1133" w:right="998"/>
        <w:jc w:val="left"/>
        <w:rPr>
          <w:b w:val="0"/>
          <w:bCs w:val="0"/>
        </w:rPr>
      </w:pPr>
      <w:bookmarkStart w:name="4、母公司利润表" w:id="173"/>
      <w:bookmarkEnd w:id="173"/>
      <w:r>
        <w:rPr>
          <w:b w:val="0"/>
          <w:bCs w:val="0"/>
        </w:rPr>
      </w:r>
      <w:r>
        <w:rPr>
          <w:rFonts w:ascii="Times New Roman" w:hAnsi="Times New Roman" w:cs="Times New Roman" w:eastAsia="Times New Roman" w:hint="default"/>
        </w:rPr>
        <w:t>4</w:t>
      </w:r>
      <w:r>
        <w:rPr/>
        <w:t>、母公司利润表</w:t>
      </w:r>
      <w:r>
        <w:rPr>
          <w:b w:val="0"/>
          <w:bCs w:val="0"/>
        </w:rPr>
      </w:r>
    </w:p>
    <w:p>
      <w:pPr>
        <w:spacing w:line="240" w:lineRule="auto" w:before="9"/>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44,287,964.81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20,100,176.01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2,367,998.37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2,347,118.94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507,359.50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1,216,572.85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2,045,475.04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2,680,719.12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57,154,004.89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155,836,867.83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84,289,100.61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33,703,593.99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350,685.01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20,428,418.72</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p>
          <w:p>
            <w:pPr>
              <w:pStyle w:val="TableParagraph"/>
              <w:spacing w:line="240" w:lineRule="auto" w:before="77"/>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229,099,224.95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320,298,968.36</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-885,522.12</w:t>
            </w:r>
            <w:r>
              <w:rPr>
                <w:rFonts w:ascii="Times New Roman"/>
                <w:sz w:val="18"/>
              </w:rPr>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126,672,566.34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124,185,852.92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2,259,103.21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2,155,198.58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161,451.89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533,012.17</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6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128,770,217.66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125,808,039.33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3,468,680.55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5,351,292.48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125,301,537.11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120,456,746.85</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125,301,537.11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120,456,746.85</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（一）以后不能重分类进损益的 其他综合收益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 净负债或净资产的变动</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41" w:firstLine="90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 不能重分类进损益的其他综合收益中 享有的份额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（二）以后将重分类进损益的其 他综合收益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41" w:firstLine="90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 以后将重分类进损益的其他综合收益 中享有的份额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 价值变动损益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125,301,537.11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120,456,746.85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2"/>
        <w:rPr>
          <w:rFonts w:ascii="Times New Roman" w:hAnsi="Times New Roman" w:cs="Times New Roman" w:eastAsia="Times New Roman" w:hint="default"/>
          <w:sz w:val="28"/>
          <w:szCs w:val="28"/>
        </w:rPr>
      </w:pPr>
    </w:p>
    <w:p>
      <w:pPr>
        <w:pStyle w:val="Heading6"/>
        <w:spacing w:line="240" w:lineRule="auto" w:before="35"/>
        <w:ind w:left="1133" w:right="998"/>
        <w:jc w:val="left"/>
        <w:rPr>
          <w:b w:val="0"/>
          <w:bCs w:val="0"/>
        </w:rPr>
      </w:pPr>
      <w:bookmarkStart w:name="5、合并现金流量表" w:id="174"/>
      <w:bookmarkEnd w:id="174"/>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943"/>
        <w:gridCol w:w="3314"/>
        <w:gridCol w:w="3300"/>
      </w:tblGrid>
      <w:tr>
        <w:trPr>
          <w:trHeight w:val="403"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3,267,308,075.30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2,046,783,947.73</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 入当期损益的金融资产净增加额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15,348,777.32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2,346,917.33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63,936,362.66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373,496,051.84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3,346,593,215.28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2,422,626,916.90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1"/>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707,929,721.28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955,927,437.28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500,734,615.73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240,447,086.36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357,649,789.72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167,310,361.74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734,483,103.55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701,821,054.63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2,300,797,230.28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2,065,505,940.01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1,045,795,985.00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357,120,976.89</w:t>
            </w:r>
          </w:p>
        </w:tc>
      </w:tr>
      <w:tr>
        <w:trPr>
          <w:trHeight w:val="403"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4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1,392,031,323.31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941,424,506.63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47,199,041.61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268,458,396.12</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5,614,260.56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315,702.12</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273,456,720.00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1,444,844,625.48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1,483,655,324.87</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22,524,888.81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2"/>
                <w:sz w:val="18"/>
              </w:rPr>
              <w:t>11,911,169.22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692,663,731.55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2,580,379,185.12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584,344,728.22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519,909,534.62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80,272,465.10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327,986,344.70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1,379,805,813.68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3,440,186,233.66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65,038,811.80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-1,956,530,908.79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602,499,990.40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其中：子公司吸收少数股东投资 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1,368,627,557.89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2,223,870,454.41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730,000,000.00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200,000,000.00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2,411,127,548.29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2,953,870,454.41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1,542,069,085.89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1,157,484,006.23</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837,409,354.54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130,689,381.94</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其中：子公司支付给少数股东的 股利、利润</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357,700,000.00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143,694,111.90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17,695,308.38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2,523,172,552.33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1,305,868,696.55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-112,045,004.04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1,648,001,757.86</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-31,295,912.75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13,694,015.27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967,493,880.01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62,285,841.23</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1,057,097,819.87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994,811,978.64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2,024,591,699.88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1,057,097,819.87</w:t>
            </w:r>
          </w:p>
        </w:tc>
      </w:tr>
    </w:tbl>
    <w:p>
      <w:pPr>
        <w:spacing w:line="240" w:lineRule="auto" w:before="10"/>
        <w:rPr>
          <w:rFonts w:ascii="Times New Roman" w:hAnsi="Times New Roman" w:cs="Times New Roman" w:eastAsia="Times New Roman" w:hint="default"/>
          <w:sz w:val="21"/>
          <w:szCs w:val="21"/>
        </w:rPr>
      </w:pPr>
    </w:p>
    <w:p>
      <w:pPr>
        <w:pStyle w:val="Heading6"/>
        <w:spacing w:line="240" w:lineRule="auto" w:before="35"/>
        <w:ind w:right="998"/>
        <w:jc w:val="left"/>
        <w:rPr>
          <w:b w:val="0"/>
          <w:bCs w:val="0"/>
        </w:rPr>
      </w:pPr>
      <w:bookmarkStart w:name="6、母公司现金流量表" w:id="175"/>
      <w:bookmarkEnd w:id="175"/>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53,265,498.30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52,116,134.86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2,330,061,767.09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2,863,844,425.53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2,383,327,265.39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2,915,960,560.39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26,647,070.36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6,151,598.32</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38,543,968.62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32,553,439.65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9,412,569.03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1,025,807.39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2,616,618,949.37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1,890,972,834.97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2,691,222,557.38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1,930,703,680.33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-307,895,291.99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985,256,880.06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126,565,606.00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445,560,968.94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106,015,910.41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209,347,425.62</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3,063,969.00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285,242.33</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273,456,720.00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235,645,485.41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928,650,356.89</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2,153,894.54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1,770,711.89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10,020,000.00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635,589,474.00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925,879,840.00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1,775,397,793.74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214,000.00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258,456,720.00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938,267,734.54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2,671,214,699.63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-702,622,249.13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-1,742,564,342.74</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4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599,999,990.40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689,930,685.00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904,463,000.00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730,000,000.00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1"/>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150,000,000.00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1,679,930,675.40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1,634,463,000.00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439,463,000.00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465,000,000.00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190,261,463.58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108,588,127.97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125,862,778.57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17,695,308.38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755,587,242.15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591,283,436.35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924,343,433.25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1,043,179,563.65</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-2,288,289.43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266,897.00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-88,462,397.30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286,138,997.97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513,629,502.49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227,490,504.52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425,167,105.19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513,629,502.49</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7、合并所有者权益变动表" w:id="176"/>
      <w:bookmarkEnd w:id="176"/>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3"/>
        <w:rPr>
          <w:rFonts w:ascii="宋体" w:hAnsi="宋体" w:cs="宋体" w:eastAsia="宋体" w:hint="default"/>
          <w:b/>
          <w:bCs/>
          <w:sz w:val="23"/>
          <w:szCs w:val="23"/>
        </w:rPr>
      </w:pPr>
    </w:p>
    <w:p>
      <w:pPr>
        <w:spacing w:before="44"/>
        <w:ind w:left="1134" w:right="998"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427"/>
        <w:gridCol w:w="563"/>
        <w:gridCol w:w="530"/>
        <w:gridCol w:w="532"/>
        <w:gridCol w:w="530"/>
        <w:gridCol w:w="665"/>
        <w:gridCol w:w="665"/>
        <w:gridCol w:w="665"/>
        <w:gridCol w:w="665"/>
        <w:gridCol w:w="664"/>
        <w:gridCol w:w="666"/>
        <w:gridCol w:w="665"/>
        <w:gridCol w:w="665"/>
        <w:gridCol w:w="659"/>
      </w:tblGrid>
      <w:tr>
        <w:trPr>
          <w:trHeight w:val="402" w:hRule="exact"/>
        </w:trPr>
        <w:tc>
          <w:tcPr>
            <w:tcW w:w="1427" w:type="dxa"/>
            <w:vMerge w:val="restart"/>
            <w:tcBorders>
              <w:top w:val="single" w:sz="4" w:space="0" w:color="000000"/>
              <w:left w:val="single" w:sz="4" w:space="0" w:color="000000"/>
              <w:right w:val="single" w:sz="4" w:space="0" w:color="000000"/>
            </w:tcBorders>
            <w:shd w:val="clear" w:color="auto" w:fill="D2D2D2"/>
          </w:tcPr>
          <w:p>
            <w:pPr/>
          </w:p>
        </w:tc>
        <w:tc>
          <w:tcPr>
            <w:tcW w:w="8133"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51" w:hRule="exact"/>
        </w:trPr>
        <w:tc>
          <w:tcPr>
            <w:tcW w:w="1427" w:type="dxa"/>
            <w:vMerge/>
            <w:tcBorders>
              <w:left w:val="single" w:sz="4" w:space="0" w:color="000000"/>
              <w:right w:val="single" w:sz="4" w:space="0" w:color="000000"/>
            </w:tcBorders>
            <w:shd w:val="clear" w:color="auto" w:fill="D2D2D2"/>
          </w:tcPr>
          <w:p>
            <w:pPr/>
          </w:p>
        </w:tc>
        <w:tc>
          <w:tcPr>
            <w:tcW w:w="6810"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65" w:type="dxa"/>
            <w:vMerge w:val="restart"/>
            <w:tcBorders>
              <w:top w:val="single" w:sz="4" w:space="0" w:color="000000"/>
              <w:left w:val="single" w:sz="4" w:space="0" w:color="000000"/>
              <w:right w:val="single" w:sz="4" w:space="0" w:color="000000"/>
            </w:tcBorders>
            <w:shd w:val="clear" w:color="auto" w:fill="D2D2D2"/>
          </w:tcPr>
          <w:p>
            <w:pPr/>
          </w:p>
        </w:tc>
        <w:tc>
          <w:tcPr>
            <w:tcW w:w="65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6810" w:type="dxa"/>
            <w:gridSpan w:val="11"/>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59"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3"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42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563" w:type="dxa"/>
            <w:vMerge w:val="restart"/>
            <w:tcBorders>
              <w:top w:val="single" w:sz="4" w:space="0" w:color="000000"/>
              <w:left w:val="single" w:sz="4" w:space="0" w:color="000000"/>
              <w:right w:val="single" w:sz="4" w:space="0" w:color="000000"/>
            </w:tcBorders>
            <w:shd w:val="clear" w:color="auto" w:fill="D2D2D2"/>
          </w:tcPr>
          <w:p>
            <w:pPr/>
          </w:p>
        </w:tc>
        <w:tc>
          <w:tcPr>
            <w:tcW w:w="159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4" w:type="dxa"/>
            <w:tcBorders>
              <w:top w:val="single" w:sz="4" w:space="0" w:color="000000"/>
              <w:left w:val="single" w:sz="4" w:space="0" w:color="000000"/>
              <w:bottom w:val="nil" w:sz="6" w:space="0" w:color="auto"/>
              <w:right w:val="single" w:sz="4" w:space="0" w:color="000000"/>
            </w:tcBorders>
            <w:shd w:val="clear" w:color="auto" w:fill="D2D2D2"/>
          </w:tcPr>
          <w:p>
            <w:pPr/>
          </w:p>
        </w:tc>
        <w:tc>
          <w:tcPr>
            <w:tcW w:w="666"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6"/>
              <w:ind w:left="56" w:right="56"/>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9" w:type="dxa"/>
            <w:vMerge/>
            <w:tcBorders>
              <w:left w:val="single" w:sz="4" w:space="0" w:color="000000"/>
              <w:right w:val="single" w:sz="4" w:space="0" w:color="000000"/>
            </w:tcBorders>
            <w:shd w:val="clear" w:color="auto" w:fill="D2D2D2"/>
          </w:tcPr>
          <w:p>
            <w:pPr/>
          </w:p>
        </w:tc>
      </w:tr>
      <w:tr>
        <w:trPr>
          <w:trHeight w:val="173"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563" w:type="dxa"/>
            <w:vMerge/>
            <w:tcBorders>
              <w:left w:val="single" w:sz="4" w:space="0" w:color="000000"/>
              <w:bottom w:val="nil" w:sz="6" w:space="0" w:color="auto"/>
              <w:right w:val="single" w:sz="4" w:space="0" w:color="000000"/>
            </w:tcBorders>
            <w:shd w:val="clear" w:color="auto" w:fill="D2D2D2"/>
          </w:tcPr>
          <w:p>
            <w:pPr/>
          </w:p>
        </w:tc>
        <w:tc>
          <w:tcPr>
            <w:tcW w:w="1592" w:type="dxa"/>
            <w:gridSpan w:val="3"/>
            <w:vMerge/>
            <w:tcBorders>
              <w:left w:val="single" w:sz="4" w:space="0" w:color="000000"/>
              <w:bottom w:val="single" w:sz="4" w:space="0" w:color="000000"/>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7" w:hanging="181"/>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6" w:right="56"/>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5"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7" w:right="57"/>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65"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83" w:hRule="exact"/>
        </w:trPr>
        <w:tc>
          <w:tcPr>
            <w:tcW w:w="1427" w:type="dxa"/>
            <w:vMerge w:val="restart"/>
            <w:tcBorders>
              <w:top w:val="nil" w:sz="6" w:space="0" w:color="auto"/>
              <w:left w:val="single" w:sz="4" w:space="0" w:color="000000"/>
              <w:right w:val="single" w:sz="4" w:space="0" w:color="000000"/>
            </w:tcBorders>
            <w:shd w:val="clear" w:color="auto" w:fill="D2D2D2"/>
          </w:tcPr>
          <w:p>
            <w:pPr/>
          </w:p>
        </w:tc>
        <w:tc>
          <w:tcPr>
            <w:tcW w:w="56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4"/>
              <w:ind w:left="97"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73"/>
              <w:ind w:left="170" w:right="78"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73"/>
              <w:ind w:left="170" w:right="79"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4" w:type="dxa"/>
            <w:vMerge/>
            <w:tcBorders>
              <w:left w:val="single" w:sz="4" w:space="0" w:color="000000"/>
              <w:right w:val="single" w:sz="4" w:space="0" w:color="000000"/>
            </w:tcBorders>
            <w:shd w:val="clear" w:color="auto" w:fill="D2D2D2"/>
          </w:tcPr>
          <w:p>
            <w:pPr/>
          </w:p>
        </w:tc>
        <w:tc>
          <w:tcPr>
            <w:tcW w:w="666"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69" w:hRule="exact"/>
        </w:trPr>
        <w:tc>
          <w:tcPr>
            <w:tcW w:w="1427" w:type="dxa"/>
            <w:vMerge/>
            <w:tcBorders>
              <w:left w:val="single" w:sz="4" w:space="0" w:color="000000"/>
              <w:right w:val="single" w:sz="4" w:space="0" w:color="000000"/>
            </w:tcBorders>
            <w:shd w:val="clear" w:color="auto" w:fill="D2D2D2"/>
          </w:tcPr>
          <w:p>
            <w:pPr/>
          </w:p>
        </w:tc>
        <w:tc>
          <w:tcPr>
            <w:tcW w:w="563" w:type="dxa"/>
            <w:vMerge/>
            <w:tcBorders>
              <w:left w:val="single" w:sz="4" w:space="0" w:color="000000"/>
              <w:bottom w:val="nil" w:sz="6" w:space="0" w:color="auto"/>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4" w:type="dxa"/>
            <w:vMerge/>
            <w:tcBorders>
              <w:left w:val="single" w:sz="4" w:space="0" w:color="000000"/>
              <w:right w:val="single" w:sz="4" w:space="0" w:color="000000"/>
            </w:tcBorders>
            <w:shd w:val="clear" w:color="auto" w:fill="D2D2D2"/>
          </w:tcPr>
          <w:p>
            <w:pPr/>
          </w:p>
        </w:tc>
        <w:tc>
          <w:tcPr>
            <w:tcW w:w="666"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56" w:hRule="exact"/>
        </w:trPr>
        <w:tc>
          <w:tcPr>
            <w:tcW w:w="1427" w:type="dxa"/>
            <w:vMerge/>
            <w:tcBorders>
              <w:left w:val="single" w:sz="4" w:space="0" w:color="000000"/>
              <w:right w:val="single" w:sz="4" w:space="0" w:color="000000"/>
            </w:tcBorders>
            <w:shd w:val="clear" w:color="auto" w:fill="D2D2D2"/>
          </w:tcPr>
          <w:p>
            <w:pPr/>
          </w:p>
        </w:tc>
        <w:tc>
          <w:tcPr>
            <w:tcW w:w="563" w:type="dxa"/>
            <w:vMerge w:val="restart"/>
            <w:tcBorders>
              <w:top w:val="nil" w:sz="6" w:space="0" w:color="auto"/>
              <w:left w:val="single" w:sz="4" w:space="0" w:color="000000"/>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4" w:type="dxa"/>
            <w:vMerge/>
            <w:tcBorders>
              <w:left w:val="single" w:sz="4" w:space="0" w:color="000000"/>
              <w:bottom w:val="nil" w:sz="6" w:space="0" w:color="auto"/>
              <w:right w:val="single" w:sz="4" w:space="0" w:color="000000"/>
            </w:tcBorders>
            <w:shd w:val="clear" w:color="auto" w:fill="D2D2D2"/>
          </w:tcPr>
          <w:p>
            <w:pPr/>
          </w:p>
        </w:tc>
        <w:tc>
          <w:tcPr>
            <w:tcW w:w="666"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
        </w:tc>
        <w:tc>
          <w:tcPr>
            <w:tcW w:w="659" w:type="dxa"/>
            <w:vMerge/>
            <w:tcBorders>
              <w:left w:val="single" w:sz="4" w:space="0" w:color="000000"/>
              <w:bottom w:val="nil" w:sz="6" w:space="0" w:color="auto"/>
              <w:right w:val="single" w:sz="4" w:space="0" w:color="000000"/>
            </w:tcBorders>
            <w:shd w:val="clear" w:color="auto" w:fill="D2D2D2"/>
          </w:tcPr>
          <w:p>
            <w:pPr/>
          </w:p>
        </w:tc>
      </w:tr>
      <w:tr>
        <w:trPr>
          <w:trHeight w:val="228" w:hRule="exact"/>
        </w:trPr>
        <w:tc>
          <w:tcPr>
            <w:tcW w:w="1427" w:type="dxa"/>
            <w:vMerge/>
            <w:tcBorders>
              <w:left w:val="single" w:sz="4" w:space="0" w:color="000000"/>
              <w:bottom w:val="single" w:sz="4" w:space="0" w:color="000000"/>
              <w:right w:val="single" w:sz="4" w:space="0" w:color="000000"/>
            </w:tcBorders>
            <w:shd w:val="clear" w:color="auto" w:fill="D2D2D2"/>
          </w:tcPr>
          <w:p>
            <w:pPr/>
          </w:p>
        </w:tc>
        <w:tc>
          <w:tcPr>
            <w:tcW w:w="563" w:type="dxa"/>
            <w:vMerge/>
            <w:tcBorders>
              <w:left w:val="single" w:sz="4" w:space="0" w:color="000000"/>
              <w:bottom w:val="single" w:sz="4" w:space="0" w:color="000000"/>
              <w:right w:val="single" w:sz="4" w:space="0" w:color="000000"/>
            </w:tcBorders>
            <w:shd w:val="clear" w:color="auto" w:fill="D2D2D2"/>
          </w:tcPr>
          <w:p>
            <w:pPr/>
          </w:p>
        </w:tc>
        <w:tc>
          <w:tcPr>
            <w:tcW w:w="530" w:type="dxa"/>
            <w:vMerge/>
            <w:tcBorders>
              <w:left w:val="single" w:sz="4" w:space="0" w:color="000000"/>
              <w:bottom w:val="single" w:sz="4" w:space="0" w:color="000000"/>
              <w:right w:val="single" w:sz="4" w:space="0" w:color="000000"/>
            </w:tcBorders>
            <w:shd w:val="clear" w:color="auto" w:fill="D2D2D2"/>
          </w:tcPr>
          <w:p>
            <w:pPr/>
          </w:p>
        </w:tc>
        <w:tc>
          <w:tcPr>
            <w:tcW w:w="53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4" w:type="dxa"/>
            <w:tcBorders>
              <w:top w:val="nil" w:sz="6" w:space="0" w:color="auto"/>
              <w:left w:val="single" w:sz="4" w:space="0" w:color="000000"/>
              <w:bottom w:val="single" w:sz="4" w:space="0" w:color="000000"/>
              <w:right w:val="single" w:sz="4" w:space="0" w:color="000000"/>
            </w:tcBorders>
            <w:shd w:val="clear" w:color="auto" w:fill="D2D2D2"/>
          </w:tcPr>
          <w:p>
            <w:pPr/>
          </w:p>
        </w:tc>
        <w:tc>
          <w:tcPr>
            <w:tcW w:w="666"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5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1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563" w:type="dxa"/>
            <w:vMerge w:val="restart"/>
            <w:tcBorders>
              <w:top w:val="single" w:sz="4" w:space="0" w:color="000000"/>
              <w:left w:val="single" w:sz="9" w:space="0" w:color="D2D2D2"/>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1,126,</w:t>
            </w:r>
          </w:p>
          <w:p>
            <w:pPr>
              <w:pStyle w:val="TableParagraph"/>
              <w:spacing w:line="240" w:lineRule="auto" w:before="105"/>
              <w:ind w:left="7" w:right="0"/>
              <w:jc w:val="center"/>
              <w:rPr>
                <w:rFonts w:ascii="Times New Roman" w:hAnsi="Times New Roman" w:cs="Times New Roman" w:eastAsia="Times New Roman" w:hint="default"/>
                <w:sz w:val="18"/>
                <w:szCs w:val="18"/>
              </w:rPr>
            </w:pPr>
            <w:r>
              <w:rPr>
                <w:rFonts w:ascii="Times New Roman"/>
                <w:sz w:val="18"/>
              </w:rPr>
              <w:t>866,01</w:t>
            </w:r>
          </w:p>
          <w:p>
            <w:pPr>
              <w:pStyle w:val="TableParagraph"/>
              <w:spacing w:line="240" w:lineRule="auto" w:before="106"/>
              <w:ind w:left="187" w:right="0"/>
              <w:jc w:val="center"/>
              <w:rPr>
                <w:rFonts w:ascii="Times New Roman" w:hAnsi="Times New Roman" w:cs="Times New Roman" w:eastAsia="Times New Roman" w:hint="default"/>
                <w:sz w:val="18"/>
                <w:szCs w:val="18"/>
              </w:rPr>
            </w:pPr>
            <w:r>
              <w:rPr>
                <w:rFonts w:ascii="Times New Roman"/>
                <w:sz w:val="18"/>
              </w:rPr>
              <w:t>9.00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952,037</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,214.10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258,951</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,660.27</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-62,493,</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681.41</w:t>
            </w: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90,763,</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500.15</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1,303,8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06,501.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31</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29,009,</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574.98</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3,181,0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37,467.</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86</w:t>
            </w:r>
          </w:p>
        </w:tc>
      </w:tr>
      <w:tr>
        <w:trPr>
          <w:trHeight w:val="392" w:hRule="exact"/>
        </w:trPr>
        <w:tc>
          <w:tcPr>
            <w:tcW w:w="1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63"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563"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21"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63"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63"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43"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63"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3"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1438"/>
        <w:gridCol w:w="563"/>
        <w:gridCol w:w="530"/>
        <w:gridCol w:w="532"/>
        <w:gridCol w:w="530"/>
        <w:gridCol w:w="665"/>
        <w:gridCol w:w="665"/>
        <w:gridCol w:w="665"/>
        <w:gridCol w:w="665"/>
        <w:gridCol w:w="664"/>
        <w:gridCol w:w="666"/>
        <w:gridCol w:w="665"/>
        <w:gridCol w:w="665"/>
        <w:gridCol w:w="659"/>
      </w:tblGrid>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center"/>
              <w:rPr>
                <w:rFonts w:ascii="Times New Roman" w:hAnsi="Times New Roman" w:cs="Times New Roman" w:eastAsia="Times New Roman" w:hint="default"/>
                <w:sz w:val="18"/>
                <w:szCs w:val="18"/>
              </w:rPr>
            </w:pPr>
            <w:r>
              <w:rPr>
                <w:rFonts w:ascii="Times New Roman"/>
                <w:sz w:val="18"/>
              </w:rPr>
              <w:t>1,126,</w:t>
            </w:r>
          </w:p>
          <w:p>
            <w:pPr>
              <w:pStyle w:val="TableParagraph"/>
              <w:spacing w:line="240" w:lineRule="auto" w:before="105"/>
              <w:ind w:left="14" w:right="0"/>
              <w:jc w:val="center"/>
              <w:rPr>
                <w:rFonts w:ascii="Times New Roman" w:hAnsi="Times New Roman" w:cs="Times New Roman" w:eastAsia="Times New Roman" w:hint="default"/>
                <w:sz w:val="18"/>
                <w:szCs w:val="18"/>
              </w:rPr>
            </w:pPr>
            <w:r>
              <w:rPr>
                <w:rFonts w:ascii="Times New Roman"/>
                <w:sz w:val="18"/>
              </w:rPr>
              <w:t>866,01</w:t>
            </w:r>
          </w:p>
          <w:p>
            <w:pPr>
              <w:pStyle w:val="TableParagraph"/>
              <w:spacing w:line="240" w:lineRule="auto" w:before="106"/>
              <w:ind w:left="194" w:right="0"/>
              <w:jc w:val="center"/>
              <w:rPr>
                <w:rFonts w:ascii="Times New Roman" w:hAnsi="Times New Roman" w:cs="Times New Roman" w:eastAsia="Times New Roman" w:hint="default"/>
                <w:sz w:val="18"/>
                <w:szCs w:val="18"/>
              </w:rPr>
            </w:pPr>
            <w:r>
              <w:rPr>
                <w:rFonts w:ascii="Times New Roman"/>
                <w:sz w:val="18"/>
              </w:rPr>
              <w:t>9.00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952,037</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,214.10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258,951</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,660.27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-62,493,</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681.41</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90,763,</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500.15</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1,303,8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06,501.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29,009,</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574.98</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3,181,0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37,467.</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86</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1"/>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号填列）</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25,031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,141.0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457,059</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,247.14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-130,93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4,195.5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4,067,6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88,863.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12,530,</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153.71</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864,459</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,203.74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123,689</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,022.22</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5,681,3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91,826.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51</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21"/>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4,067,6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88,863.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998,666</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,057.61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418,152</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,370.75</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5,484,5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07,291.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54</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21"/>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和减少资本</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25,031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,141.0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457,059</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,247.14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-130,93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4,195.5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2</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63,236,</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651.47</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676,261</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,235.13</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2" w:lineRule="auto"/>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32,258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,064.0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550,068</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,359.54</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582,326</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,423.54</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-7,226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,923.0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-93,009,</w:t>
            </w:r>
          </w:p>
          <w:p>
            <w:pPr>
              <w:pStyle w:val="TableParagraph"/>
              <w:spacing w:line="240" w:lineRule="auto" w:before="106"/>
              <w:ind w:left="118" w:right="0"/>
              <w:jc w:val="center"/>
              <w:rPr>
                <w:rFonts w:ascii="Times New Roman" w:hAnsi="Times New Roman" w:cs="Times New Roman" w:eastAsia="Times New Roman" w:hint="default"/>
                <w:sz w:val="18"/>
                <w:szCs w:val="18"/>
              </w:rPr>
            </w:pPr>
            <w:r>
              <w:rPr>
                <w:rFonts w:ascii="Times New Roman"/>
                <w:sz w:val="18"/>
              </w:rPr>
              <w:t>112.40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-130,93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4,195.5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2</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-231,17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0,230.9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2</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63,236,</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651.47</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63,236,</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651.47</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12,530,</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153.71</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-134,20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6,853.8</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-357,70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-479,37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6,700.1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12,530,</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153.71</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-12,530,</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153.71</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2" w:lineRule="auto"/>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-121,67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6,700.1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-357,70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-479,37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6,700.1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w:t>
            </w: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内部结转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1438"/>
        <w:gridCol w:w="563"/>
        <w:gridCol w:w="530"/>
        <w:gridCol w:w="532"/>
        <w:gridCol w:w="530"/>
        <w:gridCol w:w="665"/>
        <w:gridCol w:w="665"/>
        <w:gridCol w:w="665"/>
        <w:gridCol w:w="665"/>
        <w:gridCol w:w="664"/>
        <w:gridCol w:w="666"/>
        <w:gridCol w:w="665"/>
        <w:gridCol w:w="665"/>
        <w:gridCol w:w="659"/>
      </w:tblGrid>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center"/>
              <w:rPr>
                <w:rFonts w:ascii="Times New Roman" w:hAnsi="Times New Roman" w:cs="Times New Roman" w:eastAsia="Times New Roman" w:hint="default"/>
                <w:sz w:val="18"/>
                <w:szCs w:val="18"/>
              </w:rPr>
            </w:pPr>
            <w:r>
              <w:rPr>
                <w:rFonts w:ascii="Times New Roman"/>
                <w:sz w:val="18"/>
              </w:rPr>
              <w:t>1,151,</w:t>
            </w:r>
          </w:p>
          <w:p>
            <w:pPr>
              <w:pStyle w:val="TableParagraph"/>
              <w:spacing w:line="240" w:lineRule="auto" w:before="105"/>
              <w:ind w:left="14" w:right="0"/>
              <w:jc w:val="center"/>
              <w:rPr>
                <w:rFonts w:ascii="Times New Roman" w:hAnsi="Times New Roman" w:cs="Times New Roman" w:eastAsia="Times New Roman" w:hint="default"/>
                <w:sz w:val="18"/>
                <w:szCs w:val="18"/>
              </w:rPr>
            </w:pPr>
            <w:r>
              <w:rPr>
                <w:rFonts w:ascii="Times New Roman"/>
                <w:sz w:val="18"/>
              </w:rPr>
              <w:t>897,16</w:t>
            </w:r>
          </w:p>
          <w:p>
            <w:pPr>
              <w:pStyle w:val="TableParagraph"/>
              <w:spacing w:line="240" w:lineRule="auto" w:before="106"/>
              <w:ind w:left="194" w:right="0"/>
              <w:jc w:val="center"/>
              <w:rPr>
                <w:rFonts w:ascii="Times New Roman" w:hAnsi="Times New Roman" w:cs="Times New Roman" w:eastAsia="Times New Roman" w:hint="default"/>
                <w:sz w:val="18"/>
                <w:szCs w:val="18"/>
              </w:rPr>
            </w:pPr>
            <w:r>
              <w:rPr>
                <w:rFonts w:ascii="Times New Roman"/>
                <w:sz w:val="18"/>
              </w:rPr>
              <w:t>0.00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1,409,0</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96,461.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24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128,017</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,464.75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4,005,1</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95,181.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77</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103,293</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,653.86</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2,168,2</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65,705.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152,698</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,597.20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8,862,4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29,294.</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37</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1427"/>
        <w:gridCol w:w="562"/>
        <w:gridCol w:w="530"/>
        <w:gridCol w:w="532"/>
        <w:gridCol w:w="530"/>
        <w:gridCol w:w="665"/>
        <w:gridCol w:w="665"/>
        <w:gridCol w:w="665"/>
        <w:gridCol w:w="665"/>
        <w:gridCol w:w="665"/>
        <w:gridCol w:w="665"/>
        <w:gridCol w:w="678"/>
        <w:gridCol w:w="652"/>
        <w:gridCol w:w="659"/>
      </w:tblGrid>
      <w:tr>
        <w:trPr>
          <w:trHeight w:val="402" w:hRule="exact"/>
        </w:trPr>
        <w:tc>
          <w:tcPr>
            <w:tcW w:w="1427" w:type="dxa"/>
            <w:vMerge w:val="restart"/>
            <w:tcBorders>
              <w:top w:val="single" w:sz="4" w:space="0" w:color="000000"/>
              <w:left w:val="single" w:sz="4" w:space="0" w:color="000000"/>
              <w:right w:val="single" w:sz="4" w:space="0" w:color="000000"/>
            </w:tcBorders>
            <w:shd w:val="clear" w:color="auto" w:fill="D2D2D2"/>
          </w:tcPr>
          <w:p>
            <w:pPr/>
          </w:p>
        </w:tc>
        <w:tc>
          <w:tcPr>
            <w:tcW w:w="8132"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51" w:hRule="exact"/>
        </w:trPr>
        <w:tc>
          <w:tcPr>
            <w:tcW w:w="1427" w:type="dxa"/>
            <w:vMerge/>
            <w:tcBorders>
              <w:left w:val="single" w:sz="4" w:space="0" w:color="000000"/>
              <w:right w:val="single" w:sz="4" w:space="0" w:color="000000"/>
            </w:tcBorders>
            <w:shd w:val="clear" w:color="auto" w:fill="D2D2D2"/>
          </w:tcPr>
          <w:p>
            <w:pPr/>
          </w:p>
        </w:tc>
        <w:tc>
          <w:tcPr>
            <w:tcW w:w="6822"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52" w:type="dxa"/>
            <w:vMerge w:val="restart"/>
            <w:tcBorders>
              <w:top w:val="single" w:sz="4" w:space="0" w:color="000000"/>
              <w:left w:val="single" w:sz="4" w:space="0" w:color="000000"/>
              <w:right w:val="single" w:sz="4" w:space="0" w:color="000000"/>
            </w:tcBorders>
            <w:shd w:val="clear" w:color="auto" w:fill="D2D2D2"/>
          </w:tcPr>
          <w:p>
            <w:pPr/>
          </w:p>
        </w:tc>
        <w:tc>
          <w:tcPr>
            <w:tcW w:w="65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6822" w:type="dxa"/>
            <w:gridSpan w:val="11"/>
            <w:vMerge/>
            <w:tcBorders>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nil" w:sz="6" w:space="0" w:color="auto"/>
              <w:right w:val="single" w:sz="4" w:space="0" w:color="000000"/>
            </w:tcBorders>
            <w:shd w:val="clear" w:color="auto" w:fill="D2D2D2"/>
          </w:tcPr>
          <w:p>
            <w:pPr/>
          </w:p>
        </w:tc>
        <w:tc>
          <w:tcPr>
            <w:tcW w:w="659"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4"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42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562" w:type="dxa"/>
            <w:vMerge w:val="restart"/>
            <w:tcBorders>
              <w:top w:val="single" w:sz="4" w:space="0" w:color="000000"/>
              <w:left w:val="single" w:sz="4" w:space="0" w:color="000000"/>
              <w:right w:val="single" w:sz="4" w:space="0" w:color="000000"/>
            </w:tcBorders>
            <w:shd w:val="clear" w:color="auto" w:fill="D2D2D2"/>
          </w:tcPr>
          <w:p>
            <w:pPr/>
          </w:p>
        </w:tc>
        <w:tc>
          <w:tcPr>
            <w:tcW w:w="159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78" w:type="dxa"/>
            <w:tcBorders>
              <w:top w:val="single" w:sz="4" w:space="0" w:color="000000"/>
              <w:left w:val="single" w:sz="4" w:space="0" w:color="000000"/>
              <w:bottom w:val="nil" w:sz="6" w:space="0" w:color="auto"/>
              <w:right w:val="single" w:sz="4" w:space="0" w:color="000000"/>
            </w:tcBorders>
            <w:shd w:val="clear" w:color="auto" w:fill="D2D2D2"/>
          </w:tcPr>
          <w:p>
            <w:pPr/>
          </w:p>
        </w:tc>
        <w:tc>
          <w:tcPr>
            <w:tcW w:w="65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6"/>
              <w:ind w:left="50" w:right="49"/>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9" w:type="dxa"/>
            <w:vMerge/>
            <w:tcBorders>
              <w:left w:val="single" w:sz="4" w:space="0" w:color="000000"/>
              <w:right w:val="single" w:sz="4" w:space="0" w:color="000000"/>
            </w:tcBorders>
            <w:shd w:val="clear" w:color="auto" w:fill="D2D2D2"/>
          </w:tcPr>
          <w:p>
            <w:pPr/>
          </w:p>
        </w:tc>
      </w:tr>
      <w:tr>
        <w:trPr>
          <w:trHeight w:val="174"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1592" w:type="dxa"/>
            <w:gridSpan w:val="3"/>
            <w:vMerge/>
            <w:tcBorders>
              <w:left w:val="single" w:sz="4" w:space="0" w:color="000000"/>
              <w:bottom w:val="single" w:sz="4" w:space="0" w:color="000000"/>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7" w:right="57" w:hanging="181"/>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6" w:right="56"/>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6" w:right="57"/>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7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53" w:right="62"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52"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84" w:hRule="exact"/>
        </w:trPr>
        <w:tc>
          <w:tcPr>
            <w:tcW w:w="1427" w:type="dxa"/>
            <w:vMerge w:val="restart"/>
            <w:tcBorders>
              <w:top w:val="nil" w:sz="6" w:space="0" w:color="auto"/>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3"/>
              <w:ind w:left="9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4"/>
              <w:ind w:left="170" w:right="78"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4"/>
              <w:ind w:left="171" w:right="78"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78" w:type="dxa"/>
            <w:vMerge/>
            <w:tcBorders>
              <w:left w:val="single" w:sz="4" w:space="0" w:color="000000"/>
              <w:right w:val="single" w:sz="4" w:space="0" w:color="000000"/>
            </w:tcBorders>
            <w:shd w:val="clear" w:color="auto" w:fill="D2D2D2"/>
          </w:tcPr>
          <w:p>
            <w:pPr/>
          </w:p>
        </w:tc>
        <w:tc>
          <w:tcPr>
            <w:tcW w:w="652"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68" w:hRule="exact"/>
        </w:trPr>
        <w:tc>
          <w:tcPr>
            <w:tcW w:w="1427" w:type="dxa"/>
            <w:vMerge/>
            <w:tcBorders>
              <w:left w:val="single" w:sz="4" w:space="0" w:color="000000"/>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78" w:type="dxa"/>
            <w:vMerge/>
            <w:tcBorders>
              <w:left w:val="single" w:sz="4" w:space="0" w:color="000000"/>
              <w:right w:val="single" w:sz="4" w:space="0" w:color="000000"/>
            </w:tcBorders>
            <w:shd w:val="clear" w:color="auto" w:fill="D2D2D2"/>
          </w:tcPr>
          <w:p>
            <w:pPr/>
          </w:p>
        </w:tc>
        <w:tc>
          <w:tcPr>
            <w:tcW w:w="652" w:type="dxa"/>
            <w:vMerge/>
            <w:tcBorders>
              <w:left w:val="single" w:sz="4" w:space="0" w:color="000000"/>
              <w:bottom w:val="nil" w:sz="6" w:space="0" w:color="auto"/>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56" w:hRule="exact"/>
        </w:trPr>
        <w:tc>
          <w:tcPr>
            <w:tcW w:w="1427" w:type="dxa"/>
            <w:vMerge/>
            <w:tcBorders>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78" w:type="dxa"/>
            <w:vMerge/>
            <w:tcBorders>
              <w:left w:val="single" w:sz="4" w:space="0" w:color="000000"/>
              <w:bottom w:val="nil" w:sz="6" w:space="0" w:color="auto"/>
              <w:right w:val="single" w:sz="4" w:space="0" w:color="000000"/>
            </w:tcBorders>
            <w:shd w:val="clear" w:color="auto" w:fill="D2D2D2"/>
          </w:tcPr>
          <w:p>
            <w:pPr/>
          </w:p>
        </w:tc>
        <w:tc>
          <w:tcPr>
            <w:tcW w:w="652" w:type="dxa"/>
            <w:vMerge w:val="restart"/>
            <w:tcBorders>
              <w:top w:val="nil" w:sz="6" w:space="0" w:color="auto"/>
              <w:left w:val="single" w:sz="4" w:space="0" w:color="000000"/>
              <w:right w:val="single" w:sz="4" w:space="0" w:color="000000"/>
            </w:tcBorders>
            <w:shd w:val="clear" w:color="auto" w:fill="D2D2D2"/>
          </w:tcPr>
          <w:p>
            <w:pPr/>
          </w:p>
        </w:tc>
        <w:tc>
          <w:tcPr>
            <w:tcW w:w="659" w:type="dxa"/>
            <w:vMerge/>
            <w:tcBorders>
              <w:left w:val="single" w:sz="4" w:space="0" w:color="000000"/>
              <w:bottom w:val="nil" w:sz="6" w:space="0" w:color="auto"/>
              <w:right w:val="single" w:sz="4" w:space="0" w:color="000000"/>
            </w:tcBorders>
            <w:shd w:val="clear" w:color="auto" w:fill="D2D2D2"/>
          </w:tcPr>
          <w:p>
            <w:pPr/>
          </w:p>
        </w:tc>
      </w:tr>
      <w:tr>
        <w:trPr>
          <w:trHeight w:val="228" w:hRule="exact"/>
        </w:trPr>
        <w:tc>
          <w:tcPr>
            <w:tcW w:w="1427"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530" w:type="dxa"/>
            <w:vMerge/>
            <w:tcBorders>
              <w:left w:val="single" w:sz="4" w:space="0" w:color="000000"/>
              <w:bottom w:val="single" w:sz="4" w:space="0" w:color="000000"/>
              <w:right w:val="single" w:sz="4" w:space="0" w:color="000000"/>
            </w:tcBorders>
            <w:shd w:val="clear" w:color="auto" w:fill="D2D2D2"/>
          </w:tcPr>
          <w:p>
            <w:pPr/>
          </w:p>
        </w:tc>
        <w:tc>
          <w:tcPr>
            <w:tcW w:w="53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78" w:type="dxa"/>
            <w:tcBorders>
              <w:top w:val="nil" w:sz="6" w:space="0" w:color="auto"/>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single" w:sz="4" w:space="0" w:color="000000"/>
              <w:right w:val="single" w:sz="4" w:space="0" w:color="000000"/>
            </w:tcBorders>
            <w:shd w:val="clear" w:color="auto" w:fill="D2D2D2"/>
          </w:tcPr>
          <w:p>
            <w:pPr/>
          </w:p>
        </w:tc>
        <w:tc>
          <w:tcPr>
            <w:tcW w:w="65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8" w:hRule="exact"/>
        </w:trPr>
        <w:tc>
          <w:tcPr>
            <w:tcW w:w="1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9" w:space="0" w:color="D2D2D2"/>
              <w:right w:val="single" w:sz="4" w:space="0" w:color="000000"/>
            </w:tcBorders>
          </w:tcPr>
          <w:p>
            <w:pPr>
              <w:pStyle w:val="TableParagraph"/>
              <w:spacing w:line="240" w:lineRule="auto" w:before="92"/>
              <w:ind w:left="50" w:right="0"/>
              <w:jc w:val="center"/>
              <w:rPr>
                <w:rFonts w:ascii="Times New Roman" w:hAnsi="Times New Roman" w:cs="Times New Roman" w:eastAsia="Times New Roman" w:hint="default"/>
                <w:sz w:val="18"/>
                <w:szCs w:val="18"/>
              </w:rPr>
            </w:pPr>
            <w:r>
              <w:rPr>
                <w:rFonts w:ascii="Times New Roman"/>
                <w:sz w:val="18"/>
              </w:rPr>
              <w:t>1,127,</w:t>
            </w:r>
          </w:p>
          <w:p>
            <w:pPr>
              <w:pStyle w:val="TableParagraph"/>
              <w:spacing w:line="240" w:lineRule="auto" w:before="104"/>
              <w:ind w:left="6" w:right="0"/>
              <w:jc w:val="center"/>
              <w:rPr>
                <w:rFonts w:ascii="Times New Roman" w:hAnsi="Times New Roman" w:cs="Times New Roman" w:eastAsia="Times New Roman" w:hint="default"/>
                <w:sz w:val="18"/>
                <w:szCs w:val="18"/>
              </w:rPr>
            </w:pPr>
            <w:r>
              <w:rPr>
                <w:rFonts w:ascii="Times New Roman"/>
                <w:sz w:val="18"/>
              </w:rPr>
              <w:t>230,99</w:t>
            </w:r>
          </w:p>
          <w:p>
            <w:pPr>
              <w:pStyle w:val="TableParagraph"/>
              <w:spacing w:line="240" w:lineRule="auto" w:before="106"/>
              <w:ind w:left="186" w:right="0"/>
              <w:jc w:val="center"/>
              <w:rPr>
                <w:rFonts w:ascii="Times New Roman" w:hAnsi="Times New Roman" w:cs="Times New Roman" w:eastAsia="Times New Roman" w:hint="default"/>
                <w:sz w:val="18"/>
                <w:szCs w:val="18"/>
              </w:rPr>
            </w:pPr>
            <w:r>
              <w:rPr>
                <w:rFonts w:ascii="Times New Roman"/>
                <w:sz w:val="18"/>
              </w:rPr>
              <w:t>3.00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3" w:right="0"/>
              <w:jc w:val="left"/>
              <w:rPr>
                <w:rFonts w:ascii="Times New Roman" w:hAnsi="Times New Roman" w:cs="Times New Roman" w:eastAsia="Times New Roman" w:hint="default"/>
                <w:sz w:val="18"/>
                <w:szCs w:val="18"/>
              </w:rPr>
            </w:pPr>
            <w:r>
              <w:rPr>
                <w:rFonts w:ascii="Times New Roman"/>
                <w:sz w:val="18"/>
              </w:rPr>
              <w:t>873,311</w:t>
            </w:r>
          </w:p>
          <w:p>
            <w:pPr>
              <w:pStyle w:val="TableParagraph"/>
              <w:spacing w:line="240" w:lineRule="auto" w:before="105"/>
              <w:ind w:left="92" w:right="0"/>
              <w:jc w:val="left"/>
              <w:rPr>
                <w:rFonts w:ascii="Times New Roman" w:hAnsi="Times New Roman" w:cs="Times New Roman" w:eastAsia="Times New Roman" w:hint="default"/>
                <w:sz w:val="18"/>
                <w:szCs w:val="18"/>
              </w:rPr>
            </w:pPr>
            <w:r>
              <w:rPr>
                <w:rFonts w:ascii="Times New Roman"/>
                <w:sz w:val="18"/>
              </w:rPr>
              <w:t>,461.04</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265,305</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,390.00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-36,620,</w:t>
            </w:r>
          </w:p>
          <w:p>
            <w:pPr>
              <w:pStyle w:val="TableParagraph"/>
              <w:spacing w:line="240" w:lineRule="auto" w:before="105"/>
              <w:ind w:left="113" w:right="0"/>
              <w:jc w:val="center"/>
              <w:rPr>
                <w:rFonts w:ascii="Times New Roman" w:hAnsi="Times New Roman" w:cs="Times New Roman" w:eastAsia="Times New Roman" w:hint="default"/>
                <w:sz w:val="18"/>
                <w:szCs w:val="18"/>
              </w:rPr>
            </w:pPr>
            <w:r>
              <w:rPr>
                <w:rFonts w:ascii="Times New Roman"/>
                <w:sz w:val="18"/>
              </w:rPr>
              <w:t>146.24</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78,717,</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825.46</w:t>
            </w:r>
          </w:p>
        </w:tc>
        <w:tc>
          <w:tcPr>
            <w:tcW w:w="665" w:type="dxa"/>
            <w:vMerge w:val="restart"/>
            <w:tcBorders>
              <w:top w:val="single" w:sz="4" w:space="0" w:color="000000"/>
              <w:left w:val="single" w:sz="4" w:space="0" w:color="000000"/>
              <w:right w:val="single" w:sz="4" w:space="0" w:color="000000"/>
            </w:tcBorders>
          </w:tcPr>
          <w:p>
            <w:pPr/>
          </w:p>
        </w:tc>
        <w:tc>
          <w:tcPr>
            <w:tcW w:w="678"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902,684</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,210.65</w:t>
            </w:r>
          </w:p>
        </w:tc>
        <w:tc>
          <w:tcPr>
            <w:tcW w:w="652" w:type="dxa"/>
            <w:vMerge w:val="restart"/>
            <w:tcBorders>
              <w:top w:val="single" w:sz="4" w:space="0" w:color="000000"/>
              <w:left w:val="single" w:sz="4" w:space="0" w:color="000000"/>
              <w:right w:val="single" w:sz="4" w:space="0" w:color="000000"/>
            </w:tcBorders>
          </w:tcPr>
          <w:p>
            <w:pP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2,680,0</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18,953.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91</w:t>
            </w:r>
          </w:p>
        </w:tc>
      </w:tr>
      <w:tr>
        <w:trPr>
          <w:trHeight w:val="392" w:hRule="exact"/>
        </w:trPr>
        <w:tc>
          <w:tcPr>
            <w:tcW w:w="1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62"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78" w:type="dxa"/>
            <w:vMerge/>
            <w:tcBorders>
              <w:left w:val="single" w:sz="4" w:space="0" w:color="000000"/>
              <w:right w:val="single" w:sz="4" w:space="0" w:color="000000"/>
            </w:tcBorders>
          </w:tcPr>
          <w:p>
            <w:pPr/>
          </w:p>
        </w:tc>
        <w:tc>
          <w:tcPr>
            <w:tcW w:w="652"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78" w:type="dxa"/>
            <w:vMerge/>
            <w:tcBorders>
              <w:left w:val="single" w:sz="4" w:space="0" w:color="000000"/>
              <w:bottom w:val="single" w:sz="4" w:space="0" w:color="000000"/>
              <w:right w:val="single" w:sz="4" w:space="0" w:color="000000"/>
            </w:tcBorders>
          </w:tcPr>
          <w:p>
            <w:pPr/>
          </w:p>
        </w:tc>
        <w:tc>
          <w:tcPr>
            <w:tcW w:w="652"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43"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318" w:hRule="exact"/>
        </w:trPr>
        <w:tc>
          <w:tcPr>
            <w:tcW w:w="1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9" w:space="0" w:color="D2D2D2"/>
              <w:right w:val="single" w:sz="4" w:space="0" w:color="000000"/>
            </w:tcBorders>
          </w:tcPr>
          <w:p>
            <w:pPr>
              <w:pStyle w:val="TableParagraph"/>
              <w:spacing w:line="240" w:lineRule="auto" w:before="92"/>
              <w:ind w:left="50" w:right="0"/>
              <w:jc w:val="center"/>
              <w:rPr>
                <w:rFonts w:ascii="Times New Roman" w:hAnsi="Times New Roman" w:cs="Times New Roman" w:eastAsia="Times New Roman" w:hint="default"/>
                <w:sz w:val="18"/>
                <w:szCs w:val="18"/>
              </w:rPr>
            </w:pPr>
            <w:r>
              <w:rPr>
                <w:rFonts w:ascii="Times New Roman"/>
                <w:sz w:val="18"/>
              </w:rPr>
              <w:t>1,127,</w:t>
            </w:r>
          </w:p>
          <w:p>
            <w:pPr>
              <w:pStyle w:val="TableParagraph"/>
              <w:spacing w:line="240" w:lineRule="auto" w:before="104"/>
              <w:ind w:left="6" w:right="0"/>
              <w:jc w:val="center"/>
              <w:rPr>
                <w:rFonts w:ascii="Times New Roman" w:hAnsi="Times New Roman" w:cs="Times New Roman" w:eastAsia="Times New Roman" w:hint="default"/>
                <w:sz w:val="18"/>
                <w:szCs w:val="18"/>
              </w:rPr>
            </w:pPr>
            <w:r>
              <w:rPr>
                <w:rFonts w:ascii="Times New Roman"/>
                <w:sz w:val="18"/>
              </w:rPr>
              <w:t>230,99</w:t>
            </w:r>
          </w:p>
          <w:p>
            <w:pPr>
              <w:pStyle w:val="TableParagraph"/>
              <w:spacing w:line="240" w:lineRule="auto" w:before="106"/>
              <w:ind w:left="186" w:right="0"/>
              <w:jc w:val="center"/>
              <w:rPr>
                <w:rFonts w:ascii="Times New Roman" w:hAnsi="Times New Roman" w:cs="Times New Roman" w:eastAsia="Times New Roman" w:hint="default"/>
                <w:sz w:val="18"/>
                <w:szCs w:val="18"/>
              </w:rPr>
            </w:pPr>
            <w:r>
              <w:rPr>
                <w:rFonts w:ascii="Times New Roman"/>
                <w:sz w:val="18"/>
              </w:rPr>
              <w:t>3.00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3" w:right="0"/>
              <w:jc w:val="left"/>
              <w:rPr>
                <w:rFonts w:ascii="Times New Roman" w:hAnsi="Times New Roman" w:cs="Times New Roman" w:eastAsia="Times New Roman" w:hint="default"/>
                <w:sz w:val="18"/>
                <w:szCs w:val="18"/>
              </w:rPr>
            </w:pPr>
            <w:r>
              <w:rPr>
                <w:rFonts w:ascii="Times New Roman"/>
                <w:sz w:val="18"/>
              </w:rPr>
              <w:t>873,311</w:t>
            </w:r>
          </w:p>
          <w:p>
            <w:pPr>
              <w:pStyle w:val="TableParagraph"/>
              <w:spacing w:line="240" w:lineRule="auto" w:before="105"/>
              <w:ind w:left="92" w:right="0"/>
              <w:jc w:val="left"/>
              <w:rPr>
                <w:rFonts w:ascii="Times New Roman" w:hAnsi="Times New Roman" w:cs="Times New Roman" w:eastAsia="Times New Roman" w:hint="default"/>
                <w:sz w:val="18"/>
                <w:szCs w:val="18"/>
              </w:rPr>
            </w:pPr>
            <w:r>
              <w:rPr>
                <w:rFonts w:ascii="Times New Roman"/>
                <w:sz w:val="18"/>
              </w:rPr>
              <w:t>,461.04</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265,305</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,390.00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-36,620,</w:t>
            </w:r>
          </w:p>
          <w:p>
            <w:pPr>
              <w:pStyle w:val="TableParagraph"/>
              <w:spacing w:line="240" w:lineRule="auto" w:before="105"/>
              <w:ind w:left="113" w:right="0"/>
              <w:jc w:val="center"/>
              <w:rPr>
                <w:rFonts w:ascii="Times New Roman" w:hAnsi="Times New Roman" w:cs="Times New Roman" w:eastAsia="Times New Roman" w:hint="default"/>
                <w:sz w:val="18"/>
                <w:szCs w:val="18"/>
              </w:rPr>
            </w:pPr>
            <w:r>
              <w:rPr>
                <w:rFonts w:ascii="Times New Roman"/>
                <w:sz w:val="18"/>
              </w:rPr>
              <w:t>146.24</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78,717,</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825.46</w:t>
            </w:r>
          </w:p>
        </w:tc>
        <w:tc>
          <w:tcPr>
            <w:tcW w:w="665" w:type="dxa"/>
            <w:vMerge w:val="restart"/>
            <w:tcBorders>
              <w:top w:val="single" w:sz="4" w:space="0" w:color="000000"/>
              <w:left w:val="single" w:sz="4" w:space="0" w:color="000000"/>
              <w:right w:val="single" w:sz="4" w:space="0" w:color="000000"/>
            </w:tcBorders>
          </w:tcPr>
          <w:p>
            <w:pPr/>
          </w:p>
        </w:tc>
        <w:tc>
          <w:tcPr>
            <w:tcW w:w="678"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902,684</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,210.65</w:t>
            </w:r>
          </w:p>
        </w:tc>
        <w:tc>
          <w:tcPr>
            <w:tcW w:w="652" w:type="dxa"/>
            <w:vMerge w:val="restart"/>
            <w:tcBorders>
              <w:top w:val="single" w:sz="4" w:space="0" w:color="000000"/>
              <w:left w:val="single" w:sz="4" w:space="0" w:color="000000"/>
              <w:right w:val="single" w:sz="4" w:space="0" w:color="000000"/>
            </w:tcBorders>
          </w:tcPr>
          <w:p>
            <w:pP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2,680,0</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18,953.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91</w:t>
            </w:r>
          </w:p>
        </w:tc>
      </w:tr>
      <w:tr>
        <w:trPr>
          <w:trHeight w:val="391" w:hRule="exact"/>
        </w:trPr>
        <w:tc>
          <w:tcPr>
            <w:tcW w:w="1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2"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78" w:type="dxa"/>
            <w:vMerge/>
            <w:tcBorders>
              <w:left w:val="single" w:sz="4" w:space="0" w:color="000000"/>
              <w:right w:val="single" w:sz="4" w:space="0" w:color="000000"/>
            </w:tcBorders>
          </w:tcPr>
          <w:p>
            <w:pPr/>
          </w:p>
        </w:tc>
        <w:tc>
          <w:tcPr>
            <w:tcW w:w="652"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78" w:type="dxa"/>
            <w:vMerge/>
            <w:tcBorders>
              <w:left w:val="single" w:sz="4" w:space="0" w:color="000000"/>
              <w:bottom w:val="single" w:sz="4" w:space="0" w:color="000000"/>
              <w:right w:val="single" w:sz="4" w:space="0" w:color="000000"/>
            </w:tcBorders>
          </w:tcPr>
          <w:p>
            <w:pPr/>
          </w:p>
        </w:tc>
        <w:tc>
          <w:tcPr>
            <w:tcW w:w="652"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026"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11" w:right="22"/>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号填列）</w:t>
            </w:r>
          </w:p>
        </w:tc>
        <w:tc>
          <w:tcPr>
            <w:tcW w:w="5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-364,9</w:t>
            </w:r>
          </w:p>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74.00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2" w:right="0"/>
              <w:jc w:val="left"/>
              <w:rPr>
                <w:rFonts w:ascii="Times New Roman" w:hAnsi="Times New Roman" w:cs="Times New Roman" w:eastAsia="Times New Roman" w:hint="default"/>
                <w:sz w:val="18"/>
                <w:szCs w:val="18"/>
              </w:rPr>
            </w:pPr>
            <w:r>
              <w:rPr>
                <w:rFonts w:ascii="Times New Roman"/>
                <w:sz w:val="18"/>
              </w:rPr>
              <w:t>78,725,</w:t>
            </w:r>
          </w:p>
          <w:p>
            <w:pPr>
              <w:pStyle w:val="TableParagraph"/>
              <w:spacing w:line="240" w:lineRule="auto" w:before="105"/>
              <w:ind w:left="137" w:right="0"/>
              <w:jc w:val="left"/>
              <w:rPr>
                <w:rFonts w:ascii="Times New Roman" w:hAnsi="Times New Roman" w:cs="Times New Roman" w:eastAsia="Times New Roman" w:hint="default"/>
                <w:sz w:val="18"/>
                <w:szCs w:val="18"/>
              </w:rPr>
            </w:pPr>
            <w:r>
              <w:rPr>
                <w:rFonts w:ascii="Times New Roman"/>
                <w:sz w:val="18"/>
              </w:rPr>
              <w:t>753.06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-6,353,7</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29.73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-25,873,</w:t>
            </w:r>
          </w:p>
          <w:p>
            <w:pPr>
              <w:pStyle w:val="TableParagraph"/>
              <w:spacing w:line="240" w:lineRule="auto" w:before="105"/>
              <w:ind w:left="113" w:right="0"/>
              <w:jc w:val="center"/>
              <w:rPr>
                <w:rFonts w:ascii="Times New Roman" w:hAnsi="Times New Roman" w:cs="Times New Roman" w:eastAsia="Times New Roman" w:hint="default"/>
                <w:sz w:val="18"/>
                <w:szCs w:val="18"/>
              </w:rPr>
            </w:pPr>
            <w:r>
              <w:rPr>
                <w:rFonts w:ascii="Times New Roman"/>
                <w:sz w:val="18"/>
              </w:rPr>
              <w:t>535.17</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12,045,</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674.69</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401,122</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,290.66</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29,009,</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574.98</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501,018</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,513.95</w:t>
            </w: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1" w:right="22"/>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 w:right="0"/>
              <w:jc w:val="center"/>
              <w:rPr>
                <w:rFonts w:ascii="Times New Roman" w:hAnsi="Times New Roman" w:cs="Times New Roman" w:eastAsia="Times New Roman" w:hint="default"/>
                <w:sz w:val="18"/>
                <w:szCs w:val="18"/>
              </w:rPr>
            </w:pPr>
            <w:r>
              <w:rPr>
                <w:rFonts w:ascii="Times New Roman"/>
                <w:sz w:val="18"/>
              </w:rPr>
              <w:t>-25,873,</w:t>
            </w:r>
          </w:p>
          <w:p>
            <w:pPr>
              <w:pStyle w:val="TableParagraph"/>
              <w:spacing w:line="240" w:lineRule="auto" w:before="105"/>
              <w:ind w:left="113" w:right="0"/>
              <w:jc w:val="center"/>
              <w:rPr>
                <w:rFonts w:ascii="Times New Roman" w:hAnsi="Times New Roman" w:cs="Times New Roman" w:eastAsia="Times New Roman" w:hint="default"/>
                <w:sz w:val="18"/>
                <w:szCs w:val="18"/>
              </w:rPr>
            </w:pPr>
            <w:r>
              <w:rPr>
                <w:rFonts w:ascii="Times New Roman"/>
                <w:sz w:val="18"/>
              </w:rPr>
              <w:t>535.17</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9" w:right="0"/>
              <w:jc w:val="left"/>
              <w:rPr>
                <w:rFonts w:ascii="Times New Roman" w:hAnsi="Times New Roman" w:cs="Times New Roman" w:eastAsia="Times New Roman" w:hint="default"/>
                <w:sz w:val="18"/>
                <w:szCs w:val="18"/>
              </w:rPr>
            </w:pPr>
            <w:r>
              <w:rPr>
                <w:rFonts w:ascii="Times New Roman"/>
                <w:sz w:val="18"/>
              </w:rPr>
              <w:t>531,497</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,123.47</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9" w:right="0"/>
              <w:jc w:val="left"/>
              <w:rPr>
                <w:rFonts w:ascii="Times New Roman" w:hAnsi="Times New Roman" w:cs="Times New Roman" w:eastAsia="Times New Roman" w:hint="default"/>
                <w:sz w:val="18"/>
                <w:szCs w:val="18"/>
              </w:rPr>
            </w:pPr>
            <w:r>
              <w:rPr>
                <w:rFonts w:ascii="Times New Roman"/>
                <w:sz w:val="18"/>
              </w:rPr>
              <w:t>14,642,</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200.97</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0" w:right="0"/>
              <w:jc w:val="left"/>
              <w:rPr>
                <w:rFonts w:ascii="Times New Roman" w:hAnsi="Times New Roman" w:cs="Times New Roman" w:eastAsia="Times New Roman" w:hint="default"/>
                <w:sz w:val="18"/>
                <w:szCs w:val="18"/>
              </w:rPr>
            </w:pPr>
            <w:r>
              <w:rPr>
                <w:rFonts w:ascii="Times New Roman"/>
                <w:sz w:val="18"/>
              </w:rPr>
              <w:t>520,265</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,789.27</w:t>
            </w: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22"/>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和减少资本</w:t>
            </w:r>
          </w:p>
        </w:tc>
        <w:tc>
          <w:tcPr>
            <w:tcW w:w="5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52" w:right="0"/>
              <w:jc w:val="left"/>
              <w:rPr>
                <w:rFonts w:ascii="Times New Roman" w:hAnsi="Times New Roman" w:cs="Times New Roman" w:eastAsia="Times New Roman" w:hint="default"/>
                <w:sz w:val="18"/>
                <w:szCs w:val="18"/>
              </w:rPr>
            </w:pPr>
            <w:r>
              <w:rPr>
                <w:rFonts w:ascii="Times New Roman"/>
                <w:sz w:val="18"/>
              </w:rPr>
              <w:t>-364,9</w:t>
            </w:r>
          </w:p>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74.00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2" w:right="0"/>
              <w:jc w:val="left"/>
              <w:rPr>
                <w:rFonts w:ascii="Times New Roman" w:hAnsi="Times New Roman" w:cs="Times New Roman" w:eastAsia="Times New Roman" w:hint="default"/>
                <w:sz w:val="18"/>
                <w:szCs w:val="18"/>
              </w:rPr>
            </w:pPr>
            <w:r>
              <w:rPr>
                <w:rFonts w:ascii="Times New Roman"/>
                <w:sz w:val="18"/>
              </w:rPr>
              <w:t>78,725,</w:t>
            </w:r>
          </w:p>
          <w:p>
            <w:pPr>
              <w:pStyle w:val="TableParagraph"/>
              <w:spacing w:line="240" w:lineRule="auto" w:before="105"/>
              <w:ind w:left="137" w:right="0"/>
              <w:jc w:val="left"/>
              <w:rPr>
                <w:rFonts w:ascii="Times New Roman" w:hAnsi="Times New Roman" w:cs="Times New Roman" w:eastAsia="Times New Roman" w:hint="default"/>
                <w:sz w:val="18"/>
                <w:szCs w:val="18"/>
              </w:rPr>
            </w:pPr>
            <w:r>
              <w:rPr>
                <w:rFonts w:ascii="Times New Roman"/>
                <w:sz w:val="18"/>
              </w:rPr>
              <w:t>753.06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 w:right="0"/>
              <w:jc w:val="center"/>
              <w:rPr>
                <w:rFonts w:ascii="Times New Roman" w:hAnsi="Times New Roman" w:cs="Times New Roman" w:eastAsia="Times New Roman" w:hint="default"/>
                <w:sz w:val="18"/>
                <w:szCs w:val="18"/>
              </w:rPr>
            </w:pPr>
            <w:r>
              <w:rPr>
                <w:rFonts w:ascii="Times New Roman"/>
                <w:sz w:val="18"/>
              </w:rPr>
              <w:t>-6,353,7</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29.73</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9" w:right="0"/>
              <w:jc w:val="left"/>
              <w:rPr>
                <w:rFonts w:ascii="Times New Roman" w:hAnsi="Times New Roman" w:cs="Times New Roman" w:eastAsia="Times New Roman" w:hint="default"/>
                <w:sz w:val="18"/>
                <w:szCs w:val="18"/>
              </w:rPr>
            </w:pPr>
            <w:r>
              <w:rPr>
                <w:rFonts w:ascii="Times New Roman"/>
                <w:sz w:val="18"/>
              </w:rPr>
              <w:t>14,555,</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584.45</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5" w:right="0"/>
              <w:jc w:val="left"/>
              <w:rPr>
                <w:rFonts w:ascii="Times New Roman" w:hAnsi="Times New Roman" w:cs="Times New Roman" w:eastAsia="Times New Roman" w:hint="default"/>
                <w:sz w:val="18"/>
                <w:szCs w:val="18"/>
              </w:rPr>
            </w:pPr>
            <w:r>
              <w:rPr>
                <w:rFonts w:ascii="Times New Roman"/>
                <w:sz w:val="18"/>
              </w:rPr>
              <w:t>99,270,</w:t>
            </w:r>
          </w:p>
          <w:p>
            <w:pPr>
              <w:pStyle w:val="TableParagraph"/>
              <w:spacing w:line="240" w:lineRule="auto" w:before="105"/>
              <w:ind w:left="130" w:right="0"/>
              <w:jc w:val="left"/>
              <w:rPr>
                <w:rFonts w:ascii="Times New Roman" w:hAnsi="Times New Roman" w:cs="Times New Roman" w:eastAsia="Times New Roman" w:hint="default"/>
                <w:sz w:val="18"/>
                <w:szCs w:val="18"/>
              </w:rPr>
            </w:pPr>
            <w:r>
              <w:rPr>
                <w:rFonts w:ascii="Times New Roman"/>
                <w:sz w:val="18"/>
              </w:rPr>
              <w:t>093.24</w:t>
            </w:r>
          </w:p>
        </w:tc>
      </w:tr>
      <w:tr>
        <w:trPr>
          <w:trHeight w:val="403"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92" w:right="0"/>
              <w:jc w:val="left"/>
              <w:rPr>
                <w:rFonts w:ascii="Times New Roman" w:hAnsi="Times New Roman" w:cs="Times New Roman" w:eastAsia="Times New Roman" w:hint="default"/>
                <w:sz w:val="18"/>
                <w:szCs w:val="18"/>
              </w:rPr>
            </w:pPr>
            <w:r>
              <w:rPr>
                <w:rFonts w:ascii="Times New Roman"/>
                <w:sz w:val="18"/>
              </w:rPr>
              <w:t>12,877,</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85" w:right="0"/>
              <w:jc w:val="left"/>
              <w:rPr>
                <w:rFonts w:ascii="Times New Roman" w:hAnsi="Times New Roman" w:cs="Times New Roman" w:eastAsia="Times New Roman" w:hint="default"/>
                <w:sz w:val="18"/>
                <w:szCs w:val="18"/>
              </w:rPr>
            </w:pPr>
            <w:r>
              <w:rPr>
                <w:rFonts w:ascii="Times New Roman"/>
                <w:sz w:val="18"/>
              </w:rPr>
              <w:t>12,877,</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1437"/>
        <w:gridCol w:w="562"/>
        <w:gridCol w:w="530"/>
        <w:gridCol w:w="532"/>
        <w:gridCol w:w="530"/>
        <w:gridCol w:w="665"/>
        <w:gridCol w:w="665"/>
        <w:gridCol w:w="665"/>
        <w:gridCol w:w="665"/>
        <w:gridCol w:w="665"/>
        <w:gridCol w:w="665"/>
        <w:gridCol w:w="678"/>
        <w:gridCol w:w="652"/>
        <w:gridCol w:w="659"/>
      </w:tblGrid>
      <w:tr>
        <w:trPr>
          <w:trHeight w:val="36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通股</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37" w:right="0"/>
              <w:jc w:val="left"/>
              <w:rPr>
                <w:rFonts w:ascii="Times New Roman" w:hAnsi="Times New Roman" w:cs="Times New Roman" w:eastAsia="Times New Roman" w:hint="default"/>
                <w:sz w:val="18"/>
                <w:szCs w:val="18"/>
              </w:rPr>
            </w:pPr>
            <w:r>
              <w:rPr>
                <w:rFonts w:ascii="Times New Roman"/>
                <w:sz w:val="18"/>
              </w:rPr>
              <w:t>121.75</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30" w:right="0"/>
              <w:jc w:val="left"/>
              <w:rPr>
                <w:rFonts w:ascii="Times New Roman" w:hAnsi="Times New Roman" w:cs="Times New Roman" w:eastAsia="Times New Roman" w:hint="default"/>
                <w:sz w:val="18"/>
                <w:szCs w:val="18"/>
              </w:rPr>
            </w:pPr>
            <w:r>
              <w:rPr>
                <w:rFonts w:ascii="Times New Roman"/>
                <w:sz w:val="18"/>
              </w:rPr>
              <w:t>121.75</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-364,9</w:t>
            </w:r>
          </w:p>
          <w:p>
            <w:pPr>
              <w:pStyle w:val="TableParagraph"/>
              <w:spacing w:line="240" w:lineRule="auto" w:before="105"/>
              <w:ind w:left="125" w:right="0"/>
              <w:jc w:val="left"/>
              <w:rPr>
                <w:rFonts w:ascii="Times New Roman" w:hAnsi="Times New Roman" w:cs="Times New Roman" w:eastAsia="Times New Roman" w:hint="default"/>
                <w:sz w:val="18"/>
                <w:szCs w:val="18"/>
              </w:rPr>
            </w:pPr>
            <w:r>
              <w:rPr>
                <w:rFonts w:ascii="Times New Roman"/>
                <w:sz w:val="18"/>
              </w:rPr>
              <w:t>74.00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2" w:right="0"/>
              <w:jc w:val="left"/>
              <w:rPr>
                <w:rFonts w:ascii="Times New Roman" w:hAnsi="Times New Roman" w:cs="Times New Roman" w:eastAsia="Times New Roman" w:hint="default"/>
                <w:sz w:val="18"/>
                <w:szCs w:val="18"/>
              </w:rPr>
            </w:pPr>
            <w:r>
              <w:rPr>
                <w:rFonts w:ascii="Times New Roman"/>
                <w:sz w:val="18"/>
              </w:rPr>
              <w:t>65,848,</w:t>
            </w:r>
          </w:p>
          <w:p>
            <w:pPr>
              <w:pStyle w:val="TableParagraph"/>
              <w:spacing w:line="240" w:lineRule="auto" w:before="105"/>
              <w:ind w:left="137" w:right="0"/>
              <w:jc w:val="left"/>
              <w:rPr>
                <w:rFonts w:ascii="Times New Roman" w:hAnsi="Times New Roman" w:cs="Times New Roman" w:eastAsia="Times New Roman" w:hint="default"/>
                <w:sz w:val="18"/>
                <w:szCs w:val="18"/>
              </w:rPr>
            </w:pPr>
            <w:r>
              <w:rPr>
                <w:rFonts w:ascii="Times New Roman"/>
                <w:sz w:val="18"/>
              </w:rPr>
              <w:t>631.31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-6,353,7</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29.73</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59,129,</w:t>
            </w:r>
          </w:p>
          <w:p>
            <w:pPr>
              <w:pStyle w:val="TableParagraph"/>
              <w:spacing w:line="240" w:lineRule="auto" w:before="105"/>
              <w:ind w:left="130" w:right="0"/>
              <w:jc w:val="left"/>
              <w:rPr>
                <w:rFonts w:ascii="Times New Roman" w:hAnsi="Times New Roman" w:cs="Times New Roman" w:eastAsia="Times New Roman" w:hint="default"/>
                <w:sz w:val="18"/>
                <w:szCs w:val="18"/>
              </w:rPr>
            </w:pPr>
            <w:r>
              <w:rPr>
                <w:rFonts w:ascii="Times New Roman"/>
                <w:sz w:val="18"/>
              </w:rPr>
              <w:t>927.58</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14,555,</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584.45</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14,555,</w:t>
            </w:r>
          </w:p>
          <w:p>
            <w:pPr>
              <w:pStyle w:val="TableParagraph"/>
              <w:spacing w:line="240" w:lineRule="auto" w:before="105"/>
              <w:ind w:left="130" w:right="0"/>
              <w:jc w:val="left"/>
              <w:rPr>
                <w:rFonts w:ascii="Times New Roman" w:hAnsi="Times New Roman" w:cs="Times New Roman" w:eastAsia="Times New Roman" w:hint="default"/>
                <w:sz w:val="18"/>
                <w:szCs w:val="18"/>
              </w:rPr>
            </w:pPr>
            <w:r>
              <w:rPr>
                <w:rFonts w:ascii="Times New Roman"/>
                <w:sz w:val="18"/>
              </w:rPr>
              <w:t>584.45</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12,045,</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674.69</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-130,37</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4,832.8</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-188,21</w:t>
            </w:r>
          </w:p>
          <w:p>
            <w:pPr>
              <w:pStyle w:val="TableParagraph"/>
              <w:spacing w:line="240" w:lineRule="auto" w:before="105"/>
              <w:ind w:left="304" w:right="0"/>
              <w:jc w:val="left"/>
              <w:rPr>
                <w:rFonts w:ascii="Times New Roman" w:hAnsi="Times New Roman" w:cs="Times New Roman" w:eastAsia="Times New Roman" w:hint="default"/>
                <w:sz w:val="18"/>
                <w:szCs w:val="18"/>
              </w:rPr>
            </w:pPr>
            <w:r>
              <w:rPr>
                <w:rFonts w:ascii="Times New Roman"/>
                <w:sz w:val="18"/>
              </w:rPr>
              <w:t>0.44</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-118,51</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7,368.5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12,045,</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674.69</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-12,045,</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674.69</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-118,32</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9,158.1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2</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-188,21</w:t>
            </w:r>
          </w:p>
          <w:p>
            <w:pPr>
              <w:pStyle w:val="TableParagraph"/>
              <w:spacing w:line="240" w:lineRule="auto" w:before="105"/>
              <w:ind w:left="304" w:right="0"/>
              <w:jc w:val="left"/>
              <w:rPr>
                <w:rFonts w:ascii="Times New Roman" w:hAnsi="Times New Roman" w:cs="Times New Roman" w:eastAsia="Times New Roman" w:hint="default"/>
                <w:sz w:val="18"/>
                <w:szCs w:val="18"/>
              </w:rPr>
            </w:pPr>
            <w:r>
              <w:rPr>
                <w:rFonts w:ascii="Times New Roman"/>
                <w:sz w:val="18"/>
              </w:rPr>
              <w:t>0.44</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-118,51</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7,368.5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w:t>
            </w: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center"/>
              <w:rPr>
                <w:rFonts w:ascii="Times New Roman" w:hAnsi="Times New Roman" w:cs="Times New Roman" w:eastAsia="Times New Roman" w:hint="default"/>
                <w:sz w:val="18"/>
                <w:szCs w:val="18"/>
              </w:rPr>
            </w:pPr>
            <w:r>
              <w:rPr>
                <w:rFonts w:ascii="Times New Roman"/>
                <w:sz w:val="18"/>
              </w:rPr>
              <w:t>1,126,</w:t>
            </w:r>
          </w:p>
          <w:p>
            <w:pPr>
              <w:pStyle w:val="TableParagraph"/>
              <w:spacing w:line="240" w:lineRule="auto" w:before="104"/>
              <w:ind w:left="13" w:right="0"/>
              <w:jc w:val="center"/>
              <w:rPr>
                <w:rFonts w:ascii="Times New Roman" w:hAnsi="Times New Roman" w:cs="Times New Roman" w:eastAsia="Times New Roman" w:hint="default"/>
                <w:sz w:val="18"/>
                <w:szCs w:val="18"/>
              </w:rPr>
            </w:pPr>
            <w:r>
              <w:rPr>
                <w:rFonts w:ascii="Times New Roman"/>
                <w:sz w:val="18"/>
              </w:rPr>
              <w:t>866,01</w:t>
            </w:r>
          </w:p>
          <w:p>
            <w:pPr>
              <w:pStyle w:val="TableParagraph"/>
              <w:spacing w:line="240" w:lineRule="auto" w:before="106"/>
              <w:ind w:left="193" w:right="0"/>
              <w:jc w:val="center"/>
              <w:rPr>
                <w:rFonts w:ascii="Times New Roman" w:hAnsi="Times New Roman" w:cs="Times New Roman" w:eastAsia="Times New Roman" w:hint="default"/>
                <w:sz w:val="18"/>
                <w:szCs w:val="18"/>
              </w:rPr>
            </w:pPr>
            <w:r>
              <w:rPr>
                <w:rFonts w:ascii="Times New Roman"/>
                <w:sz w:val="18"/>
              </w:rPr>
              <w:t>9.00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952,037</w:t>
            </w:r>
          </w:p>
          <w:p>
            <w:pPr>
              <w:pStyle w:val="TableParagraph"/>
              <w:spacing w:line="240" w:lineRule="auto" w:before="105"/>
              <w:ind w:left="92" w:right="0"/>
              <w:jc w:val="left"/>
              <w:rPr>
                <w:rFonts w:ascii="Times New Roman" w:hAnsi="Times New Roman" w:cs="Times New Roman" w:eastAsia="Times New Roman" w:hint="default"/>
                <w:sz w:val="18"/>
                <w:szCs w:val="18"/>
              </w:rPr>
            </w:pPr>
            <w:r>
              <w:rPr>
                <w:rFonts w:ascii="Times New Roman"/>
                <w:sz w:val="18"/>
              </w:rPr>
              <w:t>,214.10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258,951</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,660.27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-62,493,</w:t>
            </w:r>
          </w:p>
          <w:p>
            <w:pPr>
              <w:pStyle w:val="TableParagraph"/>
              <w:spacing w:line="240" w:lineRule="auto" w:before="105"/>
              <w:ind w:left="113" w:right="0"/>
              <w:jc w:val="center"/>
              <w:rPr>
                <w:rFonts w:ascii="Times New Roman" w:hAnsi="Times New Roman" w:cs="Times New Roman" w:eastAsia="Times New Roman" w:hint="default"/>
                <w:sz w:val="18"/>
                <w:szCs w:val="18"/>
              </w:rPr>
            </w:pPr>
            <w:r>
              <w:rPr>
                <w:rFonts w:ascii="Times New Roman"/>
                <w:sz w:val="18"/>
              </w:rPr>
              <w:t>681.41</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90,763,</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500.15</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1,303,8</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06,501.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31</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29,009,</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574.98</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3,181,0</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37,467.</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86</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8、母公司所有者权益变动表" w:id="177"/>
      <w:bookmarkEnd w:id="177"/>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13"/>
        <w:rPr>
          <w:rFonts w:ascii="宋体" w:hAnsi="宋体" w:cs="宋体" w:eastAsia="宋体" w:hint="default"/>
          <w:sz w:val="25"/>
          <w:szCs w:val="25"/>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1430"/>
        <w:gridCol w:w="691"/>
        <w:gridCol w:w="665"/>
        <w:gridCol w:w="665"/>
        <w:gridCol w:w="665"/>
        <w:gridCol w:w="797"/>
        <w:gridCol w:w="798"/>
        <w:gridCol w:w="798"/>
        <w:gridCol w:w="798"/>
        <w:gridCol w:w="797"/>
        <w:gridCol w:w="676"/>
        <w:gridCol w:w="781"/>
      </w:tblGrid>
      <w:tr>
        <w:trPr>
          <w:trHeight w:val="397"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11" w:hRule="exact"/>
        </w:trPr>
        <w:tc>
          <w:tcPr>
            <w:tcW w:w="14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2"/>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691"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7"/>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304" w:right="31"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214"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152" w:right="61"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115"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3" w:hRule="exact"/>
        </w:trPr>
        <w:tc>
          <w:tcPr>
            <w:tcW w:w="1430" w:type="dxa"/>
            <w:vMerge/>
            <w:tcBorders>
              <w:left w:val="single" w:sz="4" w:space="0" w:color="000000"/>
              <w:bottom w:val="nil" w:sz="6" w:space="0" w:color="auto"/>
              <w:right w:val="single" w:sz="4" w:space="0" w:color="000000"/>
            </w:tcBorders>
            <w:shd w:val="clear" w:color="auto" w:fill="D2D2D2"/>
          </w:tcPr>
          <w:p>
            <w:pPr/>
          </w:p>
        </w:tc>
        <w:tc>
          <w:tcPr>
            <w:tcW w:w="6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59"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199" w:hRule="exact"/>
        </w:trPr>
        <w:tc>
          <w:tcPr>
            <w:tcW w:w="1430" w:type="dxa"/>
            <w:vMerge w:val="restart"/>
            <w:tcBorders>
              <w:top w:val="nil" w:sz="6" w:space="0" w:color="auto"/>
              <w:left w:val="single" w:sz="4" w:space="0" w:color="000000"/>
              <w:right w:val="single" w:sz="4" w:space="0" w:color="000000"/>
            </w:tcBorders>
            <w:shd w:val="clear" w:color="auto" w:fill="D2D2D2"/>
          </w:tcPr>
          <w:p>
            <w:pPr/>
          </w:p>
        </w:tc>
        <w:tc>
          <w:tcPr>
            <w:tcW w:w="691"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5"/>
              <w:ind w:left="5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5"/>
              <w:ind w:left="5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5"/>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6" w:hRule="exact"/>
        </w:trPr>
        <w:tc>
          <w:tcPr>
            <w:tcW w:w="1430" w:type="dxa"/>
            <w:vMerge/>
            <w:tcBorders>
              <w:left w:val="single" w:sz="4" w:space="0" w:color="000000"/>
              <w:bottom w:val="single" w:sz="4" w:space="0" w:color="000000"/>
              <w:right w:val="single" w:sz="4" w:space="0" w:color="000000"/>
            </w:tcBorders>
            <w:shd w:val="clear" w:color="auto" w:fill="D2D2D2"/>
          </w:tcPr>
          <w:p>
            <w:pPr/>
          </w:p>
        </w:tc>
        <w:tc>
          <w:tcPr>
            <w:tcW w:w="691"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162"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1,126,86</w:t>
            </w:r>
          </w:p>
          <w:p>
            <w:pPr>
              <w:pStyle w:val="TableParagraph"/>
              <w:spacing w:line="240" w:lineRule="auto" w:before="105"/>
              <w:ind w:left="20" w:right="0"/>
              <w:jc w:val="left"/>
              <w:rPr>
                <w:rFonts w:ascii="Times New Roman" w:hAnsi="Times New Roman" w:cs="Times New Roman" w:eastAsia="Times New Roman" w:hint="default"/>
                <w:sz w:val="18"/>
                <w:szCs w:val="18"/>
              </w:rPr>
            </w:pPr>
            <w:r>
              <w:rPr>
                <w:rFonts w:ascii="Times New Roman"/>
                <w:sz w:val="18"/>
              </w:rPr>
              <w:t>6,019.00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951,632,9</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31.28</w:t>
            </w:r>
          </w:p>
        </w:tc>
        <w:tc>
          <w:tcPr>
            <w:tcW w:w="798" w:type="dxa"/>
            <w:vMerge w:val="restart"/>
            <w:tcBorders>
              <w:top w:val="single" w:sz="22" w:space="0" w:color="D2D2D2"/>
              <w:left w:val="single" w:sz="4" w:space="0" w:color="000000"/>
              <w:right w:val="single" w:sz="4" w:space="0" w:color="000000"/>
            </w:tcBorders>
          </w:tcPr>
          <w:p>
            <w:pPr>
              <w:pStyle w:val="TableParagraph"/>
              <w:spacing w:line="240" w:lineRule="auto" w:before="70"/>
              <w:ind w:left="45" w:right="0"/>
              <w:jc w:val="left"/>
              <w:rPr>
                <w:rFonts w:ascii="Times New Roman" w:hAnsi="Times New Roman" w:cs="Times New Roman" w:eastAsia="Times New Roman" w:hint="default"/>
                <w:sz w:val="18"/>
                <w:szCs w:val="18"/>
              </w:rPr>
            </w:pPr>
            <w:r>
              <w:rPr>
                <w:rFonts w:ascii="Times New Roman"/>
                <w:sz w:val="18"/>
              </w:rPr>
              <w:t>258,951,6</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60.27</w:t>
            </w:r>
          </w:p>
        </w:tc>
        <w:tc>
          <w:tcPr>
            <w:tcW w:w="798" w:type="dxa"/>
            <w:vMerge w:val="restart"/>
            <w:tcBorders>
              <w:top w:val="single" w:sz="22" w:space="0" w:color="D2D2D2"/>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90,763,50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0.15</w:t>
            </w:r>
          </w:p>
        </w:tc>
        <w:tc>
          <w:tcPr>
            <w:tcW w:w="676" w:type="dxa"/>
            <w:vMerge w:val="restart"/>
            <w:tcBorders>
              <w:top w:val="single" w:sz="22" w:space="0" w:color="D2D2D2"/>
              <w:left w:val="single" w:sz="4" w:space="0" w:color="000000"/>
              <w:right w:val="single" w:sz="4" w:space="0" w:color="000000"/>
            </w:tcBorders>
          </w:tcPr>
          <w:p>
            <w:pPr>
              <w:pStyle w:val="TableParagraph"/>
              <w:spacing w:line="240" w:lineRule="auto" w:before="70"/>
              <w:ind w:left="58" w:right="0"/>
              <w:jc w:val="left"/>
              <w:rPr>
                <w:rFonts w:ascii="Times New Roman" w:hAnsi="Times New Roman" w:cs="Times New Roman" w:eastAsia="Times New Roman" w:hint="default"/>
                <w:sz w:val="18"/>
                <w:szCs w:val="18"/>
              </w:rPr>
            </w:pPr>
            <w:r>
              <w:rPr>
                <w:rFonts w:ascii="Times New Roman"/>
                <w:sz w:val="18"/>
              </w:rPr>
              <w:t>122,799</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,595.48</w:t>
            </w:r>
          </w:p>
        </w:tc>
        <w:tc>
          <w:tcPr>
            <w:tcW w:w="781" w:type="dxa"/>
            <w:vMerge w:val="restart"/>
            <w:tcBorders>
              <w:top w:val="single" w:sz="22" w:space="0" w:color="D2D2D2"/>
              <w:left w:val="single" w:sz="4" w:space="0" w:color="000000"/>
              <w:right w:val="single" w:sz="4" w:space="0" w:color="000000"/>
            </w:tcBorders>
          </w:tcPr>
          <w:p>
            <w:pPr>
              <w:pStyle w:val="TableParagraph"/>
              <w:spacing w:line="240" w:lineRule="auto" w:before="70"/>
              <w:ind w:left="11" w:right="0"/>
              <w:jc w:val="center"/>
              <w:rPr>
                <w:rFonts w:ascii="Times New Roman" w:hAnsi="Times New Roman" w:cs="Times New Roman" w:eastAsia="Times New Roman" w:hint="default"/>
                <w:sz w:val="18"/>
                <w:szCs w:val="18"/>
              </w:rPr>
            </w:pPr>
            <w:r>
              <w:rPr>
                <w:rFonts w:ascii="Times New Roman"/>
                <w:sz w:val="18"/>
              </w:rPr>
              <w:t>2,033,110</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,385.64</w:t>
            </w:r>
          </w:p>
        </w:tc>
      </w:tr>
      <w:tr>
        <w:trPr>
          <w:trHeight w:val="391" w:hRule="exact"/>
        </w:trPr>
        <w:tc>
          <w:tcPr>
            <w:tcW w:w="14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7"/>
                <w:sz w:val="18"/>
                <w:szCs w:val="18"/>
              </w:rPr>
              <w:t>一、上年期末余额</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62"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1,126,86</w:t>
            </w:r>
          </w:p>
          <w:p>
            <w:pPr>
              <w:pStyle w:val="TableParagraph"/>
              <w:spacing w:line="240" w:lineRule="auto" w:before="105"/>
              <w:ind w:left="20" w:right="0"/>
              <w:jc w:val="left"/>
              <w:rPr>
                <w:rFonts w:ascii="Times New Roman" w:hAnsi="Times New Roman" w:cs="Times New Roman" w:eastAsia="Times New Roman" w:hint="default"/>
                <w:sz w:val="18"/>
                <w:szCs w:val="18"/>
              </w:rPr>
            </w:pPr>
            <w:r>
              <w:rPr>
                <w:rFonts w:ascii="Times New Roman"/>
                <w:sz w:val="18"/>
              </w:rPr>
              <w:t>6,019.00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951,632,9</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31.28</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92"/>
              <w:ind w:left="45" w:right="0"/>
              <w:jc w:val="left"/>
              <w:rPr>
                <w:rFonts w:ascii="Times New Roman" w:hAnsi="Times New Roman" w:cs="Times New Roman" w:eastAsia="Times New Roman" w:hint="default"/>
                <w:sz w:val="18"/>
                <w:szCs w:val="18"/>
              </w:rPr>
            </w:pPr>
            <w:r>
              <w:rPr>
                <w:rFonts w:ascii="Times New Roman"/>
                <w:sz w:val="18"/>
              </w:rPr>
              <w:t>258,951,6</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60.27</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90,763,50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0.15</w:t>
            </w:r>
          </w:p>
        </w:tc>
        <w:tc>
          <w:tcPr>
            <w:tcW w:w="676" w:type="dxa"/>
            <w:vMerge w:val="restart"/>
            <w:tcBorders>
              <w:top w:val="single" w:sz="4" w:space="0" w:color="000000"/>
              <w:left w:val="single" w:sz="4" w:space="0" w:color="000000"/>
              <w:right w:val="single" w:sz="4" w:space="0" w:color="000000"/>
            </w:tcBorders>
          </w:tcPr>
          <w:p>
            <w:pPr>
              <w:pStyle w:val="TableParagraph"/>
              <w:spacing w:line="240" w:lineRule="auto" w:before="92"/>
              <w:ind w:left="58" w:right="0"/>
              <w:jc w:val="left"/>
              <w:rPr>
                <w:rFonts w:ascii="Times New Roman" w:hAnsi="Times New Roman" w:cs="Times New Roman" w:eastAsia="Times New Roman" w:hint="default"/>
                <w:sz w:val="18"/>
                <w:szCs w:val="18"/>
              </w:rPr>
            </w:pPr>
            <w:r>
              <w:rPr>
                <w:rFonts w:ascii="Times New Roman"/>
                <w:sz w:val="18"/>
              </w:rPr>
              <w:t>122,799</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,595.48</w:t>
            </w:r>
          </w:p>
        </w:tc>
        <w:tc>
          <w:tcPr>
            <w:tcW w:w="781" w:type="dxa"/>
            <w:vMerge w:val="restart"/>
            <w:tcBorders>
              <w:top w:val="single" w:sz="4" w:space="0" w:color="000000"/>
              <w:left w:val="single" w:sz="4" w:space="0" w:color="000000"/>
              <w:right w:val="single" w:sz="4" w:space="0" w:color="000000"/>
            </w:tcBorders>
          </w:tcPr>
          <w:p>
            <w:pPr>
              <w:pStyle w:val="TableParagraph"/>
              <w:spacing w:line="240" w:lineRule="auto" w:before="92"/>
              <w:ind w:left="11" w:right="0"/>
              <w:jc w:val="center"/>
              <w:rPr>
                <w:rFonts w:ascii="Times New Roman" w:hAnsi="Times New Roman" w:cs="Times New Roman" w:eastAsia="Times New Roman" w:hint="default"/>
                <w:sz w:val="18"/>
                <w:szCs w:val="18"/>
              </w:rPr>
            </w:pPr>
            <w:r>
              <w:rPr>
                <w:rFonts w:ascii="Times New Roman"/>
                <w:sz w:val="18"/>
              </w:rPr>
              <w:t>2,033,110</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,385.64</w:t>
            </w:r>
          </w:p>
        </w:tc>
      </w:tr>
      <w:tr>
        <w:trPr>
          <w:trHeight w:val="391" w:hRule="exact"/>
        </w:trPr>
        <w:tc>
          <w:tcPr>
            <w:tcW w:w="14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1026"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11" w:right="21"/>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0" w:right="0"/>
              <w:jc w:val="left"/>
              <w:rPr>
                <w:rFonts w:ascii="Times New Roman" w:hAnsi="Times New Roman" w:cs="Times New Roman" w:eastAsia="Times New Roman" w:hint="default"/>
                <w:sz w:val="18"/>
                <w:szCs w:val="18"/>
              </w:rPr>
            </w:pPr>
            <w:r>
              <w:rPr>
                <w:rFonts w:ascii="Times New Roman"/>
                <w:sz w:val="18"/>
              </w:rPr>
              <w:t>25,031,1</w:t>
            </w:r>
          </w:p>
          <w:p>
            <w:pPr>
              <w:pStyle w:val="TableParagraph"/>
              <w:spacing w:line="240" w:lineRule="auto" w:before="105"/>
              <w:ind w:left="246" w:right="0"/>
              <w:jc w:val="left"/>
              <w:rPr>
                <w:rFonts w:ascii="Times New Roman" w:hAnsi="Times New Roman" w:cs="Times New Roman" w:eastAsia="Times New Roman" w:hint="default"/>
                <w:sz w:val="18"/>
                <w:szCs w:val="18"/>
              </w:rPr>
            </w:pPr>
            <w:r>
              <w:rPr>
                <w:rFonts w:ascii="Times New Roman"/>
                <w:sz w:val="18"/>
              </w:rPr>
              <w:t>41.00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457,059,2</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47.14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-130,934,</w:t>
            </w:r>
          </w:p>
          <w:p>
            <w:pPr>
              <w:pStyle w:val="TableParagraph"/>
              <w:spacing w:line="240" w:lineRule="auto" w:before="105"/>
              <w:ind w:left="249" w:right="0"/>
              <w:jc w:val="center"/>
              <w:rPr>
                <w:rFonts w:ascii="Times New Roman" w:hAnsi="Times New Roman" w:cs="Times New Roman" w:eastAsia="Times New Roman" w:hint="default"/>
                <w:sz w:val="18"/>
                <w:szCs w:val="18"/>
              </w:rPr>
            </w:pPr>
            <w:r>
              <w:rPr>
                <w:rFonts w:ascii="Times New Roman"/>
                <w:sz w:val="18"/>
              </w:rPr>
              <w:t>195.52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12,530,15</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3.71</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1" w:right="0"/>
              <w:jc w:val="center"/>
              <w:rPr>
                <w:rFonts w:ascii="Times New Roman" w:hAnsi="Times New Roman" w:cs="Times New Roman" w:eastAsia="Times New Roman" w:hint="default"/>
                <w:sz w:val="18"/>
                <w:szCs w:val="18"/>
              </w:rPr>
            </w:pPr>
            <w:r>
              <w:rPr>
                <w:rFonts w:ascii="Times New Roman"/>
                <w:sz w:val="18"/>
              </w:rPr>
              <w:t>-8,905,3</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16.76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616,649,4</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20.61</w:t>
            </w: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22"/>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8" w:right="0"/>
              <w:jc w:val="left"/>
              <w:rPr>
                <w:rFonts w:ascii="Times New Roman" w:hAnsi="Times New Roman" w:cs="Times New Roman" w:eastAsia="Times New Roman" w:hint="default"/>
                <w:sz w:val="18"/>
                <w:szCs w:val="18"/>
              </w:rPr>
            </w:pPr>
            <w:r>
              <w:rPr>
                <w:rFonts w:ascii="Times New Roman"/>
                <w:sz w:val="18"/>
              </w:rPr>
              <w:t>125,301</w:t>
            </w:r>
          </w:p>
          <w:p>
            <w:pPr>
              <w:pStyle w:val="TableParagraph"/>
              <w:spacing w:line="240" w:lineRule="auto" w:before="105"/>
              <w:ind w:left="110" w:right="0"/>
              <w:jc w:val="left"/>
              <w:rPr>
                <w:rFonts w:ascii="Times New Roman" w:hAnsi="Times New Roman" w:cs="Times New Roman" w:eastAsia="Times New Roman" w:hint="default"/>
                <w:sz w:val="18"/>
                <w:szCs w:val="18"/>
              </w:rPr>
            </w:pPr>
            <w:r>
              <w:rPr>
                <w:rFonts w:ascii="Times New Roman"/>
                <w:sz w:val="18"/>
              </w:rPr>
              <w:t>,537.11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7" w:right="0"/>
              <w:jc w:val="left"/>
              <w:rPr>
                <w:rFonts w:ascii="Times New Roman" w:hAnsi="Times New Roman" w:cs="Times New Roman" w:eastAsia="Times New Roman" w:hint="default"/>
                <w:sz w:val="18"/>
                <w:szCs w:val="18"/>
              </w:rPr>
            </w:pPr>
            <w:r>
              <w:rPr>
                <w:rFonts w:ascii="Times New Roman"/>
                <w:sz w:val="18"/>
              </w:rPr>
              <w:t>125,301,5</w:t>
            </w:r>
          </w:p>
          <w:p>
            <w:pPr>
              <w:pStyle w:val="TableParagraph"/>
              <w:spacing w:line="240" w:lineRule="auto" w:before="105"/>
              <w:ind w:left="349" w:right="0"/>
              <w:jc w:val="left"/>
              <w:rPr>
                <w:rFonts w:ascii="Times New Roman" w:hAnsi="Times New Roman" w:cs="Times New Roman" w:eastAsia="Times New Roman" w:hint="default"/>
                <w:sz w:val="18"/>
                <w:szCs w:val="18"/>
              </w:rPr>
            </w:pPr>
            <w:r>
              <w:rPr>
                <w:rFonts w:ascii="Times New Roman"/>
                <w:sz w:val="18"/>
              </w:rPr>
              <w:t>37.11</w:t>
            </w: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1" w:right="22"/>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25,031,1</w:t>
            </w:r>
          </w:p>
          <w:p>
            <w:pPr>
              <w:pStyle w:val="TableParagraph"/>
              <w:spacing w:line="240" w:lineRule="auto" w:before="105"/>
              <w:ind w:left="246" w:right="0"/>
              <w:jc w:val="left"/>
              <w:rPr>
                <w:rFonts w:ascii="Times New Roman" w:hAnsi="Times New Roman" w:cs="Times New Roman" w:eastAsia="Times New Roman" w:hint="default"/>
                <w:sz w:val="18"/>
                <w:szCs w:val="18"/>
              </w:rPr>
            </w:pPr>
            <w:r>
              <w:rPr>
                <w:rFonts w:ascii="Times New Roman"/>
                <w:sz w:val="18"/>
              </w:rPr>
              <w:t>41.00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457,059,2</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47.14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3" w:right="0"/>
              <w:jc w:val="center"/>
              <w:rPr>
                <w:rFonts w:ascii="Times New Roman" w:hAnsi="Times New Roman" w:cs="Times New Roman" w:eastAsia="Times New Roman" w:hint="default"/>
                <w:sz w:val="18"/>
                <w:szCs w:val="18"/>
              </w:rPr>
            </w:pPr>
            <w:r>
              <w:rPr>
                <w:rFonts w:ascii="Times New Roman"/>
                <w:sz w:val="18"/>
              </w:rPr>
              <w:t>-130,934,</w:t>
            </w:r>
          </w:p>
          <w:p>
            <w:pPr>
              <w:pStyle w:val="TableParagraph"/>
              <w:spacing w:line="240" w:lineRule="auto" w:before="105"/>
              <w:ind w:left="249" w:right="0"/>
              <w:jc w:val="center"/>
              <w:rPr>
                <w:rFonts w:ascii="Times New Roman" w:hAnsi="Times New Roman" w:cs="Times New Roman" w:eastAsia="Times New Roman" w:hint="default"/>
                <w:sz w:val="18"/>
                <w:szCs w:val="18"/>
              </w:rPr>
            </w:pPr>
            <w:r>
              <w:rPr>
                <w:rFonts w:ascii="Times New Roman"/>
                <w:sz w:val="18"/>
              </w:rPr>
              <w:t>195.52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7" w:right="0"/>
              <w:jc w:val="left"/>
              <w:rPr>
                <w:rFonts w:ascii="Times New Roman" w:hAnsi="Times New Roman" w:cs="Times New Roman" w:eastAsia="Times New Roman" w:hint="default"/>
                <w:sz w:val="18"/>
                <w:szCs w:val="18"/>
              </w:rPr>
            </w:pPr>
            <w:r>
              <w:rPr>
                <w:rFonts w:ascii="Times New Roman"/>
                <w:sz w:val="18"/>
              </w:rPr>
              <w:t>613,024,5</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83.66</w:t>
            </w: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32,258,0</w:t>
            </w:r>
          </w:p>
          <w:p>
            <w:pPr>
              <w:pStyle w:val="TableParagraph"/>
              <w:spacing w:line="240" w:lineRule="auto" w:before="105"/>
              <w:ind w:left="246" w:right="0"/>
              <w:jc w:val="left"/>
              <w:rPr>
                <w:rFonts w:ascii="Times New Roman" w:hAnsi="Times New Roman" w:cs="Times New Roman" w:eastAsia="Times New Roman" w:hint="default"/>
                <w:sz w:val="18"/>
                <w:szCs w:val="18"/>
              </w:rPr>
            </w:pPr>
            <w:r>
              <w:rPr>
                <w:rFonts w:ascii="Times New Roman"/>
                <w:sz w:val="18"/>
              </w:rPr>
              <w:t>64.00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550,068,3</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59.54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7" w:right="0"/>
              <w:jc w:val="left"/>
              <w:rPr>
                <w:rFonts w:ascii="Times New Roman" w:hAnsi="Times New Roman" w:cs="Times New Roman" w:eastAsia="Times New Roman" w:hint="default"/>
                <w:sz w:val="18"/>
                <w:szCs w:val="18"/>
              </w:rPr>
            </w:pPr>
            <w:r>
              <w:rPr>
                <w:rFonts w:ascii="Times New Roman"/>
                <w:sz w:val="18"/>
              </w:rPr>
              <w:t>582,326,4</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23.54</w:t>
            </w: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11"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7" w:right="0"/>
              <w:jc w:val="center"/>
              <w:rPr>
                <w:rFonts w:ascii="Times New Roman" w:hAnsi="Times New Roman" w:cs="Times New Roman" w:eastAsia="Times New Roman" w:hint="default"/>
                <w:sz w:val="18"/>
                <w:szCs w:val="18"/>
              </w:rPr>
            </w:pPr>
            <w:r>
              <w:rPr>
                <w:rFonts w:ascii="Times New Roman"/>
                <w:sz w:val="18"/>
              </w:rPr>
              <w:t>-7,226,9</w:t>
            </w:r>
          </w:p>
          <w:p>
            <w:pPr>
              <w:pStyle w:val="TableParagraph"/>
              <w:spacing w:line="240" w:lineRule="auto" w:before="105"/>
              <w:ind w:left="222" w:right="0"/>
              <w:jc w:val="center"/>
              <w:rPr>
                <w:rFonts w:ascii="Times New Roman" w:hAnsi="Times New Roman" w:cs="Times New Roman" w:eastAsia="Times New Roman" w:hint="default"/>
                <w:sz w:val="18"/>
                <w:szCs w:val="18"/>
              </w:rPr>
            </w:pPr>
            <w:r>
              <w:rPr>
                <w:rFonts w:ascii="Times New Roman"/>
                <w:sz w:val="18"/>
              </w:rPr>
              <w:t>23.00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-93,009,1</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12.40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-130,934,</w:t>
            </w:r>
          </w:p>
          <w:p>
            <w:pPr>
              <w:pStyle w:val="TableParagraph"/>
              <w:spacing w:line="240" w:lineRule="auto" w:before="105"/>
              <w:ind w:left="249" w:right="0"/>
              <w:jc w:val="center"/>
              <w:rPr>
                <w:rFonts w:ascii="Times New Roman" w:hAnsi="Times New Roman" w:cs="Times New Roman" w:eastAsia="Times New Roman" w:hint="default"/>
                <w:sz w:val="18"/>
                <w:szCs w:val="18"/>
              </w:rPr>
            </w:pPr>
            <w:r>
              <w:rPr>
                <w:rFonts w:ascii="Times New Roman"/>
                <w:sz w:val="18"/>
              </w:rPr>
              <w:t>195.52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30,698,16</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0.12</w:t>
            </w:r>
          </w:p>
        </w:tc>
      </w:tr>
      <w:tr>
        <w:trPr>
          <w:trHeight w:val="402"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318"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12,530,15</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3.71</w:t>
            </w:r>
          </w:p>
        </w:tc>
        <w:tc>
          <w:tcPr>
            <w:tcW w:w="676" w:type="dxa"/>
            <w:vMerge w:val="restart"/>
            <w:tcBorders>
              <w:top w:val="single" w:sz="4" w:space="0" w:color="000000"/>
              <w:left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-134,20</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6,853.8</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7</w:t>
            </w:r>
          </w:p>
        </w:tc>
        <w:tc>
          <w:tcPr>
            <w:tcW w:w="781"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3" w:right="0"/>
              <w:jc w:val="center"/>
              <w:rPr>
                <w:rFonts w:ascii="Times New Roman" w:hAnsi="Times New Roman" w:cs="Times New Roman" w:eastAsia="Times New Roman" w:hint="default"/>
                <w:sz w:val="18"/>
                <w:szCs w:val="18"/>
              </w:rPr>
            </w:pPr>
            <w:r>
              <w:rPr>
                <w:rFonts w:ascii="Times New Roman"/>
                <w:sz w:val="18"/>
              </w:rPr>
              <w:t>-121,676,</w:t>
            </w:r>
          </w:p>
          <w:p>
            <w:pPr>
              <w:pStyle w:val="TableParagraph"/>
              <w:spacing w:line="240" w:lineRule="auto" w:before="105"/>
              <w:ind w:left="230" w:right="0"/>
              <w:jc w:val="center"/>
              <w:rPr>
                <w:rFonts w:ascii="Times New Roman" w:hAnsi="Times New Roman" w:cs="Times New Roman" w:eastAsia="Times New Roman" w:hint="default"/>
                <w:sz w:val="18"/>
                <w:szCs w:val="18"/>
              </w:rPr>
            </w:pPr>
            <w:r>
              <w:rPr>
                <w:rFonts w:ascii="Times New Roman"/>
                <w:sz w:val="18"/>
              </w:rPr>
              <w:t>700.16</w:t>
            </w:r>
          </w:p>
        </w:tc>
      </w:tr>
      <w:tr>
        <w:trPr>
          <w:trHeight w:val="391" w:hRule="exact"/>
        </w:trPr>
        <w:tc>
          <w:tcPr>
            <w:tcW w:w="14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317" w:hRule="exact"/>
        </w:trPr>
        <w:tc>
          <w:tcPr>
            <w:tcW w:w="14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162"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12,530,15</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3.71</w:t>
            </w:r>
          </w:p>
        </w:tc>
        <w:tc>
          <w:tcPr>
            <w:tcW w:w="676" w:type="dxa"/>
            <w:vMerge w:val="restart"/>
            <w:tcBorders>
              <w:top w:val="single" w:sz="4" w:space="0" w:color="000000"/>
              <w:left w:val="single" w:sz="4" w:space="0" w:color="000000"/>
              <w:right w:val="single" w:sz="4" w:space="0" w:color="000000"/>
            </w:tcBorders>
          </w:tcPr>
          <w:p>
            <w:pPr>
              <w:pStyle w:val="TableParagraph"/>
              <w:spacing w:line="240" w:lineRule="auto" w:before="92"/>
              <w:ind w:left="20" w:right="0"/>
              <w:jc w:val="center"/>
              <w:rPr>
                <w:rFonts w:ascii="Times New Roman" w:hAnsi="Times New Roman" w:cs="Times New Roman" w:eastAsia="Times New Roman" w:hint="default"/>
                <w:sz w:val="18"/>
                <w:szCs w:val="18"/>
              </w:rPr>
            </w:pPr>
            <w:r>
              <w:rPr>
                <w:rFonts w:ascii="Times New Roman"/>
                <w:sz w:val="18"/>
              </w:rPr>
              <w:t>-12,530,</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153.71</w:t>
            </w:r>
          </w:p>
        </w:tc>
        <w:tc>
          <w:tcPr>
            <w:tcW w:w="781" w:type="dxa"/>
            <w:vMerge w:val="restart"/>
            <w:tcBorders>
              <w:top w:val="single" w:sz="4" w:space="0" w:color="000000"/>
              <w:left w:val="single" w:sz="4" w:space="0" w:color="000000"/>
              <w:right w:val="single" w:sz="4" w:space="0" w:color="000000"/>
            </w:tcBorders>
          </w:tcPr>
          <w:p>
            <w:pPr/>
          </w:p>
        </w:tc>
      </w:tr>
      <w:tr>
        <w:trPr>
          <w:trHeight w:val="391" w:hRule="exact"/>
        </w:trPr>
        <w:tc>
          <w:tcPr>
            <w:tcW w:w="14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162"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676" w:type="dxa"/>
            <w:vMerge w:val="restart"/>
            <w:tcBorders>
              <w:top w:val="single" w:sz="4" w:space="0" w:color="000000"/>
              <w:left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-121,67</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6,700.1</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6</w:t>
            </w:r>
          </w:p>
        </w:tc>
        <w:tc>
          <w:tcPr>
            <w:tcW w:w="781"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3" w:right="0"/>
              <w:jc w:val="center"/>
              <w:rPr>
                <w:rFonts w:ascii="Times New Roman" w:hAnsi="Times New Roman" w:cs="Times New Roman" w:eastAsia="Times New Roman" w:hint="default"/>
                <w:sz w:val="18"/>
                <w:szCs w:val="18"/>
              </w:rPr>
            </w:pPr>
            <w:r>
              <w:rPr>
                <w:rFonts w:ascii="Times New Roman"/>
                <w:sz w:val="18"/>
              </w:rPr>
              <w:t>-121,676,</w:t>
            </w:r>
          </w:p>
          <w:p>
            <w:pPr>
              <w:pStyle w:val="TableParagraph"/>
              <w:spacing w:line="240" w:lineRule="auto" w:before="105"/>
              <w:ind w:left="230" w:right="0"/>
              <w:jc w:val="center"/>
              <w:rPr>
                <w:rFonts w:ascii="Times New Roman" w:hAnsi="Times New Roman" w:cs="Times New Roman" w:eastAsia="Times New Roman" w:hint="default"/>
                <w:sz w:val="18"/>
                <w:szCs w:val="18"/>
              </w:rPr>
            </w:pPr>
            <w:r>
              <w:rPr>
                <w:rFonts w:ascii="Times New Roman"/>
                <w:sz w:val="18"/>
              </w:rPr>
              <w:t>700.16</w:t>
            </w:r>
          </w:p>
        </w:tc>
      </w:tr>
      <w:tr>
        <w:trPr>
          <w:trHeight w:val="704" w:hRule="exact"/>
        </w:trPr>
        <w:tc>
          <w:tcPr>
            <w:tcW w:w="14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00" w:lineRule="auto" w:before="51"/>
              <w:ind w:left="11"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402"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1" w:right="0"/>
              <w:jc w:val="left"/>
              <w:rPr>
                <w:rFonts w:ascii="宋体" w:hAnsi="宋体" w:cs="宋体" w:eastAsia="宋体" w:hint="default"/>
                <w:sz w:val="18"/>
                <w:szCs w:val="18"/>
              </w:rPr>
            </w:pPr>
            <w:r>
              <w:rPr>
                <w:rFonts w:ascii="宋体" w:hAnsi="宋体" w:cs="宋体" w:eastAsia="宋体" w:hint="default"/>
                <w:spacing w:val="-7"/>
                <w:sz w:val="18"/>
                <w:szCs w:val="18"/>
              </w:rPr>
              <w:t>（四）所有者权益</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36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1,151,89</w:t>
            </w:r>
          </w:p>
          <w:p>
            <w:pPr>
              <w:pStyle w:val="TableParagraph"/>
              <w:spacing w:line="240" w:lineRule="auto" w:before="105"/>
              <w:ind w:left="27" w:right="0"/>
              <w:jc w:val="left"/>
              <w:rPr>
                <w:rFonts w:ascii="Times New Roman" w:hAnsi="Times New Roman" w:cs="Times New Roman" w:eastAsia="Times New Roman" w:hint="default"/>
                <w:sz w:val="18"/>
                <w:szCs w:val="18"/>
              </w:rPr>
            </w:pPr>
            <w:r>
              <w:rPr>
                <w:rFonts w:ascii="Times New Roman"/>
                <w:sz w:val="18"/>
              </w:rPr>
              <w:t>7,160.00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1,408,692</w:t>
            </w:r>
          </w:p>
          <w:p>
            <w:pPr>
              <w:pStyle w:val="TableParagraph"/>
              <w:spacing w:line="240" w:lineRule="auto" w:before="105"/>
              <w:ind w:left="202" w:right="0"/>
              <w:jc w:val="center"/>
              <w:rPr>
                <w:rFonts w:ascii="Times New Roman" w:hAnsi="Times New Roman" w:cs="Times New Roman" w:eastAsia="Times New Roman" w:hint="default"/>
                <w:sz w:val="18"/>
                <w:szCs w:val="18"/>
              </w:rPr>
            </w:pPr>
            <w:r>
              <w:rPr>
                <w:rFonts w:ascii="Times New Roman"/>
                <w:sz w:val="18"/>
              </w:rPr>
              <w:t>,178.42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128,017,4</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64.75</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103,293,6</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53.86</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113,894</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,278.72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2,649,759</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,806.25</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430"/>
        <w:gridCol w:w="703"/>
        <w:gridCol w:w="665"/>
        <w:gridCol w:w="665"/>
        <w:gridCol w:w="665"/>
        <w:gridCol w:w="797"/>
        <w:gridCol w:w="798"/>
        <w:gridCol w:w="798"/>
        <w:gridCol w:w="798"/>
        <w:gridCol w:w="797"/>
        <w:gridCol w:w="676"/>
        <w:gridCol w:w="781"/>
      </w:tblGrid>
      <w:tr>
        <w:trPr>
          <w:trHeight w:val="397"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3"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11" w:hRule="exact"/>
        </w:trPr>
        <w:tc>
          <w:tcPr>
            <w:tcW w:w="14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1"/>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0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304" w:right="31"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214"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152" w:right="61"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115"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1" w:hRule="exact"/>
        </w:trPr>
        <w:tc>
          <w:tcPr>
            <w:tcW w:w="1430" w:type="dxa"/>
            <w:vMerge/>
            <w:tcBorders>
              <w:left w:val="single" w:sz="4" w:space="0" w:color="000000"/>
              <w:bottom w:val="nil" w:sz="6" w:space="0" w:color="auto"/>
              <w:right w:val="single" w:sz="4" w:space="0" w:color="000000"/>
            </w:tcBorders>
            <w:shd w:val="clear" w:color="auto" w:fill="D2D2D2"/>
          </w:tcPr>
          <w:p>
            <w:pPr/>
          </w:p>
        </w:tc>
        <w:tc>
          <w:tcPr>
            <w:tcW w:w="70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1" w:hRule="exact"/>
        </w:trPr>
        <w:tc>
          <w:tcPr>
            <w:tcW w:w="1430" w:type="dxa"/>
            <w:vMerge w:val="restart"/>
            <w:tcBorders>
              <w:top w:val="nil" w:sz="6" w:space="0" w:color="auto"/>
              <w:left w:val="single" w:sz="4" w:space="0" w:color="000000"/>
              <w:right w:val="single" w:sz="4" w:space="0" w:color="000000"/>
            </w:tcBorders>
            <w:shd w:val="clear" w:color="auto" w:fill="D2D2D2"/>
          </w:tcPr>
          <w:p>
            <w:pPr/>
          </w:p>
        </w:tc>
        <w:tc>
          <w:tcPr>
            <w:tcW w:w="703"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6" w:hRule="exact"/>
        </w:trPr>
        <w:tc>
          <w:tcPr>
            <w:tcW w:w="1430" w:type="dxa"/>
            <w:vMerge/>
            <w:tcBorders>
              <w:left w:val="single" w:sz="4" w:space="0" w:color="000000"/>
              <w:bottom w:val="single" w:sz="4" w:space="0" w:color="000000"/>
              <w:right w:val="single" w:sz="4" w:space="0" w:color="000000"/>
            </w:tcBorders>
            <w:shd w:val="clear" w:color="auto" w:fill="D2D2D2"/>
          </w:tcPr>
          <w:p>
            <w:pPr/>
          </w:p>
        </w:tc>
        <w:tc>
          <w:tcPr>
            <w:tcW w:w="703"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703" w:type="dxa"/>
            <w:vMerge w:val="restart"/>
            <w:tcBorders>
              <w:top w:val="single" w:sz="4" w:space="0" w:color="000000"/>
              <w:left w:val="single" w:sz="10" w:space="0" w:color="D2D2D2"/>
              <w:right w:val="single" w:sz="4" w:space="0" w:color="000000"/>
            </w:tcBorders>
          </w:tcPr>
          <w:p>
            <w:pPr>
              <w:pStyle w:val="TableParagraph"/>
              <w:spacing w:line="240" w:lineRule="auto" w:before="91"/>
              <w:ind w:left="32" w:right="0"/>
              <w:jc w:val="left"/>
              <w:rPr>
                <w:rFonts w:ascii="Times New Roman" w:hAnsi="Times New Roman" w:cs="Times New Roman" w:eastAsia="Times New Roman" w:hint="default"/>
                <w:sz w:val="18"/>
                <w:szCs w:val="18"/>
              </w:rPr>
            </w:pPr>
            <w:r>
              <w:rPr>
                <w:rFonts w:ascii="Times New Roman"/>
                <w:sz w:val="18"/>
              </w:rPr>
              <w:t>1,127,23</w:t>
            </w:r>
          </w:p>
          <w:p>
            <w:pPr>
              <w:pStyle w:val="TableParagraph"/>
              <w:spacing w:line="240" w:lineRule="auto" w:before="106"/>
              <w:ind w:left="32" w:right="0"/>
              <w:jc w:val="left"/>
              <w:rPr>
                <w:rFonts w:ascii="Times New Roman" w:hAnsi="Times New Roman" w:cs="Times New Roman" w:eastAsia="Times New Roman" w:hint="default"/>
                <w:sz w:val="18"/>
                <w:szCs w:val="18"/>
              </w:rPr>
            </w:pPr>
            <w:r>
              <w:rPr>
                <w:rFonts w:ascii="Times New Roman"/>
                <w:sz w:val="18"/>
              </w:rPr>
              <w:t>0,993.00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872,907,1</w:t>
            </w:r>
          </w:p>
          <w:p>
            <w:pPr>
              <w:pStyle w:val="TableParagraph"/>
              <w:spacing w:line="240" w:lineRule="auto" w:before="106"/>
              <w:ind w:left="360" w:right="0"/>
              <w:jc w:val="left"/>
              <w:rPr>
                <w:rFonts w:ascii="Times New Roman" w:hAnsi="Times New Roman" w:cs="Times New Roman" w:eastAsia="Times New Roman" w:hint="default"/>
                <w:sz w:val="18"/>
                <w:szCs w:val="18"/>
              </w:rPr>
            </w:pPr>
            <w:r>
              <w:rPr>
                <w:rFonts w:ascii="Times New Roman"/>
                <w:sz w:val="18"/>
              </w:rPr>
              <w:t>78.22</w:t>
            </w:r>
          </w:p>
        </w:tc>
        <w:tc>
          <w:tcPr>
            <w:tcW w:w="798" w:type="dxa"/>
            <w:vMerge w:val="restart"/>
            <w:tcBorders>
              <w:top w:val="single" w:sz="22" w:space="0" w:color="D2D2D2"/>
              <w:left w:val="single" w:sz="4" w:space="0" w:color="000000"/>
              <w:right w:val="single" w:sz="4" w:space="0" w:color="000000"/>
            </w:tcBorders>
          </w:tcPr>
          <w:p>
            <w:pPr>
              <w:pStyle w:val="TableParagraph"/>
              <w:spacing w:line="240" w:lineRule="auto" w:before="68"/>
              <w:ind w:left="45" w:right="0"/>
              <w:jc w:val="left"/>
              <w:rPr>
                <w:rFonts w:ascii="Times New Roman" w:hAnsi="Times New Roman" w:cs="Times New Roman" w:eastAsia="Times New Roman" w:hint="default"/>
                <w:sz w:val="18"/>
                <w:szCs w:val="18"/>
              </w:rPr>
            </w:pPr>
            <w:r>
              <w:rPr>
                <w:rFonts w:ascii="Times New Roman"/>
                <w:sz w:val="18"/>
              </w:rPr>
              <w:t>265,305,3</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90.00</w:t>
            </w:r>
          </w:p>
        </w:tc>
        <w:tc>
          <w:tcPr>
            <w:tcW w:w="798" w:type="dxa"/>
            <w:vMerge w:val="restart"/>
            <w:tcBorders>
              <w:top w:val="single" w:sz="22" w:space="0" w:color="D2D2D2"/>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78,717,82</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5.46</w:t>
            </w:r>
          </w:p>
        </w:tc>
        <w:tc>
          <w:tcPr>
            <w:tcW w:w="676" w:type="dxa"/>
            <w:vMerge w:val="restart"/>
            <w:tcBorders>
              <w:top w:val="single" w:sz="22" w:space="0" w:color="D2D2D2"/>
              <w:left w:val="single" w:sz="4" w:space="0" w:color="000000"/>
              <w:right w:val="single" w:sz="4" w:space="0" w:color="000000"/>
            </w:tcBorders>
          </w:tcPr>
          <w:p>
            <w:pPr>
              <w:pStyle w:val="TableParagraph"/>
              <w:spacing w:line="240" w:lineRule="auto" w:before="68"/>
              <w:ind w:left="58" w:right="0"/>
              <w:jc w:val="left"/>
              <w:rPr>
                <w:rFonts w:ascii="Times New Roman" w:hAnsi="Times New Roman" w:cs="Times New Roman" w:eastAsia="Times New Roman" w:hint="default"/>
                <w:sz w:val="18"/>
                <w:szCs w:val="18"/>
              </w:rPr>
            </w:pPr>
            <w:r>
              <w:rPr>
                <w:rFonts w:ascii="Times New Roman"/>
                <w:sz w:val="18"/>
              </w:rPr>
              <w:t>132,717</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,681.44</w:t>
            </w:r>
          </w:p>
        </w:tc>
        <w:tc>
          <w:tcPr>
            <w:tcW w:w="781" w:type="dxa"/>
            <w:vMerge w:val="restart"/>
            <w:tcBorders>
              <w:top w:val="single" w:sz="22" w:space="0" w:color="D2D2D2"/>
              <w:left w:val="single" w:sz="4" w:space="0" w:color="000000"/>
              <w:right w:val="single" w:sz="4" w:space="0" w:color="000000"/>
            </w:tcBorders>
          </w:tcPr>
          <w:p>
            <w:pPr>
              <w:pStyle w:val="TableParagraph"/>
              <w:spacing w:line="240" w:lineRule="auto" w:before="68"/>
              <w:ind w:left="4" w:right="0"/>
              <w:jc w:val="center"/>
              <w:rPr>
                <w:rFonts w:ascii="Times New Roman" w:hAnsi="Times New Roman" w:cs="Times New Roman" w:eastAsia="Times New Roman" w:hint="default"/>
                <w:sz w:val="18"/>
                <w:szCs w:val="18"/>
              </w:rPr>
            </w:pPr>
            <w:r>
              <w:rPr>
                <w:rFonts w:ascii="Times New Roman"/>
                <w:sz w:val="18"/>
              </w:rPr>
              <w:t>1,946,268</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,288.12</w:t>
            </w:r>
          </w:p>
        </w:tc>
      </w:tr>
      <w:tr>
        <w:trPr>
          <w:trHeight w:val="392" w:hRule="exact"/>
        </w:trPr>
        <w:tc>
          <w:tcPr>
            <w:tcW w:w="14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7"/>
                <w:w w:val="95"/>
                <w:sz w:val="18"/>
                <w:szCs w:val="18"/>
              </w:rPr>
              <w:t>一、上年期末余额</w:t>
            </w:r>
          </w:p>
        </w:tc>
        <w:tc>
          <w:tcPr>
            <w:tcW w:w="703"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30" w:type="dxa"/>
            <w:tcBorders>
              <w:top w:val="nil" w:sz="6" w:space="0" w:color="auto"/>
              <w:left w:val="single" w:sz="4" w:space="0" w:color="000000"/>
              <w:bottom w:val="single" w:sz="4" w:space="0" w:color="000000"/>
              <w:right w:val="single" w:sz="4" w:space="0" w:color="000000"/>
            </w:tcBorders>
            <w:shd w:val="clear" w:color="auto" w:fill="D2D2D2"/>
          </w:tcPr>
          <w:p>
            <w:pPr/>
          </w:p>
        </w:tc>
        <w:tc>
          <w:tcPr>
            <w:tcW w:w="703"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0"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703"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703"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03"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703" w:type="dxa"/>
            <w:vMerge w:val="restart"/>
            <w:tcBorders>
              <w:top w:val="single" w:sz="4" w:space="0" w:color="000000"/>
              <w:left w:val="single" w:sz="10" w:space="0" w:color="D2D2D2"/>
              <w:right w:val="single" w:sz="4" w:space="0" w:color="000000"/>
            </w:tcBorders>
          </w:tcPr>
          <w:p>
            <w:pPr>
              <w:pStyle w:val="TableParagraph"/>
              <w:spacing w:line="240" w:lineRule="auto" w:before="91"/>
              <w:ind w:left="32" w:right="0"/>
              <w:jc w:val="left"/>
              <w:rPr>
                <w:rFonts w:ascii="Times New Roman" w:hAnsi="Times New Roman" w:cs="Times New Roman" w:eastAsia="Times New Roman" w:hint="default"/>
                <w:sz w:val="18"/>
                <w:szCs w:val="18"/>
              </w:rPr>
            </w:pPr>
            <w:r>
              <w:rPr>
                <w:rFonts w:ascii="Times New Roman"/>
                <w:sz w:val="18"/>
              </w:rPr>
              <w:t>1,127,23</w:t>
            </w:r>
          </w:p>
          <w:p>
            <w:pPr>
              <w:pStyle w:val="TableParagraph"/>
              <w:spacing w:line="240" w:lineRule="auto" w:before="106"/>
              <w:ind w:left="32" w:right="0"/>
              <w:jc w:val="left"/>
              <w:rPr>
                <w:rFonts w:ascii="Times New Roman" w:hAnsi="Times New Roman" w:cs="Times New Roman" w:eastAsia="Times New Roman" w:hint="default"/>
                <w:sz w:val="18"/>
                <w:szCs w:val="18"/>
              </w:rPr>
            </w:pPr>
            <w:r>
              <w:rPr>
                <w:rFonts w:ascii="Times New Roman"/>
                <w:sz w:val="18"/>
              </w:rPr>
              <w:t>0,993.00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872,907,1</w:t>
            </w:r>
          </w:p>
          <w:p>
            <w:pPr>
              <w:pStyle w:val="TableParagraph"/>
              <w:spacing w:line="240" w:lineRule="auto" w:before="106"/>
              <w:ind w:left="360" w:right="0"/>
              <w:jc w:val="left"/>
              <w:rPr>
                <w:rFonts w:ascii="Times New Roman" w:hAnsi="Times New Roman" w:cs="Times New Roman" w:eastAsia="Times New Roman" w:hint="default"/>
                <w:sz w:val="18"/>
                <w:szCs w:val="18"/>
              </w:rPr>
            </w:pPr>
            <w:r>
              <w:rPr>
                <w:rFonts w:ascii="Times New Roman"/>
                <w:sz w:val="18"/>
              </w:rPr>
              <w:t>78.22</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265,305,3</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90.00</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78,717,82</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5.46</w:t>
            </w:r>
          </w:p>
        </w:tc>
        <w:tc>
          <w:tcPr>
            <w:tcW w:w="676" w:type="dxa"/>
            <w:vMerge w:val="restart"/>
            <w:tcBorders>
              <w:top w:val="single" w:sz="4" w:space="0" w:color="000000"/>
              <w:left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132,717</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,681.44</w:t>
            </w:r>
          </w:p>
        </w:tc>
        <w:tc>
          <w:tcPr>
            <w:tcW w:w="781" w:type="dxa"/>
            <w:vMerge w:val="restart"/>
            <w:tcBorders>
              <w:top w:val="single" w:sz="4" w:space="0" w:color="000000"/>
              <w:left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1,946,268</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,288.12</w:t>
            </w:r>
          </w:p>
        </w:tc>
      </w:tr>
      <w:tr>
        <w:trPr>
          <w:trHeight w:val="392" w:hRule="exact"/>
        </w:trPr>
        <w:tc>
          <w:tcPr>
            <w:tcW w:w="14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7"/>
                <w:w w:val="95"/>
                <w:sz w:val="18"/>
                <w:szCs w:val="18"/>
              </w:rPr>
              <w:t>二、本年期初余额</w:t>
            </w:r>
          </w:p>
        </w:tc>
        <w:tc>
          <w:tcPr>
            <w:tcW w:w="703"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30" w:type="dxa"/>
            <w:tcBorders>
              <w:top w:val="nil" w:sz="6" w:space="0" w:color="auto"/>
              <w:left w:val="single" w:sz="4" w:space="0" w:color="000000"/>
              <w:bottom w:val="single" w:sz="4" w:space="0" w:color="000000"/>
              <w:right w:val="single" w:sz="4" w:space="0" w:color="000000"/>
            </w:tcBorders>
            <w:shd w:val="clear" w:color="auto" w:fill="D2D2D2"/>
          </w:tcPr>
          <w:p>
            <w:pPr/>
          </w:p>
        </w:tc>
        <w:tc>
          <w:tcPr>
            <w:tcW w:w="703"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1026"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9"/>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70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8" w:right="0"/>
              <w:jc w:val="left"/>
              <w:rPr>
                <w:rFonts w:ascii="Times New Roman" w:hAnsi="Times New Roman" w:cs="Times New Roman" w:eastAsia="Times New Roman" w:hint="default"/>
                <w:sz w:val="18"/>
                <w:szCs w:val="18"/>
              </w:rPr>
            </w:pPr>
            <w:r>
              <w:rPr>
                <w:rFonts w:ascii="Times New Roman"/>
                <w:sz w:val="18"/>
              </w:rPr>
              <w:t>-364,97</w:t>
            </w:r>
          </w:p>
          <w:p>
            <w:pPr>
              <w:pStyle w:val="TableParagraph"/>
              <w:spacing w:line="240" w:lineRule="auto" w:before="106"/>
              <w:ind w:left="348" w:right="0"/>
              <w:jc w:val="left"/>
              <w:rPr>
                <w:rFonts w:ascii="Times New Roman" w:hAnsi="Times New Roman" w:cs="Times New Roman" w:eastAsia="Times New Roman" w:hint="default"/>
                <w:sz w:val="18"/>
                <w:szCs w:val="18"/>
              </w:rPr>
            </w:pPr>
            <w:r>
              <w:rPr>
                <w:rFonts w:ascii="Times New Roman"/>
                <w:sz w:val="18"/>
              </w:rPr>
              <w:t>4.00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78,725,75</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3.06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-6,353,72</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9.73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12,045,67</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4.69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 w:right="0"/>
              <w:jc w:val="center"/>
              <w:rPr>
                <w:rFonts w:ascii="Times New Roman" w:hAnsi="Times New Roman" w:cs="Times New Roman" w:eastAsia="Times New Roman" w:hint="default"/>
                <w:sz w:val="18"/>
                <w:szCs w:val="18"/>
              </w:rPr>
            </w:pPr>
            <w:r>
              <w:rPr>
                <w:rFonts w:ascii="Times New Roman"/>
                <w:sz w:val="18"/>
              </w:rPr>
              <w:t>-9,918,0</w:t>
            </w:r>
          </w:p>
          <w:p>
            <w:pPr>
              <w:pStyle w:val="TableParagraph"/>
              <w:spacing w:line="240" w:lineRule="auto" w:before="106"/>
              <w:ind w:left="216" w:right="0"/>
              <w:jc w:val="center"/>
              <w:rPr>
                <w:rFonts w:ascii="Times New Roman" w:hAnsi="Times New Roman" w:cs="Times New Roman" w:eastAsia="Times New Roman" w:hint="default"/>
                <w:sz w:val="18"/>
                <w:szCs w:val="18"/>
              </w:rPr>
            </w:pPr>
            <w:r>
              <w:rPr>
                <w:rFonts w:ascii="Times New Roman"/>
                <w:sz w:val="18"/>
              </w:rPr>
              <w:t>85.96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86,842,09</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7.52</w:t>
            </w: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0"/>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703"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120,456</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,746.85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120,456,7</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46.85</w:t>
            </w: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0"/>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70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08" w:right="0"/>
              <w:jc w:val="left"/>
              <w:rPr>
                <w:rFonts w:ascii="Times New Roman" w:hAnsi="Times New Roman" w:cs="Times New Roman" w:eastAsia="Times New Roman" w:hint="default"/>
                <w:sz w:val="18"/>
                <w:szCs w:val="18"/>
              </w:rPr>
            </w:pPr>
            <w:r>
              <w:rPr>
                <w:rFonts w:ascii="Times New Roman"/>
                <w:sz w:val="18"/>
              </w:rPr>
              <w:t>-364,97</w:t>
            </w:r>
          </w:p>
          <w:p>
            <w:pPr>
              <w:pStyle w:val="TableParagraph"/>
              <w:spacing w:line="240" w:lineRule="auto" w:before="106"/>
              <w:ind w:left="348" w:right="0"/>
              <w:jc w:val="left"/>
              <w:rPr>
                <w:rFonts w:ascii="Times New Roman" w:hAnsi="Times New Roman" w:cs="Times New Roman" w:eastAsia="Times New Roman" w:hint="default"/>
                <w:sz w:val="18"/>
                <w:szCs w:val="18"/>
              </w:rPr>
            </w:pPr>
            <w:r>
              <w:rPr>
                <w:rFonts w:ascii="Times New Roman"/>
                <w:sz w:val="18"/>
              </w:rPr>
              <w:t>4.00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78,725,75</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3.06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 w:right="0"/>
              <w:jc w:val="left"/>
              <w:rPr>
                <w:rFonts w:ascii="Times New Roman" w:hAnsi="Times New Roman" w:cs="Times New Roman" w:eastAsia="Times New Roman" w:hint="default"/>
                <w:sz w:val="18"/>
                <w:szCs w:val="18"/>
              </w:rPr>
            </w:pPr>
            <w:r>
              <w:rPr>
                <w:rFonts w:ascii="Times New Roman"/>
                <w:sz w:val="18"/>
              </w:rPr>
              <w:t>-6,353,72</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9.73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84,714,50</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8.79</w:t>
            </w: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45"/>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703"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12,877,12</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1.75</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12,877,12</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1.75</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-364,97</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4.00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65,848,63</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1.31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-6,353,72</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9.73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71,837,38</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7.04</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12,045,67</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4.69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-130,37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4,832.8</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-118,329,</w:t>
            </w:r>
          </w:p>
          <w:p>
            <w:pPr>
              <w:pStyle w:val="TableParagraph"/>
              <w:spacing w:line="240" w:lineRule="auto" w:before="106"/>
              <w:ind w:left="230" w:right="0"/>
              <w:jc w:val="center"/>
              <w:rPr>
                <w:rFonts w:ascii="Times New Roman" w:hAnsi="Times New Roman" w:cs="Times New Roman" w:eastAsia="Times New Roman" w:hint="default"/>
                <w:sz w:val="18"/>
                <w:szCs w:val="18"/>
              </w:rPr>
            </w:pPr>
            <w:r>
              <w:rPr>
                <w:rFonts w:ascii="Times New Roman"/>
                <w:sz w:val="18"/>
              </w:rPr>
              <w:t>158.12</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12,045,67</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4.69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-12,045,</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674.69</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02" w:lineRule="auto"/>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-118,32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9,158.1</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-118,329,</w:t>
            </w:r>
          </w:p>
          <w:p>
            <w:pPr>
              <w:pStyle w:val="TableParagraph"/>
              <w:spacing w:line="240" w:lineRule="auto" w:before="106"/>
              <w:ind w:left="230" w:right="0"/>
              <w:jc w:val="center"/>
              <w:rPr>
                <w:rFonts w:ascii="Times New Roman" w:hAnsi="Times New Roman" w:cs="Times New Roman" w:eastAsia="Times New Roman" w:hint="default"/>
                <w:sz w:val="18"/>
                <w:szCs w:val="18"/>
              </w:rPr>
            </w:pPr>
            <w:r>
              <w:rPr>
                <w:rFonts w:ascii="Times New Roman"/>
                <w:sz w:val="18"/>
              </w:rPr>
              <w:t>158.12</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1,126,86</w:t>
            </w:r>
          </w:p>
          <w:p>
            <w:pPr>
              <w:pStyle w:val="TableParagraph"/>
              <w:spacing w:line="240" w:lineRule="auto" w:before="106"/>
              <w:ind w:left="27" w:right="0"/>
              <w:jc w:val="left"/>
              <w:rPr>
                <w:rFonts w:ascii="Times New Roman" w:hAnsi="Times New Roman" w:cs="Times New Roman" w:eastAsia="Times New Roman" w:hint="default"/>
                <w:sz w:val="18"/>
                <w:szCs w:val="18"/>
              </w:rPr>
            </w:pPr>
            <w:r>
              <w:rPr>
                <w:rFonts w:ascii="Times New Roman"/>
                <w:sz w:val="18"/>
              </w:rPr>
              <w:t>6,019.00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951,632,9</w:t>
            </w:r>
          </w:p>
          <w:p>
            <w:pPr>
              <w:pStyle w:val="TableParagraph"/>
              <w:spacing w:line="240" w:lineRule="auto" w:before="106"/>
              <w:ind w:left="360" w:right="0"/>
              <w:jc w:val="left"/>
              <w:rPr>
                <w:rFonts w:ascii="Times New Roman" w:hAnsi="Times New Roman" w:cs="Times New Roman" w:eastAsia="Times New Roman" w:hint="default"/>
                <w:sz w:val="18"/>
                <w:szCs w:val="18"/>
              </w:rPr>
            </w:pPr>
            <w:r>
              <w:rPr>
                <w:rFonts w:ascii="Times New Roman"/>
                <w:sz w:val="18"/>
              </w:rPr>
              <w:t>31.28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258,951,6</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60.27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90,763,50</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0.15</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122,799</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,595.48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2,033,110</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,385.64</w:t>
            </w:r>
          </w:p>
        </w:tc>
      </w:tr>
    </w:tbl>
    <w:p>
      <w:pPr>
        <w:spacing w:line="240" w:lineRule="auto" w:before="2"/>
        <w:rPr>
          <w:rFonts w:ascii="宋体" w:hAnsi="宋体" w:cs="宋体" w:eastAsia="宋体" w:hint="default"/>
          <w:sz w:val="18"/>
          <w:szCs w:val="18"/>
        </w:rPr>
      </w:pPr>
    </w:p>
    <w:p>
      <w:pPr>
        <w:pStyle w:val="Heading4"/>
        <w:spacing w:line="240" w:lineRule="auto" w:before="26"/>
        <w:ind w:left="1134" w:right="998"/>
        <w:jc w:val="left"/>
        <w:rPr>
          <w:b w:val="0"/>
          <w:bCs w:val="0"/>
        </w:rPr>
      </w:pPr>
      <w:bookmarkStart w:name="三、公司基本情况" w:id="178"/>
      <w:bookmarkEnd w:id="178"/>
      <w:r>
        <w:rPr>
          <w:b w:val="0"/>
          <w:bCs w:val="0"/>
        </w:rPr>
      </w:r>
      <w:r>
        <w:rPr/>
        <w:t>三、公司基本情况</w:t>
      </w:r>
      <w:r>
        <w:rPr>
          <w:b w:val="0"/>
          <w:bCs w:val="0"/>
        </w:rPr>
      </w:r>
    </w:p>
    <w:p>
      <w:pPr>
        <w:spacing w:line="240" w:lineRule="auto" w:before="7"/>
        <w:rPr>
          <w:rFonts w:ascii="宋体" w:hAnsi="宋体" w:cs="宋体" w:eastAsia="宋体" w:hint="default"/>
          <w:b/>
          <w:bCs/>
          <w:sz w:val="24"/>
          <w:szCs w:val="24"/>
        </w:rPr>
      </w:pPr>
    </w:p>
    <w:p>
      <w:pPr>
        <w:pStyle w:val="BodyText"/>
        <w:spacing w:line="256" w:lineRule="auto"/>
        <w:ind w:right="1046" w:firstLine="420"/>
        <w:jc w:val="left"/>
      </w:pPr>
      <w:r>
        <w:rPr/>
        <w:t>北京昆仑万维科技股份有限公司（以下简称</w:t>
      </w:r>
      <w:r>
        <w:rPr>
          <w:rFonts w:ascii="Times New Roman" w:hAnsi="Times New Roman" w:cs="Times New Roman" w:eastAsia="Times New Roman" w:hint="default"/>
        </w:rPr>
        <w:t>“</w:t>
      </w:r>
      <w:r>
        <w:rPr/>
        <w:t>公司</w:t>
      </w:r>
      <w:r>
        <w:rPr>
          <w:rFonts w:ascii="Times New Roman" w:hAnsi="Times New Roman" w:cs="Times New Roman" w:eastAsia="Times New Roman" w:hint="default"/>
        </w:rPr>
        <w:t>”</w:t>
      </w:r>
      <w:r>
        <w:rPr/>
        <w:t>或</w:t>
      </w:r>
      <w:r>
        <w:rPr>
          <w:rFonts w:ascii="Times New Roman" w:hAnsi="Times New Roman" w:cs="Times New Roman" w:eastAsia="Times New Roman" w:hint="default"/>
        </w:rPr>
        <w:t>“</w:t>
      </w:r>
      <w:r>
        <w:rPr/>
        <w:t>本公司</w:t>
      </w:r>
      <w:r>
        <w:rPr>
          <w:rFonts w:ascii="Times New Roman" w:hAnsi="Times New Roman" w:cs="Times New Roman" w:eastAsia="Times New Roman" w:hint="default"/>
        </w:rPr>
        <w:t>”</w:t>
      </w:r>
      <w:r>
        <w:rPr/>
        <w:t>）系于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8</w:t>
      </w:r>
      <w:r>
        <w:rPr/>
        <w:t>日经北京市工商行政 管理局批准，由周亚辉等共同发起设立的股份有限公司。公司统一社会信用代码：</w:t>
      </w:r>
      <w:r>
        <w:rPr>
          <w:rFonts w:ascii="Times New Roman" w:hAnsi="Times New Roman" w:cs="Times New Roman" w:eastAsia="Times New Roman" w:hint="default"/>
        </w:rPr>
        <w:t>91110000673814068U</w:t>
      </w:r>
      <w:r>
        <w:rPr/>
        <w:t>。 </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w:t>
      </w:r>
      <w:r>
        <w:rPr/>
        <w:t>月在深圳证券交易所上市。所属行业为互联网信息类。</w:t>
      </w:r>
    </w:p>
    <w:p>
      <w:pPr>
        <w:pStyle w:val="BodyText"/>
        <w:spacing w:line="256" w:lineRule="auto" w:before="5"/>
        <w:ind w:right="1131" w:firstLine="420"/>
        <w:jc w:val="both"/>
      </w:pPr>
      <w:r>
        <w:rPr>
          <w:spacing w:val="-1"/>
        </w:rPr>
        <w:t>截至</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日止，本公司累计发行股本总数</w:t>
      </w:r>
      <w:r>
        <w:rPr>
          <w:rFonts w:ascii="Times New Roman" w:hAnsi="Times New Roman" w:cs="Times New Roman" w:eastAsia="Times New Roman" w:hint="default"/>
          <w:spacing w:val="-1"/>
        </w:rPr>
        <w:t>115,189.72</w:t>
      </w:r>
      <w:r>
        <w:rPr>
          <w:spacing w:val="-1"/>
        </w:rPr>
        <w:t>万股，注册资本为</w:t>
      </w:r>
      <w:r>
        <w:rPr>
          <w:rFonts w:ascii="Times New Roman" w:hAnsi="Times New Roman" w:cs="Times New Roman" w:eastAsia="Times New Roman" w:hint="default"/>
          <w:spacing w:val="-1"/>
        </w:rPr>
        <w:t>115,189.72</w:t>
      </w:r>
      <w:r>
        <w:rPr>
          <w:spacing w:val="-1"/>
        </w:rPr>
        <w:t>万元，注册</w:t>
      </w:r>
      <w:r>
        <w:rPr/>
        <w:t> </w:t>
      </w:r>
      <w:r>
        <w:rPr>
          <w:spacing w:val="-2"/>
        </w:rPr>
        <w:t>地：北京市海淀区知春路</w:t>
      </w:r>
      <w:r>
        <w:rPr>
          <w:rFonts w:ascii="Times New Roman" w:hAnsi="Times New Roman" w:cs="Times New Roman" w:eastAsia="Times New Roman" w:hint="default"/>
          <w:spacing w:val="-2"/>
        </w:rPr>
        <w:t>118</w:t>
      </w:r>
      <w:r>
        <w:rPr>
          <w:spacing w:val="-2"/>
        </w:rPr>
        <w:t>号知春大厦</w:t>
      </w:r>
      <w:r>
        <w:rPr>
          <w:rFonts w:ascii="Times New Roman" w:hAnsi="Times New Roman" w:cs="Times New Roman" w:eastAsia="Times New Roman" w:hint="default"/>
          <w:spacing w:val="-2"/>
        </w:rPr>
        <w:t>B</w:t>
      </w:r>
      <w:r>
        <w:rPr>
          <w:spacing w:val="-2"/>
        </w:rPr>
        <w:t>座</w:t>
      </w:r>
      <w:r>
        <w:rPr>
          <w:rFonts w:ascii="Times New Roman" w:hAnsi="Times New Roman" w:cs="Times New Roman" w:eastAsia="Times New Roman" w:hint="default"/>
          <w:spacing w:val="-2"/>
        </w:rPr>
        <w:t>605E</w:t>
      </w:r>
      <w:r>
        <w:rPr>
          <w:spacing w:val="-2"/>
        </w:rPr>
        <w:t>，总部地址：北京市东城区西总布胡同</w:t>
      </w:r>
      <w:r>
        <w:rPr>
          <w:rFonts w:ascii="Times New Roman" w:hAnsi="Times New Roman" w:cs="Times New Roman" w:eastAsia="Times New Roman" w:hint="default"/>
          <w:spacing w:val="-2"/>
        </w:rPr>
        <w:t>46</w:t>
      </w:r>
      <w:r>
        <w:rPr>
          <w:spacing w:val="-2"/>
        </w:rPr>
        <w:t>号明阳国际中心</w:t>
      </w:r>
      <w:r>
        <w:rPr>
          <w:spacing w:val="-90"/>
        </w:rPr>
        <w:t> </w:t>
      </w:r>
      <w:r>
        <w:rPr>
          <w:spacing w:val="-90"/>
        </w:rPr>
      </w:r>
      <w:r>
        <w:rPr>
          <w:rFonts w:ascii="Times New Roman" w:hAnsi="Times New Roman" w:cs="Times New Roman" w:eastAsia="Times New Roman" w:hint="default"/>
        </w:rPr>
        <w:t>B</w:t>
      </w:r>
      <w:r>
        <w:rPr/>
        <w:t>座。本公司主要经营活动为：综合性互联网增值服务。本公司的实际控制人为周亚辉。</w:t>
      </w:r>
    </w:p>
    <w:p>
      <w:pPr>
        <w:spacing w:after="0" w:line="256" w:lineRule="auto"/>
        <w:jc w:val="both"/>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BodyText"/>
        <w:spacing w:line="516" w:lineRule="auto" w:before="35"/>
        <w:ind w:left="1848" w:right="3948" w:hanging="295"/>
        <w:jc w:val="left"/>
      </w:pPr>
      <w:r>
        <w:rPr/>
        <w:t>本财务报表业经公司董事会于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19</w:t>
      </w:r>
      <w:r>
        <w:rPr/>
        <w:t>日批准报出。 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日止，本公司合并财务报表范围内子公司如下：</w:t>
      </w:r>
    </w:p>
    <w:p>
      <w:pPr>
        <w:spacing w:line="240" w:lineRule="auto" w:before="2"/>
        <w:rPr>
          <w:rFonts w:ascii="宋体" w:hAnsi="宋体" w:cs="宋体" w:eastAsia="宋体" w:hint="default"/>
          <w:sz w:val="6"/>
          <w:szCs w:val="6"/>
        </w:rPr>
      </w:pPr>
    </w:p>
    <w:tbl>
      <w:tblPr>
        <w:tblW w:w="0" w:type="auto"/>
        <w:jc w:val="left"/>
        <w:tblInd w:w="1740" w:type="dxa"/>
        <w:tblLayout w:type="fixed"/>
        <w:tblCellMar>
          <w:top w:w="0" w:type="dxa"/>
          <w:left w:w="0" w:type="dxa"/>
          <w:bottom w:w="0" w:type="dxa"/>
          <w:right w:w="0" w:type="dxa"/>
        </w:tblCellMar>
        <w:tblLook w:val="01E0"/>
      </w:tblPr>
      <w:tblGrid>
        <w:gridCol w:w="7814"/>
      </w:tblGrid>
      <w:tr>
        <w:trPr>
          <w:trHeight w:val="355" w:hRule="exact"/>
        </w:trPr>
        <w:tc>
          <w:tcPr>
            <w:tcW w:w="7814" w:type="dxa"/>
            <w:tcBorders>
              <w:top w:val="single" w:sz="6" w:space="0" w:color="000000"/>
              <w:left w:val="nil" w:sz="6" w:space="0" w:color="auto"/>
              <w:bottom w:val="single" w:sz="12" w:space="0" w:color="000000"/>
              <w:right w:val="nil" w:sz="6" w:space="0" w:color="auto"/>
            </w:tcBorders>
          </w:tcPr>
          <w:p>
            <w:pPr>
              <w:pStyle w:val="TableParagraph"/>
              <w:spacing w:line="271" w:lineRule="exact"/>
              <w:ind w:left="-1" w:right="0"/>
              <w:jc w:val="center"/>
              <w:rPr>
                <w:rFonts w:ascii="宋体" w:hAnsi="宋体" w:cs="宋体" w:eastAsia="宋体" w:hint="default"/>
                <w:sz w:val="21"/>
                <w:szCs w:val="21"/>
              </w:rPr>
            </w:pPr>
            <w:r>
              <w:rPr>
                <w:rFonts w:ascii="宋体" w:hAnsi="宋体" w:cs="宋体" w:eastAsia="宋体" w:hint="default"/>
                <w:sz w:val="21"/>
                <w:szCs w:val="21"/>
              </w:rPr>
              <w:t>子公司名称</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9" w:right="0"/>
              <w:jc w:val="left"/>
              <w:rPr>
                <w:rFonts w:ascii="宋体" w:hAnsi="宋体" w:cs="宋体" w:eastAsia="宋体" w:hint="default"/>
                <w:sz w:val="21"/>
                <w:szCs w:val="21"/>
              </w:rPr>
            </w:pPr>
            <w:r>
              <w:rPr>
                <w:rFonts w:ascii="宋体" w:hAnsi="宋体" w:cs="宋体" w:eastAsia="宋体" w:hint="default"/>
                <w:sz w:val="21"/>
                <w:szCs w:val="21"/>
              </w:rPr>
              <w:t>北京昆仑在线网络科技有限公司</w:t>
            </w:r>
          </w:p>
        </w:tc>
      </w:tr>
      <w:tr>
        <w:trPr>
          <w:trHeight w:val="353"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9" w:right="0"/>
              <w:jc w:val="left"/>
              <w:rPr>
                <w:rFonts w:ascii="宋体" w:hAnsi="宋体" w:cs="宋体" w:eastAsia="宋体" w:hint="default"/>
                <w:sz w:val="21"/>
                <w:szCs w:val="21"/>
              </w:rPr>
            </w:pPr>
            <w:r>
              <w:rPr>
                <w:rFonts w:ascii="宋体" w:hAnsi="宋体" w:cs="宋体" w:eastAsia="宋体" w:hint="default"/>
                <w:sz w:val="21"/>
                <w:szCs w:val="21"/>
              </w:rPr>
              <w:t>北京昆仑乐享网络技术有限公司</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9" w:right="0"/>
              <w:jc w:val="left"/>
              <w:rPr>
                <w:rFonts w:ascii="宋体" w:hAnsi="宋体" w:cs="宋体" w:eastAsia="宋体" w:hint="default"/>
                <w:sz w:val="21"/>
                <w:szCs w:val="21"/>
              </w:rPr>
            </w:pPr>
            <w:r>
              <w:rPr>
                <w:rFonts w:ascii="宋体" w:hAnsi="宋体" w:cs="宋体" w:eastAsia="宋体" w:hint="default"/>
                <w:sz w:val="21"/>
                <w:szCs w:val="21"/>
              </w:rPr>
              <w:t>广州昆仑在线信息科技有限公司</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9" w:right="0"/>
              <w:jc w:val="left"/>
              <w:rPr>
                <w:rFonts w:ascii="宋体" w:hAnsi="宋体" w:cs="宋体" w:eastAsia="宋体" w:hint="default"/>
                <w:sz w:val="21"/>
                <w:szCs w:val="21"/>
              </w:rPr>
            </w:pPr>
            <w:r>
              <w:rPr>
                <w:rFonts w:ascii="宋体" w:hAnsi="宋体" w:cs="宋体" w:eastAsia="宋体" w:hint="default"/>
                <w:sz w:val="21"/>
                <w:szCs w:val="21"/>
              </w:rPr>
              <w:t>昆仑日本株式会社</w:t>
            </w:r>
          </w:p>
        </w:tc>
      </w:tr>
      <w:tr>
        <w:trPr>
          <w:trHeight w:val="353"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9" w:right="0"/>
              <w:jc w:val="left"/>
              <w:rPr>
                <w:rFonts w:ascii="宋体" w:hAnsi="宋体" w:cs="宋体" w:eastAsia="宋体" w:hint="default"/>
                <w:sz w:val="21"/>
                <w:szCs w:val="21"/>
              </w:rPr>
            </w:pPr>
            <w:r>
              <w:rPr>
                <w:rFonts w:ascii="宋体" w:hAnsi="宋体" w:cs="宋体" w:eastAsia="宋体" w:hint="default"/>
                <w:sz w:val="21"/>
                <w:szCs w:val="21"/>
              </w:rPr>
              <w:t>昆仑韩国株式会社</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9" w:right="0"/>
              <w:jc w:val="left"/>
              <w:rPr>
                <w:rFonts w:ascii="宋体" w:hAnsi="宋体" w:cs="宋体" w:eastAsia="宋体" w:hint="default"/>
                <w:sz w:val="21"/>
                <w:szCs w:val="21"/>
              </w:rPr>
            </w:pPr>
            <w:r>
              <w:rPr>
                <w:rFonts w:ascii="宋体" w:hAnsi="宋体" w:cs="宋体" w:eastAsia="宋体" w:hint="default"/>
                <w:sz w:val="21"/>
                <w:szCs w:val="21"/>
              </w:rPr>
              <w:t>香港昆仑万维股份有限公司</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9" w:right="0"/>
              <w:jc w:val="left"/>
              <w:rPr>
                <w:rFonts w:ascii="宋体" w:hAnsi="宋体" w:cs="宋体" w:eastAsia="宋体" w:hint="default"/>
                <w:sz w:val="21"/>
                <w:szCs w:val="21"/>
              </w:rPr>
            </w:pPr>
            <w:r>
              <w:rPr>
                <w:rFonts w:ascii="宋体" w:hAnsi="宋体" w:cs="宋体" w:eastAsia="宋体" w:hint="default"/>
                <w:sz w:val="21"/>
                <w:szCs w:val="21"/>
              </w:rPr>
              <w:t>北京昆仑点金投资有限公司</w:t>
            </w:r>
          </w:p>
        </w:tc>
      </w:tr>
      <w:tr>
        <w:trPr>
          <w:trHeight w:val="353"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9" w:right="0"/>
              <w:jc w:val="left"/>
              <w:rPr>
                <w:rFonts w:ascii="宋体" w:hAnsi="宋体" w:cs="宋体" w:eastAsia="宋体" w:hint="default"/>
                <w:sz w:val="21"/>
                <w:szCs w:val="21"/>
              </w:rPr>
            </w:pPr>
            <w:r>
              <w:rPr>
                <w:rFonts w:ascii="宋体" w:hAnsi="宋体" w:cs="宋体" w:eastAsia="宋体" w:hint="default"/>
                <w:sz w:val="21"/>
                <w:szCs w:val="21"/>
              </w:rPr>
              <w:t>宁波昆仑点金股权投资有限公司</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9" w:right="0"/>
              <w:jc w:val="left"/>
              <w:rPr>
                <w:rFonts w:ascii="宋体" w:hAnsi="宋体" w:cs="宋体" w:eastAsia="宋体" w:hint="default"/>
                <w:sz w:val="21"/>
                <w:szCs w:val="21"/>
              </w:rPr>
            </w:pPr>
            <w:r>
              <w:rPr>
                <w:rFonts w:ascii="宋体" w:hAnsi="宋体" w:cs="宋体" w:eastAsia="宋体" w:hint="default"/>
                <w:sz w:val="21"/>
                <w:szCs w:val="21"/>
              </w:rPr>
              <w:t>上海昆晟科技有限公司</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9" w:right="0"/>
              <w:jc w:val="left"/>
              <w:rPr>
                <w:rFonts w:ascii="宋体" w:hAnsi="宋体" w:cs="宋体" w:eastAsia="宋体" w:hint="default"/>
                <w:sz w:val="21"/>
                <w:szCs w:val="21"/>
              </w:rPr>
            </w:pPr>
            <w:r>
              <w:rPr>
                <w:rFonts w:ascii="宋体" w:hAnsi="宋体" w:cs="宋体" w:eastAsia="宋体" w:hint="default"/>
                <w:sz w:val="21"/>
                <w:szCs w:val="21"/>
              </w:rPr>
              <w:t>西藏昆诺赢展创业投资有限责任公司</w:t>
            </w:r>
          </w:p>
        </w:tc>
      </w:tr>
      <w:tr>
        <w:trPr>
          <w:trHeight w:val="353"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219" w:right="0"/>
              <w:jc w:val="left"/>
              <w:rPr>
                <w:rFonts w:ascii="宋体" w:hAnsi="宋体" w:cs="宋体" w:eastAsia="宋体" w:hint="default"/>
                <w:sz w:val="21"/>
                <w:szCs w:val="21"/>
              </w:rPr>
            </w:pPr>
            <w:r>
              <w:rPr>
                <w:rFonts w:ascii="宋体" w:hAnsi="宋体" w:cs="宋体" w:eastAsia="宋体" w:hint="default"/>
                <w:sz w:val="21"/>
                <w:szCs w:val="21"/>
              </w:rPr>
              <w:t>北京闲徕互娱网络科技有限公司</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429" w:right="0"/>
              <w:jc w:val="left"/>
              <w:rPr>
                <w:rFonts w:ascii="宋体" w:hAnsi="宋体" w:cs="宋体" w:eastAsia="宋体" w:hint="default"/>
                <w:sz w:val="21"/>
                <w:szCs w:val="21"/>
              </w:rPr>
            </w:pPr>
            <w:r>
              <w:rPr>
                <w:rFonts w:ascii="宋体" w:hAnsi="宋体" w:cs="宋体" w:eastAsia="宋体" w:hint="default"/>
                <w:sz w:val="21"/>
                <w:szCs w:val="21"/>
              </w:rPr>
              <w:t>闲来互娱（海南）网络科技有限公司</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429" w:right="0"/>
              <w:jc w:val="left"/>
              <w:rPr>
                <w:rFonts w:ascii="宋体" w:hAnsi="宋体" w:cs="宋体" w:eastAsia="宋体" w:hint="default"/>
                <w:sz w:val="21"/>
                <w:szCs w:val="21"/>
              </w:rPr>
            </w:pPr>
            <w:r>
              <w:rPr>
                <w:rFonts w:ascii="宋体" w:hAnsi="宋体" w:cs="宋体" w:eastAsia="宋体" w:hint="default"/>
                <w:sz w:val="21"/>
                <w:szCs w:val="21"/>
              </w:rPr>
              <w:t>湖南闲徕互娱网络科技有限公司</w:t>
            </w:r>
          </w:p>
        </w:tc>
      </w:tr>
      <w:tr>
        <w:trPr>
          <w:trHeight w:val="353"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429" w:right="0"/>
              <w:jc w:val="left"/>
              <w:rPr>
                <w:rFonts w:ascii="宋体" w:hAnsi="宋体" w:cs="宋体" w:eastAsia="宋体" w:hint="default"/>
                <w:sz w:val="21"/>
                <w:szCs w:val="21"/>
              </w:rPr>
            </w:pPr>
            <w:r>
              <w:rPr>
                <w:rFonts w:ascii="宋体" w:hAnsi="宋体" w:cs="宋体" w:eastAsia="宋体" w:hint="default"/>
                <w:sz w:val="21"/>
                <w:szCs w:val="21"/>
              </w:rPr>
              <w:t>深圳市天橙一品科技有限公司</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429" w:right="0"/>
              <w:jc w:val="left"/>
              <w:rPr>
                <w:rFonts w:ascii="宋体" w:hAnsi="宋体" w:cs="宋体" w:eastAsia="宋体" w:hint="default"/>
                <w:sz w:val="21"/>
                <w:szCs w:val="21"/>
              </w:rPr>
            </w:pPr>
            <w:r>
              <w:rPr>
                <w:rFonts w:ascii="宋体" w:hAnsi="宋体" w:cs="宋体" w:eastAsia="宋体" w:hint="default"/>
                <w:sz w:val="21"/>
                <w:szCs w:val="21"/>
              </w:rPr>
              <w:t>闲徕互娱（香港）网络科技有限公司</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9" w:right="0"/>
              <w:jc w:val="left"/>
              <w:rPr>
                <w:rFonts w:ascii="宋体" w:hAnsi="宋体" w:cs="宋体" w:eastAsia="宋体" w:hint="default"/>
                <w:sz w:val="21"/>
                <w:szCs w:val="21"/>
              </w:rPr>
            </w:pPr>
            <w:r>
              <w:rPr>
                <w:rFonts w:ascii="宋体" w:hAnsi="宋体" w:cs="宋体" w:eastAsia="宋体" w:hint="default"/>
                <w:sz w:val="21"/>
                <w:szCs w:val="21"/>
              </w:rPr>
              <w:t>昆仑集团有限公司</w:t>
            </w:r>
          </w:p>
        </w:tc>
      </w:tr>
      <w:tr>
        <w:trPr>
          <w:trHeight w:val="353"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40" w:lineRule="auto" w:before="34"/>
              <w:ind w:left="219" w:right="0"/>
              <w:jc w:val="left"/>
              <w:rPr>
                <w:rFonts w:ascii="Times New Roman" w:hAnsi="Times New Roman" w:cs="Times New Roman" w:eastAsia="Times New Roman" w:hint="default"/>
                <w:sz w:val="21"/>
                <w:szCs w:val="21"/>
              </w:rPr>
            </w:pPr>
            <w:r>
              <w:rPr>
                <w:rFonts w:ascii="Times New Roman"/>
                <w:sz w:val="21"/>
              </w:rPr>
              <w:t>KUNLUN GLOBAL INTERNATIONAL SDN.</w:t>
            </w:r>
            <w:r>
              <w:rPr>
                <w:rFonts w:ascii="Times New Roman"/>
                <w:spacing w:val="-3"/>
                <w:sz w:val="21"/>
              </w:rPr>
              <w:t> </w:t>
            </w:r>
            <w:r>
              <w:rPr>
                <w:rFonts w:ascii="Times New Roman"/>
                <w:sz w:val="21"/>
              </w:rPr>
              <w:t>BHD.</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219" w:right="0"/>
              <w:jc w:val="left"/>
              <w:rPr>
                <w:rFonts w:ascii="宋体" w:hAnsi="宋体" w:cs="宋体" w:eastAsia="宋体" w:hint="default"/>
                <w:sz w:val="21"/>
                <w:szCs w:val="21"/>
              </w:rPr>
            </w:pPr>
            <w:r>
              <w:rPr>
                <w:rFonts w:ascii="宋体" w:hAnsi="宋体" w:cs="宋体" w:eastAsia="宋体" w:hint="default"/>
                <w:sz w:val="21"/>
                <w:szCs w:val="21"/>
              </w:rPr>
              <w:t>网潮（香港）科技股份有限公司</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219" w:right="0"/>
              <w:jc w:val="left"/>
              <w:rPr>
                <w:rFonts w:ascii="宋体" w:hAnsi="宋体" w:cs="宋体" w:eastAsia="宋体" w:hint="default"/>
                <w:sz w:val="21"/>
                <w:szCs w:val="21"/>
              </w:rPr>
            </w:pPr>
            <w:r>
              <w:rPr>
                <w:rFonts w:ascii="宋体" w:hAnsi="宋体" w:cs="宋体" w:eastAsia="宋体" w:hint="default"/>
                <w:sz w:val="21"/>
                <w:szCs w:val="21"/>
              </w:rPr>
              <w:t>游景蓝图（香港）科技股份有限公司</w:t>
            </w:r>
          </w:p>
        </w:tc>
      </w:tr>
      <w:tr>
        <w:trPr>
          <w:trHeight w:val="353"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40" w:lineRule="auto" w:before="34"/>
              <w:ind w:left="219" w:right="0"/>
              <w:jc w:val="left"/>
              <w:rPr>
                <w:rFonts w:ascii="Times New Roman" w:hAnsi="Times New Roman" w:cs="Times New Roman" w:eastAsia="Times New Roman" w:hint="default"/>
                <w:sz w:val="21"/>
                <w:szCs w:val="21"/>
              </w:rPr>
            </w:pPr>
            <w:r>
              <w:rPr>
                <w:rFonts w:ascii="Times New Roman"/>
                <w:sz w:val="21"/>
              </w:rPr>
              <w:t>KUNLUN EUROPE</w:t>
            </w:r>
            <w:r>
              <w:rPr>
                <w:rFonts w:ascii="Times New Roman"/>
                <w:spacing w:val="-1"/>
                <w:sz w:val="21"/>
              </w:rPr>
              <w:t> </w:t>
            </w:r>
            <w:r>
              <w:rPr>
                <w:rFonts w:ascii="Times New Roman"/>
                <w:sz w:val="21"/>
              </w:rPr>
              <w:t>LIMITED</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40" w:lineRule="auto" w:before="34"/>
              <w:ind w:left="219" w:right="0"/>
              <w:jc w:val="left"/>
              <w:rPr>
                <w:rFonts w:ascii="Times New Roman" w:hAnsi="Times New Roman" w:cs="Times New Roman" w:eastAsia="Times New Roman" w:hint="default"/>
                <w:sz w:val="21"/>
                <w:szCs w:val="21"/>
              </w:rPr>
            </w:pPr>
            <w:r>
              <w:rPr>
                <w:rFonts w:ascii="Times New Roman"/>
                <w:sz w:val="21"/>
              </w:rPr>
              <w:t>KUNLUN US</w:t>
            </w:r>
            <w:r>
              <w:rPr>
                <w:rFonts w:ascii="Times New Roman"/>
                <w:spacing w:val="-2"/>
                <w:sz w:val="21"/>
              </w:rPr>
              <w:t> </w:t>
            </w:r>
            <w:r>
              <w:rPr>
                <w:rFonts w:ascii="Times New Roman"/>
                <w:sz w:val="21"/>
              </w:rPr>
              <w:t>INC</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219" w:right="0"/>
              <w:jc w:val="left"/>
              <w:rPr>
                <w:rFonts w:ascii="宋体" w:hAnsi="宋体" w:cs="宋体" w:eastAsia="宋体" w:hint="default"/>
                <w:sz w:val="21"/>
                <w:szCs w:val="21"/>
              </w:rPr>
            </w:pPr>
            <w:r>
              <w:rPr>
                <w:rFonts w:ascii="宋体" w:hAnsi="宋体" w:cs="宋体" w:eastAsia="宋体" w:hint="default"/>
                <w:sz w:val="21"/>
                <w:szCs w:val="21"/>
              </w:rPr>
              <w:t>台湾昆仑万维有限公司</w:t>
            </w:r>
          </w:p>
        </w:tc>
      </w:tr>
      <w:tr>
        <w:trPr>
          <w:trHeight w:val="353"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40" w:lineRule="auto" w:before="34"/>
              <w:ind w:left="219" w:right="0"/>
              <w:jc w:val="left"/>
              <w:rPr>
                <w:rFonts w:ascii="Times New Roman" w:hAnsi="Times New Roman" w:cs="Times New Roman" w:eastAsia="Times New Roman" w:hint="default"/>
                <w:sz w:val="21"/>
                <w:szCs w:val="21"/>
              </w:rPr>
            </w:pPr>
            <w:r>
              <w:rPr>
                <w:rFonts w:ascii="Times New Roman"/>
                <w:sz w:val="21"/>
              </w:rPr>
              <w:t>Kunlun Grindr Holdings</w:t>
            </w:r>
            <w:r>
              <w:rPr>
                <w:rFonts w:ascii="Times New Roman"/>
                <w:spacing w:val="-6"/>
                <w:sz w:val="21"/>
              </w:rPr>
              <w:t> </w:t>
            </w:r>
            <w:r>
              <w:rPr>
                <w:rFonts w:ascii="Times New Roman"/>
                <w:sz w:val="21"/>
              </w:rPr>
              <w:t>Limited</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40" w:lineRule="auto" w:before="34"/>
              <w:ind w:left="387" w:right="0"/>
              <w:jc w:val="left"/>
              <w:rPr>
                <w:rFonts w:ascii="Times New Roman" w:hAnsi="Times New Roman" w:cs="Times New Roman" w:eastAsia="Times New Roman" w:hint="default"/>
                <w:sz w:val="21"/>
                <w:szCs w:val="21"/>
              </w:rPr>
            </w:pPr>
            <w:r>
              <w:rPr>
                <w:rFonts w:ascii="Times New Roman"/>
                <w:sz w:val="21"/>
              </w:rPr>
              <w:t>KL Grindr</w:t>
            </w:r>
            <w:r>
              <w:rPr>
                <w:rFonts w:ascii="Times New Roman"/>
                <w:spacing w:val="-4"/>
                <w:sz w:val="21"/>
              </w:rPr>
              <w:t> </w:t>
            </w:r>
            <w:r>
              <w:rPr>
                <w:rFonts w:ascii="Times New Roman"/>
                <w:sz w:val="21"/>
              </w:rPr>
              <w:t>Holdings,Inc.</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40" w:lineRule="auto" w:before="34"/>
              <w:ind w:left="387" w:right="0"/>
              <w:jc w:val="left"/>
              <w:rPr>
                <w:rFonts w:ascii="Times New Roman" w:hAnsi="Times New Roman" w:cs="Times New Roman" w:eastAsia="Times New Roman" w:hint="default"/>
                <w:sz w:val="21"/>
                <w:szCs w:val="21"/>
              </w:rPr>
            </w:pPr>
            <w:r>
              <w:rPr>
                <w:rFonts w:ascii="Times New Roman"/>
                <w:sz w:val="21"/>
              </w:rPr>
              <w:t>Grindr</w:t>
            </w:r>
            <w:r>
              <w:rPr>
                <w:rFonts w:ascii="Times New Roman"/>
                <w:spacing w:val="-2"/>
                <w:sz w:val="21"/>
              </w:rPr>
              <w:t> </w:t>
            </w:r>
            <w:r>
              <w:rPr>
                <w:rFonts w:ascii="Times New Roman"/>
                <w:sz w:val="21"/>
              </w:rPr>
              <w:t>LLC</w:t>
            </w:r>
          </w:p>
        </w:tc>
      </w:tr>
      <w:tr>
        <w:trPr>
          <w:trHeight w:val="353"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40" w:lineRule="auto" w:before="34"/>
              <w:ind w:left="219" w:right="0"/>
              <w:jc w:val="left"/>
              <w:rPr>
                <w:rFonts w:ascii="Times New Roman" w:hAnsi="Times New Roman" w:cs="Times New Roman" w:eastAsia="Times New Roman" w:hint="default"/>
                <w:sz w:val="21"/>
                <w:szCs w:val="21"/>
              </w:rPr>
            </w:pPr>
            <w:r>
              <w:rPr>
                <w:rFonts w:ascii="Times New Roman"/>
                <w:sz w:val="21"/>
              </w:rPr>
              <w:t>Cayman Kunlun</w:t>
            </w:r>
            <w:r>
              <w:rPr>
                <w:rFonts w:ascii="Times New Roman"/>
                <w:spacing w:val="-5"/>
                <w:sz w:val="21"/>
              </w:rPr>
              <w:t> </w:t>
            </w:r>
            <w:r>
              <w:rPr>
                <w:rFonts w:ascii="Times New Roman"/>
                <w:sz w:val="21"/>
              </w:rPr>
              <w:t>Group</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9" w:right="0"/>
              <w:jc w:val="left"/>
              <w:rPr>
                <w:rFonts w:ascii="宋体" w:hAnsi="宋体" w:cs="宋体" w:eastAsia="宋体" w:hint="default"/>
                <w:sz w:val="21"/>
                <w:szCs w:val="21"/>
              </w:rPr>
            </w:pPr>
            <w:r>
              <w:rPr>
                <w:rFonts w:ascii="宋体" w:hAnsi="宋体" w:cs="宋体" w:eastAsia="宋体" w:hint="default"/>
                <w:sz w:val="21"/>
                <w:szCs w:val="21"/>
              </w:rPr>
              <w:t>霍尔果斯昆诺天勤创业投资有限公司</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9" w:right="0"/>
              <w:jc w:val="left"/>
              <w:rPr>
                <w:rFonts w:ascii="宋体" w:hAnsi="宋体" w:cs="宋体" w:eastAsia="宋体" w:hint="default"/>
                <w:sz w:val="21"/>
                <w:szCs w:val="21"/>
              </w:rPr>
            </w:pPr>
            <w:r>
              <w:rPr>
                <w:rFonts w:ascii="宋体" w:hAnsi="宋体" w:cs="宋体" w:eastAsia="宋体" w:hint="default"/>
                <w:sz w:val="21"/>
                <w:szCs w:val="21"/>
              </w:rPr>
              <w:t>霍尔果斯昆仑点金科技网络有限公司</w:t>
            </w:r>
          </w:p>
        </w:tc>
      </w:tr>
      <w:tr>
        <w:trPr>
          <w:trHeight w:val="353"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9" w:right="0"/>
              <w:jc w:val="left"/>
              <w:rPr>
                <w:rFonts w:ascii="宋体" w:hAnsi="宋体" w:cs="宋体" w:eastAsia="宋体" w:hint="default"/>
                <w:sz w:val="21"/>
                <w:szCs w:val="21"/>
              </w:rPr>
            </w:pPr>
            <w:r>
              <w:rPr>
                <w:rFonts w:ascii="宋体" w:hAnsi="宋体" w:cs="宋体" w:eastAsia="宋体" w:hint="default"/>
                <w:sz w:val="21"/>
                <w:szCs w:val="21"/>
              </w:rPr>
              <w:t>新余市昆仑乐云网络小额贷款有限公司</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9" w:right="0"/>
              <w:jc w:val="left"/>
              <w:rPr>
                <w:rFonts w:ascii="宋体" w:hAnsi="宋体" w:cs="宋体" w:eastAsia="宋体" w:hint="default"/>
                <w:sz w:val="21"/>
                <w:szCs w:val="21"/>
              </w:rPr>
            </w:pPr>
            <w:r>
              <w:rPr>
                <w:rFonts w:ascii="宋体" w:hAnsi="宋体" w:cs="宋体" w:eastAsia="宋体" w:hint="default"/>
                <w:sz w:val="21"/>
                <w:szCs w:val="21"/>
              </w:rPr>
              <w:t>成都杰蛙科技有限公司</w:t>
            </w:r>
          </w:p>
        </w:tc>
      </w:tr>
    </w:tbl>
    <w:p>
      <w:pPr>
        <w:spacing w:line="240" w:lineRule="auto" w:before="1"/>
        <w:rPr>
          <w:rFonts w:ascii="宋体" w:hAnsi="宋体" w:cs="宋体" w:eastAsia="宋体" w:hint="default"/>
          <w:sz w:val="20"/>
          <w:szCs w:val="20"/>
        </w:rPr>
      </w:pPr>
    </w:p>
    <w:p>
      <w:pPr>
        <w:pStyle w:val="BodyText"/>
        <w:spacing w:line="256" w:lineRule="auto" w:before="35"/>
        <w:ind w:left="1848" w:right="998"/>
        <w:jc w:val="left"/>
      </w:pPr>
      <w:r>
        <w:rPr/>
        <w:t>本期合并财务报表范围及其变化情况详见本附注</w:t>
      </w:r>
      <w:r>
        <w:rPr>
          <w:rFonts w:ascii="Times New Roman" w:hAnsi="Times New Roman" w:cs="Times New Roman" w:eastAsia="Times New Roman" w:hint="default"/>
        </w:rPr>
        <w:t>“</w:t>
      </w:r>
      <w:r>
        <w:rPr/>
        <w:t>六、合并范围的变更</w:t>
      </w:r>
      <w:r>
        <w:rPr>
          <w:rFonts w:ascii="Times New Roman" w:hAnsi="Times New Roman" w:cs="Times New Roman" w:eastAsia="Times New Roman" w:hint="default"/>
        </w:rPr>
        <w:t>” </w:t>
      </w:r>
      <w:r>
        <w:rPr/>
        <w:t>和</w:t>
      </w:r>
      <w:r>
        <w:rPr>
          <w:spacing w:val="-42"/>
        </w:rPr>
        <w:t> </w:t>
      </w:r>
      <w:r>
        <w:rPr>
          <w:rFonts w:ascii="Times New Roman" w:hAnsi="Times New Roman" w:cs="Times New Roman" w:eastAsia="Times New Roman" w:hint="default"/>
        </w:rPr>
        <w:t>“</w:t>
      </w:r>
      <w:r>
        <w:rPr/>
        <w:t>七、在其他主体中的 权益</w:t>
      </w:r>
      <w:r>
        <w:rPr>
          <w:rFonts w:ascii="Times New Roman" w:hAnsi="Times New Roman" w:cs="Times New Roman" w:eastAsia="Times New Roman" w:hint="default"/>
        </w:rPr>
        <w:t>”</w:t>
      </w:r>
      <w:r>
        <w:rPr/>
        <w:t>。</w:t>
      </w:r>
    </w:p>
    <w:p>
      <w:pPr>
        <w:spacing w:after="0" w:line="256" w:lineRule="auto"/>
        <w:jc w:val="left"/>
        <w:sectPr>
          <w:pgSz w:w="11910" w:h="16840"/>
          <w:pgMar w:header="877" w:footer="979" w:top="1060" w:bottom="1160" w:left="0" w:right="0"/>
        </w:sectPr>
      </w:pPr>
    </w:p>
    <w:p>
      <w:pPr>
        <w:spacing w:line="240" w:lineRule="auto" w:before="9"/>
        <w:rPr>
          <w:rFonts w:ascii="宋体" w:hAnsi="宋体" w:cs="宋体" w:eastAsia="宋体" w:hint="default"/>
          <w:sz w:val="23"/>
          <w:szCs w:val="23"/>
        </w:rPr>
      </w:pPr>
    </w:p>
    <w:p>
      <w:pPr>
        <w:pStyle w:val="Heading4"/>
        <w:spacing w:line="240" w:lineRule="auto" w:before="26"/>
        <w:ind w:right="998"/>
        <w:jc w:val="left"/>
        <w:rPr>
          <w:b w:val="0"/>
          <w:bCs w:val="0"/>
        </w:rPr>
      </w:pPr>
      <w:bookmarkStart w:name="四、财务报表的编制基础" w:id="179"/>
      <w:bookmarkEnd w:id="179"/>
      <w:r>
        <w:rPr>
          <w:b w:val="0"/>
          <w:bCs w:val="0"/>
        </w:rPr>
      </w:r>
      <w:r>
        <w:rPr/>
        <w:t>四、财务报表的编制基础</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编制基础" w:id="180"/>
      <w:bookmarkEnd w:id="180"/>
      <w:r>
        <w:rPr>
          <w:b w:val="0"/>
          <w:bCs w:val="0"/>
        </w:rPr>
      </w:r>
      <w:r>
        <w:rPr>
          <w:rFonts w:ascii="Times New Roman" w:hAnsi="Times New Roman" w:cs="Times New Roman" w:eastAsia="Times New Roman" w:hint="default"/>
        </w:rPr>
        <w:t>1</w:t>
      </w:r>
      <w:r>
        <w:rPr/>
        <w:t>、编制基础</w:t>
      </w:r>
      <w:r>
        <w:rPr>
          <w:b w:val="0"/>
          <w:bCs w:val="0"/>
        </w:rPr>
      </w:r>
    </w:p>
    <w:p>
      <w:pPr>
        <w:spacing w:line="240" w:lineRule="auto" w:before="8"/>
        <w:rPr>
          <w:rFonts w:ascii="宋体" w:hAnsi="宋体" w:cs="宋体" w:eastAsia="宋体" w:hint="default"/>
          <w:b/>
          <w:bCs/>
          <w:sz w:val="24"/>
          <w:szCs w:val="24"/>
        </w:rPr>
      </w:pPr>
    </w:p>
    <w:p>
      <w:pPr>
        <w:pStyle w:val="BodyText"/>
        <w:spacing w:line="256" w:lineRule="auto"/>
        <w:ind w:right="1128" w:firstLine="420"/>
        <w:jc w:val="left"/>
      </w:pPr>
      <w:r>
        <w:rPr>
          <w:spacing w:val="-1"/>
        </w:rPr>
        <w:t>公司以持续经营为基础，根据实际发生的交易和事项，按照财政部颁布的《企业会计准则</w:t>
      </w:r>
      <w:r>
        <w:rPr>
          <w:rFonts w:ascii="Times New Roman" w:hAnsi="Times New Roman" w:cs="Times New Roman" w:eastAsia="Times New Roman" w:hint="default"/>
          <w:spacing w:val="-1"/>
        </w:rPr>
        <w:t>——</w:t>
      </w:r>
      <w:r>
        <w:rPr>
          <w:spacing w:val="-1"/>
        </w:rPr>
        <w:t>基本准</w:t>
      </w:r>
      <w:r>
        <w:rPr/>
        <w:t> 则》和各项具体会计准则、企业会计准则应用指南、企业会计准则解释及其他相关规定（以下合称</w:t>
      </w:r>
      <w:r>
        <w:rPr>
          <w:rFonts w:ascii="Times New Roman" w:hAnsi="Times New Roman" w:cs="Times New Roman" w:eastAsia="Times New Roman" w:hint="default"/>
        </w:rPr>
        <w:t>“</w:t>
      </w:r>
      <w:r>
        <w:rPr/>
        <w:t>企业 会计准则</w:t>
      </w:r>
      <w:r>
        <w:rPr>
          <w:rFonts w:ascii="Times New Roman" w:hAnsi="Times New Roman" w:cs="Times New Roman" w:eastAsia="Times New Roman" w:hint="default"/>
        </w:rPr>
        <w:t>”</w:t>
      </w:r>
      <w:r>
        <w:rPr/>
        <w:t>），以及中国证券监督管理委员会《公开发行证券的公司信息披露编报规则第</w:t>
      </w:r>
      <w:r>
        <w:rPr>
          <w:rFonts w:ascii="Times New Roman" w:hAnsi="Times New Roman" w:cs="Times New Roman" w:eastAsia="Times New Roman" w:hint="default"/>
        </w:rPr>
        <w:t>15</w:t>
      </w:r>
      <w:r>
        <w:rPr>
          <w:rFonts w:ascii="Times New Roman" w:hAnsi="Times New Roman" w:cs="Times New Roman" w:eastAsia="Times New Roman" w:hint="default"/>
          <w:spacing w:val="29"/>
        </w:rPr>
        <w:t> </w:t>
      </w:r>
      <w:r>
        <w:rPr/>
        <w:t>号</w:t>
      </w:r>
      <w:r>
        <w:rPr>
          <w:rFonts w:ascii="Times New Roman" w:hAnsi="Times New Roman" w:cs="Times New Roman" w:eastAsia="Times New Roman" w:hint="default"/>
        </w:rPr>
        <w:t>——</w:t>
      </w:r>
      <w:r>
        <w:rPr/>
        <w:t>财务报 告的一般规定》的披露规定编制财务报表。</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spacing w:line="511" w:lineRule="auto" w:before="0"/>
        <w:ind w:left="1134" w:right="6552" w:firstLine="0"/>
        <w:jc w:val="left"/>
        <w:rPr>
          <w:rFonts w:ascii="宋体" w:hAnsi="宋体" w:cs="宋体" w:eastAsia="宋体" w:hint="default"/>
          <w:sz w:val="24"/>
          <w:szCs w:val="24"/>
        </w:rPr>
      </w:pPr>
      <w:bookmarkStart w:name="2、持续经营" w:id="181"/>
      <w:bookmarkEnd w:id="181"/>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、持续经营</w:t>
      </w:r>
      <w:r>
        <w:rPr>
          <w:rFonts w:ascii="宋体" w:hAnsi="宋体" w:cs="宋体" w:eastAsia="宋体" w:hint="default"/>
          <w:b/>
          <w:bCs/>
          <w:w w:val="99"/>
          <w:sz w:val="21"/>
          <w:szCs w:val="21"/>
        </w:rPr>
        <w:t> </w:t>
      </w:r>
      <w:r>
        <w:rPr>
          <w:rFonts w:ascii="宋体" w:hAnsi="宋体" w:cs="宋体" w:eastAsia="宋体" w:hint="default"/>
          <w:sz w:val="21"/>
          <w:szCs w:val="21"/>
        </w:rPr>
        <w:t>本期无对持续经营能力产生重大影响的因素。 </w:t>
      </w:r>
      <w:bookmarkStart w:name="五、重要会计政策及会计估计" w:id="182"/>
      <w:bookmarkEnd w:id="182"/>
      <w:r>
        <w:rPr>
          <w:rFonts w:ascii="宋体" w:hAnsi="宋体" w:cs="宋体" w:eastAsia="宋体" w:hint="default"/>
          <w:sz w:val="21"/>
          <w:szCs w:val="21"/>
        </w:rPr>
      </w:r>
      <w:r>
        <w:rPr>
          <w:rFonts w:ascii="宋体" w:hAnsi="宋体" w:cs="宋体" w:eastAsia="宋体" w:hint="default"/>
          <w:b/>
          <w:bCs/>
          <w:sz w:val="24"/>
          <w:szCs w:val="24"/>
        </w:rPr>
        <w:t>五、重要会计政策及会计估计</w:t>
      </w:r>
      <w:r>
        <w:rPr>
          <w:rFonts w:ascii="宋体" w:hAnsi="宋体" w:cs="宋体" w:eastAsia="宋体" w:hint="default"/>
          <w:sz w:val="24"/>
          <w:szCs w:val="24"/>
        </w:rPr>
      </w:r>
    </w:p>
    <w:p>
      <w:pPr>
        <w:spacing w:line="360" w:lineRule="auto" w:before="76"/>
        <w:ind w:left="113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line="357" w:lineRule="auto" w:before="26"/>
        <w:ind w:left="1133" w:right="8093" w:firstLine="0"/>
        <w:jc w:val="left"/>
        <w:rPr>
          <w:rFonts w:ascii="宋体" w:hAnsi="宋体" w:cs="宋体" w:eastAsia="宋体" w:hint="default"/>
          <w:sz w:val="18"/>
          <w:szCs w:val="18"/>
        </w:rPr>
      </w:pPr>
      <w:r>
        <w:rPr>
          <w:rFonts w:ascii="宋体" w:hAnsi="宋体" w:cs="宋体" w:eastAsia="宋体" w:hint="default"/>
          <w:sz w:val="18"/>
          <w:szCs w:val="18"/>
        </w:rPr>
        <w:t>互联网游戏业 具体会计政策和会计估计提示： 无</w:t>
      </w:r>
    </w:p>
    <w:p>
      <w:pPr>
        <w:spacing w:line="612" w:lineRule="exact" w:before="20"/>
        <w:ind w:left="1554" w:right="998" w:hanging="420"/>
        <w:jc w:val="left"/>
        <w:rPr>
          <w:rFonts w:ascii="宋体" w:hAnsi="宋体" w:cs="宋体" w:eastAsia="宋体" w:hint="default"/>
          <w:sz w:val="21"/>
          <w:szCs w:val="21"/>
        </w:rPr>
      </w:pPr>
      <w:bookmarkStart w:name="1、遵循企业会计准则的声明" w:id="183"/>
      <w:bookmarkEnd w:id="183"/>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、遵循企业会计准则的声明</w:t>
      </w:r>
      <w:r>
        <w:rPr>
          <w:rFonts w:ascii="宋体" w:hAnsi="宋体" w:cs="宋体" w:eastAsia="宋体" w:hint="default"/>
          <w:b/>
          <w:bCs/>
          <w:w w:val="99"/>
          <w:sz w:val="21"/>
          <w:szCs w:val="21"/>
        </w:rPr>
        <w:t> </w:t>
      </w:r>
      <w:r>
        <w:rPr>
          <w:rFonts w:ascii="宋体" w:hAnsi="宋体" w:cs="宋体" w:eastAsia="宋体" w:hint="default"/>
          <w:spacing w:val="-1"/>
          <w:sz w:val="21"/>
          <w:szCs w:val="21"/>
        </w:rPr>
        <w:t>公司所编制的财务报表符合企业会计准则的要求，真实、完整地反映了报告期公司的财务状况、经营</w:t>
      </w:r>
    </w:p>
    <w:p>
      <w:pPr>
        <w:pStyle w:val="BodyText"/>
        <w:spacing w:line="219" w:lineRule="exact"/>
        <w:ind w:left="1134" w:right="998"/>
        <w:jc w:val="left"/>
      </w:pPr>
      <w:r>
        <w:rPr/>
        <w:t>成果、现金流量等有关信息。</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spacing w:line="506" w:lineRule="auto" w:before="0"/>
        <w:ind w:left="1134" w:right="6552" w:firstLine="0"/>
        <w:jc w:val="left"/>
        <w:rPr>
          <w:rFonts w:ascii="宋体" w:hAnsi="宋体" w:cs="宋体" w:eastAsia="宋体" w:hint="default"/>
          <w:sz w:val="21"/>
          <w:szCs w:val="21"/>
        </w:rPr>
      </w:pPr>
      <w:bookmarkStart w:name="2、会计期间" w:id="184"/>
      <w:bookmarkEnd w:id="184"/>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、会计期间</w:t>
      </w:r>
      <w:r>
        <w:rPr>
          <w:rFonts w:ascii="宋体" w:hAnsi="宋体" w:cs="宋体" w:eastAsia="宋体" w:hint="default"/>
          <w:b/>
          <w:bCs/>
          <w:w w:val="99"/>
          <w:sz w:val="21"/>
          <w:szCs w:val="21"/>
        </w:rPr>
        <w:t> </w:t>
      </w:r>
      <w:r>
        <w:rPr>
          <w:rFonts w:ascii="宋体" w:hAnsi="宋体" w:cs="宋体" w:eastAsia="宋体" w:hint="default"/>
          <w:sz w:val="21"/>
          <w:szCs w:val="21"/>
        </w:rPr>
        <w:t>自公历</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1</w:t>
      </w:r>
      <w:r>
        <w:rPr>
          <w:rFonts w:ascii="宋体" w:hAnsi="宋体" w:cs="宋体" w:eastAsia="宋体" w:hint="default"/>
          <w:sz w:val="21"/>
          <w:szCs w:val="21"/>
        </w:rPr>
        <w:t>日至</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日止为一个会计年度。</w:t>
      </w:r>
    </w:p>
    <w:p>
      <w:pPr>
        <w:spacing w:line="240" w:lineRule="auto" w:before="10"/>
        <w:rPr>
          <w:rFonts w:ascii="宋体" w:hAnsi="宋体" w:cs="宋体" w:eastAsia="宋体" w:hint="default"/>
          <w:sz w:val="28"/>
          <w:szCs w:val="28"/>
        </w:rPr>
      </w:pPr>
    </w:p>
    <w:p>
      <w:pPr>
        <w:spacing w:line="506" w:lineRule="auto" w:before="0"/>
        <w:ind w:left="1133" w:right="7333" w:firstLine="0"/>
        <w:jc w:val="left"/>
        <w:rPr>
          <w:rFonts w:ascii="宋体" w:hAnsi="宋体" w:cs="宋体" w:eastAsia="宋体" w:hint="default"/>
          <w:sz w:val="21"/>
          <w:szCs w:val="21"/>
        </w:rPr>
      </w:pPr>
      <w:bookmarkStart w:name="3、营业周期" w:id="185"/>
      <w:bookmarkEnd w:id="185"/>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、营业周期</w:t>
      </w:r>
      <w:r>
        <w:rPr>
          <w:rFonts w:ascii="宋体" w:hAnsi="宋体" w:cs="宋体" w:eastAsia="宋体" w:hint="default"/>
          <w:b/>
          <w:bCs/>
          <w:w w:val="99"/>
          <w:sz w:val="21"/>
          <w:szCs w:val="21"/>
        </w:rPr>
        <w:t> </w:t>
      </w:r>
      <w:r>
        <w:rPr>
          <w:rFonts w:ascii="宋体" w:hAnsi="宋体" w:cs="宋体" w:eastAsia="宋体" w:hint="default"/>
          <w:sz w:val="21"/>
          <w:szCs w:val="21"/>
        </w:rPr>
        <w:t>本公司营业周期为</w:t>
      </w:r>
      <w:r>
        <w:rPr>
          <w:rFonts w:ascii="Times New Roman" w:hAnsi="Times New Roman" w:cs="Times New Roman" w:eastAsia="Times New Roman" w:hint="default"/>
          <w:sz w:val="21"/>
          <w:szCs w:val="21"/>
        </w:rPr>
        <w:t>12</w:t>
      </w:r>
      <w:r>
        <w:rPr>
          <w:rFonts w:ascii="宋体" w:hAnsi="宋体" w:cs="宋体" w:eastAsia="宋体" w:hint="default"/>
          <w:sz w:val="21"/>
          <w:szCs w:val="21"/>
        </w:rPr>
        <w:t>个月。</w:t>
      </w: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30"/>
          <w:szCs w:val="30"/>
        </w:rPr>
      </w:pPr>
    </w:p>
    <w:p>
      <w:pPr>
        <w:spacing w:line="506" w:lineRule="auto" w:before="0"/>
        <w:ind w:left="1133" w:right="7603" w:firstLine="0"/>
        <w:jc w:val="left"/>
        <w:rPr>
          <w:rFonts w:ascii="宋体" w:hAnsi="宋体" w:cs="宋体" w:eastAsia="宋体" w:hint="default"/>
          <w:sz w:val="21"/>
          <w:szCs w:val="21"/>
        </w:rPr>
      </w:pPr>
      <w:bookmarkStart w:name="4、记账本位币" w:id="186"/>
      <w:bookmarkEnd w:id="186"/>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、记账本位币</w:t>
      </w:r>
      <w:r>
        <w:rPr>
          <w:rFonts w:ascii="宋体" w:hAnsi="宋体" w:cs="宋体" w:eastAsia="宋体" w:hint="default"/>
          <w:b/>
          <w:bCs/>
          <w:w w:val="99"/>
          <w:sz w:val="21"/>
          <w:szCs w:val="21"/>
        </w:rPr>
        <w:t> </w:t>
      </w:r>
      <w:r>
        <w:rPr>
          <w:rFonts w:ascii="宋体" w:hAnsi="宋体" w:cs="宋体" w:eastAsia="宋体" w:hint="default"/>
          <w:sz w:val="21"/>
          <w:szCs w:val="21"/>
        </w:rPr>
        <w:t>本公司采用人民币为记账本位币。</w:t>
      </w:r>
    </w:p>
    <w:p>
      <w:pPr>
        <w:spacing w:after="0" w:line="506" w:lineRule="auto"/>
        <w:jc w:val="left"/>
        <w:rPr>
          <w:rFonts w:ascii="宋体" w:hAnsi="宋体" w:cs="宋体" w:eastAsia="宋体" w:hint="default"/>
          <w:sz w:val="21"/>
          <w:szCs w:val="21"/>
        </w:rPr>
        <w:sectPr>
          <w:pgSz w:w="11910" w:h="16840"/>
          <w:pgMar w:header="87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0"/>
        <w:jc w:val="both"/>
        <w:rPr>
          <w:b w:val="0"/>
          <w:bCs w:val="0"/>
        </w:rPr>
      </w:pPr>
      <w:bookmarkStart w:name="5、同一控制下和非同一控制下企业合并的会计处理方法" w:id="187"/>
      <w:bookmarkEnd w:id="187"/>
      <w:r>
        <w:rPr>
          <w:b w:val="0"/>
          <w:bCs w:val="0"/>
        </w:rPr>
      </w: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7"/>
        <w:rPr>
          <w:rFonts w:ascii="宋体" w:hAnsi="宋体" w:cs="宋体" w:eastAsia="宋体" w:hint="default"/>
          <w:b/>
          <w:bCs/>
          <w:sz w:val="24"/>
          <w:szCs w:val="24"/>
        </w:rPr>
      </w:pPr>
    </w:p>
    <w:p>
      <w:pPr>
        <w:pStyle w:val="BodyText"/>
        <w:spacing w:line="273" w:lineRule="auto"/>
        <w:ind w:right="1130" w:firstLine="420"/>
        <w:jc w:val="both"/>
      </w:pPr>
      <w:r>
        <w:rPr>
          <w:spacing w:val="-1"/>
        </w:rPr>
        <w:t>同一控制下企业合并：本公司在企业合并中取得的资产和负债，按照合并日被合并方资产、负债（包</w:t>
      </w:r>
      <w:r>
        <w:rPr/>
        <w:t> </w:t>
      </w:r>
      <w:r>
        <w:rPr>
          <w:spacing w:val="-1"/>
        </w:rPr>
        <w:t>括最终控制方收购被合并方而形成的商誉）在最终控制方合并财务报表中的账面价值计量。在合并中取得</w:t>
      </w:r>
      <w:r>
        <w:rPr>
          <w:spacing w:val="-81"/>
        </w:rPr>
        <w:t> </w:t>
      </w:r>
      <w:r>
        <w:rPr>
          <w:spacing w:val="-81"/>
        </w:rPr>
      </w:r>
      <w:r>
        <w:rPr>
          <w:spacing w:val="-1"/>
        </w:rPr>
        <w:t>的净资产账面价值与支付的合并对价账面价值（或发行股份面值总额）的差额，调整资本公积中的股本溢</w:t>
      </w:r>
      <w:r>
        <w:rPr>
          <w:spacing w:val="-83"/>
        </w:rPr>
        <w:t> </w:t>
      </w:r>
      <w:r>
        <w:rPr>
          <w:spacing w:val="-83"/>
        </w:rPr>
      </w:r>
      <w:r>
        <w:rPr/>
        <w:t>价，资本公积中的股本溢价不足冲减的，调整留存收益。</w:t>
      </w:r>
    </w:p>
    <w:p>
      <w:pPr>
        <w:pStyle w:val="BodyText"/>
        <w:spacing w:line="273" w:lineRule="auto" w:before="7"/>
        <w:ind w:left="1134" w:right="1131" w:firstLine="420"/>
        <w:jc w:val="both"/>
      </w:pPr>
      <w:r>
        <w:rPr>
          <w:spacing w:val="-1"/>
        </w:rPr>
        <w:t>非同一控制下企业合并：本公司在购买日对作为企业合并对价付出的资产、发生或承担的负债按照公</w:t>
      </w:r>
      <w:r>
        <w:rPr/>
        <w:t> </w:t>
      </w:r>
      <w:r>
        <w:rPr>
          <w:spacing w:val="-1"/>
        </w:rPr>
        <w:t>允价值计量，公允价值与其账面价值的差额，计入当期损益。本公司对合并成本大于合并中取得的被购买</w:t>
      </w:r>
      <w:r>
        <w:rPr>
          <w:spacing w:val="-83"/>
        </w:rPr>
        <w:t> </w:t>
      </w:r>
      <w:r>
        <w:rPr>
          <w:spacing w:val="-83"/>
        </w:rPr>
      </w:r>
      <w:r>
        <w:rPr>
          <w:spacing w:val="-1"/>
        </w:rPr>
        <w:t>方可辨认净资产公允价值份额的差额，确认为商誉；合并成本小于合并中取得的被购买方可辨认净资产公</w:t>
      </w:r>
      <w:r>
        <w:rPr>
          <w:spacing w:val="-81"/>
        </w:rPr>
        <w:t> </w:t>
      </w:r>
      <w:r>
        <w:rPr>
          <w:spacing w:val="-81"/>
        </w:rPr>
      </w:r>
      <w:r>
        <w:rPr/>
        <w:t>允价值份额的差额，经复核后，计入当期损益。</w:t>
      </w:r>
    </w:p>
    <w:p>
      <w:pPr>
        <w:pStyle w:val="BodyText"/>
        <w:spacing w:line="273" w:lineRule="auto" w:before="7"/>
        <w:ind w:left="1134" w:right="1131" w:firstLine="420"/>
        <w:jc w:val="both"/>
      </w:pPr>
      <w:r>
        <w:rPr>
          <w:spacing w:val="-1"/>
        </w:rPr>
        <w:t>为企业合并发生的审计、法律服务、评估咨询等中介费用以及其他直接相关费用，于发生时计入当期</w:t>
      </w:r>
      <w:r>
        <w:rPr/>
        <w:t> 损益；为企业合并而发行权益性证券的交易费用，冲减权益。</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pStyle w:val="Heading6"/>
        <w:spacing w:line="240" w:lineRule="auto"/>
        <w:ind w:left="1133" w:right="0"/>
        <w:jc w:val="both"/>
        <w:rPr>
          <w:b w:val="0"/>
          <w:bCs w:val="0"/>
        </w:rPr>
      </w:pPr>
      <w:bookmarkStart w:name="6、合并财务报表的编制方法" w:id="188"/>
      <w:bookmarkEnd w:id="188"/>
      <w:r>
        <w:rPr>
          <w:b w:val="0"/>
          <w:bCs w:val="0"/>
        </w:rPr>
      </w:r>
      <w:r>
        <w:rPr>
          <w:rFonts w:ascii="Times New Roman" w:hAnsi="Times New Roman" w:cs="Times New Roman" w:eastAsia="Times New Roman" w:hint="default"/>
        </w:rPr>
        <w:t>6</w:t>
      </w:r>
      <w:r>
        <w:rPr/>
        <w:t>、合并财务报表的编制方法</w:t>
      </w:r>
      <w:r>
        <w:rPr>
          <w:b w:val="0"/>
          <w:bCs w:val="0"/>
        </w:rPr>
      </w:r>
    </w:p>
    <w:p>
      <w:pPr>
        <w:spacing w:line="240" w:lineRule="auto" w:before="7"/>
        <w:rPr>
          <w:rFonts w:ascii="宋体" w:hAnsi="宋体" w:cs="宋体" w:eastAsia="宋体" w:hint="default"/>
          <w:b/>
          <w:bCs/>
          <w:sz w:val="24"/>
          <w:szCs w:val="24"/>
        </w:rPr>
      </w:pPr>
    </w:p>
    <w:p>
      <w:pPr>
        <w:pStyle w:val="BodyText"/>
        <w:spacing w:line="256" w:lineRule="auto"/>
        <w:ind w:left="1553" w:right="998" w:firstLine="2"/>
        <w:jc w:val="left"/>
      </w:pPr>
      <w:r>
        <w:rPr>
          <w:rFonts w:ascii="Times New Roman" w:hAnsi="Times New Roman" w:cs="Times New Roman" w:eastAsia="Times New Roman" w:hint="default"/>
          <w:b/>
          <w:bCs/>
        </w:rPr>
        <w:t>1</w:t>
      </w:r>
      <w:r>
        <w:rPr>
          <w:rFonts w:ascii="宋体" w:hAnsi="宋体" w:cs="宋体" w:eastAsia="宋体" w:hint="default"/>
          <w:b/>
          <w:bCs/>
        </w:rPr>
        <w:t>、合并范围</w:t>
      </w:r>
      <w:r>
        <w:rPr>
          <w:rFonts w:ascii="宋体" w:hAnsi="宋体" w:cs="宋体" w:eastAsia="宋体" w:hint="default"/>
          <w:b/>
          <w:bCs/>
          <w:w w:val="99"/>
        </w:rPr>
        <w:t> </w:t>
      </w:r>
      <w:r>
        <w:rPr>
          <w:spacing w:val="-1"/>
        </w:rPr>
        <w:t>本公司合并财务报表的合并范围以控制为基础确定，所有子公司（包括本公司所控制的被投资方可分</w:t>
      </w:r>
    </w:p>
    <w:p>
      <w:pPr>
        <w:pStyle w:val="BodyText"/>
        <w:spacing w:line="240" w:lineRule="auto" w:before="22"/>
        <w:ind w:right="0"/>
        <w:jc w:val="both"/>
      </w:pPr>
      <w:r>
        <w:rPr/>
        <w:t>割的部分）均纳入合并财务报表。</w:t>
      </w:r>
    </w:p>
    <w:p>
      <w:pPr>
        <w:pStyle w:val="BodyText"/>
        <w:spacing w:line="256" w:lineRule="auto" w:before="37"/>
        <w:ind w:left="1553" w:right="998" w:firstLine="2"/>
        <w:jc w:val="left"/>
      </w:pPr>
      <w:r>
        <w:rPr>
          <w:rFonts w:ascii="Times New Roman" w:hAnsi="Times New Roman" w:cs="Times New Roman" w:eastAsia="Times New Roman" w:hint="default"/>
          <w:b/>
          <w:bCs/>
        </w:rPr>
        <w:t>2</w:t>
      </w:r>
      <w:r>
        <w:rPr>
          <w:rFonts w:ascii="宋体" w:hAnsi="宋体" w:cs="宋体" w:eastAsia="宋体" w:hint="default"/>
          <w:b/>
          <w:bCs/>
        </w:rPr>
        <w:t>、合并程序</w:t>
      </w:r>
      <w:r>
        <w:rPr>
          <w:rFonts w:ascii="宋体" w:hAnsi="宋体" w:cs="宋体" w:eastAsia="宋体" w:hint="default"/>
          <w:b/>
          <w:bCs/>
          <w:w w:val="99"/>
        </w:rPr>
        <w:t> </w:t>
      </w:r>
      <w:r>
        <w:rPr>
          <w:spacing w:val="-1"/>
        </w:rPr>
        <w:t>本公司以自身和各子公司的财务报表为基础，根据其他有关资料，编制合并财务报表。本公司编制合</w:t>
      </w:r>
    </w:p>
    <w:p>
      <w:pPr>
        <w:pStyle w:val="BodyText"/>
        <w:spacing w:line="273" w:lineRule="auto" w:before="22"/>
        <w:ind w:right="1133"/>
        <w:jc w:val="both"/>
      </w:pPr>
      <w:r>
        <w:rPr>
          <w:spacing w:val="-1"/>
        </w:rPr>
        <w:t>并财务报表，将整个企业集团视为一个会计主体，依据相关企业会计准则的确认、计量和列报要求，按照</w:t>
      </w:r>
      <w:r>
        <w:rPr>
          <w:spacing w:val="-86"/>
        </w:rPr>
        <w:t> </w:t>
      </w:r>
      <w:r>
        <w:rPr>
          <w:spacing w:val="-86"/>
        </w:rPr>
      </w:r>
      <w:r>
        <w:rPr/>
        <w:t>统一的会计政策，反映本企业集团整体财务状况、经营成果和现金流量。</w:t>
      </w:r>
    </w:p>
    <w:p>
      <w:pPr>
        <w:pStyle w:val="BodyText"/>
        <w:spacing w:line="273" w:lineRule="auto" w:before="7"/>
        <w:ind w:right="1130" w:firstLine="420"/>
        <w:jc w:val="both"/>
      </w:pPr>
      <w:r>
        <w:rPr>
          <w:spacing w:val="-1"/>
        </w:rPr>
        <w:t>所有纳入合并财务报表合并范围的子公司所采用的会计政策、会计期间与本公司一致，如子公司采用</w:t>
      </w:r>
      <w:r>
        <w:rPr/>
        <w:t> </w:t>
      </w:r>
      <w:r>
        <w:rPr>
          <w:spacing w:val="-1"/>
        </w:rPr>
        <w:t>的会计政策、会计期间与本公司不一致的，在编制合并财务报表时，按本公司的会计政策、会计期间进行</w:t>
      </w:r>
      <w:r>
        <w:rPr>
          <w:spacing w:val="-86"/>
        </w:rPr>
        <w:t> </w:t>
      </w:r>
      <w:r>
        <w:rPr>
          <w:spacing w:val="-86"/>
        </w:rPr>
      </w:r>
      <w:r>
        <w:rPr>
          <w:spacing w:val="-1"/>
        </w:rPr>
        <w:t>必要的调整。对于非同一控制下企业合并取得的子公司，以购买日可辨认净资产公允价值为基础对其财务</w:t>
      </w:r>
      <w:r>
        <w:rPr>
          <w:spacing w:val="-81"/>
        </w:rPr>
        <w:t> </w:t>
      </w:r>
      <w:r>
        <w:rPr>
          <w:spacing w:val="-81"/>
        </w:rPr>
      </w:r>
      <w:r>
        <w:rPr>
          <w:spacing w:val="-1"/>
        </w:rPr>
        <w:t>报表进行调整。对于同一控制下企业合并取得的子公司，以其资产、负债（包括最终控制方收购该子公司</w:t>
      </w:r>
      <w:r>
        <w:rPr>
          <w:spacing w:val="-86"/>
        </w:rPr>
        <w:t> </w:t>
      </w:r>
      <w:r>
        <w:rPr>
          <w:spacing w:val="-86"/>
        </w:rPr>
      </w:r>
      <w:r>
        <w:rPr/>
        <w:t>而形成的商誉）在最终控制方财务报表中的账面价值为基础对其财务报表进行调整。</w:t>
      </w:r>
    </w:p>
    <w:p>
      <w:pPr>
        <w:pStyle w:val="BodyText"/>
        <w:spacing w:line="273" w:lineRule="auto" w:before="7"/>
        <w:ind w:right="1131" w:firstLine="420"/>
        <w:jc w:val="both"/>
      </w:pPr>
      <w:r>
        <w:rPr>
          <w:spacing w:val="-1"/>
        </w:rPr>
        <w:t>子公司所有者权益、当期净损益和当期综合收益中属于少数股东的份额分别在合并资产负债表中所有</w:t>
      </w:r>
      <w:r>
        <w:rPr/>
        <w:t> </w:t>
      </w:r>
      <w:r>
        <w:rPr>
          <w:spacing w:val="-1"/>
        </w:rPr>
        <w:t>者权益项目下、合并利润表中净利润项目下和综合收益总额项目下单独列示。子公司少数股东分担的当期</w:t>
      </w:r>
      <w:r>
        <w:rPr>
          <w:spacing w:val="-81"/>
        </w:rPr>
        <w:t> </w:t>
      </w:r>
      <w:r>
        <w:rPr>
          <w:spacing w:val="-81"/>
        </w:rPr>
      </w:r>
      <w:r>
        <w:rPr/>
        <w:t>亏损超过了少数股东在该子公司期初所有者权益中所享有份额而形成的余额，冲减少数股东权益。</w:t>
      </w:r>
    </w:p>
    <w:p>
      <w:pPr>
        <w:pStyle w:val="BodyText"/>
        <w:spacing w:line="256" w:lineRule="auto" w:before="7"/>
        <w:ind w:left="1553" w:right="998"/>
        <w:jc w:val="left"/>
      </w:pPr>
      <w:r>
        <w:rPr/>
        <w:t>（</w:t>
      </w:r>
      <w:r>
        <w:rPr>
          <w:rFonts w:ascii="Times New Roman" w:hAnsi="Times New Roman" w:cs="Times New Roman" w:eastAsia="Times New Roman" w:hint="default"/>
        </w:rPr>
        <w:t>1</w:t>
      </w:r>
      <w:r>
        <w:rPr/>
        <w:t>）增加子公司或业务 </w:t>
      </w:r>
      <w:r>
        <w:rPr>
          <w:spacing w:val="-1"/>
        </w:rPr>
        <w:t>在报告期内，若因同一控制下企业合并增加子公司或业务的，则调整合并资产负债表的期初数；将子</w:t>
      </w:r>
    </w:p>
    <w:p>
      <w:pPr>
        <w:pStyle w:val="BodyText"/>
        <w:spacing w:line="273" w:lineRule="auto" w:before="22"/>
        <w:ind w:right="1131"/>
        <w:jc w:val="both"/>
      </w:pPr>
      <w:r>
        <w:rPr>
          <w:spacing w:val="-1"/>
        </w:rPr>
        <w:t>公司或业务合并当期期初至报告期末的收入、费用、利润纳入合并利润表；将子公司或业务合并当期期初</w:t>
      </w:r>
      <w:r>
        <w:rPr>
          <w:spacing w:val="-83"/>
        </w:rPr>
        <w:t> </w:t>
      </w:r>
      <w:r>
        <w:rPr>
          <w:spacing w:val="-83"/>
        </w:rPr>
      </w:r>
      <w:r>
        <w:rPr>
          <w:spacing w:val="-1"/>
        </w:rPr>
        <w:t>至报告期末的现金流量纳入合并现金流量表，同时对比较报表的相关项目进行调整，视同合并后的报告主</w:t>
      </w:r>
      <w:r>
        <w:rPr>
          <w:spacing w:val="-81"/>
        </w:rPr>
        <w:t> </w:t>
      </w:r>
      <w:r>
        <w:rPr>
          <w:spacing w:val="-81"/>
        </w:rPr>
      </w:r>
      <w:r>
        <w:rPr/>
        <w:t>体自最终控制方开始控制时点起一直存在。</w:t>
      </w:r>
    </w:p>
    <w:p>
      <w:pPr>
        <w:pStyle w:val="BodyText"/>
        <w:spacing w:line="273" w:lineRule="auto" w:before="7"/>
        <w:ind w:left="1134" w:right="1131" w:firstLine="420"/>
        <w:jc w:val="both"/>
      </w:pPr>
      <w:r>
        <w:rPr>
          <w:spacing w:val="-1"/>
        </w:rPr>
        <w:t>因追加投资等原因能够对同一控制下的被投资方实施控制的，视同参与合并的各方在最终控制方开始</w:t>
      </w:r>
      <w:r>
        <w:rPr/>
        <w:t> </w:t>
      </w:r>
      <w:r>
        <w:rPr>
          <w:spacing w:val="-1"/>
        </w:rPr>
        <w:t>控制时即以目前的状态存在进行调整。在取得被合并方控制权之前持有的股权投资，在取得原股权之日与</w:t>
      </w:r>
      <w:r>
        <w:rPr>
          <w:spacing w:val="-81"/>
        </w:rPr>
        <w:t> </w:t>
      </w:r>
      <w:r>
        <w:rPr>
          <w:spacing w:val="-81"/>
        </w:rPr>
      </w:r>
      <w:r>
        <w:rPr>
          <w:spacing w:val="-1"/>
        </w:rPr>
        <w:t>合并方和被合并方同处于同一控制之日孰晚日起至合并日之间已确认有关损益、其他综合收益以及其他净</w:t>
      </w:r>
      <w:r>
        <w:rPr>
          <w:spacing w:val="-81"/>
        </w:rPr>
        <w:t> </w:t>
      </w:r>
      <w:r>
        <w:rPr>
          <w:spacing w:val="-81"/>
        </w:rPr>
      </w:r>
      <w:r>
        <w:rPr/>
        <w:t>资产变动，分别冲减比较报表期间的期初留存收益或当期损益。</w:t>
      </w:r>
    </w:p>
    <w:p>
      <w:pPr>
        <w:pStyle w:val="BodyText"/>
        <w:spacing w:line="273" w:lineRule="auto" w:before="8"/>
        <w:ind w:right="1131" w:firstLine="420"/>
        <w:jc w:val="both"/>
      </w:pPr>
      <w:r>
        <w:rPr>
          <w:spacing w:val="-1"/>
        </w:rPr>
        <w:t>在报告期内，若因非同一控制下企业合并增加子公司或业务的，则不调整合并资产负债表期初数；将</w:t>
      </w:r>
      <w:r>
        <w:rPr/>
        <w:t> </w:t>
      </w:r>
      <w:r>
        <w:rPr>
          <w:spacing w:val="-1"/>
        </w:rPr>
        <w:t>该子公司或业务自购买日至报告期末的收入、费用、利润纳入合并利润表；该子公司或业务自购买日至报</w:t>
      </w:r>
      <w:r>
        <w:rPr>
          <w:spacing w:val="-83"/>
        </w:rPr>
        <w:t> </w:t>
      </w:r>
      <w:r>
        <w:rPr>
          <w:spacing w:val="-83"/>
        </w:rPr>
      </w:r>
      <w:r>
        <w:rPr/>
        <w:t>告期末的现金流量纳入合并现金流量表。</w:t>
      </w:r>
    </w:p>
    <w:p>
      <w:pPr>
        <w:pStyle w:val="BodyText"/>
        <w:spacing w:line="240" w:lineRule="auto" w:before="7"/>
        <w:ind w:left="1553" w:right="998"/>
        <w:jc w:val="left"/>
      </w:pPr>
      <w:r>
        <w:rPr/>
        <w:t>因追加投资等原因能够对非同一控制下的被投资方实施控制的，对于购买日之前持有的被购买方的股</w:t>
      </w:r>
    </w:p>
    <w:p>
      <w:pPr>
        <w:spacing w:after="0" w:line="240" w:lineRule="auto"/>
        <w:jc w:val="left"/>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BodyText"/>
        <w:spacing w:line="273" w:lineRule="auto" w:before="35"/>
        <w:ind w:right="1131"/>
        <w:jc w:val="both"/>
      </w:pPr>
      <w:r>
        <w:rPr>
          <w:spacing w:val="-1"/>
        </w:rPr>
        <w:t>权，本公司按照该股权在购买日的公允价值进行重新计量，公允价值与其账面价值的差额计入当期投资收</w:t>
      </w:r>
      <w:r>
        <w:rPr>
          <w:spacing w:val="-81"/>
        </w:rPr>
        <w:t> </w:t>
      </w:r>
      <w:r>
        <w:rPr>
          <w:spacing w:val="-81"/>
        </w:rPr>
      </w:r>
      <w:r>
        <w:rPr>
          <w:spacing w:val="-1"/>
        </w:rPr>
        <w:t>益。购买日之前持有的被购买方的股权涉及权益法核算下的其他综合收益以及除净损益、其他综合收益和</w:t>
      </w:r>
      <w:r>
        <w:rPr>
          <w:spacing w:val="-81"/>
        </w:rPr>
        <w:t> </w:t>
      </w:r>
      <w:r>
        <w:rPr>
          <w:spacing w:val="-81"/>
        </w:rPr>
      </w:r>
      <w:r>
        <w:rPr>
          <w:spacing w:val="-1"/>
        </w:rPr>
        <w:t>利润分配之外的其他所有者权益变动的，与其相关的其他综合收益、其他所有者权益变动转为购买日所属</w:t>
      </w:r>
      <w:r>
        <w:rPr>
          <w:spacing w:val="-81"/>
        </w:rPr>
        <w:t> </w:t>
      </w:r>
      <w:r>
        <w:rPr>
          <w:spacing w:val="-81"/>
        </w:rPr>
      </w:r>
      <w:r>
        <w:rPr/>
        <w:t>当期投资收益，由于被投资方重新计量设定受益计划净负债或净资产变动而产生的其他综合收益除外。</w:t>
      </w:r>
    </w:p>
    <w:p>
      <w:pPr>
        <w:pStyle w:val="BodyText"/>
        <w:spacing w:line="240" w:lineRule="auto" w:before="8"/>
        <w:ind w:left="1553" w:right="998"/>
        <w:jc w:val="left"/>
      </w:pPr>
      <w:r>
        <w:rPr/>
        <w:t>（</w:t>
      </w:r>
      <w:r>
        <w:rPr>
          <w:rFonts w:ascii="Times New Roman" w:hAnsi="Times New Roman" w:cs="Times New Roman" w:eastAsia="Times New Roman" w:hint="default"/>
        </w:rPr>
        <w:t>2</w:t>
      </w:r>
      <w:r>
        <w:rPr/>
        <w:t>）处置子公司或业务</w:t>
      </w:r>
    </w:p>
    <w:p>
      <w:pPr>
        <w:pStyle w:val="BodyText"/>
        <w:spacing w:line="273" w:lineRule="auto" w:before="21"/>
        <w:ind w:left="1553" w:right="998"/>
        <w:jc w:val="left"/>
      </w:pPr>
      <w:r>
        <w:rPr/>
        <w:t>①一般处理方法 </w:t>
      </w:r>
      <w:r>
        <w:rPr>
          <w:spacing w:val="-1"/>
        </w:rPr>
        <w:t>在报告期内，本公司处置子公司或业务，则该子公司或业务期初至处置日的收入、费用、利润纳入合</w:t>
      </w:r>
    </w:p>
    <w:p>
      <w:pPr>
        <w:pStyle w:val="BodyText"/>
        <w:spacing w:line="273" w:lineRule="auto" w:before="7"/>
        <w:ind w:left="1553" w:right="998" w:hanging="420"/>
        <w:jc w:val="left"/>
      </w:pPr>
      <w:r>
        <w:rPr/>
        <w:t>并利润表；该子公司或业务期初至处置日的现金流量纳入合并现金流量表。 </w:t>
      </w:r>
      <w:r>
        <w:rPr>
          <w:spacing w:val="-1"/>
        </w:rPr>
        <w:t>因处置部分股权投资或其他原因丧失了对被投资方控制权时，对于处置后的剩余股权投资，本公司按</w:t>
      </w:r>
    </w:p>
    <w:p>
      <w:pPr>
        <w:pStyle w:val="BodyText"/>
        <w:spacing w:line="273" w:lineRule="auto" w:before="7"/>
        <w:ind w:right="1130"/>
        <w:jc w:val="both"/>
      </w:pPr>
      <w:r>
        <w:rPr>
          <w:spacing w:val="-1"/>
        </w:rPr>
        <w:t>照其在丧失控制权日的公允价值进行重新计量。处置股权取得的对价与剩余股权公允价值之和，减去按原</w:t>
      </w:r>
      <w:r>
        <w:rPr>
          <w:spacing w:val="-81"/>
        </w:rPr>
        <w:t> </w:t>
      </w:r>
      <w:r>
        <w:rPr>
          <w:spacing w:val="-81"/>
        </w:rPr>
      </w:r>
      <w:r>
        <w:rPr>
          <w:spacing w:val="-1"/>
        </w:rPr>
        <w:t>持股比例计算应享有原有子公司自购买日或合并日开始持续计算的净资产的份额与商誉之和的差额，计入</w:t>
      </w:r>
      <w:r>
        <w:rPr>
          <w:spacing w:val="-81"/>
        </w:rPr>
        <w:t> </w:t>
      </w:r>
      <w:r>
        <w:rPr>
          <w:spacing w:val="-81"/>
        </w:rPr>
      </w:r>
      <w:r>
        <w:rPr>
          <w:spacing w:val="-1"/>
        </w:rPr>
        <w:t>丧失控制权当期的投资收益。与原有子公司股权投资相关的其他综合收益或除净损益、其他综合收益及利</w:t>
      </w:r>
      <w:r>
        <w:rPr>
          <w:spacing w:val="-80"/>
        </w:rPr>
        <w:t> </w:t>
      </w:r>
      <w:r>
        <w:rPr>
          <w:spacing w:val="-80"/>
        </w:rPr>
      </w:r>
      <w:r>
        <w:rPr>
          <w:spacing w:val="-1"/>
        </w:rPr>
        <w:t>润分配之外的其他所有者权益变动，在丧失控制权时转为当期投资收益，由于被投资方重新计量设定受益</w:t>
      </w:r>
      <w:r>
        <w:rPr>
          <w:spacing w:val="-81"/>
        </w:rPr>
        <w:t> </w:t>
      </w:r>
      <w:r>
        <w:rPr>
          <w:spacing w:val="-81"/>
        </w:rPr>
      </w:r>
      <w:r>
        <w:rPr/>
        <w:t>计划净负债或净资产变动而产生的其他综合收益除外。</w:t>
      </w:r>
    </w:p>
    <w:p>
      <w:pPr>
        <w:pStyle w:val="BodyText"/>
        <w:spacing w:line="273" w:lineRule="auto" w:before="7"/>
        <w:ind w:left="1134" w:right="1132" w:firstLine="420"/>
        <w:jc w:val="both"/>
      </w:pPr>
      <w:r>
        <w:rPr>
          <w:spacing w:val="-1"/>
        </w:rPr>
        <w:t>因其他投资方对子公司增资而导致本公司持股比例下降从而丧失控制权的，按照上述原则进行会计处</w:t>
      </w:r>
      <w:r>
        <w:rPr/>
        <w:t> 理。</w:t>
      </w:r>
    </w:p>
    <w:p>
      <w:pPr>
        <w:pStyle w:val="BodyText"/>
        <w:spacing w:line="273" w:lineRule="auto" w:before="7"/>
        <w:ind w:left="1554" w:right="998"/>
        <w:jc w:val="left"/>
      </w:pPr>
      <w:r>
        <w:rPr/>
        <w:t>②分步处置子公司 </w:t>
      </w:r>
      <w:r>
        <w:rPr>
          <w:spacing w:val="-1"/>
        </w:rPr>
        <w:t>通过多次交易分步处置对子公司股权投资直至丧失控制权的，处置对子公司股权投资的各项交易的条</w:t>
      </w:r>
    </w:p>
    <w:p>
      <w:pPr>
        <w:pStyle w:val="BodyText"/>
        <w:spacing w:line="273" w:lineRule="auto" w:before="7"/>
        <w:ind w:left="1134" w:right="1131"/>
        <w:jc w:val="both"/>
      </w:pPr>
      <w:r>
        <w:rPr>
          <w:spacing w:val="-1"/>
        </w:rPr>
        <w:t>款、条件以及经济影响符合以下一种或多种情况，通常表明应将多次交易事项作为一揽子交易进行会计处</w:t>
      </w:r>
      <w:r>
        <w:rPr>
          <w:spacing w:val="-81"/>
        </w:rPr>
        <w:t> </w:t>
      </w:r>
      <w:r>
        <w:rPr>
          <w:spacing w:val="-81"/>
        </w:rPr>
      </w:r>
      <w:r>
        <w:rPr/>
        <w:t>理：</w:t>
      </w:r>
    </w:p>
    <w:p>
      <w:pPr>
        <w:pStyle w:val="BodyText"/>
        <w:spacing w:line="273" w:lineRule="auto" w:before="7"/>
        <w:ind w:left="1553" w:right="998"/>
        <w:jc w:val="left"/>
      </w:pPr>
      <w:r>
        <w:rPr/>
        <w:t>ⅰ．这些交易是同时或者在考虑了彼此影响的情况下订立的； ⅱ．这些交易整体才能达成一项完整的商业结果； ⅲ．一项交易的发生取决于其他至少一项交易的发生； ⅳ．一项交易单独看是不经济的，但是和其他交易一并考虑时是经济的。 </w:t>
      </w:r>
      <w:r>
        <w:rPr>
          <w:spacing w:val="-1"/>
        </w:rPr>
        <w:t>处置对子公司股权投资直至丧失控制权的各项交易属于一揽子交易的，本公司将各项交易作为一项处</w:t>
      </w:r>
    </w:p>
    <w:p>
      <w:pPr>
        <w:pStyle w:val="BodyText"/>
        <w:spacing w:line="273" w:lineRule="auto" w:before="7"/>
        <w:ind w:right="1131"/>
        <w:jc w:val="both"/>
      </w:pPr>
      <w:r>
        <w:rPr>
          <w:spacing w:val="-1"/>
        </w:rPr>
        <w:t>置子公司并丧失控制权的交易进行会计处理；但是，在丧失控制权之前每一次处置价款与处置投资对应的</w:t>
      </w:r>
      <w:r>
        <w:rPr>
          <w:spacing w:val="-81"/>
        </w:rPr>
        <w:t> </w:t>
      </w:r>
      <w:r>
        <w:rPr>
          <w:spacing w:val="-81"/>
        </w:rPr>
      </w:r>
      <w:r>
        <w:rPr>
          <w:spacing w:val="-1"/>
        </w:rPr>
        <w:t>享有该子公司净资产份额的差额，在合并财务报表中确认为其他综合收益，在丧失控制权时一并转入丧失</w:t>
      </w:r>
      <w:r>
        <w:rPr>
          <w:spacing w:val="-81"/>
        </w:rPr>
        <w:t> </w:t>
      </w:r>
      <w:r>
        <w:rPr>
          <w:spacing w:val="-81"/>
        </w:rPr>
      </w:r>
      <w:r>
        <w:rPr/>
        <w:t>控制权当期的损益。</w:t>
      </w:r>
    </w:p>
    <w:p>
      <w:pPr>
        <w:pStyle w:val="BodyText"/>
        <w:spacing w:line="273" w:lineRule="auto" w:before="7"/>
        <w:ind w:right="1130" w:firstLine="420"/>
        <w:jc w:val="both"/>
      </w:pPr>
      <w:r>
        <w:rPr>
          <w:spacing w:val="-1"/>
        </w:rPr>
        <w:t>处置对子公司股权投资直至丧失控制权的各项交易不属于一揽子交易的，在丧失控制权之前，按不丧</w:t>
      </w:r>
      <w:r>
        <w:rPr/>
        <w:t> </w:t>
      </w:r>
      <w:r>
        <w:rPr>
          <w:spacing w:val="-1"/>
        </w:rPr>
        <w:t>失控制权的情况下部分处置对子公司的股权投资的相关政策进行会计处理；在丧失控制权时，按处置子公</w:t>
      </w:r>
      <w:r>
        <w:rPr>
          <w:spacing w:val="-81"/>
        </w:rPr>
        <w:t> </w:t>
      </w:r>
      <w:r>
        <w:rPr>
          <w:spacing w:val="-81"/>
        </w:rPr>
      </w:r>
      <w:r>
        <w:rPr/>
        <w:t>司一般处理方法进行会计处理。</w:t>
      </w:r>
    </w:p>
    <w:p>
      <w:pPr>
        <w:pStyle w:val="BodyText"/>
        <w:spacing w:line="256" w:lineRule="auto" w:before="7"/>
        <w:ind w:left="1553" w:right="998"/>
        <w:jc w:val="left"/>
      </w:pPr>
      <w:r>
        <w:rPr/>
        <w:t>（</w:t>
      </w:r>
      <w:r>
        <w:rPr>
          <w:rFonts w:ascii="Times New Roman" w:hAnsi="Times New Roman" w:cs="Times New Roman" w:eastAsia="Times New Roman" w:hint="default"/>
        </w:rPr>
        <w:t>3</w:t>
      </w:r>
      <w:r>
        <w:rPr/>
        <w:t>）购买子公司少数股权 </w:t>
      </w:r>
      <w:r>
        <w:rPr>
          <w:spacing w:val="-1"/>
        </w:rPr>
        <w:t>本公司因购买少数股权新取得的长期股权投资与按照新增持股比例计算应享有子公司自购买日（或合</w:t>
      </w:r>
    </w:p>
    <w:p>
      <w:pPr>
        <w:pStyle w:val="BodyText"/>
        <w:spacing w:line="273" w:lineRule="auto" w:before="22"/>
        <w:ind w:right="1131"/>
        <w:jc w:val="both"/>
      </w:pPr>
      <w:r>
        <w:rPr>
          <w:spacing w:val="-1"/>
        </w:rPr>
        <w:t>并日）开始持续计算的净资产份额之间的差额，调整合并资产负债表中的资本公积中的股本溢价，资本公</w:t>
      </w:r>
      <w:r>
        <w:rPr>
          <w:spacing w:val="-83"/>
        </w:rPr>
        <w:t> </w:t>
      </w:r>
      <w:r>
        <w:rPr>
          <w:spacing w:val="-83"/>
        </w:rPr>
      </w:r>
      <w:r>
        <w:rPr/>
        <w:t>积中的股本溢价不足冲减的，调整留存收益。</w:t>
      </w:r>
    </w:p>
    <w:p>
      <w:pPr>
        <w:pStyle w:val="BodyText"/>
        <w:spacing w:line="256" w:lineRule="auto" w:before="7"/>
        <w:ind w:left="1553" w:right="998"/>
        <w:jc w:val="left"/>
      </w:pPr>
      <w:r>
        <w:rPr/>
        <w:t>（</w:t>
      </w:r>
      <w:r>
        <w:rPr>
          <w:rFonts w:ascii="Times New Roman" w:hAnsi="Times New Roman" w:cs="Times New Roman" w:eastAsia="Times New Roman" w:hint="default"/>
        </w:rPr>
        <w:t>4</w:t>
      </w:r>
      <w:r>
        <w:rPr/>
        <w:t>）不丧失控制权的情况下部分处置对子公司的股权投资 </w:t>
      </w:r>
      <w:r>
        <w:rPr>
          <w:spacing w:val="3"/>
        </w:rPr>
        <w:t>在不丧失控制权的情况下因部分处置对子公司的长期股权投资而取得的处置价款与处置长期股权投</w:t>
      </w:r>
    </w:p>
    <w:p>
      <w:pPr>
        <w:pStyle w:val="BodyText"/>
        <w:spacing w:line="273" w:lineRule="auto" w:before="22"/>
        <w:ind w:right="1132"/>
        <w:jc w:val="both"/>
      </w:pPr>
      <w:r>
        <w:rPr>
          <w:spacing w:val="-1"/>
        </w:rPr>
        <w:t>资相对应享有子公司自购买日或合并日开始持续计算的净资产份额之间的差额，调整合并资产负债表中的</w:t>
      </w:r>
      <w:r>
        <w:rPr>
          <w:spacing w:val="-81"/>
        </w:rPr>
        <w:t> </w:t>
      </w:r>
      <w:r>
        <w:rPr>
          <w:spacing w:val="-81"/>
        </w:rPr>
      </w:r>
      <w:r>
        <w:rPr/>
        <w:t>资本公积中的股本溢价，资本公积中的股本溢价不足冲减的，调整留存收益。</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spacing w:line="506" w:lineRule="auto" w:before="0"/>
        <w:ind w:left="1553" w:right="6853" w:hanging="420"/>
        <w:jc w:val="left"/>
        <w:rPr>
          <w:rFonts w:ascii="宋体" w:hAnsi="宋体" w:cs="宋体" w:eastAsia="宋体" w:hint="default"/>
          <w:sz w:val="21"/>
          <w:szCs w:val="21"/>
        </w:rPr>
      </w:pPr>
      <w:bookmarkStart w:name="7、合营安排分类及共同经营会计处理方法" w:id="189"/>
      <w:bookmarkEnd w:id="189"/>
      <w:r>
        <w:rPr/>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、合营安排分类及共同经营会计处理方法</w:t>
      </w:r>
      <w:r>
        <w:rPr>
          <w:rFonts w:ascii="宋体" w:hAnsi="宋体" w:cs="宋体" w:eastAsia="宋体" w:hint="default"/>
          <w:b/>
          <w:bCs/>
          <w:w w:val="99"/>
          <w:sz w:val="21"/>
          <w:szCs w:val="21"/>
        </w:rPr>
        <w:t> </w:t>
      </w:r>
      <w:r>
        <w:rPr>
          <w:rFonts w:ascii="宋体" w:hAnsi="宋体" w:cs="宋体" w:eastAsia="宋体" w:hint="default"/>
          <w:sz w:val="21"/>
          <w:szCs w:val="21"/>
        </w:rPr>
        <w:t>合营安排分为共同经营和合营企业。</w:t>
      </w:r>
    </w:p>
    <w:p>
      <w:pPr>
        <w:spacing w:after="0" w:line="506" w:lineRule="auto"/>
        <w:jc w:val="left"/>
        <w:rPr>
          <w:rFonts w:ascii="宋体" w:hAnsi="宋体" w:cs="宋体" w:eastAsia="宋体" w:hint="default"/>
          <w:sz w:val="21"/>
          <w:szCs w:val="21"/>
        </w:rPr>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BodyText"/>
        <w:spacing w:line="273" w:lineRule="auto" w:before="35"/>
        <w:ind w:left="1553" w:right="1093"/>
        <w:jc w:val="left"/>
      </w:pPr>
      <w:r>
        <w:rPr/>
        <w:t>当本公司是合营安排的合营方，享有该安排相关资产且承担该安排相关负债时，为共同经营。 本公司确认与共同经营中利益份额相关的下列项目，并按照相关企业会计准则的规定进行会计处理：</w:t>
      </w:r>
    </w:p>
    <w:p>
      <w:pPr>
        <w:pStyle w:val="BodyText"/>
        <w:spacing w:line="240" w:lineRule="auto" w:before="7"/>
        <w:ind w:left="1553" w:right="998"/>
        <w:jc w:val="left"/>
      </w:pPr>
      <w:r>
        <w:rPr/>
        <w:t>（</w:t>
      </w:r>
      <w:r>
        <w:rPr>
          <w:rFonts w:ascii="Times New Roman" w:hAnsi="Times New Roman" w:cs="Times New Roman" w:eastAsia="Times New Roman" w:hint="default"/>
        </w:rPr>
        <w:t>1</w:t>
      </w:r>
      <w:r>
        <w:rPr/>
        <w:t>）确认本公司单独所持有的资产，以及按本公司份额确认共同持有的资产；</w:t>
      </w:r>
    </w:p>
    <w:p>
      <w:pPr>
        <w:pStyle w:val="BodyText"/>
        <w:spacing w:line="240" w:lineRule="auto" w:before="21"/>
        <w:ind w:left="1553" w:right="998"/>
        <w:jc w:val="left"/>
      </w:pPr>
      <w:r>
        <w:rPr/>
        <w:t>（</w:t>
      </w:r>
      <w:r>
        <w:rPr>
          <w:rFonts w:ascii="Times New Roman" w:hAnsi="Times New Roman" w:cs="Times New Roman" w:eastAsia="Times New Roman" w:hint="default"/>
        </w:rPr>
        <w:t>2</w:t>
      </w:r>
      <w:r>
        <w:rPr/>
        <w:t>）确认本公司单独所承担的负债，以及按本公司份额确认共同承担的负债；</w:t>
      </w:r>
    </w:p>
    <w:p>
      <w:pPr>
        <w:pStyle w:val="BodyText"/>
        <w:spacing w:line="240" w:lineRule="auto" w:before="21"/>
        <w:ind w:left="1554" w:right="998"/>
        <w:jc w:val="left"/>
      </w:pPr>
      <w:r>
        <w:rPr/>
        <w:t>（</w:t>
      </w:r>
      <w:r>
        <w:rPr>
          <w:rFonts w:ascii="Times New Roman" w:hAnsi="Times New Roman" w:cs="Times New Roman" w:eastAsia="Times New Roman" w:hint="default"/>
        </w:rPr>
        <w:t>3</w:t>
      </w:r>
      <w:r>
        <w:rPr/>
        <w:t>）确认出售本公司享有的共同经营产出份额所产生的收入；</w:t>
      </w:r>
    </w:p>
    <w:p>
      <w:pPr>
        <w:pStyle w:val="BodyText"/>
        <w:spacing w:line="240" w:lineRule="auto" w:before="21"/>
        <w:ind w:left="1554" w:right="998"/>
        <w:jc w:val="left"/>
      </w:pPr>
      <w:r>
        <w:rPr/>
        <w:t>（</w:t>
      </w:r>
      <w:r>
        <w:rPr>
          <w:rFonts w:ascii="Times New Roman" w:hAnsi="Times New Roman" w:cs="Times New Roman" w:eastAsia="Times New Roman" w:hint="default"/>
        </w:rPr>
        <w:t>4</w:t>
      </w:r>
      <w:r>
        <w:rPr/>
        <w:t>）按本公司份额确认共同经营因出售产出所产生的收入；</w:t>
      </w:r>
    </w:p>
    <w:p>
      <w:pPr>
        <w:pStyle w:val="BodyText"/>
        <w:spacing w:line="256" w:lineRule="auto" w:before="21"/>
        <w:ind w:left="1554" w:right="3297"/>
        <w:jc w:val="left"/>
      </w:pPr>
      <w:r>
        <w:rPr/>
        <w:t>（</w:t>
      </w:r>
      <w:r>
        <w:rPr>
          <w:rFonts w:ascii="Times New Roman" w:hAnsi="Times New Roman" w:cs="Times New Roman" w:eastAsia="Times New Roman" w:hint="default"/>
        </w:rPr>
        <w:t>5</w:t>
      </w:r>
      <w:r>
        <w:rPr/>
        <w:t>）确认单独所发生的费用，以及按本公司份额确认共同经营发生的费用。 本公司对合营企业投资的会计政策见本附注</w:t>
      </w:r>
      <w:r>
        <w:rPr>
          <w:rFonts w:ascii="Times New Roman" w:hAnsi="Times New Roman" w:cs="Times New Roman" w:eastAsia="Times New Roman" w:hint="default"/>
        </w:rPr>
        <w:t>“</w:t>
      </w:r>
      <w:r>
        <w:rPr/>
        <w:t>三、（十二）长期股权投资</w:t>
      </w:r>
      <w:r>
        <w:rPr>
          <w:rFonts w:ascii="Times New Roman" w:hAnsi="Times New Roman" w:cs="Times New Roman" w:eastAsia="Times New Roman" w:hint="default"/>
        </w:rPr>
        <w:t>”</w:t>
      </w:r>
      <w:r>
        <w:rPr/>
        <w:t>。</w:t>
      </w:r>
    </w:p>
    <w:p>
      <w:pPr>
        <w:spacing w:line="240" w:lineRule="auto" w:before="5"/>
        <w:rPr>
          <w:rFonts w:ascii="宋体" w:hAnsi="宋体" w:cs="宋体" w:eastAsia="宋体" w:hint="default"/>
          <w:sz w:val="24"/>
          <w:szCs w:val="24"/>
        </w:rPr>
      </w:pPr>
    </w:p>
    <w:p>
      <w:pPr>
        <w:spacing w:line="590" w:lineRule="atLeast" w:before="0"/>
        <w:ind w:left="1553" w:right="998" w:hanging="420"/>
        <w:jc w:val="left"/>
        <w:rPr>
          <w:rFonts w:ascii="宋体" w:hAnsi="宋体" w:cs="宋体" w:eastAsia="宋体" w:hint="default"/>
          <w:sz w:val="21"/>
          <w:szCs w:val="21"/>
        </w:rPr>
      </w:pPr>
      <w:bookmarkStart w:name="8、现金及现金等价物的确定标准" w:id="190"/>
      <w:bookmarkEnd w:id="190"/>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、现金及现金等价物的确定标准</w:t>
      </w:r>
      <w:r>
        <w:rPr>
          <w:rFonts w:ascii="宋体" w:hAnsi="宋体" w:cs="宋体" w:eastAsia="宋体" w:hint="default"/>
          <w:b/>
          <w:bCs/>
          <w:w w:val="99"/>
          <w:sz w:val="21"/>
          <w:szCs w:val="21"/>
        </w:rPr>
        <w:t> </w:t>
      </w:r>
      <w:r>
        <w:rPr>
          <w:rFonts w:ascii="宋体" w:hAnsi="宋体" w:cs="宋体" w:eastAsia="宋体" w:hint="default"/>
          <w:spacing w:val="-1"/>
          <w:sz w:val="21"/>
          <w:szCs w:val="21"/>
        </w:rPr>
        <w:t>在编制现金流量表时，将本公司库存现金以及可以随时用于支付的存款确认为现金。将同时具备期限</w:t>
      </w:r>
    </w:p>
    <w:p>
      <w:pPr>
        <w:pStyle w:val="BodyText"/>
        <w:spacing w:line="273" w:lineRule="auto" w:before="37"/>
        <w:ind w:right="1093"/>
        <w:jc w:val="left"/>
      </w:pPr>
      <w:r>
        <w:rPr/>
        <w:t>短（从购买日起三个月内到期）、流动性强、易于转换为已知现金、价值变动风险很小四个条件的投资， 确定为现金等价物。</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pStyle w:val="Heading6"/>
        <w:spacing w:line="240" w:lineRule="auto"/>
        <w:ind w:left="1133" w:right="998"/>
        <w:jc w:val="left"/>
        <w:rPr>
          <w:b w:val="0"/>
          <w:bCs w:val="0"/>
        </w:rPr>
      </w:pPr>
      <w:bookmarkStart w:name="9、外币业务和外币报表折算" w:id="191"/>
      <w:bookmarkEnd w:id="191"/>
      <w:r>
        <w:rPr>
          <w:b w:val="0"/>
          <w:bCs w:val="0"/>
        </w:rPr>
      </w:r>
      <w:r>
        <w:rPr>
          <w:rFonts w:ascii="Times New Roman" w:hAnsi="Times New Roman" w:cs="Times New Roman" w:eastAsia="Times New Roman" w:hint="default"/>
        </w:rPr>
        <w:t>9</w:t>
      </w:r>
      <w:r>
        <w:rPr/>
        <w:t>、外币业务和外币报表折算</w:t>
      </w:r>
      <w:r>
        <w:rPr>
          <w:b w:val="0"/>
          <w:bCs w:val="0"/>
        </w:rPr>
      </w:r>
    </w:p>
    <w:p>
      <w:pPr>
        <w:spacing w:line="240" w:lineRule="auto" w:before="7"/>
        <w:rPr>
          <w:rFonts w:ascii="宋体" w:hAnsi="宋体" w:cs="宋体" w:eastAsia="宋体" w:hint="default"/>
          <w:b/>
          <w:bCs/>
          <w:sz w:val="24"/>
          <w:szCs w:val="24"/>
        </w:rPr>
      </w:pPr>
    </w:p>
    <w:p>
      <w:pPr>
        <w:pStyle w:val="BodyText"/>
        <w:spacing w:line="256" w:lineRule="auto"/>
        <w:ind w:left="1469" w:right="2857" w:hanging="336"/>
        <w:jc w:val="left"/>
      </w:pPr>
      <w:r>
        <w:rPr>
          <w:rFonts w:ascii="宋体" w:hAnsi="宋体" w:cs="宋体" w:eastAsia="宋体" w:hint="default"/>
          <w:b/>
          <w:bCs/>
        </w:rPr>
        <w:t>（</w:t>
      </w:r>
      <w:r>
        <w:rPr>
          <w:rFonts w:ascii="Times New Roman" w:hAnsi="Times New Roman" w:cs="Times New Roman" w:eastAsia="Times New Roman" w:hint="default"/>
          <w:b/>
          <w:bCs/>
        </w:rPr>
        <w:t>1</w:t>
      </w:r>
      <w:r>
        <w:rPr>
          <w:rFonts w:ascii="宋体" w:hAnsi="宋体" w:cs="宋体" w:eastAsia="宋体" w:hint="default"/>
          <w:b/>
          <w:bCs/>
        </w:rPr>
        <w:t>）外币业务</w:t>
      </w:r>
      <w:r>
        <w:rPr>
          <w:rFonts w:ascii="宋体" w:hAnsi="宋体" w:cs="宋体" w:eastAsia="宋体" w:hint="default"/>
          <w:b/>
          <w:bCs/>
          <w:w w:val="99"/>
        </w:rPr>
        <w:t> </w:t>
      </w:r>
      <w:r>
        <w:rPr/>
        <w:t>外币业务采用交易发生日的即期汇率作为折算汇率将外币金额折合成人民币记账。</w:t>
      </w:r>
    </w:p>
    <w:p>
      <w:pPr>
        <w:pStyle w:val="BodyText"/>
        <w:spacing w:line="273" w:lineRule="auto" w:before="22"/>
        <w:ind w:right="1131"/>
        <w:jc w:val="both"/>
      </w:pPr>
      <w:r>
        <w:rPr>
          <w:spacing w:val="-1"/>
        </w:rPr>
        <w:t>资产负债表日外币货币性项目余额按资产负债表日即期汇率折算，由此产生的汇兑差额，除属于与购建符</w:t>
      </w:r>
      <w:r>
        <w:rPr>
          <w:spacing w:val="-81"/>
        </w:rPr>
        <w:t> </w:t>
      </w:r>
      <w:r>
        <w:rPr>
          <w:spacing w:val="-81"/>
        </w:rPr>
      </w:r>
      <w:r>
        <w:rPr>
          <w:spacing w:val="-1"/>
        </w:rPr>
        <w:t>合资本化条件的资产相关的外币专门借款产生的汇兑差额按照借款费用资本化的原则处理外，均计入当期</w:t>
      </w:r>
      <w:r>
        <w:rPr>
          <w:spacing w:val="-81"/>
        </w:rPr>
        <w:t> </w:t>
      </w:r>
      <w:r>
        <w:rPr>
          <w:spacing w:val="-81"/>
        </w:rPr>
      </w:r>
      <w:r>
        <w:rPr/>
        <w:t>损益。</w:t>
      </w:r>
    </w:p>
    <w:p>
      <w:pPr>
        <w:spacing w:line="240" w:lineRule="auto" w:before="6"/>
        <w:rPr>
          <w:rFonts w:ascii="宋体" w:hAnsi="宋体" w:cs="宋体" w:eastAsia="宋体" w:hint="default"/>
          <w:sz w:val="24"/>
          <w:szCs w:val="24"/>
        </w:rPr>
      </w:pPr>
    </w:p>
    <w:p>
      <w:pPr>
        <w:spacing w:line="256" w:lineRule="auto" w:before="0"/>
        <w:ind w:left="1469" w:right="1129" w:hanging="336"/>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）外币财务报表的折算</w:t>
      </w:r>
      <w:r>
        <w:rPr>
          <w:rFonts w:ascii="宋体" w:hAnsi="宋体" w:cs="宋体" w:eastAsia="宋体" w:hint="default"/>
          <w:b/>
          <w:bCs/>
          <w:w w:val="99"/>
          <w:sz w:val="21"/>
          <w:szCs w:val="21"/>
        </w:rPr>
        <w:t> </w:t>
      </w:r>
      <w:r>
        <w:rPr>
          <w:rFonts w:ascii="宋体" w:hAnsi="宋体" w:cs="宋体" w:eastAsia="宋体" w:hint="default"/>
          <w:spacing w:val="-3"/>
          <w:sz w:val="21"/>
          <w:szCs w:val="21"/>
        </w:rPr>
        <w:t>资产负债表中的资产和负债项目，采用资产负债表日的即期汇率折算；所有者权益项目除</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未分配利润</w:t>
      </w:r>
      <w:r>
        <w:rPr>
          <w:rFonts w:ascii="Times New Roman" w:hAnsi="Times New Roman" w:cs="Times New Roman" w:eastAsia="Times New Roman" w:hint="default"/>
          <w:spacing w:val="-3"/>
          <w:sz w:val="21"/>
          <w:szCs w:val="21"/>
        </w:rPr>
        <w:t>”</w:t>
      </w:r>
    </w:p>
    <w:p>
      <w:pPr>
        <w:pStyle w:val="BodyText"/>
        <w:spacing w:line="273" w:lineRule="auto" w:before="5"/>
        <w:ind w:right="1093"/>
        <w:jc w:val="left"/>
      </w:pPr>
      <w:r>
        <w:rPr>
          <w:spacing w:val="-1"/>
        </w:rPr>
        <w:t>项目外，其他项目采用发生时的即期汇率折算。利润表中的收入和费用项目，采用交易发生日的即期汇率</w:t>
      </w:r>
      <w:r>
        <w:rPr>
          <w:spacing w:val="-83"/>
        </w:rPr>
        <w:t> </w:t>
      </w:r>
      <w:r>
        <w:rPr>
          <w:spacing w:val="-83"/>
        </w:rPr>
      </w:r>
      <w:r>
        <w:rPr/>
        <w:t>折算。 处置境外经营时，将与该境外经营相关的外币财务报表折算差额，自所有者权益项目转入处置当期损益。</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pStyle w:val="Heading6"/>
        <w:spacing w:line="240" w:lineRule="auto"/>
        <w:ind w:left="1133" w:right="998"/>
        <w:jc w:val="left"/>
        <w:rPr>
          <w:b w:val="0"/>
          <w:bCs w:val="0"/>
        </w:rPr>
      </w:pPr>
      <w:bookmarkStart w:name="10、金融工具" w:id="192"/>
      <w:bookmarkEnd w:id="192"/>
      <w:r>
        <w:rPr>
          <w:b w:val="0"/>
          <w:bCs w:val="0"/>
        </w:rPr>
      </w:r>
      <w:r>
        <w:rPr>
          <w:rFonts w:ascii="Times New Roman" w:hAnsi="Times New Roman" w:cs="Times New Roman" w:eastAsia="Times New Roman" w:hint="default"/>
        </w:rPr>
        <w:t>10</w:t>
      </w:r>
      <w:r>
        <w:rPr/>
        <w:t>、金融工具</w:t>
      </w:r>
      <w:r>
        <w:rPr>
          <w:b w:val="0"/>
          <w:bCs w:val="0"/>
        </w:rPr>
      </w:r>
    </w:p>
    <w:p>
      <w:pPr>
        <w:spacing w:line="240" w:lineRule="auto" w:before="7"/>
        <w:rPr>
          <w:rFonts w:ascii="宋体" w:hAnsi="宋体" w:cs="宋体" w:eastAsia="宋体" w:hint="default"/>
          <w:b/>
          <w:bCs/>
          <w:sz w:val="24"/>
          <w:szCs w:val="24"/>
        </w:rPr>
      </w:pPr>
    </w:p>
    <w:p>
      <w:pPr>
        <w:spacing w:line="273" w:lineRule="auto" w:before="0"/>
        <w:ind w:left="1134" w:right="5922" w:firstLine="420"/>
        <w:jc w:val="left"/>
        <w:rPr>
          <w:rFonts w:ascii="宋体" w:hAnsi="宋体" w:cs="宋体" w:eastAsia="宋体" w:hint="default"/>
          <w:sz w:val="21"/>
          <w:szCs w:val="21"/>
        </w:rPr>
      </w:pPr>
      <w:r>
        <w:rPr>
          <w:rFonts w:ascii="宋体" w:hAnsi="宋体" w:cs="宋体" w:eastAsia="宋体" w:hint="default"/>
          <w:sz w:val="21"/>
          <w:szCs w:val="21"/>
        </w:rPr>
        <w:t>金融工具包括金融资产、金融负债和权益工具。 </w:t>
      </w:r>
      <w:r>
        <w:rPr>
          <w:rFonts w:ascii="宋体" w:hAnsi="宋体" w:cs="宋体" w:eastAsia="宋体" w:hint="default"/>
          <w:b/>
          <w:bCs/>
          <w:sz w:val="21"/>
          <w:szCs w:val="21"/>
        </w:rPr>
        <w:t>1.</w:t>
      </w:r>
      <w:r>
        <w:rPr>
          <w:rFonts w:ascii="宋体" w:hAnsi="宋体" w:cs="宋体" w:eastAsia="宋体" w:hint="default"/>
          <w:b/>
          <w:bCs/>
          <w:spacing w:val="39"/>
          <w:sz w:val="21"/>
          <w:szCs w:val="21"/>
        </w:rPr>
        <w:t> </w:t>
      </w:r>
      <w:r>
        <w:rPr>
          <w:rFonts w:ascii="宋体" w:hAnsi="宋体" w:cs="宋体" w:eastAsia="宋体" w:hint="default"/>
          <w:b/>
          <w:bCs/>
          <w:sz w:val="21"/>
          <w:szCs w:val="21"/>
        </w:rPr>
        <w:t>金融工具的分类</w:t>
      </w:r>
      <w:r>
        <w:rPr>
          <w:rFonts w:ascii="宋体" w:hAnsi="宋体" w:cs="宋体" w:eastAsia="宋体" w:hint="default"/>
          <w:sz w:val="21"/>
          <w:szCs w:val="21"/>
        </w:rPr>
      </w:r>
    </w:p>
    <w:p>
      <w:pPr>
        <w:pStyle w:val="BodyText"/>
        <w:spacing w:line="273" w:lineRule="auto" w:before="7"/>
        <w:ind w:left="1494" w:right="1171" w:firstLine="420"/>
        <w:jc w:val="both"/>
      </w:pPr>
      <w:r>
        <w:rPr/>
        <w:t>金融资产和金融负债于初始确认时分类为：以公允价值计量且其变动计入当期损益的金融资产或 金融负债，包括交易性金融资产或金融负债和直接指定为以公允价值计量且其变动计入当期损益的金 融资产或金融负债；持有至到期投资；应收款项；可供出售金融资产；其他金融负债等。</w:t>
      </w:r>
    </w:p>
    <w:p>
      <w:pPr>
        <w:spacing w:line="240" w:lineRule="auto" w:before="6"/>
        <w:rPr>
          <w:rFonts w:ascii="宋体" w:hAnsi="宋体" w:cs="宋体" w:eastAsia="宋体" w:hint="default"/>
          <w:sz w:val="24"/>
          <w:szCs w:val="24"/>
        </w:rPr>
      </w:pPr>
    </w:p>
    <w:p>
      <w:pPr>
        <w:pStyle w:val="Heading6"/>
        <w:spacing w:line="240" w:lineRule="auto"/>
        <w:ind w:left="1133" w:right="998"/>
        <w:jc w:val="left"/>
        <w:rPr>
          <w:b w:val="0"/>
          <w:bCs w:val="0"/>
        </w:rPr>
      </w:pPr>
      <w:r>
        <w:rPr>
          <w:rFonts w:ascii="宋体" w:hAnsi="宋体" w:cs="宋体" w:eastAsia="宋体" w:hint="default"/>
        </w:rPr>
        <w:t>1.</w:t>
      </w:r>
      <w:r>
        <w:rPr>
          <w:rFonts w:ascii="宋体" w:hAnsi="宋体" w:cs="宋体" w:eastAsia="宋体" w:hint="default"/>
          <w:spacing w:val="38"/>
        </w:rPr>
        <w:t> </w:t>
      </w:r>
      <w:r>
        <w:rPr/>
        <w:t>金融工具的确认依据和计量方法</w:t>
      </w:r>
      <w:r>
        <w:rPr>
          <w:b w:val="0"/>
          <w:bCs w:val="0"/>
        </w:rPr>
      </w:r>
    </w:p>
    <w:p>
      <w:pPr>
        <w:pStyle w:val="BodyText"/>
        <w:spacing w:line="256" w:lineRule="auto" w:before="37"/>
        <w:ind w:left="1914" w:right="1152"/>
        <w:jc w:val="left"/>
      </w:pPr>
      <w:r>
        <w:rPr/>
        <w:t>（</w:t>
      </w:r>
      <w:r>
        <w:rPr>
          <w:rFonts w:ascii="Times New Roman" w:hAnsi="Times New Roman" w:cs="Times New Roman" w:eastAsia="Times New Roman" w:hint="default"/>
        </w:rPr>
        <w:t>1</w:t>
      </w:r>
      <w:r>
        <w:rPr/>
        <w:t>）以公允价值计量且其变动计入当期损益的金融资产（金融负债） 取得时以公允价值（扣除已宣告但尚未发放的现金股利或已到付息期但尚未领取的债券利息）作</w:t>
      </w:r>
    </w:p>
    <w:p>
      <w:pPr>
        <w:pStyle w:val="BodyText"/>
        <w:spacing w:line="273" w:lineRule="auto" w:before="22"/>
        <w:ind w:left="1914" w:right="1782" w:hanging="421"/>
        <w:jc w:val="left"/>
      </w:pPr>
      <w:r>
        <w:rPr/>
        <w:t>为初始确认金额，相关的交易费用计入当期损益。 持有期间将取得的利息或现金股利确认为投资收益，期末将公允价值变动计入当期损益。</w:t>
      </w:r>
    </w:p>
    <w:p>
      <w:pPr>
        <w:spacing w:after="0" w:line="273" w:lineRule="auto"/>
        <w:jc w:val="left"/>
        <w:sectPr>
          <w:footerReference w:type="default" r:id="rId35"/>
          <w:pgSz w:w="11910" w:h="16840"/>
          <w:pgMar w:footer="979" w:header="877" w:top="1060" w:bottom="1160" w:left="0" w:right="0"/>
          <w:pgNumType w:start="135"/>
        </w:sectPr>
      </w:pPr>
    </w:p>
    <w:p>
      <w:pPr>
        <w:spacing w:line="240" w:lineRule="auto" w:before="9"/>
        <w:rPr>
          <w:rFonts w:ascii="宋体" w:hAnsi="宋体" w:cs="宋体" w:eastAsia="宋体" w:hint="default"/>
          <w:sz w:val="24"/>
          <w:szCs w:val="24"/>
        </w:rPr>
      </w:pPr>
    </w:p>
    <w:p>
      <w:pPr>
        <w:pStyle w:val="BodyText"/>
        <w:spacing w:line="240" w:lineRule="auto" w:before="35"/>
        <w:ind w:left="1914" w:right="998"/>
        <w:jc w:val="left"/>
      </w:pPr>
      <w:r>
        <w:rPr/>
        <w:t>处置时，其公允价值与初始入账金额之间的差额确认为投资收益，同时调整公允价值变动损益。</w:t>
      </w:r>
    </w:p>
    <w:p>
      <w:pPr>
        <w:pStyle w:val="BodyText"/>
        <w:spacing w:line="256" w:lineRule="auto" w:before="37"/>
        <w:ind w:left="1914" w:right="1152"/>
        <w:jc w:val="left"/>
      </w:pPr>
      <w:r>
        <w:rPr/>
        <w:t>（</w:t>
      </w:r>
      <w:r>
        <w:rPr>
          <w:rFonts w:ascii="Times New Roman" w:hAnsi="Times New Roman" w:cs="Times New Roman" w:eastAsia="Times New Roman" w:hint="default"/>
        </w:rPr>
        <w:t>2</w:t>
      </w:r>
      <w:r>
        <w:rPr/>
        <w:t>）持有至到期投资 取得时按公允价值（扣除已到付息期但尚未领取的债券利息）和相关交易费用之和作为初始确认</w:t>
      </w:r>
    </w:p>
    <w:p>
      <w:pPr>
        <w:pStyle w:val="BodyText"/>
        <w:spacing w:line="240" w:lineRule="auto" w:before="22"/>
        <w:ind w:left="1494" w:right="998"/>
        <w:jc w:val="left"/>
      </w:pPr>
      <w:r>
        <w:rPr/>
        <w:t>金额。</w:t>
      </w:r>
    </w:p>
    <w:p>
      <w:pPr>
        <w:pStyle w:val="BodyText"/>
        <w:spacing w:line="273" w:lineRule="auto" w:before="37"/>
        <w:ind w:left="1494" w:right="1152" w:firstLine="420"/>
        <w:jc w:val="left"/>
      </w:pPr>
      <w:r>
        <w:rPr/>
        <w:t>持有期间按照摊余成本和实际利率计算确认利息收入，计入投资收益。实际利率在取得时确定， 在该预期存续期间或适用的更短期间内保持不变。</w:t>
      </w:r>
    </w:p>
    <w:p>
      <w:pPr>
        <w:pStyle w:val="BodyText"/>
        <w:spacing w:line="240" w:lineRule="auto" w:before="7"/>
        <w:ind w:left="1914" w:right="998"/>
        <w:jc w:val="left"/>
      </w:pPr>
      <w:r>
        <w:rPr/>
        <w:t>处置时，将所取得价款与该投资账面价值之间的差额计入投资收益。</w:t>
      </w:r>
    </w:p>
    <w:p>
      <w:pPr>
        <w:pStyle w:val="BodyText"/>
        <w:spacing w:line="256" w:lineRule="auto" w:before="37"/>
        <w:ind w:left="1914" w:right="1152"/>
        <w:jc w:val="left"/>
      </w:pPr>
      <w:r>
        <w:rPr/>
        <w:t>（</w:t>
      </w:r>
      <w:r>
        <w:rPr>
          <w:rFonts w:ascii="Times New Roman" w:hAnsi="Times New Roman" w:cs="Times New Roman" w:eastAsia="Times New Roman" w:hint="default"/>
        </w:rPr>
        <w:t>3</w:t>
      </w:r>
      <w:r>
        <w:rPr/>
        <w:t>）应收款项 公司对外销售商品或提供劳务形成的应收债权，以及公司持有的其他企业的不包括在活跃市场上</w:t>
      </w:r>
    </w:p>
    <w:p>
      <w:pPr>
        <w:pStyle w:val="BodyText"/>
        <w:spacing w:line="273" w:lineRule="auto" w:before="22"/>
        <w:ind w:left="1494" w:right="1152"/>
        <w:jc w:val="left"/>
      </w:pPr>
      <w:r>
        <w:rPr/>
        <w:t>有报价的债务工具的债权，包括应收账款、其他应收款等，以向购货方应收的合同或协议价款作为初 始确认金额；具有融资性质的，按其现值进行初始确认。</w:t>
      </w:r>
    </w:p>
    <w:p>
      <w:pPr>
        <w:pStyle w:val="BodyText"/>
        <w:spacing w:line="240" w:lineRule="auto" w:before="7"/>
        <w:ind w:left="1914" w:right="998"/>
        <w:jc w:val="left"/>
      </w:pPr>
      <w:r>
        <w:rPr/>
        <w:t>收回或处置时，将取得的价款与该应收款项账面价值之间的差额计入当期损益。</w:t>
      </w:r>
    </w:p>
    <w:p>
      <w:pPr>
        <w:pStyle w:val="BodyText"/>
        <w:spacing w:line="256" w:lineRule="auto" w:before="37"/>
        <w:ind w:left="1914" w:right="1152"/>
        <w:jc w:val="left"/>
      </w:pPr>
      <w:r>
        <w:rPr/>
        <w:t>（</w:t>
      </w:r>
      <w:r>
        <w:rPr>
          <w:rFonts w:ascii="Times New Roman" w:hAnsi="Times New Roman" w:cs="Times New Roman" w:eastAsia="Times New Roman" w:hint="default"/>
        </w:rPr>
        <w:t>4</w:t>
      </w:r>
      <w:r>
        <w:rPr/>
        <w:t>）可供出售金融资产 取得时按公允价值（扣除已宣告但尚未发放的现金股利或已到付息期但尚未领取的债券利息）和</w:t>
      </w:r>
    </w:p>
    <w:p>
      <w:pPr>
        <w:pStyle w:val="BodyText"/>
        <w:spacing w:line="273" w:lineRule="auto" w:before="22"/>
        <w:ind w:left="1914" w:right="1152" w:hanging="421"/>
        <w:jc w:val="left"/>
      </w:pPr>
      <w:r>
        <w:rPr/>
        <w:t>相关交易费用之和作为初始确认金额。 持有期间将取得的利息或现金股利确认为投资收益。期末以公允价值计量且将公允价值变动计入</w:t>
      </w:r>
    </w:p>
    <w:p>
      <w:pPr>
        <w:pStyle w:val="BodyText"/>
        <w:spacing w:line="273" w:lineRule="auto" w:before="7"/>
        <w:ind w:left="1494" w:right="1152"/>
        <w:jc w:val="left"/>
      </w:pPr>
      <w:r>
        <w:rPr/>
        <w:t>其他综合收益。但是，在活跃市场中没有报价且其公允价值不能可靠计量的权益工具投资，以及与该 权益工具挂钩并须通过交付该权益工具结算的衍生金融资产，按照成本计量。</w:t>
      </w:r>
    </w:p>
    <w:p>
      <w:pPr>
        <w:pStyle w:val="BodyText"/>
        <w:spacing w:line="273" w:lineRule="auto" w:before="7"/>
        <w:ind w:left="1493" w:right="1153" w:firstLine="420"/>
        <w:jc w:val="left"/>
      </w:pPr>
      <w:r>
        <w:rPr/>
        <w:t>处置时，将取得的价款与该金融资产账面价值之间的差额，计入投资损益；同时，将原直接计入 其他综合收益的公允价值变动累计额对应处置部分的金额转出，计入当期损益。</w:t>
      </w:r>
    </w:p>
    <w:p>
      <w:pPr>
        <w:pStyle w:val="BodyText"/>
        <w:spacing w:line="256" w:lineRule="auto" w:before="7"/>
        <w:ind w:left="1914" w:right="2202"/>
        <w:jc w:val="left"/>
      </w:pPr>
      <w:r>
        <w:rPr/>
        <w:t>（</w:t>
      </w:r>
      <w:r>
        <w:rPr>
          <w:rFonts w:ascii="Times New Roman" w:hAnsi="Times New Roman" w:cs="Times New Roman" w:eastAsia="Times New Roman" w:hint="default"/>
        </w:rPr>
        <w:t>5</w:t>
      </w:r>
      <w:r>
        <w:rPr/>
        <w:t>）其他金融负债 按其公允价值和相关交易费用之和作为初始确认金额。采用摊余成本进行后续计量。</w:t>
      </w:r>
    </w:p>
    <w:p>
      <w:pPr>
        <w:spacing w:line="240" w:lineRule="auto" w:before="8"/>
        <w:rPr>
          <w:rFonts w:ascii="宋体" w:hAnsi="宋体" w:cs="宋体" w:eastAsia="宋体" w:hint="default"/>
          <w:sz w:val="25"/>
          <w:szCs w:val="25"/>
        </w:rPr>
      </w:pPr>
    </w:p>
    <w:p>
      <w:pPr>
        <w:spacing w:line="273" w:lineRule="auto" w:before="0"/>
        <w:ind w:left="1914" w:right="1152" w:hanging="781"/>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pacing w:val="42"/>
          <w:sz w:val="21"/>
          <w:szCs w:val="21"/>
        </w:rPr>
        <w:t> </w:t>
      </w:r>
      <w:r>
        <w:rPr>
          <w:rFonts w:ascii="宋体" w:hAnsi="宋体" w:cs="宋体" w:eastAsia="宋体" w:hint="default"/>
          <w:b/>
          <w:bCs/>
          <w:sz w:val="21"/>
          <w:szCs w:val="21"/>
        </w:rPr>
        <w:t>金融资产转移的确认依据和计量方法</w:t>
      </w:r>
      <w:r>
        <w:rPr>
          <w:rFonts w:ascii="宋体" w:hAnsi="宋体" w:cs="宋体" w:eastAsia="宋体" w:hint="default"/>
          <w:b/>
          <w:bCs/>
          <w:w w:val="99"/>
          <w:sz w:val="21"/>
          <w:szCs w:val="21"/>
        </w:rPr>
        <w:t> </w:t>
      </w:r>
      <w:r>
        <w:rPr>
          <w:rFonts w:ascii="宋体" w:hAnsi="宋体" w:cs="宋体" w:eastAsia="宋体" w:hint="default"/>
          <w:sz w:val="21"/>
          <w:szCs w:val="21"/>
        </w:rPr>
        <w:t>公司发生金融资产转移时，如已将金融资产所有权上几乎所有的风险和报酬转移给转入方，则终</w:t>
      </w:r>
    </w:p>
    <w:p>
      <w:pPr>
        <w:pStyle w:val="BodyText"/>
        <w:spacing w:line="273" w:lineRule="auto" w:before="7"/>
        <w:ind w:left="1914" w:right="998" w:hanging="421"/>
        <w:jc w:val="left"/>
      </w:pPr>
      <w:r>
        <w:rPr>
          <w:spacing w:val="-2"/>
        </w:rPr>
        <w:t>止确认该金融资产；如保留了金融资产所有权上几乎所有的风险和报酬的，则不终止确认该金融资产。</w:t>
      </w:r>
      <w:r>
        <w:rPr>
          <w:spacing w:val="-83"/>
        </w:rPr>
        <w:t> </w:t>
      </w:r>
      <w:r>
        <w:rPr>
          <w:spacing w:val="-83"/>
        </w:rPr>
      </w:r>
      <w:r>
        <w:rPr/>
        <w:t>在判断金融资产转移是否满足上述金融资产终止确认条件时，采用实质重于形式的原则。公司将</w:t>
      </w:r>
    </w:p>
    <w:p>
      <w:pPr>
        <w:pStyle w:val="BodyText"/>
        <w:spacing w:line="273" w:lineRule="auto" w:before="7"/>
        <w:ind w:left="1494" w:right="1152"/>
        <w:jc w:val="left"/>
      </w:pPr>
      <w:r>
        <w:rPr/>
        <w:t>金融资产转移区分为金融资产整体转移和部分转移。金融资产整体转移满足终止确认条件的，将下列 两项金额的差额计入当期损益：</w:t>
      </w:r>
    </w:p>
    <w:p>
      <w:pPr>
        <w:pStyle w:val="BodyText"/>
        <w:spacing w:line="240" w:lineRule="auto" w:before="7"/>
        <w:ind w:left="1914" w:right="998"/>
        <w:jc w:val="left"/>
      </w:pPr>
      <w:r>
        <w:rPr/>
        <w:t>（</w:t>
      </w:r>
      <w:r>
        <w:rPr>
          <w:rFonts w:ascii="Times New Roman" w:hAnsi="Times New Roman" w:cs="Times New Roman" w:eastAsia="Times New Roman" w:hint="default"/>
        </w:rPr>
        <w:t>1</w:t>
      </w:r>
      <w:r>
        <w:rPr/>
        <w:t>）所转移金融资产的账面价值；</w:t>
      </w:r>
    </w:p>
    <w:p>
      <w:pPr>
        <w:pStyle w:val="BodyText"/>
        <w:spacing w:line="256" w:lineRule="auto" w:before="21"/>
        <w:ind w:left="1494" w:right="998" w:firstLine="420"/>
        <w:jc w:val="left"/>
      </w:pPr>
      <w:r>
        <w:rPr>
          <w:spacing w:val="-2"/>
        </w:rPr>
        <w:t>（</w:t>
      </w:r>
      <w:r>
        <w:rPr>
          <w:rFonts w:ascii="Times New Roman" w:hAnsi="Times New Roman" w:cs="Times New Roman" w:eastAsia="Times New Roman" w:hint="default"/>
          <w:spacing w:val="-2"/>
        </w:rPr>
        <w:t>2</w:t>
      </w:r>
      <w:r>
        <w:rPr>
          <w:spacing w:val="-2"/>
        </w:rPr>
        <w:t>）因转移而收到的对价，与原直接计入所有者权益的公允价值变动累计额（涉及转移的金融资</w:t>
      </w:r>
      <w:r>
        <w:rPr/>
        <w:t> 产为可供出售金融资产的情形）之和。</w:t>
      </w:r>
    </w:p>
    <w:p>
      <w:pPr>
        <w:spacing w:line="240" w:lineRule="auto" w:before="7"/>
        <w:rPr>
          <w:rFonts w:ascii="宋体" w:hAnsi="宋体" w:cs="宋体" w:eastAsia="宋体" w:hint="default"/>
          <w:sz w:val="25"/>
          <w:szCs w:val="25"/>
        </w:rPr>
      </w:pPr>
    </w:p>
    <w:p>
      <w:pPr>
        <w:pStyle w:val="BodyText"/>
        <w:spacing w:line="273" w:lineRule="auto"/>
        <w:ind w:left="1494" w:right="1152" w:firstLine="420"/>
        <w:jc w:val="left"/>
      </w:pPr>
      <w:r>
        <w:rPr/>
        <w:t>金融资产部分转移满足终止确认条件的，将所转移金融资产整体的账面价值，在终止确认部分和 未终止确认部分之间，按照各自的相对公允价值进行分摊，并将下列两项金额的差额计入当期损益：</w:t>
      </w:r>
    </w:p>
    <w:p>
      <w:pPr>
        <w:pStyle w:val="BodyText"/>
        <w:spacing w:line="240" w:lineRule="auto" w:before="7"/>
        <w:ind w:left="1914" w:right="998"/>
        <w:jc w:val="left"/>
      </w:pPr>
      <w:r>
        <w:rPr/>
        <w:t>（</w:t>
      </w:r>
      <w:r>
        <w:rPr>
          <w:rFonts w:ascii="Times New Roman" w:hAnsi="Times New Roman" w:cs="Times New Roman" w:eastAsia="Times New Roman" w:hint="default"/>
        </w:rPr>
        <w:t>1</w:t>
      </w:r>
      <w:r>
        <w:rPr/>
        <w:t>）终止确认部分的账面价值；</w:t>
      </w:r>
    </w:p>
    <w:p>
      <w:pPr>
        <w:pStyle w:val="BodyText"/>
        <w:spacing w:line="256" w:lineRule="auto" w:before="21"/>
        <w:ind w:left="1494" w:right="998" w:firstLine="420"/>
        <w:jc w:val="left"/>
      </w:pPr>
      <w:r>
        <w:rPr>
          <w:spacing w:val="-2"/>
        </w:rPr>
        <w:t>（</w:t>
      </w:r>
      <w:r>
        <w:rPr>
          <w:rFonts w:ascii="Times New Roman" w:hAnsi="Times New Roman" w:cs="Times New Roman" w:eastAsia="Times New Roman" w:hint="default"/>
          <w:spacing w:val="-2"/>
        </w:rPr>
        <w:t>2</w:t>
      </w:r>
      <w:r>
        <w:rPr>
          <w:spacing w:val="-2"/>
        </w:rPr>
        <w:t>）终止确认部分的对价，与原直接计入所有者权益的公允价值变动累计额中对应终止确认部分</w:t>
      </w:r>
      <w:r>
        <w:rPr/>
        <w:t> 的金额（涉及转移的金融资产为可供出售金融资产的情形）之和。</w:t>
      </w:r>
    </w:p>
    <w:p>
      <w:pPr>
        <w:pStyle w:val="BodyText"/>
        <w:spacing w:line="240" w:lineRule="auto" w:before="22"/>
        <w:ind w:left="1914" w:right="0"/>
        <w:jc w:val="left"/>
      </w:pPr>
      <w:r>
        <w:rPr/>
        <w:t>金融资产转移不满足终止确认条件的，继续确认该金融资产，所收到的对价确认为一项金融负债。</w:t>
      </w:r>
    </w:p>
    <w:p>
      <w:pPr>
        <w:spacing w:line="240" w:lineRule="auto" w:before="9"/>
        <w:rPr>
          <w:rFonts w:ascii="宋体" w:hAnsi="宋体" w:cs="宋体" w:eastAsia="宋体" w:hint="default"/>
          <w:sz w:val="26"/>
          <w:szCs w:val="26"/>
        </w:rPr>
      </w:pPr>
    </w:p>
    <w:p>
      <w:pPr>
        <w:pStyle w:val="Heading6"/>
        <w:spacing w:line="240" w:lineRule="auto"/>
        <w:ind w:right="998"/>
        <w:jc w:val="left"/>
        <w:rPr>
          <w:b w:val="0"/>
          <w:bCs w:val="0"/>
        </w:rPr>
      </w:pPr>
      <w:r>
        <w:rPr>
          <w:rFonts w:ascii="宋体" w:hAnsi="宋体" w:cs="宋体" w:eastAsia="宋体" w:hint="default"/>
        </w:rPr>
        <w:t>1.</w:t>
      </w:r>
      <w:r>
        <w:rPr>
          <w:rFonts w:ascii="宋体" w:hAnsi="宋体" w:cs="宋体" w:eastAsia="宋体" w:hint="default"/>
          <w:spacing w:val="39"/>
        </w:rPr>
        <w:t> </w:t>
      </w:r>
      <w:r>
        <w:rPr/>
        <w:t>金融负债终止确认条件</w:t>
      </w:r>
      <w:r>
        <w:rPr>
          <w:b w:val="0"/>
          <w:bCs w:val="0"/>
        </w:rPr>
      </w:r>
    </w:p>
    <w:p>
      <w:pPr>
        <w:pStyle w:val="BodyText"/>
        <w:spacing w:line="273" w:lineRule="auto" w:before="37"/>
        <w:ind w:left="1493" w:right="1171" w:firstLine="420"/>
        <w:jc w:val="both"/>
      </w:pPr>
      <w:r>
        <w:rPr/>
        <w:t>金融负债的现时义务全部或部分已经解除的，则终止确认该金融负债或其一部分；本公司若与债 权人签定协议，以承担新金融负债方式替换现存金融负债，且新金融负债与现存金融负债的合同条款 实质上不同的，则终止确认现存金融负债，并同时确认新金融负债。</w:t>
      </w:r>
    </w:p>
    <w:p>
      <w:pPr>
        <w:spacing w:after="0" w:line="273" w:lineRule="auto"/>
        <w:jc w:val="both"/>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BodyText"/>
        <w:spacing w:line="273" w:lineRule="auto" w:before="35"/>
        <w:ind w:left="1493" w:right="1171" w:firstLine="420"/>
        <w:jc w:val="both"/>
      </w:pPr>
      <w:r>
        <w:rPr/>
        <w:t>对现存金融负债全部或部分合同条款作出实质性修改的，则终止确认现存金融负债或其一部分， 同时将修改条款后的金融负债确认为一项新金融负债。</w:t>
      </w:r>
    </w:p>
    <w:p>
      <w:pPr>
        <w:pStyle w:val="BodyText"/>
        <w:spacing w:line="273" w:lineRule="auto" w:before="7"/>
        <w:ind w:left="1493" w:right="1171" w:firstLine="420"/>
        <w:jc w:val="both"/>
      </w:pPr>
      <w:r>
        <w:rPr/>
        <w:t>金融负债全部或部分终止确认时，终止确认的金融负债账面价值与支付对价（包括转出的非现金 资产或承担的新金融负债）之间的差额，计入当期损益。</w:t>
      </w:r>
    </w:p>
    <w:p>
      <w:pPr>
        <w:pStyle w:val="BodyText"/>
        <w:spacing w:line="273" w:lineRule="auto" w:before="8"/>
        <w:ind w:left="1493" w:right="1171" w:firstLine="420"/>
        <w:jc w:val="both"/>
      </w:pPr>
      <w:r>
        <w:rPr/>
        <w:t>本公司若回购部分金融负债的，在回购日按照继续确认部分与终止确认部分的相对公允价值，将 该金融负债整体的账面价值进行分配。分配给终止确认部分的账面价值与支付的对价（包括转出的非 现金资产或承担的新金融负债）之间的差额，计入当期损益。</w:t>
      </w:r>
    </w:p>
    <w:p>
      <w:pPr>
        <w:spacing w:line="240" w:lineRule="auto" w:before="6"/>
        <w:rPr>
          <w:rFonts w:ascii="宋体" w:hAnsi="宋体" w:cs="宋体" w:eastAsia="宋体" w:hint="default"/>
          <w:sz w:val="24"/>
          <w:szCs w:val="24"/>
        </w:rPr>
      </w:pPr>
    </w:p>
    <w:p>
      <w:pPr>
        <w:spacing w:line="273" w:lineRule="auto" w:before="0"/>
        <w:ind w:left="1914" w:right="1152" w:hanging="781"/>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pacing w:val="42"/>
          <w:sz w:val="21"/>
          <w:szCs w:val="21"/>
        </w:rPr>
        <w:t> </w:t>
      </w:r>
      <w:r>
        <w:rPr>
          <w:rFonts w:ascii="宋体" w:hAnsi="宋体" w:cs="宋体" w:eastAsia="宋体" w:hint="default"/>
          <w:b/>
          <w:bCs/>
          <w:sz w:val="21"/>
          <w:szCs w:val="21"/>
        </w:rPr>
        <w:t>金融资产和金融负债的公允价值的确定方法</w:t>
      </w:r>
      <w:r>
        <w:rPr>
          <w:rFonts w:ascii="宋体" w:hAnsi="宋体" w:cs="宋体" w:eastAsia="宋体" w:hint="default"/>
          <w:b/>
          <w:bCs/>
          <w:w w:val="99"/>
          <w:sz w:val="21"/>
          <w:szCs w:val="21"/>
        </w:rPr>
        <w:t> </w:t>
      </w:r>
      <w:r>
        <w:rPr>
          <w:rFonts w:ascii="宋体" w:hAnsi="宋体" w:cs="宋体" w:eastAsia="宋体" w:hint="default"/>
          <w:sz w:val="21"/>
          <w:szCs w:val="21"/>
        </w:rPr>
        <w:t>存在活跃市场的金融工具，以活跃市场中的报价确定其公允价值。不存在活跃市场的金融工具，</w:t>
      </w:r>
    </w:p>
    <w:p>
      <w:pPr>
        <w:pStyle w:val="BodyText"/>
        <w:spacing w:line="273" w:lineRule="auto" w:before="7"/>
        <w:ind w:left="1493" w:right="1169"/>
        <w:jc w:val="both"/>
      </w:pPr>
      <w:r>
        <w:rPr/>
        <w:t>采用估值技术确定其公允价值。在估值时，本公司采用在当前情况下适用并且有足够可利用数据和其 他信息支持的估值技术，选择与市场参与者在相关资产或负债的交易中所考虑的资产或负债特征相一 致的输入值，并优先使用相关可观察输入值。只有在相关可观察输入值无法取得或取得不切实可行的 情况下，才使用不可观察输入值。</w:t>
      </w:r>
    </w:p>
    <w:p>
      <w:pPr>
        <w:spacing w:line="240" w:lineRule="auto" w:before="6"/>
        <w:rPr>
          <w:rFonts w:ascii="宋体" w:hAnsi="宋体" w:cs="宋体" w:eastAsia="宋体" w:hint="default"/>
          <w:sz w:val="24"/>
          <w:szCs w:val="24"/>
        </w:rPr>
      </w:pPr>
    </w:p>
    <w:p>
      <w:pPr>
        <w:spacing w:line="256" w:lineRule="auto" w:before="0"/>
        <w:ind w:left="1553" w:right="998" w:hanging="33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金融资产（不含应收款项）减值的测试方法及会计处理方法</w:t>
      </w:r>
      <w:r>
        <w:rPr>
          <w:rFonts w:ascii="宋体" w:hAnsi="宋体" w:cs="宋体" w:eastAsia="宋体" w:hint="default"/>
          <w:b/>
          <w:bCs/>
          <w:w w:val="99"/>
          <w:sz w:val="21"/>
          <w:szCs w:val="21"/>
        </w:rPr>
        <w:t> </w:t>
      </w:r>
      <w:r>
        <w:rPr>
          <w:rFonts w:ascii="宋体" w:hAnsi="宋体" w:cs="宋体" w:eastAsia="宋体" w:hint="default"/>
          <w:spacing w:val="-1"/>
          <w:sz w:val="21"/>
          <w:szCs w:val="21"/>
        </w:rPr>
        <w:t>除以公允价值计量且其变动计入当期损益的金融资产外，本公司于资产负债表日对金融资产的账面价</w:t>
      </w:r>
    </w:p>
    <w:p>
      <w:pPr>
        <w:pStyle w:val="BodyText"/>
        <w:spacing w:line="240" w:lineRule="auto" w:before="22"/>
        <w:ind w:right="998"/>
        <w:jc w:val="left"/>
      </w:pPr>
      <w:r>
        <w:rPr/>
        <w:t>值进行检查，如果有客观证据表明某项金融资产发生减值的，计提减值准备。</w:t>
      </w:r>
    </w:p>
    <w:p>
      <w:pPr>
        <w:pStyle w:val="BodyText"/>
        <w:spacing w:line="256" w:lineRule="auto" w:before="37"/>
        <w:ind w:left="1554" w:right="1131"/>
        <w:jc w:val="both"/>
      </w:pPr>
      <w:r>
        <w:rPr/>
        <w:t>（</w:t>
      </w:r>
      <w:r>
        <w:rPr>
          <w:rFonts w:ascii="Times New Roman" w:hAnsi="Times New Roman" w:cs="Times New Roman" w:eastAsia="Times New Roman" w:hint="default"/>
        </w:rPr>
        <w:t>1</w:t>
      </w:r>
      <w:r>
        <w:rPr/>
        <w:t>）可供出售金融资产的减值准备： </w:t>
      </w:r>
      <w:r>
        <w:rPr>
          <w:spacing w:val="-1"/>
        </w:rPr>
        <w:t>期末如果可供出售金融资产的公允价值发生严重下降，或在综合考虑各种相关因素后，预期这种下降</w:t>
      </w:r>
    </w:p>
    <w:p>
      <w:pPr>
        <w:pStyle w:val="BodyText"/>
        <w:spacing w:line="273" w:lineRule="auto" w:before="22"/>
        <w:ind w:left="1134" w:right="1131"/>
        <w:jc w:val="both"/>
      </w:pPr>
      <w:r>
        <w:rPr>
          <w:spacing w:val="-1"/>
        </w:rPr>
        <w:t>趋势属于非暂时性的，就认定其已发生减值，将原直接计入所有者权益的公允价值下降形成的累计损失一</w:t>
      </w:r>
      <w:r>
        <w:rPr>
          <w:spacing w:val="-81"/>
        </w:rPr>
        <w:t> </w:t>
      </w:r>
      <w:r>
        <w:rPr>
          <w:spacing w:val="-81"/>
        </w:rPr>
      </w:r>
      <w:r>
        <w:rPr/>
        <w:t>并转出，确认减值损失。</w:t>
      </w:r>
    </w:p>
    <w:p>
      <w:pPr>
        <w:pStyle w:val="BodyText"/>
        <w:spacing w:line="273" w:lineRule="auto" w:before="8"/>
        <w:ind w:left="1134" w:right="998" w:firstLine="420"/>
        <w:jc w:val="left"/>
      </w:pPr>
      <w:r>
        <w:rPr>
          <w:spacing w:val="-1"/>
        </w:rPr>
        <w:t>对于已确认减值损失的可供出售债务工具，在随后的会计期间公允价值已上升且客观上与确认原减值</w:t>
      </w:r>
      <w:r>
        <w:rPr/>
        <w:t> 损失确认后发生的事项有关的，原确认的减值损失予以转回，计入当期损益。</w:t>
      </w:r>
    </w:p>
    <w:p>
      <w:pPr>
        <w:pStyle w:val="BodyText"/>
        <w:spacing w:line="273" w:lineRule="auto" w:before="7"/>
        <w:ind w:left="1554" w:right="1133"/>
        <w:jc w:val="both"/>
      </w:pPr>
      <w:r>
        <w:rPr/>
        <w:t>可供出售权益工具投资发生的减值损失，不通过损益转回。 本公司对可供出售权益工具投资的公允价值下跌</w:t>
      </w:r>
      <w:r>
        <w:rPr>
          <w:rFonts w:ascii="Times New Roman" w:hAnsi="Times New Roman" w:cs="Times New Roman" w:eastAsia="Times New Roman" w:hint="default"/>
        </w:rPr>
        <w:t>“</w:t>
      </w:r>
      <w:r>
        <w:rPr/>
        <w:t>严重</w:t>
      </w:r>
      <w:r>
        <w:rPr>
          <w:rFonts w:ascii="Times New Roman" w:hAnsi="Times New Roman" w:cs="Times New Roman" w:eastAsia="Times New Roman" w:hint="default"/>
        </w:rPr>
        <w:t>”</w:t>
      </w:r>
      <w:r>
        <w:rPr/>
        <w:t>的标准为：若该权益工具投资于资产负债表日</w:t>
      </w:r>
    </w:p>
    <w:p>
      <w:pPr>
        <w:pStyle w:val="BodyText"/>
        <w:spacing w:line="264" w:lineRule="auto"/>
        <w:ind w:right="1129"/>
        <w:jc w:val="both"/>
      </w:pPr>
      <w:r>
        <w:rPr/>
        <w:t>的公允价值低于其成本超过 </w:t>
      </w:r>
      <w:r>
        <w:rPr>
          <w:rFonts w:ascii="Times New Roman" w:hAnsi="Times New Roman" w:cs="Times New Roman" w:eastAsia="Times New Roman" w:hint="default"/>
          <w:spacing w:val="-6"/>
        </w:rPr>
        <w:t>50%</w:t>
      </w:r>
      <w:r>
        <w:rPr>
          <w:spacing w:val="-6"/>
        </w:rPr>
        <w:t>（含</w:t>
      </w:r>
      <w:r>
        <w:rPr>
          <w:spacing w:val="-18"/>
        </w:rPr>
        <w:t> </w:t>
      </w:r>
      <w:r>
        <w:rPr>
          <w:rFonts w:ascii="Times New Roman" w:hAnsi="Times New Roman" w:cs="Times New Roman" w:eastAsia="Times New Roman" w:hint="default"/>
          <w:spacing w:val="-3"/>
        </w:rPr>
        <w:t>50%</w:t>
      </w:r>
      <w:r>
        <w:rPr>
          <w:spacing w:val="-3"/>
        </w:rPr>
        <w:t>）；公允价值下跌</w:t>
      </w:r>
      <w:r>
        <w:rPr>
          <w:rFonts w:ascii="Times New Roman" w:hAnsi="Times New Roman" w:cs="Times New Roman" w:eastAsia="Times New Roman" w:hint="default"/>
          <w:spacing w:val="-3"/>
        </w:rPr>
        <w:t>“</w:t>
      </w:r>
      <w:r>
        <w:rPr>
          <w:spacing w:val="-3"/>
        </w:rPr>
        <w:t>非暂时性</w:t>
      </w:r>
      <w:r>
        <w:rPr>
          <w:rFonts w:ascii="Times New Roman" w:hAnsi="Times New Roman" w:cs="Times New Roman" w:eastAsia="Times New Roman" w:hint="default"/>
          <w:spacing w:val="-3"/>
        </w:rPr>
        <w:t>”</w:t>
      </w:r>
      <w:r>
        <w:rPr>
          <w:spacing w:val="-3"/>
        </w:rPr>
        <w:t>的标准为：低于其成本持续时间超</w:t>
      </w:r>
      <w:r>
        <w:rPr/>
        <w:t> </w:t>
      </w:r>
      <w:r>
        <w:rPr>
          <w:spacing w:val="-1"/>
        </w:rPr>
        <w:t>过一年（含一年）的；上述成本的计算方法为：按照可供出售权益工具投资的初始取得成本扣除已收回本</w:t>
      </w:r>
      <w:r>
        <w:rPr>
          <w:spacing w:val="-85"/>
        </w:rPr>
        <w:t> </w:t>
      </w:r>
      <w:r>
        <w:rPr>
          <w:spacing w:val="-85"/>
        </w:rPr>
      </w:r>
      <w:r>
        <w:rPr/>
        <w:t>金和已摊销金额、原已计入损益的减值损失确定。</w:t>
      </w:r>
    </w:p>
    <w:p>
      <w:pPr>
        <w:pStyle w:val="BodyText"/>
        <w:spacing w:line="256" w:lineRule="auto" w:before="16"/>
        <w:ind w:left="1554" w:right="3822"/>
        <w:jc w:val="left"/>
      </w:pPr>
      <w:r>
        <w:rPr/>
        <w:t>（</w:t>
      </w:r>
      <w:r>
        <w:rPr>
          <w:rFonts w:ascii="Times New Roman" w:hAnsi="Times New Roman" w:cs="Times New Roman" w:eastAsia="Times New Roman" w:hint="default"/>
        </w:rPr>
        <w:t>2</w:t>
      </w:r>
      <w:r>
        <w:rPr/>
        <w:t>）持有至到期投资的减值准备： 持有至到期投资减值损失的计量比照应收款项减值损失计量方法处理。</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pStyle w:val="Heading6"/>
        <w:spacing w:line="240" w:lineRule="auto"/>
        <w:ind w:left="1133" w:right="998"/>
        <w:jc w:val="left"/>
        <w:rPr>
          <w:b w:val="0"/>
          <w:bCs w:val="0"/>
        </w:rPr>
      </w:pPr>
      <w:bookmarkStart w:name="11、应收款项" w:id="193"/>
      <w:bookmarkEnd w:id="193"/>
      <w:r>
        <w:rPr>
          <w:b w:val="0"/>
          <w:bCs w:val="0"/>
        </w:rPr>
      </w:r>
      <w:r>
        <w:rPr>
          <w:rFonts w:ascii="Times New Roman" w:hAnsi="Times New Roman" w:cs="Times New Roman" w:eastAsia="Times New Roman" w:hint="default"/>
        </w:rPr>
        <w:t>11</w:t>
      </w:r>
      <w:r>
        <w:rPr/>
        <w:t>、应收款项</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单项金额重大并单独计提坏账准备的应收款项" w:id="194"/>
      <w:bookmarkEnd w:id="194"/>
      <w:r>
        <w:rPr>
          <w:b w:val="0"/>
          <w:bCs w:val="0"/>
        </w:rPr>
      </w:r>
      <w:r>
        <w:rPr/>
        <w:t>（</w:t>
      </w:r>
      <w:r>
        <w:rPr>
          <w:rFonts w:ascii="Times New Roman" w:hAnsi="Times New Roman" w:cs="Times New Roman" w:eastAsia="Times New Roman" w:hint="default"/>
        </w:rPr>
        <w:t>1</w:t>
      </w:r>
      <w:r>
        <w:rPr/>
        <w:t>）单项金额重大并单独计提坏账准备的应收款项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4785"/>
        <w:gridCol w:w="4784"/>
      </w:tblGrid>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3" w:right="71"/>
              <w:jc w:val="left"/>
              <w:rPr>
                <w:rFonts w:ascii="宋体" w:hAnsi="宋体" w:cs="宋体" w:eastAsia="宋体" w:hint="default"/>
                <w:sz w:val="18"/>
                <w:szCs w:val="18"/>
              </w:rPr>
            </w:pPr>
            <w:r>
              <w:rPr>
                <w:rFonts w:ascii="宋体" w:hAnsi="宋体" w:cs="宋体" w:eastAsia="宋体" w:hint="default"/>
                <w:sz w:val="18"/>
                <w:szCs w:val="18"/>
              </w:rPr>
              <w:t>应收账款余额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万元以上的款项；其他应收款余额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300 </w:t>
            </w:r>
            <w:r>
              <w:rPr>
                <w:rFonts w:ascii="宋体" w:hAnsi="宋体" w:cs="宋体" w:eastAsia="宋体" w:hint="default"/>
                <w:sz w:val="18"/>
                <w:szCs w:val="18"/>
              </w:rPr>
              <w:t>万 元以上的款项</w:t>
            </w:r>
          </w:p>
        </w:tc>
      </w:tr>
      <w:tr>
        <w:trPr>
          <w:trHeight w:val="1650"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69"/>
              <w:jc w:val="both"/>
              <w:rPr>
                <w:rFonts w:ascii="宋体" w:hAnsi="宋体" w:cs="宋体" w:eastAsia="宋体" w:hint="default"/>
                <w:sz w:val="18"/>
                <w:szCs w:val="18"/>
              </w:rPr>
            </w:pPr>
            <w:r>
              <w:rPr>
                <w:rFonts w:ascii="宋体" w:hAnsi="宋体" w:cs="宋体" w:eastAsia="宋体" w:hint="default"/>
                <w:sz w:val="18"/>
                <w:szCs w:val="18"/>
              </w:rPr>
              <w:t>应收账款余额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万元以上的款项；其他应收款余额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300 </w:t>
            </w:r>
            <w:r>
              <w:rPr>
                <w:rFonts w:ascii="宋体" w:hAnsi="宋体" w:cs="宋体" w:eastAsia="宋体" w:hint="default"/>
                <w:sz w:val="18"/>
                <w:szCs w:val="18"/>
              </w:rPr>
              <w:t>万 元以上的款项单独进行减值测试，如有客观证据表明其已发 生减值，按预计未来现金流量现值低于其账面价值的差额计 提坏账准备，计入当期损益。单独测试未发生减值的应收款 项，将其归入相应组合计提坏账准备。</w:t>
            </w:r>
          </w:p>
        </w:tc>
      </w:tr>
    </w:tbl>
    <w:p>
      <w:pPr>
        <w:spacing w:after="0" w:line="314" w:lineRule="auto"/>
        <w:jc w:val="both"/>
        <w:rPr>
          <w:rFonts w:ascii="宋体" w:hAnsi="宋体" w:cs="宋体" w:eastAsia="宋体" w:hint="default"/>
          <w:sz w:val="18"/>
          <w:szCs w:val="18"/>
        </w:rPr>
        <w:sectPr>
          <w:pgSz w:w="11910" w:h="16840"/>
          <w:pgMar w:header="877" w:footer="979" w:top="1060" w:bottom="1160" w:left="0" w:right="0"/>
        </w:sectPr>
      </w:pPr>
    </w:p>
    <w:p>
      <w:pPr>
        <w:spacing w:line="240" w:lineRule="auto" w:before="10"/>
        <w:rPr>
          <w:rFonts w:ascii="宋体" w:hAnsi="宋体" w:cs="宋体" w:eastAsia="宋体" w:hint="default"/>
          <w:b/>
          <w:bCs/>
          <w:sz w:val="24"/>
          <w:szCs w:val="24"/>
        </w:rPr>
      </w:pPr>
    </w:p>
    <w:p>
      <w:pPr>
        <w:pStyle w:val="Heading6"/>
        <w:spacing w:line="240" w:lineRule="auto" w:before="35"/>
        <w:ind w:left="1133" w:right="998"/>
        <w:jc w:val="left"/>
        <w:rPr>
          <w:b w:val="0"/>
          <w:bCs w:val="0"/>
        </w:rPr>
      </w:pPr>
      <w:bookmarkStart w:name="（2）按信用风险特征组合计提坏账准备的应收款项" w:id="195"/>
      <w:bookmarkEnd w:id="195"/>
      <w:r>
        <w:rPr>
          <w:b w:val="0"/>
          <w:bCs w:val="0"/>
        </w:rPr>
      </w:r>
      <w:r>
        <w:rPr/>
        <w:t>（</w:t>
      </w:r>
      <w:r>
        <w:rPr>
          <w:rFonts w:ascii="Times New Roman" w:hAnsi="Times New Roman" w:cs="Times New Roman" w:eastAsia="Times New Roman" w:hint="default"/>
        </w:rPr>
        <w:t>2</w:t>
      </w:r>
      <w:r>
        <w:rPr/>
        <w:t>）按信用风险特征组合计提坏账准备的应收款项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其他方法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其他方法</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组合中，采用账龄分析法计提坏账准备的：</w:t>
      </w:r>
    </w:p>
    <w:p>
      <w:pPr>
        <w:spacing w:before="117"/>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14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82"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组合中，采用余额百分比法计提坏账准备的：</w:t>
      </w:r>
    </w:p>
    <w:p>
      <w:pPr>
        <w:spacing w:line="340" w:lineRule="auto" w:before="116"/>
        <w:ind w:left="1133" w:right="75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组合中，采用其他方法计提坏账准备的：</w:t>
      </w:r>
    </w:p>
    <w:p>
      <w:pPr>
        <w:spacing w:before="4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12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70"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3）单项金额不重大但单独计提坏账准备的应收款项" w:id="196"/>
      <w:bookmarkEnd w:id="196"/>
      <w:r>
        <w:rPr>
          <w:b w:val="0"/>
          <w:bCs w:val="0"/>
        </w:rPr>
      </w:r>
      <w:r>
        <w:rPr/>
        <w:t>（</w:t>
      </w:r>
      <w:r>
        <w:rPr>
          <w:rFonts w:ascii="Times New Roman" w:hAnsi="Times New Roman" w:cs="Times New Roman" w:eastAsia="Times New Roman" w:hint="default"/>
        </w:rPr>
        <w:t>3</w:t>
      </w:r>
      <w:r>
        <w:rPr/>
        <w:t>）单项金额不重大但单独计提坏账准备的应收款项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对于单项金额不重大但需要单独进行减值测试的应收款项</w:t>
            </w:r>
          </w:p>
        </w:tc>
      </w:tr>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69"/>
              <w:jc w:val="left"/>
              <w:rPr>
                <w:rFonts w:ascii="宋体" w:hAnsi="宋体" w:cs="宋体" w:eastAsia="宋体" w:hint="default"/>
                <w:sz w:val="18"/>
                <w:szCs w:val="18"/>
              </w:rPr>
            </w:pPr>
            <w:r>
              <w:rPr>
                <w:rFonts w:ascii="宋体" w:hAnsi="宋体" w:cs="宋体" w:eastAsia="宋体" w:hint="default"/>
                <w:sz w:val="18"/>
                <w:szCs w:val="18"/>
              </w:rPr>
              <w:t>根据预计未来现金流量现值低于其账面价值的差额计提坏账 准备</w:t>
            </w:r>
          </w:p>
        </w:tc>
      </w:tr>
    </w:tbl>
    <w:p>
      <w:pPr>
        <w:spacing w:line="240" w:lineRule="auto" w:before="2"/>
        <w:rPr>
          <w:rFonts w:ascii="宋体" w:hAnsi="宋体" w:cs="宋体" w:eastAsia="宋体" w:hint="default"/>
          <w:b/>
          <w:bCs/>
          <w:sz w:val="19"/>
          <w:szCs w:val="19"/>
        </w:rPr>
      </w:pPr>
    </w:p>
    <w:p>
      <w:pPr>
        <w:pStyle w:val="Heading6"/>
        <w:spacing w:line="240" w:lineRule="auto" w:before="35"/>
        <w:ind w:right="998"/>
        <w:jc w:val="left"/>
        <w:rPr>
          <w:b w:val="0"/>
          <w:bCs w:val="0"/>
        </w:rPr>
      </w:pPr>
      <w:bookmarkStart w:name="12、存货" w:id="197"/>
      <w:bookmarkEnd w:id="197"/>
      <w:r>
        <w:rPr>
          <w:b w:val="0"/>
          <w:bCs w:val="0"/>
        </w:rPr>
      </w:r>
      <w:r>
        <w:rPr>
          <w:rFonts w:ascii="Times New Roman" w:hAnsi="Times New Roman" w:cs="Times New Roman" w:eastAsia="Times New Roman" w:hint="default"/>
        </w:rPr>
        <w:t>12</w:t>
      </w:r>
      <w:r>
        <w:rPr/>
        <w:t>、存货</w:t>
      </w:r>
      <w:r>
        <w:rPr>
          <w:b w:val="0"/>
          <w:bCs w:val="0"/>
        </w:rPr>
      </w:r>
    </w:p>
    <w:p>
      <w:pPr>
        <w:spacing w:line="240" w:lineRule="auto" w:before="8"/>
        <w:rPr>
          <w:rFonts w:ascii="宋体" w:hAnsi="宋体" w:cs="宋体" w:eastAsia="宋体" w:hint="default"/>
          <w:b/>
          <w:bCs/>
          <w:sz w:val="26"/>
          <w:szCs w:val="26"/>
        </w:rPr>
      </w:pPr>
    </w:p>
    <w:p>
      <w:pPr>
        <w:spacing w:line="360" w:lineRule="auto" w:before="0"/>
        <w:ind w:left="113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6"/>
        <w:ind w:left="1134" w:right="998" w:firstLine="0"/>
        <w:jc w:val="left"/>
        <w:rPr>
          <w:rFonts w:ascii="宋体" w:hAnsi="宋体" w:cs="宋体" w:eastAsia="宋体" w:hint="default"/>
          <w:sz w:val="18"/>
          <w:szCs w:val="18"/>
        </w:rPr>
      </w:pPr>
      <w:r>
        <w:rPr>
          <w:rFonts w:ascii="宋体" w:hAnsi="宋体" w:cs="宋体" w:eastAsia="宋体" w:hint="default"/>
          <w:sz w:val="18"/>
          <w:szCs w:val="18"/>
        </w:rPr>
        <w:t>互联网游戏业</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13、持有待售资产" w:id="198"/>
      <w:bookmarkEnd w:id="198"/>
      <w:r>
        <w:rPr>
          <w:b w:val="0"/>
          <w:bCs w:val="0"/>
        </w:rPr>
      </w:r>
      <w:r>
        <w:rPr>
          <w:rFonts w:ascii="Times New Roman" w:hAnsi="Times New Roman" w:cs="Times New Roman" w:eastAsia="Times New Roman" w:hint="default"/>
        </w:rPr>
        <w:t>13</w:t>
      </w:r>
      <w:r>
        <w:rPr/>
        <w:t>、持有待售资产</w:t>
      </w:r>
      <w:r>
        <w:rPr>
          <w:b w:val="0"/>
          <w:bCs w:val="0"/>
        </w:rPr>
      </w:r>
    </w:p>
    <w:p>
      <w:pPr>
        <w:spacing w:line="240" w:lineRule="auto" w:before="9"/>
        <w:rPr>
          <w:rFonts w:ascii="宋体" w:hAnsi="宋体" w:cs="宋体" w:eastAsia="宋体" w:hint="default"/>
          <w:b/>
          <w:bCs/>
          <w:sz w:val="24"/>
          <w:szCs w:val="24"/>
        </w:rPr>
      </w:pPr>
    </w:p>
    <w:p>
      <w:pPr>
        <w:pStyle w:val="BodyText"/>
        <w:spacing w:line="240" w:lineRule="auto"/>
        <w:ind w:left="1848" w:right="998"/>
        <w:jc w:val="left"/>
      </w:pPr>
      <w:r>
        <w:rPr/>
        <w:t>本公司将同时满足下列条件的非流动资产或处置组划分为持有待售类别：</w:t>
      </w:r>
    </w:p>
    <w:p>
      <w:pPr>
        <w:pStyle w:val="BodyText"/>
        <w:spacing w:line="240" w:lineRule="auto" w:before="37"/>
        <w:ind w:left="1848" w:right="998"/>
        <w:jc w:val="left"/>
      </w:pPr>
      <w:r>
        <w:rPr/>
        <w:t>（</w:t>
      </w:r>
      <w:r>
        <w:rPr>
          <w:rFonts w:ascii="Times New Roman" w:hAnsi="Times New Roman" w:cs="Times New Roman" w:eastAsia="Times New Roman" w:hint="default"/>
        </w:rPr>
        <w:t>1</w:t>
      </w:r>
      <w:r>
        <w:rPr/>
        <w:t>）根据类似交易中出售此类资产或处置组的惯例，在当前状况下即可立即出售；</w:t>
      </w:r>
    </w:p>
    <w:p>
      <w:pPr>
        <w:pStyle w:val="BodyText"/>
        <w:spacing w:line="256" w:lineRule="auto" w:before="21"/>
        <w:ind w:left="1848" w:right="1113"/>
        <w:jc w:val="left"/>
      </w:pPr>
      <w:r>
        <w:rPr/>
        <w:t>（</w:t>
      </w:r>
      <w:r>
        <w:rPr>
          <w:rFonts w:ascii="Times New Roman" w:hAnsi="Times New Roman" w:cs="Times New Roman" w:eastAsia="Times New Roman" w:hint="default"/>
        </w:rPr>
        <w:t>2</w:t>
      </w:r>
      <w:r>
        <w:rPr/>
        <w:t>）出售极可能发生，即本公司已经就一项出售计划作出决议且获得确定的购买承诺，预计出售 将在一年内完成。有关规定要求本公司相关权力机构或者监管部门批准后方可出售的，已经获得</w:t>
      </w:r>
    </w:p>
    <w:p>
      <w:pPr>
        <w:spacing w:after="0" w:line="256" w:lineRule="auto"/>
        <w:jc w:val="left"/>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BodyText"/>
        <w:spacing w:line="240" w:lineRule="auto" w:before="35"/>
        <w:ind w:left="1848" w:right="998"/>
        <w:jc w:val="left"/>
      </w:pPr>
      <w:r>
        <w:rPr/>
        <w:t>批准。</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pStyle w:val="Heading6"/>
        <w:spacing w:line="240" w:lineRule="auto"/>
        <w:ind w:right="998"/>
        <w:jc w:val="left"/>
        <w:rPr>
          <w:b w:val="0"/>
          <w:bCs w:val="0"/>
        </w:rPr>
      </w:pPr>
      <w:bookmarkStart w:name="14、长期股权投资" w:id="199"/>
      <w:bookmarkEnd w:id="199"/>
      <w:r>
        <w:rPr>
          <w:b w:val="0"/>
          <w:bCs w:val="0"/>
        </w:rPr>
      </w:r>
      <w:r>
        <w:rPr>
          <w:rFonts w:ascii="Times New Roman" w:hAnsi="Times New Roman" w:cs="Times New Roman" w:eastAsia="Times New Roman" w:hint="default"/>
        </w:rPr>
        <w:t>14</w:t>
      </w:r>
      <w:r>
        <w:rPr/>
        <w:t>、长期股权投资</w:t>
      </w:r>
      <w:r>
        <w:rPr>
          <w:b w:val="0"/>
          <w:bCs w:val="0"/>
        </w:rPr>
      </w:r>
    </w:p>
    <w:p>
      <w:pPr>
        <w:spacing w:line="240" w:lineRule="auto" w:before="8"/>
        <w:rPr>
          <w:rFonts w:ascii="宋体" w:hAnsi="宋体" w:cs="宋体" w:eastAsia="宋体" w:hint="default"/>
          <w:b/>
          <w:bCs/>
          <w:sz w:val="24"/>
          <w:szCs w:val="24"/>
        </w:rPr>
      </w:pPr>
    </w:p>
    <w:p>
      <w:pPr>
        <w:pStyle w:val="BodyText"/>
        <w:spacing w:line="273" w:lineRule="auto"/>
        <w:ind w:left="2410" w:right="1116" w:hanging="360"/>
        <w:jc w:val="left"/>
      </w:pPr>
      <w:r>
        <w:rPr>
          <w:rFonts w:ascii="宋体" w:hAnsi="宋体" w:cs="宋体" w:eastAsia="宋体" w:hint="default"/>
          <w:b/>
          <w:bCs/>
        </w:rPr>
        <w:t>1.</w:t>
      </w:r>
      <w:r>
        <w:rPr>
          <w:rFonts w:ascii="宋体" w:hAnsi="宋体" w:cs="宋体" w:eastAsia="宋体" w:hint="default"/>
          <w:b/>
          <w:bCs/>
          <w:spacing w:val="42"/>
        </w:rPr>
        <w:t> </w:t>
      </w:r>
      <w:r>
        <w:rPr>
          <w:rFonts w:ascii="宋体" w:hAnsi="宋体" w:cs="宋体" w:eastAsia="宋体" w:hint="default"/>
          <w:b/>
          <w:bCs/>
        </w:rPr>
        <w:t>共同控制、重大影响的判断标准</w:t>
      </w:r>
      <w:r>
        <w:rPr>
          <w:rFonts w:ascii="宋体" w:hAnsi="宋体" w:cs="宋体" w:eastAsia="宋体" w:hint="default"/>
          <w:b/>
          <w:bCs/>
          <w:w w:val="99"/>
        </w:rPr>
        <w:t> </w:t>
      </w:r>
      <w:r>
        <w:rPr>
          <w:spacing w:val="-1"/>
        </w:rPr>
        <w:t>共同控制，是指按照相关约定对某项安排所共有的控制，并且该安排的相关活动必须经过分</w:t>
      </w:r>
      <w:r>
        <w:rPr/>
        <w:t> </w:t>
      </w:r>
      <w:r>
        <w:rPr>
          <w:spacing w:val="-1"/>
        </w:rPr>
        <w:t>享控制权的参与方一致同意后才能决策。本公司与其他合营方一同对被投资单位实施共同控</w:t>
      </w:r>
      <w:r>
        <w:rPr/>
        <w:t> 制且对被投资单位净资产享有权利的，被投资单位为本公司的合营企业。 </w:t>
      </w:r>
      <w:r>
        <w:rPr>
          <w:spacing w:val="-1"/>
        </w:rPr>
        <w:t>重大影响，是指对一个企业的财务和经营决策有参与决策的权力，但并不能够控制或者与其</w:t>
      </w:r>
      <w:r>
        <w:rPr/>
        <w:t> </w:t>
      </w:r>
      <w:r>
        <w:rPr>
          <w:spacing w:val="-1"/>
        </w:rPr>
        <w:t>他方一起共同控制这些政策的制定。本公司能够对被投资单位施加重大影响的，被投资单位</w:t>
      </w:r>
      <w:r>
        <w:rPr/>
        <w:t> 为本公司联营企业。</w:t>
      </w:r>
    </w:p>
    <w:p>
      <w:pPr>
        <w:spacing w:line="240" w:lineRule="auto" w:before="6"/>
        <w:rPr>
          <w:rFonts w:ascii="宋体" w:hAnsi="宋体" w:cs="宋体" w:eastAsia="宋体" w:hint="default"/>
          <w:sz w:val="24"/>
          <w:szCs w:val="24"/>
        </w:rPr>
      </w:pPr>
    </w:p>
    <w:p>
      <w:pPr>
        <w:pStyle w:val="Heading6"/>
        <w:spacing w:line="240" w:lineRule="auto"/>
        <w:ind w:left="2050" w:right="998"/>
        <w:jc w:val="left"/>
        <w:rPr>
          <w:b w:val="0"/>
          <w:bCs w:val="0"/>
        </w:rPr>
      </w:pPr>
      <w:r>
        <w:rPr>
          <w:rFonts w:ascii="宋体" w:hAnsi="宋体" w:cs="宋体" w:eastAsia="宋体" w:hint="default"/>
        </w:rPr>
        <w:t>1.</w:t>
      </w:r>
      <w:r>
        <w:rPr>
          <w:rFonts w:ascii="宋体" w:hAnsi="宋体" w:cs="宋体" w:eastAsia="宋体" w:hint="default"/>
          <w:spacing w:val="39"/>
        </w:rPr>
        <w:t> </w:t>
      </w:r>
      <w:r>
        <w:rPr/>
        <w:t>初始投资成本的确定</w:t>
      </w:r>
      <w:r>
        <w:rPr>
          <w:b w:val="0"/>
          <w:bCs w:val="0"/>
        </w:rPr>
      </w:r>
    </w:p>
    <w:p>
      <w:pPr>
        <w:pStyle w:val="BodyText"/>
        <w:spacing w:line="271" w:lineRule="auto" w:before="37"/>
        <w:ind w:left="2410" w:right="1116"/>
        <w:jc w:val="left"/>
      </w:pPr>
      <w:r>
        <w:rPr/>
        <w:t>（</w:t>
      </w:r>
      <w:r>
        <w:rPr>
          <w:rFonts w:ascii="Times New Roman" w:hAnsi="Times New Roman" w:cs="Times New Roman" w:eastAsia="Times New Roman" w:hint="default"/>
        </w:rPr>
        <w:t>1</w:t>
      </w:r>
      <w:r>
        <w:rPr/>
        <w:t>）企业合并形成的长期股权投资 </w:t>
      </w:r>
      <w:r>
        <w:rPr>
          <w:spacing w:val="-1"/>
        </w:rPr>
        <w:t>同一控制下的企业合并：公司以支付现金、转让非现金资产或承担债务方式以及以发行权益</w:t>
      </w:r>
      <w:r>
        <w:rPr/>
        <w:t> </w:t>
      </w:r>
      <w:r>
        <w:rPr>
          <w:spacing w:val="-1"/>
        </w:rPr>
        <w:t>性证券作为合并对价的，在合并日按照取得被合并方所有者权益在最终控制方合并财务报表</w:t>
      </w:r>
      <w:r>
        <w:rPr/>
        <w:t> </w:t>
      </w:r>
      <w:r>
        <w:rPr>
          <w:spacing w:val="-1"/>
        </w:rPr>
        <w:t>中的账面价值的份额作为长期股权投资的初始投资成本。因追加投资等原因能够对同一控制</w:t>
      </w:r>
      <w:r>
        <w:rPr/>
        <w:t> </w:t>
      </w:r>
      <w:r>
        <w:rPr>
          <w:spacing w:val="-1"/>
        </w:rPr>
        <w:t>下的被投资单位实施控制的，在合并日根据合并后应享有被合并方净资产在最终控制方合并</w:t>
      </w:r>
      <w:r>
        <w:rPr/>
        <w:t> </w:t>
      </w:r>
      <w:r>
        <w:rPr>
          <w:spacing w:val="-1"/>
        </w:rPr>
        <w:t>财务报表中的账面价值的份额，确定长期股权投资的初始投资成本。合并日长期股权投资的</w:t>
      </w:r>
      <w:r>
        <w:rPr/>
        <w:t> </w:t>
      </w:r>
      <w:r>
        <w:rPr>
          <w:spacing w:val="-1"/>
        </w:rPr>
        <w:t>初始投资成本，与达到合并前的长期股权投资账面价值加上合并日进一步取得股份新支付对</w:t>
      </w:r>
      <w:r>
        <w:rPr/>
        <w:t> 价的账面价值之和的差额，调整股本溢价，股本溢价不足冲减的，冲减留存收益。 </w:t>
      </w:r>
      <w:r>
        <w:rPr>
          <w:spacing w:val="-1"/>
        </w:rPr>
        <w:t>非同一控制下的企业合并：公司按照购买日确定的合并成本作为长期股权投资的初始投资成</w:t>
      </w:r>
      <w:r>
        <w:rPr/>
        <w:t> </w:t>
      </w:r>
      <w:r>
        <w:rPr>
          <w:spacing w:val="-1"/>
        </w:rPr>
        <w:t>本。因追加投资等原因能够对非同一控制下的被投资单位实施控制的，按照原持有的股权投</w:t>
      </w:r>
      <w:r>
        <w:rPr/>
        <w:t> 资账面价值加上新增投资成本之和，作为改按成本法核算的初始投资成本。</w:t>
      </w:r>
    </w:p>
    <w:p>
      <w:pPr>
        <w:pStyle w:val="BodyText"/>
        <w:spacing w:line="271" w:lineRule="auto" w:before="10"/>
        <w:ind w:left="2410" w:right="1116"/>
        <w:jc w:val="left"/>
      </w:pPr>
      <w:r>
        <w:rPr/>
        <w:t>（</w:t>
      </w:r>
      <w:r>
        <w:rPr>
          <w:rFonts w:ascii="Times New Roman" w:hAnsi="Times New Roman" w:cs="Times New Roman" w:eastAsia="Times New Roman" w:hint="default"/>
        </w:rPr>
        <w:t>2</w:t>
      </w:r>
      <w:r>
        <w:rPr/>
        <w:t>）其他方式取得的长期股权投资 以支付现金方式取得的长期股权投资，按照实际支付的购买价款作为初始投资成本。 以发行权益性证券取得的长期股权投资，按照发行权益性证券的公允价值作为初始投资成 本。 </w:t>
      </w:r>
      <w:r>
        <w:rPr>
          <w:spacing w:val="3"/>
        </w:rPr>
        <w:t>在非货币性资产交换具备商业实质和换入资产或换出资产的公允价值能够可靠计量的前提</w:t>
      </w:r>
      <w:r>
        <w:rPr>
          <w:spacing w:val="-77"/>
        </w:rPr>
        <w:t> </w:t>
      </w:r>
      <w:r>
        <w:rPr>
          <w:spacing w:val="-77"/>
        </w:rPr>
      </w:r>
      <w:r>
        <w:rPr>
          <w:spacing w:val="-1"/>
        </w:rPr>
        <w:t>下，非货币性资产交换换入的长期股权投资以换出资产的公允价值和应支付的相关税费确定</w:t>
      </w:r>
      <w:r>
        <w:rPr/>
        <w:t> </w:t>
      </w:r>
      <w:r>
        <w:rPr>
          <w:spacing w:val="-1"/>
        </w:rPr>
        <w:t>其初始投资成本，除非有确凿证据表明换入资产的公允价值更加可靠；不满足上述前提的非</w:t>
      </w:r>
      <w:r>
        <w:rPr/>
        <w:t> </w:t>
      </w:r>
      <w:r>
        <w:rPr>
          <w:spacing w:val="-1"/>
        </w:rPr>
        <w:t>货币性资产交换，以换出资产的账面价值和应支付的相关税费作为换入长期股权投资的初始</w:t>
      </w:r>
      <w:r>
        <w:rPr/>
        <w:t> 投资成本。 通过债务重组取得的长期股权投资，其初始投资成本按照公允价值为基础确定。</w:t>
      </w:r>
    </w:p>
    <w:p>
      <w:pPr>
        <w:spacing w:line="240" w:lineRule="auto" w:before="8"/>
        <w:rPr>
          <w:rFonts w:ascii="宋体" w:hAnsi="宋体" w:cs="宋体" w:eastAsia="宋体" w:hint="default"/>
          <w:sz w:val="24"/>
          <w:szCs w:val="24"/>
        </w:rPr>
      </w:pPr>
    </w:p>
    <w:p>
      <w:pPr>
        <w:pStyle w:val="Heading6"/>
        <w:spacing w:line="240" w:lineRule="auto"/>
        <w:ind w:left="2050" w:right="998"/>
        <w:jc w:val="left"/>
        <w:rPr>
          <w:b w:val="0"/>
          <w:bCs w:val="0"/>
        </w:rPr>
      </w:pPr>
      <w:r>
        <w:rPr>
          <w:rFonts w:ascii="宋体" w:hAnsi="宋体" w:cs="宋体" w:eastAsia="宋体" w:hint="default"/>
        </w:rPr>
        <w:t>1.</w:t>
      </w:r>
      <w:r>
        <w:rPr>
          <w:rFonts w:ascii="宋体" w:hAnsi="宋体" w:cs="宋体" w:eastAsia="宋体" w:hint="default"/>
          <w:spacing w:val="38"/>
        </w:rPr>
        <w:t> </w:t>
      </w:r>
      <w:r>
        <w:rPr/>
        <w:t>后续计量及损益确认方法</w:t>
      </w:r>
      <w:r>
        <w:rPr>
          <w:b w:val="0"/>
          <w:bCs w:val="0"/>
        </w:rPr>
      </w:r>
    </w:p>
    <w:p>
      <w:pPr>
        <w:pStyle w:val="BodyText"/>
        <w:spacing w:line="268" w:lineRule="auto" w:before="37"/>
        <w:ind w:left="2410" w:right="1116"/>
        <w:jc w:val="left"/>
      </w:pPr>
      <w:r>
        <w:rPr/>
        <w:t>（</w:t>
      </w:r>
      <w:r>
        <w:rPr>
          <w:rFonts w:ascii="Times New Roman" w:hAnsi="Times New Roman" w:cs="Times New Roman" w:eastAsia="Times New Roman" w:hint="default"/>
        </w:rPr>
        <w:t>1</w:t>
      </w:r>
      <w:r>
        <w:rPr/>
        <w:t>）成本法核算的长期股权投资 </w:t>
      </w:r>
      <w:r>
        <w:rPr>
          <w:spacing w:val="-1"/>
        </w:rPr>
        <w:t>公司对子公司的长期股权投资，采用成本法核算。除取得投资时实际支付的价款或对价中包</w:t>
      </w:r>
      <w:r>
        <w:rPr/>
        <w:t> </w:t>
      </w:r>
      <w:r>
        <w:rPr>
          <w:spacing w:val="-1"/>
        </w:rPr>
        <w:t>含的已宣告但尚未发放的现金股利或利润外，公司按照享有被投资单位宣告发放的现金股利</w:t>
      </w:r>
      <w:r>
        <w:rPr/>
        <w:t> 或利润确认当期投资收益。</w:t>
      </w:r>
    </w:p>
    <w:p>
      <w:pPr>
        <w:pStyle w:val="BodyText"/>
        <w:spacing w:line="264" w:lineRule="auto" w:before="12"/>
        <w:ind w:left="2410" w:right="1116"/>
        <w:jc w:val="left"/>
      </w:pPr>
      <w:r>
        <w:rPr/>
        <w:t>（</w:t>
      </w:r>
      <w:r>
        <w:rPr>
          <w:rFonts w:ascii="Times New Roman" w:hAnsi="Times New Roman" w:cs="Times New Roman" w:eastAsia="Times New Roman" w:hint="default"/>
        </w:rPr>
        <w:t>2</w:t>
      </w:r>
      <w:r>
        <w:rPr/>
        <w:t>）权益法核算的长期股权投资 </w:t>
      </w:r>
      <w:r>
        <w:rPr>
          <w:spacing w:val="-1"/>
        </w:rPr>
        <w:t>对联营企业和合营企业的长期股权投资，采用权益法核算。初始投资成本大于投资时应享有</w:t>
      </w:r>
      <w:r>
        <w:rPr/>
        <w:t> </w:t>
      </w:r>
      <w:r>
        <w:rPr>
          <w:spacing w:val="-1"/>
        </w:rPr>
        <w:t>被投资单位可辨认净资产公允价值份额的差额，不调整长期股权投资的初始投资成本；初始</w:t>
      </w:r>
    </w:p>
    <w:p>
      <w:pPr>
        <w:spacing w:after="0" w:line="264" w:lineRule="auto"/>
        <w:jc w:val="left"/>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BodyText"/>
        <w:spacing w:line="271" w:lineRule="auto" w:before="35"/>
        <w:ind w:left="2409" w:right="998"/>
        <w:jc w:val="left"/>
      </w:pPr>
      <w:r>
        <w:rPr/>
        <w:t>投资成本小于投资时应享有被投资单位可辨认净资产公允价值份额的差额，计入当期损益。 公司按照应享有或应分担的被投资单位实现的净损益和其他综合收益的份额，分别确认投资 收益和其他综合收益，同时调整长期股权投资的账面价值；按照被投资单位宣告分派的利润 或现金股利计算应享有的部分，相应减少长期股权投资的账面价值；对于被投资单位除净损 益、其他综合收益和利润分配以外所有者权益的其他变动，调整长期股权投资的账面价值并 计入所有者权益。 在确认应享有被投资单位净损益的份额时，以取得投资时被投资单位可辨认净资产的公允价 值为基础，并按照公司的会计政策及会计期间，对被投资单位的净利润进行调整后确认。在 持有投资期间，被投资单位编制合并财务报表的，以合并财务报表中的净利润、其他综合收 益和其他所有者权益变动中归属于被投资单位的金额为基础进行核算。 公司与联营企业、合营企业之间发生的未实现内部交易损益按照应享有的比例计算归属于公 </w:t>
      </w:r>
      <w:r>
        <w:rPr>
          <w:spacing w:val="-4"/>
        </w:rPr>
        <w:t>司的部分，予以抵销，在此基础上确认投资收益。与被投资单位发生的未实现内部交易损失，</w:t>
      </w:r>
      <w:r>
        <w:rPr>
          <w:spacing w:val="-87"/>
        </w:rPr>
        <w:t> </w:t>
      </w:r>
      <w:r>
        <w:rPr>
          <w:spacing w:val="-87"/>
        </w:rPr>
      </w:r>
      <w:r>
        <w:rPr/>
        <w:t>属于资产减值损失的，全额确认。公司与联营企业、合营企业之间发生投出或出售资产的交</w:t>
      </w:r>
      <w:r>
        <w:rPr/>
        <w:t> 易，该资产构成业务的，按照本附注</w:t>
      </w:r>
      <w:r>
        <w:rPr>
          <w:rFonts w:ascii="Times New Roman" w:hAnsi="Times New Roman" w:cs="Times New Roman" w:eastAsia="Times New Roman" w:hint="default"/>
        </w:rPr>
        <w:t>“</w:t>
      </w:r>
      <w:r>
        <w:rPr/>
        <w:t>三、（四）同一控制下和非同一控制下企业合并的会 计处理方法</w:t>
      </w:r>
      <w:r>
        <w:rPr>
          <w:rFonts w:ascii="Times New Roman" w:hAnsi="Times New Roman" w:cs="Times New Roman" w:eastAsia="Times New Roman" w:hint="default"/>
        </w:rPr>
        <w:t>”</w:t>
      </w:r>
      <w:r>
        <w:rPr/>
        <w:t>和</w:t>
      </w:r>
      <w:r>
        <w:rPr>
          <w:rFonts w:ascii="Times New Roman" w:hAnsi="Times New Roman" w:cs="Times New Roman" w:eastAsia="Times New Roman" w:hint="default"/>
        </w:rPr>
        <w:t>“</w:t>
      </w:r>
      <w:r>
        <w:rPr/>
        <w:t>三、（五）合并财务报表的编制方法</w:t>
      </w:r>
      <w:r>
        <w:rPr>
          <w:rFonts w:ascii="Times New Roman" w:hAnsi="Times New Roman" w:cs="Times New Roman" w:eastAsia="Times New Roman" w:hint="default"/>
        </w:rPr>
        <w:t>”</w:t>
      </w:r>
      <w:r>
        <w:rPr/>
        <w:t>中披露的相关政策进行会计处理。 在公司确认应分担被投资单位发生的亏损时，按照以下顺序进行处理：首先，冲减长期股权 投资的账面价值。其次，长期股权投资的账面价值不足以冲减的，以其他实质上构成对被投 资单位净投资的长期权益账面价值为限继续确认投资损失，冲减长期应收项目等的账面价 值。最后，经过上述处理，按照投资合同或协议约定企业仍承担额外义务的，按预计承担的 义务确认预计负债，计入当期投资损失。</w:t>
      </w:r>
    </w:p>
    <w:p>
      <w:pPr>
        <w:pStyle w:val="BodyText"/>
        <w:spacing w:line="271" w:lineRule="auto" w:before="10"/>
        <w:ind w:left="2409" w:right="998"/>
        <w:jc w:val="left"/>
      </w:pPr>
      <w:r>
        <w:rPr/>
        <w:t>（</w:t>
      </w:r>
      <w:r>
        <w:rPr>
          <w:rFonts w:ascii="Times New Roman" w:hAnsi="Times New Roman" w:cs="Times New Roman" w:eastAsia="Times New Roman" w:hint="default"/>
        </w:rPr>
        <w:t>3</w:t>
      </w:r>
      <w:r>
        <w:rPr/>
        <w:t>）长期股权投资的处置 处置长期股权投资，其账面价值与实际取得价款的差额，计入当期损益。 采用权益法核算的长期股权投资，在处置该项投资时，采用与被投资单位直接处置相关资产 或负债相同的基础，按相应比例对原计入其他综合收益的部分进行会计处理。因被投资单位 除净损益、其他综合收益和利润分配以外的其他所有者权益变动而确认的所有者权益，按比 例结转入当期损益，由于被投资方重新计量设定受益计划净负债或净资产变动而产生的其他 综合收益除外。 因处置部分股权投资等原因丧失了对被投资单位的共同控制或重大影响的，处置后的剩余股 权改按金融工具确认和计量准则核算，其在丧失共同控制或重大影响之日的公允价值与账面 价值之间的差额计入当期损益。原股权投资因采用权益法核算而确认的其他综合收益，在终 止采用权益法核算时采用与被投资单位直接处置相关资产或负债相同的基础进行会计处理。 因被投资方除净损益、其他综合收益和利润分配以外的其他所有者权益变动而确认的所有者 权益，在终止采用权益法核算时全部转入当期损益。 因处置部分股权投资、因其他投资方对子公司增资而导致本公司持股比例下降等原因丧失了 对被投资单位控制权的，在编制个别财务报表时，剩余股权能够对被投资单位实施共同控制 </w:t>
      </w:r>
      <w:r>
        <w:rPr>
          <w:spacing w:val="-4"/>
        </w:rPr>
        <w:t>或重大影响的，改按权益法核算，并对该剩余股权视同自取得时即采用权益法核算进行调整；</w:t>
      </w:r>
      <w:r>
        <w:rPr>
          <w:spacing w:val="-86"/>
        </w:rPr>
        <w:t> </w:t>
      </w:r>
      <w:r>
        <w:rPr>
          <w:spacing w:val="-86"/>
        </w:rPr>
      </w:r>
      <w:r>
        <w:rPr/>
        <w:t>剩余股权不能对被投资单位实施共同控制或施加重大影响的，改按金融工具确认和计量准则</w:t>
      </w:r>
      <w:r>
        <w:rPr/>
        <w:t> 的有关规定进行会计处理，其在丧失控制之日的公允价值与账面价值间的差额计入当期损 益。 处置的股权是因追加投资等原因通过企业合并取得的，在编制个别财务报表时，处置后的剩 余股权采用成本法或权益法核算的，购买日之前持有的股权投资因采用权益法核算而确认的 其他综合收益和其他所有者权益按比例结转；处置后的剩余股权改按金融工具确认和计量准 则进行会计处理的，其他综合收益和其他所有者权益全部结转。</w:t>
      </w:r>
    </w:p>
    <w:p>
      <w:pPr>
        <w:spacing w:after="0" w:line="271" w:lineRule="auto"/>
        <w:jc w:val="left"/>
        <w:sectPr>
          <w:pgSz w:w="11910" w:h="16840"/>
          <w:pgMar w:header="87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right="998"/>
        <w:jc w:val="left"/>
        <w:rPr>
          <w:b w:val="0"/>
          <w:bCs w:val="0"/>
        </w:rPr>
      </w:pPr>
      <w:bookmarkStart w:name="15、投资性房地产" w:id="200"/>
      <w:bookmarkEnd w:id="200"/>
      <w:r>
        <w:rPr>
          <w:b w:val="0"/>
          <w:bCs w:val="0"/>
        </w:rPr>
      </w:r>
      <w:r>
        <w:rPr>
          <w:rFonts w:ascii="Times New Roman" w:hAnsi="Times New Roman" w:cs="Times New Roman" w:eastAsia="Times New Roman" w:hint="default"/>
        </w:rPr>
        <w:t>15</w:t>
      </w:r>
      <w:r>
        <w:rPr/>
        <w:t>、投资性房地产</w:t>
      </w:r>
      <w:r>
        <w:rPr>
          <w:b w:val="0"/>
          <w:bCs w:val="0"/>
        </w:rPr>
      </w:r>
    </w:p>
    <w:p>
      <w:pPr>
        <w:spacing w:line="240" w:lineRule="auto" w:before="8"/>
        <w:rPr>
          <w:rFonts w:ascii="宋体" w:hAnsi="宋体" w:cs="宋体" w:eastAsia="宋体" w:hint="default"/>
          <w:b/>
          <w:bCs/>
          <w:sz w:val="26"/>
          <w:szCs w:val="26"/>
        </w:rPr>
      </w:pPr>
    </w:p>
    <w:p>
      <w:pPr>
        <w:spacing w:line="357" w:lineRule="auto" w:before="0"/>
        <w:ind w:left="1134" w:right="8952" w:firstLine="0"/>
        <w:jc w:val="left"/>
        <w:rPr>
          <w:rFonts w:ascii="宋体" w:hAnsi="宋体" w:cs="宋体" w:eastAsia="宋体" w:hint="default"/>
          <w:sz w:val="18"/>
          <w:szCs w:val="18"/>
        </w:rPr>
      </w:pPr>
      <w:r>
        <w:rPr>
          <w:rFonts w:ascii="宋体" w:hAnsi="宋体" w:cs="宋体" w:eastAsia="宋体" w:hint="default"/>
          <w:sz w:val="18"/>
          <w:szCs w:val="18"/>
        </w:rPr>
        <w:t>投资性房地产计量模式 不适用</w:t>
      </w:r>
    </w:p>
    <w:p>
      <w:pPr>
        <w:spacing w:line="240" w:lineRule="auto" w:before="1"/>
        <w:rPr>
          <w:rFonts w:ascii="宋体" w:hAnsi="宋体" w:cs="宋体" w:eastAsia="宋体" w:hint="default"/>
          <w:sz w:val="20"/>
          <w:szCs w:val="20"/>
        </w:rPr>
      </w:pPr>
    </w:p>
    <w:p>
      <w:pPr>
        <w:pStyle w:val="Heading6"/>
        <w:spacing w:line="240" w:lineRule="auto"/>
        <w:ind w:right="998"/>
        <w:jc w:val="left"/>
        <w:rPr>
          <w:b w:val="0"/>
          <w:bCs w:val="0"/>
        </w:rPr>
      </w:pPr>
      <w:bookmarkStart w:name="16、固定资产" w:id="201"/>
      <w:bookmarkEnd w:id="201"/>
      <w:r>
        <w:rPr>
          <w:b w:val="0"/>
          <w:bCs w:val="0"/>
        </w:rPr>
      </w:r>
      <w:r>
        <w:rPr>
          <w:rFonts w:ascii="Times New Roman" w:hAnsi="Times New Roman" w:cs="Times New Roman" w:eastAsia="Times New Roman" w:hint="default"/>
        </w:rPr>
        <w:t>16</w:t>
      </w:r>
      <w:r>
        <w:rPr/>
        <w:t>、固定资产</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确认条件" w:id="202"/>
      <w:bookmarkEnd w:id="202"/>
      <w:r>
        <w:rPr>
          <w:b w:val="0"/>
          <w:bCs w:val="0"/>
        </w:rPr>
      </w:r>
      <w:r>
        <w:rPr/>
        <w:t>（</w:t>
      </w:r>
      <w:r>
        <w:rPr>
          <w:rFonts w:ascii="Times New Roman" w:hAnsi="Times New Roman" w:cs="Times New Roman" w:eastAsia="Times New Roman" w:hint="default"/>
        </w:rPr>
        <w:t>1</w:t>
      </w:r>
      <w:r>
        <w:rPr/>
        <w:t>）确认条件</w:t>
      </w:r>
      <w:r>
        <w:rPr>
          <w:b w:val="0"/>
          <w:bCs w:val="0"/>
        </w:rPr>
      </w:r>
    </w:p>
    <w:p>
      <w:pPr>
        <w:spacing w:line="240" w:lineRule="auto" w:before="8"/>
        <w:rPr>
          <w:rFonts w:ascii="宋体" w:hAnsi="宋体" w:cs="宋体" w:eastAsia="宋体" w:hint="default"/>
          <w:b/>
          <w:bCs/>
          <w:sz w:val="26"/>
          <w:szCs w:val="26"/>
        </w:rPr>
      </w:pPr>
    </w:p>
    <w:p>
      <w:pPr>
        <w:spacing w:line="319" w:lineRule="auto" w:before="0"/>
        <w:ind w:left="1134" w:right="998" w:firstLine="0"/>
        <w:jc w:val="left"/>
        <w:rPr>
          <w:rFonts w:ascii="宋体" w:hAnsi="宋体" w:cs="宋体" w:eastAsia="宋体" w:hint="default"/>
          <w:sz w:val="18"/>
          <w:szCs w:val="18"/>
        </w:rPr>
      </w:pPr>
      <w:r>
        <w:rPr>
          <w:rFonts w:ascii="宋体" w:hAnsi="宋体" w:cs="宋体" w:eastAsia="宋体" w:hint="default"/>
          <w:spacing w:val="-2"/>
          <w:sz w:val="18"/>
          <w:szCs w:val="18"/>
        </w:rPr>
        <w:t>固定资产指为生产商品、提供劳务、出租或经营管理而持有，并且使用寿命超过一个会计年度的有形资产。固定资产在同时</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4"/>
          <w:sz w:val="18"/>
          <w:szCs w:val="18"/>
        </w:rPr>
        <w:t>满足下列条件时予以确认：（</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）与该固定资产有关的经济利益很可能流入企业；（</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）该固定资产的成本能够可靠地计量。</w:t>
      </w:r>
    </w:p>
    <w:p>
      <w:pPr>
        <w:spacing w:line="240" w:lineRule="auto" w:before="9"/>
        <w:rPr>
          <w:rFonts w:ascii="宋体" w:hAnsi="宋体" w:cs="宋体" w:eastAsia="宋体" w:hint="default"/>
          <w:sz w:val="20"/>
          <w:szCs w:val="20"/>
        </w:rPr>
      </w:pPr>
    </w:p>
    <w:p>
      <w:pPr>
        <w:pStyle w:val="Heading6"/>
        <w:spacing w:line="240" w:lineRule="auto"/>
        <w:ind w:left="1133" w:right="998"/>
        <w:jc w:val="left"/>
        <w:rPr>
          <w:b w:val="0"/>
          <w:bCs w:val="0"/>
        </w:rPr>
      </w:pPr>
      <w:bookmarkStart w:name="（2）折旧方法" w:id="203"/>
      <w:bookmarkEnd w:id="203"/>
      <w:r>
        <w:rPr>
          <w:b w:val="0"/>
          <w:bCs w:val="0"/>
        </w:rPr>
      </w:r>
      <w:r>
        <w:rPr/>
        <w:t>（</w:t>
      </w:r>
      <w:r>
        <w:rPr>
          <w:rFonts w:ascii="Times New Roman" w:hAnsi="Times New Roman" w:cs="Times New Roman" w:eastAsia="Times New Roman" w:hint="default"/>
        </w:rPr>
        <w:t>2</w:t>
      </w:r>
      <w:r>
        <w:rPr/>
        <w:t>）折旧方法</w:t>
      </w:r>
      <w:r>
        <w:rPr>
          <w:b w:val="0"/>
          <w:bCs w:val="0"/>
        </w:rPr>
      </w:r>
    </w:p>
    <w:p>
      <w:pPr>
        <w:spacing w:line="240" w:lineRule="auto" w:before="10"/>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残值率</w:t>
            </w:r>
            <w:r>
              <w:rPr>
                <w:rFonts w:ascii="Times New Roman" w:hAnsi="Times New Roman" w:cs="Times New Roman" w:eastAsia="Times New Roman" w:hint="default"/>
                <w:sz w:val="18"/>
                <w:szCs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年折旧率</w:t>
            </w:r>
            <w:r>
              <w:rPr>
                <w:rFonts w:ascii="Times New Roman" w:hAnsi="Times New Roman" w:cs="Times New Roman" w:eastAsia="Times New Roman" w:hint="default"/>
                <w:sz w:val="18"/>
                <w:szCs w:val="18"/>
              </w:rPr>
              <w:t>%</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4.75</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9.50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计算机及办公设备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31.67-19.00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服务器</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31.67-19.00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办公家具</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48.00-19.00</w:t>
            </w:r>
          </w:p>
        </w:tc>
      </w:tr>
    </w:tbl>
    <w:p>
      <w:pPr>
        <w:spacing w:line="240" w:lineRule="auto" w:before="3"/>
        <w:rPr>
          <w:rFonts w:ascii="宋体" w:hAnsi="宋体" w:cs="宋体" w:eastAsia="宋体" w:hint="default"/>
          <w:b/>
          <w:bCs/>
          <w:sz w:val="19"/>
          <w:szCs w:val="19"/>
        </w:rPr>
      </w:pPr>
    </w:p>
    <w:p>
      <w:pPr>
        <w:pStyle w:val="Heading6"/>
        <w:spacing w:line="240" w:lineRule="auto" w:before="35"/>
        <w:ind w:right="998"/>
        <w:jc w:val="left"/>
        <w:rPr>
          <w:b w:val="0"/>
          <w:bCs w:val="0"/>
        </w:rPr>
      </w:pPr>
      <w:bookmarkStart w:name="（3）融资租入固定资产的认定依据、计价和折旧方法" w:id="204"/>
      <w:bookmarkEnd w:id="204"/>
      <w:r>
        <w:rPr>
          <w:b w:val="0"/>
          <w:bCs w:val="0"/>
        </w:rPr>
      </w: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7"/>
        <w:rPr>
          <w:rFonts w:ascii="宋体" w:hAnsi="宋体" w:cs="宋体" w:eastAsia="宋体" w:hint="default"/>
          <w:b/>
          <w:bCs/>
          <w:sz w:val="26"/>
          <w:szCs w:val="26"/>
        </w:rPr>
      </w:pPr>
    </w:p>
    <w:p>
      <w:pPr>
        <w:spacing w:line="319" w:lineRule="auto" w:before="0"/>
        <w:ind w:left="1134" w:right="1032" w:firstLine="0"/>
        <w:jc w:val="left"/>
        <w:rPr>
          <w:rFonts w:ascii="宋体" w:hAnsi="宋体" w:cs="宋体" w:eastAsia="宋体" w:hint="default"/>
          <w:sz w:val="18"/>
          <w:szCs w:val="18"/>
        </w:rPr>
      </w:pPr>
      <w:r>
        <w:rPr>
          <w:rFonts w:ascii="宋体" w:hAnsi="宋体" w:cs="宋体" w:eastAsia="宋体" w:hint="default"/>
          <w:spacing w:val="-4"/>
          <w:sz w:val="18"/>
          <w:szCs w:val="18"/>
        </w:rPr>
        <w:t>融资租赁方式租入的固定资产，能合理确定租赁期届满时将会取得租赁资产所有权的，在租赁资产尚可使用年限内计提折旧；</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无法合理确定租赁期届满时能够取得租赁资产所有权的，在租赁期与租赁资产尚可使用年限两者中较短的期间内计提折旧。</w:t>
      </w:r>
    </w:p>
    <w:p>
      <w:pPr>
        <w:spacing w:line="240" w:lineRule="auto" w:before="3"/>
        <w:rPr>
          <w:rFonts w:ascii="宋体" w:hAnsi="宋体" w:cs="宋体" w:eastAsia="宋体" w:hint="default"/>
          <w:sz w:val="22"/>
          <w:szCs w:val="22"/>
        </w:rPr>
      </w:pPr>
    </w:p>
    <w:p>
      <w:pPr>
        <w:pStyle w:val="Heading6"/>
        <w:spacing w:line="240" w:lineRule="auto"/>
        <w:ind w:right="998"/>
        <w:jc w:val="left"/>
        <w:rPr>
          <w:b w:val="0"/>
          <w:bCs w:val="0"/>
        </w:rPr>
      </w:pPr>
      <w:bookmarkStart w:name="17、在建工程" w:id="205"/>
      <w:bookmarkEnd w:id="205"/>
      <w:r>
        <w:rPr>
          <w:b w:val="0"/>
          <w:bCs w:val="0"/>
        </w:rPr>
      </w:r>
      <w:r>
        <w:rPr>
          <w:rFonts w:ascii="Times New Roman" w:hAnsi="Times New Roman" w:cs="Times New Roman" w:eastAsia="Times New Roman" w:hint="default"/>
        </w:rPr>
        <w:t>17</w:t>
      </w:r>
      <w:r>
        <w:rPr/>
        <w:t>、在建工程</w:t>
      </w:r>
      <w:r>
        <w:rPr>
          <w:b w:val="0"/>
          <w:bCs w:val="0"/>
        </w:rPr>
      </w:r>
    </w:p>
    <w:p>
      <w:pPr>
        <w:spacing w:line="240" w:lineRule="auto" w:before="9"/>
        <w:rPr>
          <w:rFonts w:ascii="宋体" w:hAnsi="宋体" w:cs="宋体" w:eastAsia="宋体" w:hint="default"/>
          <w:b/>
          <w:bCs/>
          <w:sz w:val="26"/>
          <w:szCs w:val="26"/>
        </w:rPr>
      </w:pPr>
    </w:p>
    <w:p>
      <w:pPr>
        <w:spacing w:line="357" w:lineRule="auto" w:before="0"/>
        <w:ind w:left="113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9"/>
        <w:ind w:left="1134" w:right="998" w:firstLine="0"/>
        <w:jc w:val="left"/>
        <w:rPr>
          <w:rFonts w:ascii="宋体" w:hAnsi="宋体" w:cs="宋体" w:eastAsia="宋体" w:hint="default"/>
          <w:sz w:val="18"/>
          <w:szCs w:val="18"/>
        </w:rPr>
      </w:pPr>
      <w:r>
        <w:rPr>
          <w:rFonts w:ascii="宋体" w:hAnsi="宋体" w:cs="宋体" w:eastAsia="宋体" w:hint="default"/>
          <w:sz w:val="18"/>
          <w:szCs w:val="18"/>
        </w:rPr>
        <w:t>互联网游戏业</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18、借款费用" w:id="206"/>
      <w:bookmarkEnd w:id="206"/>
      <w:r>
        <w:rPr>
          <w:b w:val="0"/>
          <w:bCs w:val="0"/>
        </w:rPr>
      </w:r>
      <w:r>
        <w:rPr>
          <w:rFonts w:ascii="Times New Roman" w:hAnsi="Times New Roman" w:cs="Times New Roman" w:eastAsia="Times New Roman" w:hint="default"/>
        </w:rPr>
        <w:t>18</w:t>
      </w:r>
      <w:r>
        <w:rPr/>
        <w:t>、借款费用</w:t>
      </w:r>
      <w:r>
        <w:rPr>
          <w:b w:val="0"/>
          <w:bCs w:val="0"/>
        </w:rPr>
      </w:r>
    </w:p>
    <w:p>
      <w:pPr>
        <w:spacing w:line="240" w:lineRule="auto" w:before="8"/>
        <w:rPr>
          <w:rFonts w:ascii="宋体" w:hAnsi="宋体" w:cs="宋体" w:eastAsia="宋体" w:hint="default"/>
          <w:b/>
          <w:bCs/>
          <w:sz w:val="24"/>
          <w:szCs w:val="24"/>
        </w:rPr>
      </w:pPr>
    </w:p>
    <w:p>
      <w:pPr>
        <w:pStyle w:val="BodyText"/>
        <w:spacing w:line="273" w:lineRule="auto"/>
        <w:ind w:left="2409" w:right="998" w:hanging="360"/>
        <w:jc w:val="left"/>
      </w:pPr>
      <w:r>
        <w:rPr>
          <w:rFonts w:ascii="宋体" w:hAnsi="宋体" w:cs="宋体" w:eastAsia="宋体" w:hint="default"/>
          <w:b/>
          <w:bCs/>
        </w:rPr>
        <w:t>1.</w:t>
      </w:r>
      <w:r>
        <w:rPr>
          <w:rFonts w:ascii="宋体" w:hAnsi="宋体" w:cs="宋体" w:eastAsia="宋体" w:hint="default"/>
          <w:b/>
          <w:bCs/>
          <w:spacing w:val="42"/>
        </w:rPr>
        <w:t> </w:t>
      </w:r>
      <w:r>
        <w:rPr>
          <w:rFonts w:ascii="宋体" w:hAnsi="宋体" w:cs="宋体" w:eastAsia="宋体" w:hint="default"/>
          <w:b/>
          <w:bCs/>
        </w:rPr>
        <w:t>借款费用资本化的确认原则</w:t>
      </w:r>
      <w:r>
        <w:rPr>
          <w:rFonts w:ascii="宋体" w:hAnsi="宋体" w:cs="宋体" w:eastAsia="宋体" w:hint="default"/>
          <w:b/>
          <w:bCs/>
          <w:w w:val="99"/>
        </w:rPr>
        <w:t> </w:t>
      </w:r>
      <w:r>
        <w:rPr/>
        <w:t>借款费用，包括借款利息、折价或者溢价的摊销、辅助费用以及因外币借款而发生的汇兑差 额等。 </w:t>
      </w:r>
      <w:r>
        <w:rPr>
          <w:spacing w:val="-4"/>
        </w:rPr>
        <w:t>公司发生的借款费用，可直接归属于符合资本化条件的资产的购建或者生产的，予以资本化，</w:t>
      </w:r>
      <w:r>
        <w:rPr/>
        <w:t> 计入相关资产成本；其他借款费用，在发生时根据其发生额确认为费用，计入当期损益。 符合资本化条件的资产，是指需要经过相当长时间的购建或者生产活动才能达到预定可使用 或者可销售状态的固定资产、投资性房地产和存货等资产。 借款费用同时满足下列条件时开始资本化：</w:t>
      </w:r>
    </w:p>
    <w:p>
      <w:pPr>
        <w:pStyle w:val="BodyText"/>
        <w:spacing w:line="240" w:lineRule="auto" w:before="7"/>
        <w:ind w:left="2409" w:right="998"/>
        <w:jc w:val="left"/>
      </w:pPr>
      <w:r>
        <w:rPr/>
        <w:t>（</w:t>
      </w:r>
      <w:r>
        <w:rPr>
          <w:rFonts w:ascii="Times New Roman" w:hAnsi="Times New Roman" w:cs="Times New Roman" w:eastAsia="Times New Roman" w:hint="default"/>
        </w:rPr>
        <w:t>1</w:t>
      </w:r>
      <w:r>
        <w:rPr/>
        <w:t>）资产支出已经发生，资产支出包括为购建或者生产符合资本化条件的资产而以支付现</w:t>
      </w:r>
    </w:p>
    <w:p>
      <w:pPr>
        <w:spacing w:after="0" w:line="240" w:lineRule="auto"/>
        <w:jc w:val="left"/>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BodyText"/>
        <w:spacing w:line="240" w:lineRule="auto" w:before="35"/>
        <w:ind w:left="2409" w:right="998"/>
        <w:jc w:val="left"/>
      </w:pPr>
      <w:r>
        <w:rPr/>
        <w:t>金、转移非现金资产或者承担带息债务形式发生的支出；</w:t>
      </w:r>
    </w:p>
    <w:p>
      <w:pPr>
        <w:pStyle w:val="BodyText"/>
        <w:spacing w:line="240" w:lineRule="auto" w:before="37"/>
        <w:ind w:left="2409" w:right="998"/>
        <w:jc w:val="left"/>
      </w:pPr>
      <w:r>
        <w:rPr/>
        <w:t>（</w:t>
      </w:r>
      <w:r>
        <w:rPr>
          <w:rFonts w:ascii="Times New Roman" w:hAnsi="Times New Roman" w:cs="Times New Roman" w:eastAsia="Times New Roman" w:hint="default"/>
        </w:rPr>
        <w:t>2</w:t>
      </w:r>
      <w:r>
        <w:rPr/>
        <w:t>）借款费用已经发生；</w:t>
      </w:r>
    </w:p>
    <w:p>
      <w:pPr>
        <w:pStyle w:val="BodyText"/>
        <w:spacing w:line="240" w:lineRule="auto" w:before="21"/>
        <w:ind w:left="2410" w:right="998"/>
        <w:jc w:val="left"/>
      </w:pPr>
      <w:r>
        <w:rPr/>
        <w:t>（</w:t>
      </w:r>
      <w:r>
        <w:rPr>
          <w:rFonts w:ascii="Times New Roman" w:hAnsi="Times New Roman" w:cs="Times New Roman" w:eastAsia="Times New Roman" w:hint="default"/>
        </w:rPr>
        <w:t>3</w:t>
      </w:r>
      <w:r>
        <w:rPr/>
        <w:t>）为使资产达到预定可使用或者可销售状态所必要的购建或者生产活动已经开始。</w:t>
      </w:r>
    </w:p>
    <w:p>
      <w:pPr>
        <w:spacing w:line="240" w:lineRule="auto" w:before="7"/>
        <w:rPr>
          <w:rFonts w:ascii="宋体" w:hAnsi="宋体" w:cs="宋体" w:eastAsia="宋体" w:hint="default"/>
          <w:sz w:val="25"/>
          <w:szCs w:val="25"/>
        </w:rPr>
      </w:pPr>
    </w:p>
    <w:p>
      <w:pPr>
        <w:pStyle w:val="BodyText"/>
        <w:spacing w:line="273" w:lineRule="auto"/>
        <w:ind w:left="2410" w:right="1076" w:hanging="360"/>
        <w:jc w:val="left"/>
      </w:pPr>
      <w:r>
        <w:rPr>
          <w:rFonts w:ascii="宋体" w:hAnsi="宋体" w:cs="宋体" w:eastAsia="宋体" w:hint="default"/>
          <w:b/>
          <w:bCs/>
        </w:rPr>
        <w:t>1.</w:t>
      </w:r>
      <w:r>
        <w:rPr>
          <w:rFonts w:ascii="宋体" w:hAnsi="宋体" w:cs="宋体" w:eastAsia="宋体" w:hint="default"/>
          <w:b/>
          <w:bCs/>
          <w:spacing w:val="42"/>
        </w:rPr>
        <w:t> </w:t>
      </w:r>
      <w:r>
        <w:rPr>
          <w:rFonts w:ascii="宋体" w:hAnsi="宋体" w:cs="宋体" w:eastAsia="宋体" w:hint="default"/>
          <w:b/>
          <w:bCs/>
        </w:rPr>
        <w:t>借款费用资本化期间</w:t>
      </w:r>
      <w:r>
        <w:rPr>
          <w:rFonts w:ascii="宋体" w:hAnsi="宋体" w:cs="宋体" w:eastAsia="宋体" w:hint="default"/>
          <w:b/>
          <w:bCs/>
          <w:w w:val="99"/>
        </w:rPr>
        <w:t> </w:t>
      </w:r>
      <w:r>
        <w:rPr>
          <w:spacing w:val="-1"/>
        </w:rPr>
        <w:t>资本化期间，指从借款费用开始资本化时点到停止资本化时点的期间，借款费用暂停资本化</w:t>
      </w:r>
      <w:r>
        <w:rPr/>
        <w:t> 的期间不包括在内。 </w:t>
      </w:r>
      <w:r>
        <w:rPr>
          <w:spacing w:val="-1"/>
        </w:rPr>
        <w:t>当购建或者生产符合资本化条件的资产达到预定可使用或者可销售状态时，借款费用停止资</w:t>
      </w:r>
      <w:r>
        <w:rPr/>
        <w:t> 本化。 </w:t>
      </w:r>
      <w:r>
        <w:rPr>
          <w:spacing w:val="-1"/>
        </w:rPr>
        <w:t>当购建或者生产符合资本化条件的资产中部分项目分别完工且可单独使用时，该部分资产借</w:t>
      </w:r>
      <w:r>
        <w:rPr/>
        <w:t> 款费用停止资本化。 购建或者生产的资产的各部分分别完工，但必须等到整体完工后才可使用或可对外销售的， 在该资产整体完工时停止借款费用资本化。</w:t>
      </w:r>
    </w:p>
    <w:p>
      <w:pPr>
        <w:spacing w:line="240" w:lineRule="auto" w:before="6"/>
        <w:rPr>
          <w:rFonts w:ascii="宋体" w:hAnsi="宋体" w:cs="宋体" w:eastAsia="宋体" w:hint="default"/>
          <w:sz w:val="24"/>
          <w:szCs w:val="24"/>
        </w:rPr>
      </w:pPr>
    </w:p>
    <w:p>
      <w:pPr>
        <w:pStyle w:val="BodyText"/>
        <w:spacing w:line="268" w:lineRule="auto"/>
        <w:ind w:left="2410" w:right="1116" w:hanging="360"/>
        <w:jc w:val="left"/>
      </w:pPr>
      <w:r>
        <w:rPr>
          <w:rFonts w:ascii="宋体" w:hAnsi="宋体" w:cs="宋体" w:eastAsia="宋体" w:hint="default"/>
          <w:b/>
          <w:bCs/>
        </w:rPr>
        <w:t>1.</w:t>
      </w:r>
      <w:r>
        <w:rPr>
          <w:rFonts w:ascii="宋体" w:hAnsi="宋体" w:cs="宋体" w:eastAsia="宋体" w:hint="default"/>
          <w:b/>
          <w:bCs/>
          <w:spacing w:val="42"/>
        </w:rPr>
        <w:t> </w:t>
      </w:r>
      <w:r>
        <w:rPr>
          <w:rFonts w:ascii="宋体" w:hAnsi="宋体" w:cs="宋体" w:eastAsia="宋体" w:hint="default"/>
          <w:b/>
          <w:bCs/>
        </w:rPr>
        <w:t>暂停资本化期间</w:t>
      </w:r>
      <w:r>
        <w:rPr>
          <w:rFonts w:ascii="宋体" w:hAnsi="宋体" w:cs="宋体" w:eastAsia="宋体" w:hint="default"/>
          <w:b/>
          <w:bCs/>
          <w:w w:val="99"/>
        </w:rPr>
        <w:t> </w:t>
      </w:r>
      <w:r>
        <w:rPr/>
        <w:t>符合资本化条件的资产在购建或生产过程中发生的非正常中断、且中断时间连续超过</w:t>
      </w:r>
      <w:r>
        <w:rPr>
          <w:rFonts w:ascii="Times New Roman" w:hAnsi="Times New Roman" w:cs="Times New Roman" w:eastAsia="Times New Roman" w:hint="default"/>
        </w:rPr>
        <w:t>3</w:t>
      </w:r>
      <w:r>
        <w:rPr/>
        <w:t>个月 </w:t>
      </w:r>
      <w:r>
        <w:rPr>
          <w:spacing w:val="-1"/>
        </w:rPr>
        <w:t>的，则借款费用暂停资本化；该项中断如是所购建或生产的符合资本化条件的资产达到预定</w:t>
      </w:r>
      <w:r>
        <w:rPr/>
        <w:t> </w:t>
      </w:r>
      <w:r>
        <w:rPr>
          <w:spacing w:val="-1"/>
        </w:rPr>
        <w:t>可使用状态或者可销售状态必要的程序，则借款费用继续资本化。在中断期间发生的借款费</w:t>
      </w:r>
      <w:r>
        <w:rPr/>
        <w:t> 用确认为当期损益，直至资产的购建或者生产活动重新开始后借款费用继续资本化。</w:t>
      </w:r>
    </w:p>
    <w:p>
      <w:pPr>
        <w:spacing w:line="240" w:lineRule="auto" w:before="10"/>
        <w:rPr>
          <w:rFonts w:ascii="宋体" w:hAnsi="宋体" w:cs="宋体" w:eastAsia="宋体" w:hint="default"/>
          <w:sz w:val="24"/>
          <w:szCs w:val="24"/>
        </w:rPr>
      </w:pPr>
    </w:p>
    <w:p>
      <w:pPr>
        <w:pStyle w:val="BodyText"/>
        <w:spacing w:line="273" w:lineRule="auto"/>
        <w:ind w:left="2409" w:right="1117" w:hanging="360"/>
        <w:jc w:val="left"/>
      </w:pPr>
      <w:r>
        <w:rPr>
          <w:rFonts w:ascii="宋体" w:hAnsi="宋体" w:cs="宋体" w:eastAsia="宋体" w:hint="default"/>
          <w:b/>
          <w:bCs/>
        </w:rPr>
        <w:t>1.</w:t>
      </w:r>
      <w:r>
        <w:rPr>
          <w:rFonts w:ascii="宋体" w:hAnsi="宋体" w:cs="宋体" w:eastAsia="宋体" w:hint="default"/>
          <w:b/>
          <w:bCs/>
          <w:spacing w:val="42"/>
        </w:rPr>
        <w:t> </w:t>
      </w:r>
      <w:r>
        <w:rPr>
          <w:rFonts w:ascii="宋体" w:hAnsi="宋体" w:cs="宋体" w:eastAsia="宋体" w:hint="default"/>
          <w:b/>
          <w:bCs/>
        </w:rPr>
        <w:t>借款费用资本化率、资本化金额的计算方法</w:t>
      </w:r>
      <w:r>
        <w:rPr>
          <w:rFonts w:ascii="宋体" w:hAnsi="宋体" w:cs="宋体" w:eastAsia="宋体" w:hint="default"/>
          <w:b/>
          <w:bCs/>
          <w:w w:val="99"/>
        </w:rPr>
        <w:t> </w:t>
      </w:r>
      <w:r>
        <w:rPr>
          <w:spacing w:val="-1"/>
        </w:rPr>
        <w:t>对于为购建或者生产符合资本化条件的资产而借入的专门借款，以专门借款当期实际发生的</w:t>
      </w:r>
      <w:r>
        <w:rPr/>
        <w:t> </w:t>
      </w:r>
      <w:r>
        <w:rPr>
          <w:spacing w:val="-1"/>
        </w:rPr>
        <w:t>借款费用，减去尚未动用的借款资金存入银行取得的利息收入或进行暂时性投资取得的投资</w:t>
      </w:r>
      <w:r>
        <w:rPr/>
        <w:t> 收益后的金额，来确定借款费用的资本化金额。 </w:t>
      </w:r>
      <w:r>
        <w:rPr>
          <w:spacing w:val="-1"/>
        </w:rPr>
        <w:t>对于为购建或者生产符合资本化条件的资产而占用的一般借款，根据累计资产支出超过专门</w:t>
      </w:r>
      <w:r>
        <w:rPr/>
        <w:t> </w:t>
      </w:r>
      <w:r>
        <w:rPr>
          <w:spacing w:val="-1"/>
        </w:rPr>
        <w:t>借款部分的资产支出加权平均数乘以所占用一般借款的资本化率，计算确定一般借款应予资</w:t>
      </w:r>
      <w:r>
        <w:rPr/>
        <w:t> 本化的借款费用金额。资本化率根据一般借款加权平均利率计算确定。</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pStyle w:val="Heading6"/>
        <w:spacing w:line="240" w:lineRule="auto"/>
        <w:ind w:left="1133" w:right="998"/>
        <w:jc w:val="left"/>
        <w:rPr>
          <w:b w:val="0"/>
          <w:bCs w:val="0"/>
        </w:rPr>
      </w:pPr>
      <w:bookmarkStart w:name="19、生物资产" w:id="207"/>
      <w:bookmarkEnd w:id="207"/>
      <w:r>
        <w:rPr>
          <w:b w:val="0"/>
          <w:bCs w:val="0"/>
        </w:rPr>
      </w:r>
      <w:r>
        <w:rPr>
          <w:rFonts w:ascii="Times New Roman" w:hAnsi="Times New Roman" w:cs="Times New Roman" w:eastAsia="Times New Roman" w:hint="default"/>
        </w:rPr>
        <w:t>19</w:t>
      </w:r>
      <w:r>
        <w:rPr/>
        <w:t>、生物资产</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20、油气资产" w:id="208"/>
      <w:bookmarkEnd w:id="208"/>
      <w:r>
        <w:rPr>
          <w:b w:val="0"/>
          <w:bCs w:val="0"/>
        </w:rPr>
      </w:r>
      <w:r>
        <w:rPr>
          <w:rFonts w:ascii="Times New Roman" w:hAnsi="Times New Roman" w:cs="Times New Roman" w:eastAsia="Times New Roman" w:hint="default"/>
        </w:rPr>
        <w:t>20</w:t>
      </w:r>
      <w:r>
        <w:rPr/>
        <w:t>、油气资产</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21、无形资产" w:id="209"/>
      <w:bookmarkEnd w:id="209"/>
      <w:r>
        <w:rPr>
          <w:b w:val="0"/>
          <w:bCs w:val="0"/>
        </w:rPr>
      </w:r>
      <w:r>
        <w:rPr>
          <w:rFonts w:ascii="Times New Roman" w:hAnsi="Times New Roman" w:cs="Times New Roman" w:eastAsia="Times New Roman" w:hint="default"/>
        </w:rPr>
        <w:t>21</w:t>
      </w:r>
      <w:r>
        <w:rPr/>
        <w:t>、无形资产</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计价方法、使用寿命、减值测试" w:id="210"/>
      <w:bookmarkEnd w:id="210"/>
      <w:r>
        <w:rPr>
          <w:b w:val="0"/>
          <w:bCs w:val="0"/>
        </w:rPr>
      </w:r>
      <w:r>
        <w:rPr/>
        <w:t>（</w:t>
      </w:r>
      <w:r>
        <w:rPr>
          <w:rFonts w:ascii="Times New Roman" w:hAnsi="Times New Roman" w:cs="Times New Roman" w:eastAsia="Times New Roman" w:hint="default"/>
        </w:rPr>
        <w:t>1</w:t>
      </w:r>
      <w:r>
        <w:rPr/>
        <w:t>）计价方法、使用寿命、减值测试</w:t>
      </w:r>
      <w:r>
        <w:rPr>
          <w:b w:val="0"/>
          <w:bCs w:val="0"/>
        </w:rPr>
      </w:r>
    </w:p>
    <w:p>
      <w:pPr>
        <w:spacing w:line="240" w:lineRule="auto" w:before="8"/>
        <w:rPr>
          <w:rFonts w:ascii="宋体" w:hAnsi="宋体" w:cs="宋体" w:eastAsia="宋体" w:hint="default"/>
          <w:b/>
          <w:bCs/>
          <w:sz w:val="26"/>
          <w:szCs w:val="26"/>
        </w:rPr>
      </w:pPr>
    </w:p>
    <w:p>
      <w:pPr>
        <w:spacing w:line="360" w:lineRule="auto" w:before="0"/>
        <w:ind w:left="113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6"/>
        <w:ind w:left="1134" w:right="998" w:firstLine="0"/>
        <w:jc w:val="left"/>
        <w:rPr>
          <w:rFonts w:ascii="宋体" w:hAnsi="宋体" w:cs="宋体" w:eastAsia="宋体" w:hint="default"/>
          <w:sz w:val="18"/>
          <w:szCs w:val="18"/>
        </w:rPr>
      </w:pPr>
      <w:r>
        <w:rPr>
          <w:rFonts w:ascii="宋体" w:hAnsi="宋体" w:cs="宋体" w:eastAsia="宋体" w:hint="default"/>
          <w:sz w:val="18"/>
          <w:szCs w:val="18"/>
        </w:rPr>
        <w:t>互联网游戏业</w:t>
      </w:r>
    </w:p>
    <w:p>
      <w:pPr>
        <w:pStyle w:val="Heading6"/>
        <w:spacing w:line="240" w:lineRule="auto" w:before="90"/>
        <w:ind w:left="2050" w:right="998"/>
        <w:jc w:val="left"/>
        <w:rPr>
          <w:b w:val="0"/>
          <w:bCs w:val="0"/>
        </w:rPr>
      </w:pPr>
      <w:r>
        <w:rPr>
          <w:rFonts w:ascii="宋体" w:hAnsi="宋体" w:cs="宋体" w:eastAsia="宋体" w:hint="default"/>
        </w:rPr>
        <w:t>1.</w:t>
      </w:r>
      <w:r>
        <w:rPr>
          <w:rFonts w:ascii="宋体" w:hAnsi="宋体" w:cs="宋体" w:eastAsia="宋体" w:hint="default"/>
          <w:spacing w:val="39"/>
        </w:rPr>
        <w:t> </w:t>
      </w:r>
      <w:r>
        <w:rPr/>
        <w:t>无形资产的计价方法</w:t>
      </w:r>
      <w:r>
        <w:rPr>
          <w:b w:val="0"/>
          <w:bCs w:val="0"/>
        </w:rPr>
      </w:r>
    </w:p>
    <w:p>
      <w:pPr>
        <w:pStyle w:val="BodyText"/>
        <w:spacing w:line="264" w:lineRule="auto" w:before="37"/>
        <w:ind w:left="2410" w:right="998"/>
        <w:jc w:val="left"/>
      </w:pPr>
      <w:r>
        <w:rPr/>
        <w:t>（</w:t>
      </w:r>
      <w:r>
        <w:rPr>
          <w:rFonts w:ascii="Times New Roman" w:hAnsi="Times New Roman" w:cs="Times New Roman" w:eastAsia="Times New Roman" w:hint="default"/>
        </w:rPr>
        <w:t>1</w:t>
      </w:r>
      <w:r>
        <w:rPr/>
        <w:t>）公司取得无形资产时按成本进行初始计量； 外购无形资产的成本，包括购买价款、相关税费以及直接归属于使该项资产达到预定用途所 </w:t>
      </w:r>
      <w:r>
        <w:rPr>
          <w:spacing w:val="-4"/>
        </w:rPr>
        <w:t>发生的其他支出。购买无形资产的价款超过正常信用条件延期支付，实质上具有融资性质的，</w:t>
      </w:r>
    </w:p>
    <w:p>
      <w:pPr>
        <w:spacing w:after="0" w:line="264" w:lineRule="auto"/>
        <w:jc w:val="left"/>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BodyText"/>
        <w:spacing w:line="273" w:lineRule="auto" w:before="35"/>
        <w:ind w:left="2409" w:right="998"/>
        <w:jc w:val="left"/>
      </w:pPr>
      <w:r>
        <w:rPr/>
        <w:t>无形资产的成本以购买价款的现值为基础确定。 债务重组取得债务人用以抵债的无形资产，以该无形资产的公允价值为基础确定其入账价 </w:t>
      </w:r>
      <w:r>
        <w:rPr>
          <w:spacing w:val="-4"/>
        </w:rPr>
        <w:t>值，并将重组债务的账面价值与该用以抵债的无形资产公允价值之间的差额，计入当期损益。</w:t>
      </w:r>
      <w:r>
        <w:rPr>
          <w:spacing w:val="-86"/>
        </w:rPr>
        <w:t> </w:t>
      </w:r>
      <w:r>
        <w:rPr>
          <w:spacing w:val="-86"/>
        </w:rPr>
      </w:r>
      <w:r>
        <w:rPr/>
        <w:t>在非货币性资产交换具备商业实质且换入资产或换出资产的公允价值能够可靠计量的前提 下，非货币性资产交换换入的无形资产以换出资产的公允价值为基础确定其入账价值，除非</w:t>
      </w:r>
      <w:r>
        <w:rPr/>
        <w:t> 有确凿证据表明换入资产的公允价值更加可靠；不满足上述前提的非货币性资产交换，以换 出资产的账面价值和应支付的相关税费作为换入无形资产的成本，不确认损益。</w:t>
      </w:r>
    </w:p>
    <w:p>
      <w:pPr>
        <w:pStyle w:val="BodyText"/>
        <w:spacing w:line="256" w:lineRule="auto" w:before="7"/>
        <w:ind w:left="2410" w:right="5696"/>
        <w:jc w:val="left"/>
      </w:pPr>
      <w:r>
        <w:rPr/>
        <w:t>（</w:t>
      </w:r>
      <w:r>
        <w:rPr>
          <w:rFonts w:ascii="Times New Roman" w:hAnsi="Times New Roman" w:cs="Times New Roman" w:eastAsia="Times New Roman" w:hint="default"/>
        </w:rPr>
        <w:t>2</w:t>
      </w:r>
      <w:r>
        <w:rPr/>
        <w:t>）后续计量 在取得无形资产时分析判断其使用寿命。</w:t>
      </w:r>
    </w:p>
    <w:p>
      <w:pPr>
        <w:pStyle w:val="BodyText"/>
        <w:spacing w:line="273" w:lineRule="auto" w:before="22"/>
        <w:ind w:left="2409" w:right="1117"/>
        <w:jc w:val="left"/>
      </w:pPr>
      <w:r>
        <w:rPr>
          <w:spacing w:val="-1"/>
        </w:rPr>
        <w:t>对于使用寿命有限的无形资产，在为企业带来经济利益的期限内按直线法摊销；无法预见无</w:t>
      </w:r>
      <w:r>
        <w:rPr/>
        <w:t> 形资产为企业带来经济利益期限的，视为使用寿命不确定的无形资产，不予摊销。</w:t>
      </w:r>
    </w:p>
    <w:p>
      <w:pPr>
        <w:spacing w:line="240" w:lineRule="auto" w:before="6"/>
        <w:rPr>
          <w:rFonts w:ascii="宋体" w:hAnsi="宋体" w:cs="宋体" w:eastAsia="宋体" w:hint="default"/>
          <w:sz w:val="24"/>
          <w:szCs w:val="24"/>
        </w:rPr>
      </w:pPr>
    </w:p>
    <w:p>
      <w:pPr>
        <w:pStyle w:val="Heading6"/>
        <w:spacing w:line="240" w:lineRule="auto"/>
        <w:ind w:left="2049" w:right="998"/>
        <w:jc w:val="left"/>
        <w:rPr>
          <w:b w:val="0"/>
          <w:bCs w:val="0"/>
        </w:rPr>
      </w:pPr>
      <w:r>
        <w:rPr>
          <w:rFonts w:ascii="宋体" w:hAnsi="宋体" w:cs="宋体" w:eastAsia="宋体" w:hint="default"/>
        </w:rPr>
        <w:t>1.</w:t>
      </w:r>
      <w:r>
        <w:rPr>
          <w:rFonts w:ascii="宋体" w:hAnsi="宋体" w:cs="宋体" w:eastAsia="宋体" w:hint="default"/>
          <w:spacing w:val="36"/>
        </w:rPr>
        <w:t> </w:t>
      </w:r>
      <w:r>
        <w:rPr/>
        <w:t>使用寿命有限的无形资产的使用寿命估计情况：</w:t>
      </w:r>
      <w:r>
        <w:rPr>
          <w:b w:val="0"/>
          <w:bCs w:val="0"/>
        </w:rPr>
      </w:r>
    </w:p>
    <w:p>
      <w:pPr>
        <w:spacing w:line="240" w:lineRule="auto" w:before="11"/>
        <w:rPr>
          <w:rFonts w:ascii="宋体" w:hAnsi="宋体" w:cs="宋体" w:eastAsia="宋体" w:hint="default"/>
          <w:b/>
          <w:bCs/>
          <w:sz w:val="27"/>
          <w:szCs w:val="27"/>
        </w:rPr>
      </w:pPr>
    </w:p>
    <w:tbl>
      <w:tblPr>
        <w:tblW w:w="0" w:type="auto"/>
        <w:jc w:val="left"/>
        <w:tblInd w:w="1733" w:type="dxa"/>
        <w:tblLayout w:type="fixed"/>
        <w:tblCellMar>
          <w:top w:w="0" w:type="dxa"/>
          <w:left w:w="0" w:type="dxa"/>
          <w:bottom w:w="0" w:type="dxa"/>
          <w:right w:w="0" w:type="dxa"/>
        </w:tblCellMar>
        <w:tblLook w:val="01E0"/>
      </w:tblPr>
      <w:tblGrid>
        <w:gridCol w:w="3055"/>
        <w:gridCol w:w="1913"/>
        <w:gridCol w:w="2846"/>
      </w:tblGrid>
      <w:tr>
        <w:trPr>
          <w:trHeight w:val="355" w:hRule="exact"/>
        </w:trPr>
        <w:tc>
          <w:tcPr>
            <w:tcW w:w="3055"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13"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left="318" w:right="0"/>
              <w:jc w:val="left"/>
              <w:rPr>
                <w:rFonts w:ascii="宋体" w:hAnsi="宋体" w:cs="宋体" w:eastAsia="宋体" w:hint="default"/>
                <w:sz w:val="21"/>
                <w:szCs w:val="21"/>
              </w:rPr>
            </w:pPr>
            <w:r>
              <w:rPr>
                <w:rFonts w:ascii="宋体" w:hAnsi="宋体" w:cs="宋体" w:eastAsia="宋体" w:hint="default"/>
                <w:sz w:val="21"/>
                <w:szCs w:val="21"/>
              </w:rPr>
              <w:t>预计使用寿命</w:t>
            </w:r>
          </w:p>
        </w:tc>
        <w:tc>
          <w:tcPr>
            <w:tcW w:w="2846" w:type="dxa"/>
            <w:tcBorders>
              <w:top w:val="single" w:sz="6" w:space="0" w:color="000000"/>
              <w:left w:val="single" w:sz="6" w:space="0" w:color="000000"/>
              <w:bottom w:val="single" w:sz="12" w:space="0" w:color="000000"/>
              <w:right w:val="nil" w:sz="6" w:space="0" w:color="auto"/>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依据</w:t>
            </w:r>
          </w:p>
        </w:tc>
      </w:tr>
      <w:tr>
        <w:trPr>
          <w:trHeight w:val="352" w:hRule="exact"/>
        </w:trPr>
        <w:tc>
          <w:tcPr>
            <w:tcW w:w="3055"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电脑软件</w:t>
            </w:r>
          </w:p>
        </w:tc>
        <w:tc>
          <w:tcPr>
            <w:tcW w:w="1913" w:type="dxa"/>
            <w:tcBorders>
              <w:top w:val="single" w:sz="12" w:space="0" w:color="000000"/>
              <w:left w:val="single" w:sz="6" w:space="0" w:color="000000"/>
              <w:bottom w:val="single" w:sz="12" w:space="0" w:color="000000"/>
              <w:right w:val="single" w:sz="6" w:space="0" w:color="000000"/>
            </w:tcBorders>
          </w:tcPr>
          <w:p>
            <w:pPr>
              <w:pStyle w:val="TableParagraph"/>
              <w:spacing w:line="276" w:lineRule="exact"/>
              <w:ind w:right="0"/>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3-5</w:t>
            </w:r>
            <w:r>
              <w:rPr>
                <w:rFonts w:ascii="宋体" w:hAnsi="宋体" w:cs="宋体" w:eastAsia="宋体" w:hint="default"/>
                <w:spacing w:val="-1"/>
                <w:sz w:val="21"/>
                <w:szCs w:val="21"/>
              </w:rPr>
              <w:t>年</w:t>
            </w:r>
          </w:p>
        </w:tc>
        <w:tc>
          <w:tcPr>
            <w:tcW w:w="2846"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9"/>
              <w:jc w:val="center"/>
              <w:rPr>
                <w:rFonts w:ascii="宋体" w:hAnsi="宋体" w:cs="宋体" w:eastAsia="宋体" w:hint="default"/>
                <w:sz w:val="21"/>
                <w:szCs w:val="21"/>
              </w:rPr>
            </w:pPr>
            <w:r>
              <w:rPr>
                <w:rFonts w:ascii="宋体" w:hAnsi="宋体" w:cs="宋体" w:eastAsia="宋体" w:hint="default"/>
                <w:sz w:val="21"/>
                <w:szCs w:val="21"/>
              </w:rPr>
              <w:t>预计可使用年限</w:t>
            </w:r>
          </w:p>
        </w:tc>
      </w:tr>
      <w:tr>
        <w:trPr>
          <w:trHeight w:val="353" w:hRule="exact"/>
        </w:trPr>
        <w:tc>
          <w:tcPr>
            <w:tcW w:w="3055"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著作权</w:t>
            </w:r>
          </w:p>
        </w:tc>
        <w:tc>
          <w:tcPr>
            <w:tcW w:w="1913" w:type="dxa"/>
            <w:tcBorders>
              <w:top w:val="single" w:sz="12" w:space="0" w:color="000000"/>
              <w:left w:val="single" w:sz="6" w:space="0" w:color="000000"/>
              <w:bottom w:val="single" w:sz="12" w:space="0" w:color="000000"/>
              <w:right w:val="single" w:sz="6" w:space="0" w:color="000000"/>
            </w:tcBorders>
          </w:tcPr>
          <w:p>
            <w:pPr>
              <w:pStyle w:val="TableParagraph"/>
              <w:spacing w:line="276" w:lineRule="exact"/>
              <w:ind w:right="0"/>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5-10</w:t>
            </w:r>
            <w:r>
              <w:rPr>
                <w:rFonts w:ascii="宋体" w:hAnsi="宋体" w:cs="宋体" w:eastAsia="宋体" w:hint="default"/>
                <w:spacing w:val="-1"/>
                <w:sz w:val="21"/>
                <w:szCs w:val="21"/>
              </w:rPr>
              <w:t>年</w:t>
            </w:r>
          </w:p>
        </w:tc>
        <w:tc>
          <w:tcPr>
            <w:tcW w:w="2846"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9"/>
              <w:jc w:val="center"/>
              <w:rPr>
                <w:rFonts w:ascii="宋体" w:hAnsi="宋体" w:cs="宋体" w:eastAsia="宋体" w:hint="default"/>
                <w:sz w:val="21"/>
                <w:szCs w:val="21"/>
              </w:rPr>
            </w:pPr>
            <w:r>
              <w:rPr>
                <w:rFonts w:ascii="宋体" w:hAnsi="宋体" w:cs="宋体" w:eastAsia="宋体" w:hint="default"/>
                <w:sz w:val="21"/>
                <w:szCs w:val="21"/>
              </w:rPr>
              <w:t>预计可使用年限</w:t>
            </w:r>
          </w:p>
        </w:tc>
      </w:tr>
      <w:tr>
        <w:trPr>
          <w:trHeight w:val="352" w:hRule="exact"/>
        </w:trPr>
        <w:tc>
          <w:tcPr>
            <w:tcW w:w="3055"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商标权</w:t>
            </w:r>
          </w:p>
        </w:tc>
        <w:tc>
          <w:tcPr>
            <w:tcW w:w="1913" w:type="dxa"/>
            <w:tcBorders>
              <w:top w:val="single" w:sz="12" w:space="0" w:color="000000"/>
              <w:left w:val="single" w:sz="6" w:space="0" w:color="000000"/>
              <w:bottom w:val="single" w:sz="12" w:space="0" w:color="000000"/>
              <w:right w:val="single" w:sz="6" w:space="0" w:color="000000"/>
            </w:tcBorders>
          </w:tcPr>
          <w:p>
            <w:pPr>
              <w:pStyle w:val="TableParagraph"/>
              <w:spacing w:line="276" w:lineRule="exact"/>
              <w:ind w:right="0"/>
              <w:jc w:val="right"/>
              <w:rPr>
                <w:rFonts w:ascii="宋体" w:hAnsi="宋体" w:cs="宋体" w:eastAsia="宋体" w:hint="default"/>
                <w:sz w:val="21"/>
                <w:szCs w:val="21"/>
              </w:rPr>
            </w:pPr>
            <w:r>
              <w:rPr>
                <w:rFonts w:ascii="Times New Roman" w:hAnsi="Times New Roman" w:cs="Times New Roman" w:eastAsia="Times New Roman" w:hint="default"/>
                <w:sz w:val="21"/>
                <w:szCs w:val="21"/>
              </w:rPr>
              <w:t>10</w:t>
            </w:r>
            <w:r>
              <w:rPr>
                <w:rFonts w:ascii="宋体" w:hAnsi="宋体" w:cs="宋体" w:eastAsia="宋体" w:hint="default"/>
                <w:sz w:val="21"/>
                <w:szCs w:val="21"/>
              </w:rPr>
              <w:t>年</w:t>
            </w:r>
          </w:p>
        </w:tc>
        <w:tc>
          <w:tcPr>
            <w:tcW w:w="2846"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9"/>
              <w:jc w:val="center"/>
              <w:rPr>
                <w:rFonts w:ascii="宋体" w:hAnsi="宋体" w:cs="宋体" w:eastAsia="宋体" w:hint="default"/>
                <w:sz w:val="21"/>
                <w:szCs w:val="21"/>
              </w:rPr>
            </w:pPr>
            <w:r>
              <w:rPr>
                <w:rFonts w:ascii="宋体" w:hAnsi="宋体" w:cs="宋体" w:eastAsia="宋体" w:hint="default"/>
                <w:sz w:val="21"/>
                <w:szCs w:val="21"/>
              </w:rPr>
              <w:t>预计可使用年限</w:t>
            </w:r>
          </w:p>
        </w:tc>
      </w:tr>
      <w:tr>
        <w:trPr>
          <w:trHeight w:val="352" w:hRule="exact"/>
        </w:trPr>
        <w:tc>
          <w:tcPr>
            <w:tcW w:w="3055"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开发工具</w:t>
            </w:r>
          </w:p>
        </w:tc>
        <w:tc>
          <w:tcPr>
            <w:tcW w:w="1913" w:type="dxa"/>
            <w:tcBorders>
              <w:top w:val="single" w:sz="12" w:space="0" w:color="000000"/>
              <w:left w:val="single" w:sz="6" w:space="0" w:color="000000"/>
              <w:bottom w:val="single" w:sz="12" w:space="0" w:color="000000"/>
              <w:right w:val="single" w:sz="6" w:space="0" w:color="000000"/>
            </w:tcBorders>
          </w:tcPr>
          <w:p>
            <w:pPr>
              <w:pStyle w:val="TableParagraph"/>
              <w:spacing w:line="276" w:lineRule="exact"/>
              <w:ind w:right="0"/>
              <w:jc w:val="righ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年</w:t>
            </w:r>
          </w:p>
        </w:tc>
        <w:tc>
          <w:tcPr>
            <w:tcW w:w="2846"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9"/>
              <w:jc w:val="center"/>
              <w:rPr>
                <w:rFonts w:ascii="宋体" w:hAnsi="宋体" w:cs="宋体" w:eastAsia="宋体" w:hint="default"/>
                <w:sz w:val="21"/>
                <w:szCs w:val="21"/>
              </w:rPr>
            </w:pPr>
            <w:r>
              <w:rPr>
                <w:rFonts w:ascii="宋体" w:hAnsi="宋体" w:cs="宋体" w:eastAsia="宋体" w:hint="default"/>
                <w:sz w:val="21"/>
                <w:szCs w:val="21"/>
              </w:rPr>
              <w:t>预计可使用年限</w:t>
            </w:r>
          </w:p>
        </w:tc>
      </w:tr>
    </w:tbl>
    <w:p>
      <w:pPr>
        <w:spacing w:line="240" w:lineRule="auto" w:before="0"/>
        <w:rPr>
          <w:rFonts w:ascii="宋体" w:hAnsi="宋体" w:cs="宋体" w:eastAsia="宋体" w:hint="default"/>
          <w:b/>
          <w:bCs/>
          <w:sz w:val="20"/>
          <w:szCs w:val="20"/>
        </w:rPr>
      </w:pPr>
    </w:p>
    <w:p>
      <w:pPr>
        <w:pStyle w:val="BodyText"/>
        <w:spacing w:line="273" w:lineRule="auto" w:before="35"/>
        <w:ind w:left="2410" w:right="2546"/>
        <w:jc w:val="left"/>
      </w:pPr>
      <w:r>
        <w:rPr/>
        <w:t>每年度终了，对使用寿命有限的无形资产的使用寿命及摊销方法进行复核。 经复核，本年期末无形资产的使用寿命及摊销方法与以前估计未有不同。</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pStyle w:val="Heading6"/>
        <w:spacing w:line="240" w:lineRule="auto"/>
        <w:ind w:right="998"/>
        <w:jc w:val="left"/>
        <w:rPr>
          <w:b w:val="0"/>
          <w:bCs w:val="0"/>
        </w:rPr>
      </w:pPr>
      <w:bookmarkStart w:name="（2）内部研究开发支出会计政策" w:id="211"/>
      <w:bookmarkEnd w:id="211"/>
      <w:r>
        <w:rPr>
          <w:b w:val="0"/>
          <w:bCs w:val="0"/>
        </w:rPr>
      </w: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8"/>
        <w:rPr>
          <w:rFonts w:ascii="宋体" w:hAnsi="宋体" w:cs="宋体" w:eastAsia="宋体" w:hint="default"/>
          <w:b/>
          <w:bCs/>
          <w:sz w:val="24"/>
          <w:szCs w:val="24"/>
        </w:rPr>
      </w:pPr>
    </w:p>
    <w:p>
      <w:pPr>
        <w:pStyle w:val="BodyText"/>
        <w:spacing w:line="273" w:lineRule="auto"/>
        <w:ind w:left="2410" w:right="1116" w:hanging="360"/>
        <w:jc w:val="left"/>
      </w:pPr>
      <w:r>
        <w:rPr>
          <w:rFonts w:ascii="宋体" w:hAnsi="宋体" w:cs="宋体" w:eastAsia="宋体" w:hint="default"/>
          <w:b/>
          <w:bCs/>
        </w:rPr>
        <w:t>1.</w:t>
      </w:r>
      <w:r>
        <w:rPr>
          <w:rFonts w:ascii="宋体" w:hAnsi="宋体" w:cs="宋体" w:eastAsia="宋体" w:hint="default"/>
          <w:b/>
          <w:bCs/>
          <w:spacing w:val="42"/>
        </w:rPr>
        <w:t> </w:t>
      </w:r>
      <w:r>
        <w:rPr>
          <w:rFonts w:ascii="宋体" w:hAnsi="宋体" w:cs="宋体" w:eastAsia="宋体" w:hint="default"/>
          <w:b/>
          <w:bCs/>
        </w:rPr>
        <w:t>划分研究阶段和开发阶段的具体标准</w:t>
      </w:r>
      <w:r>
        <w:rPr>
          <w:rFonts w:ascii="宋体" w:hAnsi="宋体" w:cs="宋体" w:eastAsia="宋体" w:hint="default"/>
          <w:b/>
          <w:bCs/>
          <w:w w:val="99"/>
        </w:rPr>
        <w:t> </w:t>
      </w:r>
      <w:r>
        <w:rPr/>
        <w:t>公司内部研究开发项目的支出分为研究阶段支出和开发阶段支出。 </w:t>
      </w:r>
      <w:r>
        <w:rPr>
          <w:spacing w:val="-1"/>
        </w:rPr>
        <w:t>研究阶段：为获取并理解新的科学或技术知识等而进行的独创性的有计划调查、研究活动的</w:t>
      </w:r>
      <w:r>
        <w:rPr/>
        <w:t> 阶段。 </w:t>
      </w:r>
      <w:r>
        <w:rPr>
          <w:spacing w:val="-1"/>
        </w:rPr>
        <w:t>开发阶段：在进行商业性生产或使用前，将研究成果或其他知识应用于某项计划或设计，以</w:t>
      </w:r>
      <w:r>
        <w:rPr/>
        <w:t> 生产出新的或具有实质性改进的材料、装置、产品等活动的阶段。</w:t>
      </w:r>
    </w:p>
    <w:p>
      <w:pPr>
        <w:spacing w:line="240" w:lineRule="auto" w:before="6"/>
        <w:rPr>
          <w:rFonts w:ascii="宋体" w:hAnsi="宋体" w:cs="宋体" w:eastAsia="宋体" w:hint="default"/>
          <w:sz w:val="24"/>
          <w:szCs w:val="24"/>
        </w:rPr>
      </w:pPr>
    </w:p>
    <w:p>
      <w:pPr>
        <w:spacing w:line="273" w:lineRule="auto" w:before="0"/>
        <w:ind w:left="2410" w:right="2546" w:hanging="36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pacing w:val="42"/>
          <w:sz w:val="21"/>
          <w:szCs w:val="21"/>
        </w:rPr>
        <w:t> </w:t>
      </w:r>
      <w:r>
        <w:rPr>
          <w:rFonts w:ascii="宋体" w:hAnsi="宋体" w:cs="宋体" w:eastAsia="宋体" w:hint="default"/>
          <w:b/>
          <w:bCs/>
          <w:sz w:val="21"/>
          <w:szCs w:val="21"/>
        </w:rPr>
        <w:t>开发阶段支出资本化的具体条件</w:t>
      </w:r>
      <w:r>
        <w:rPr>
          <w:rFonts w:ascii="宋体" w:hAnsi="宋体" w:cs="宋体" w:eastAsia="宋体" w:hint="default"/>
          <w:b/>
          <w:bCs/>
          <w:w w:val="99"/>
          <w:sz w:val="21"/>
          <w:szCs w:val="21"/>
        </w:rPr>
        <w:t> </w:t>
      </w:r>
      <w:r>
        <w:rPr>
          <w:rFonts w:ascii="宋体" w:hAnsi="宋体" w:cs="宋体" w:eastAsia="宋体" w:hint="default"/>
          <w:sz w:val="21"/>
          <w:szCs w:val="21"/>
        </w:rPr>
        <w:t>内部研究开发项目开发阶段的支出，同时满足下列条件时确认为无形资产：</w:t>
      </w:r>
    </w:p>
    <w:p>
      <w:pPr>
        <w:pStyle w:val="BodyText"/>
        <w:spacing w:line="240" w:lineRule="auto" w:before="7"/>
        <w:ind w:left="2410" w:right="998"/>
        <w:jc w:val="left"/>
      </w:pPr>
      <w:r>
        <w:rPr/>
        <w:t>（</w:t>
      </w:r>
      <w:r>
        <w:rPr>
          <w:rFonts w:ascii="Times New Roman" w:hAnsi="Times New Roman" w:cs="Times New Roman" w:eastAsia="Times New Roman" w:hint="default"/>
        </w:rPr>
        <w:t>1</w:t>
      </w:r>
      <w:r>
        <w:rPr/>
        <w:t>）完成该无形资产以使其能够使用或出售在技术上具有可行性；</w:t>
      </w:r>
    </w:p>
    <w:p>
      <w:pPr>
        <w:pStyle w:val="BodyText"/>
        <w:spacing w:line="240" w:lineRule="auto" w:before="20"/>
        <w:ind w:left="2410" w:right="998"/>
        <w:jc w:val="left"/>
      </w:pPr>
      <w:r>
        <w:rPr/>
        <w:t>（</w:t>
      </w:r>
      <w:r>
        <w:rPr>
          <w:rFonts w:ascii="Times New Roman" w:hAnsi="Times New Roman" w:cs="Times New Roman" w:eastAsia="Times New Roman" w:hint="default"/>
        </w:rPr>
        <w:t>2</w:t>
      </w:r>
      <w:r>
        <w:rPr/>
        <w:t>）具有完成该无形资产并使用或出售的意图；</w:t>
      </w:r>
    </w:p>
    <w:p>
      <w:pPr>
        <w:pStyle w:val="BodyText"/>
        <w:spacing w:line="256" w:lineRule="auto" w:before="21"/>
        <w:ind w:left="2410" w:right="1181"/>
        <w:jc w:val="left"/>
      </w:pPr>
      <w:r>
        <w:rPr/>
        <w:t>（</w:t>
      </w:r>
      <w:r>
        <w:rPr>
          <w:rFonts w:ascii="Times New Roman" w:hAnsi="Times New Roman" w:cs="Times New Roman" w:eastAsia="Times New Roman" w:hint="default"/>
        </w:rPr>
        <w:t>3</w:t>
      </w:r>
      <w:r>
        <w:rPr/>
        <w:t>）无形资产产生经济利益的方式，包括能够证明运用该无形资产生产的产品存在市场或 无形资产自身存在市场，无形资产将在内部使用的，能够证明其有用性；</w:t>
      </w:r>
    </w:p>
    <w:p>
      <w:pPr>
        <w:pStyle w:val="BodyText"/>
        <w:spacing w:line="256" w:lineRule="auto" w:before="23"/>
        <w:ind w:left="2410" w:right="1181"/>
        <w:jc w:val="left"/>
      </w:pPr>
      <w:r>
        <w:rPr/>
        <w:t>（</w:t>
      </w:r>
      <w:r>
        <w:rPr>
          <w:rFonts w:ascii="Times New Roman" w:hAnsi="Times New Roman" w:cs="Times New Roman" w:eastAsia="Times New Roman" w:hint="default"/>
        </w:rPr>
        <w:t>4</w:t>
      </w:r>
      <w:r>
        <w:rPr/>
        <w:t>）有足够的技术、财务资源和其他资源支持，以完成该无形资产的开发，并有能力使用 或出售该无形资产；</w:t>
      </w:r>
    </w:p>
    <w:p>
      <w:pPr>
        <w:pStyle w:val="BodyText"/>
        <w:spacing w:line="264" w:lineRule="auto" w:before="22"/>
        <w:ind w:left="2410" w:right="1116"/>
        <w:jc w:val="left"/>
      </w:pPr>
      <w:r>
        <w:rPr/>
        <w:t>（</w:t>
      </w:r>
      <w:r>
        <w:rPr>
          <w:rFonts w:ascii="Times New Roman" w:hAnsi="Times New Roman" w:cs="Times New Roman" w:eastAsia="Times New Roman" w:hint="default"/>
        </w:rPr>
        <w:t>5</w:t>
      </w:r>
      <w:r>
        <w:rPr/>
        <w:t>）归属于该无形资产开发阶段的支出能够可靠地计量。 </w:t>
      </w:r>
      <w:r>
        <w:rPr>
          <w:spacing w:val="-1"/>
        </w:rPr>
        <w:t>开发阶段的支出，若不满足上列条件的，于发生时计入当期损益。研究阶段的支出，在发生</w:t>
      </w:r>
      <w:r>
        <w:rPr/>
        <w:t> 时计入当期损益。</w:t>
      </w:r>
    </w:p>
    <w:p>
      <w:pPr>
        <w:spacing w:after="0" w:line="264" w:lineRule="auto"/>
        <w:jc w:val="left"/>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86"/>
        <w:ind w:left="1133" w:right="998"/>
        <w:jc w:val="left"/>
        <w:rPr>
          <w:b w:val="0"/>
          <w:bCs w:val="0"/>
        </w:rPr>
      </w:pPr>
      <w:bookmarkStart w:name="22、长期资产减值" w:id="212"/>
      <w:bookmarkEnd w:id="212"/>
      <w:r>
        <w:rPr>
          <w:b w:val="0"/>
          <w:bCs w:val="0"/>
        </w:rPr>
      </w:r>
      <w:r>
        <w:rPr>
          <w:rFonts w:ascii="Times New Roman" w:hAnsi="Times New Roman" w:cs="Times New Roman" w:eastAsia="Times New Roman" w:hint="default"/>
        </w:rPr>
        <w:t>22</w:t>
      </w:r>
      <w:r>
        <w:rPr/>
        <w:t>、长期资产减值</w:t>
      </w:r>
      <w:r>
        <w:rPr>
          <w:b w:val="0"/>
          <w:bCs w:val="0"/>
        </w:rPr>
      </w:r>
    </w:p>
    <w:p>
      <w:pPr>
        <w:spacing w:line="240" w:lineRule="auto" w:before="8"/>
        <w:rPr>
          <w:rFonts w:ascii="宋体" w:hAnsi="宋体" w:cs="宋体" w:eastAsia="宋体" w:hint="default"/>
          <w:b/>
          <w:bCs/>
          <w:sz w:val="24"/>
          <w:szCs w:val="24"/>
        </w:rPr>
      </w:pPr>
    </w:p>
    <w:p>
      <w:pPr>
        <w:pStyle w:val="BodyText"/>
        <w:spacing w:line="273" w:lineRule="auto"/>
        <w:ind w:left="1848" w:right="1008"/>
        <w:jc w:val="left"/>
      </w:pPr>
      <w:r>
        <w:rPr/>
        <w:t>长期股权投资、固定资产、在建工程、使用寿命有限的无形资产等长期资产，于资产负债表日存 在减值迹象的，进行减值测试。减值测试结果表明资产的可收回金额低于其账面价值的，按其差 额计提减值准备并计入减值损失。可收回金额为资产的公允价值减去处置费用后的净额与资产预 计未来现金流量的现值两者之间的较高者。资产减值准备按单项资产为基础计算并确认，如果难 以对单项资产的可收回金额进行估计的，以该资产所属的资产组确定资产组的可收回金额。资产 组是能够独立产生现金流入的最小资产组合。 商誉和使用寿命不确定的无形资产至少在每年年度终了进行减值测试。 本公司进行商誉减值测试，对于因企业合并形成的商誉的账面价值，自购买日起按照合理的方法 分摊至相关的资产组；难以分摊至相关的资产组的，将其分摊至相关的资产组组合。在将商誉的 账面价值分摊至相关的资产组或者资产组组合时，按照各资产组或者资产组组合的公允价值占相 关资产组或者资产组组合公允价值总额的比例进行分摊。公允价值难以可靠计量的，按照各资产 组或者资产组组合的账面价值占相关资产组或者资产组组合账面价值总额的比例进行分摊。 在对包含商誉的相关资产组或者资产组组合进行减值测试时，如与商誉相关的资产组或者资产组 组合存在减值迹象的，先对不包含商誉的资产组或者资产组组合进行减值测试，计算可收回金额， 并与相关账面价值相比较，确认相应的减值损失。再对包含商誉的资产组或者资产组组合进行减 值测试，比较这些相关资产组或者资产组组合的账面价值（包括所分摊的商誉的账面价值部分） 与其可收回金额，如相关资产组或者资产组组合的可收回金额低于其账面价值的，确认商誉的减 值损失。</w:t>
      </w:r>
      <w:r>
        <w:rPr>
          <w:spacing w:val="-21"/>
        </w:rPr>
        <w:t> </w:t>
      </w:r>
      <w:r>
        <w:rPr/>
        <w:t>上述资产减值损失一经确认，在以后会计期间不予转回。</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pStyle w:val="Heading6"/>
        <w:spacing w:line="240" w:lineRule="auto"/>
        <w:ind w:left="1133" w:right="998"/>
        <w:jc w:val="left"/>
        <w:rPr>
          <w:b w:val="0"/>
          <w:bCs w:val="0"/>
        </w:rPr>
      </w:pPr>
      <w:bookmarkStart w:name="23、长期待摊费用" w:id="213"/>
      <w:bookmarkEnd w:id="213"/>
      <w:r>
        <w:rPr>
          <w:b w:val="0"/>
          <w:bCs w:val="0"/>
        </w:rPr>
      </w:r>
      <w:r>
        <w:rPr>
          <w:rFonts w:ascii="Times New Roman" w:hAnsi="Times New Roman" w:cs="Times New Roman" w:eastAsia="Times New Roman" w:hint="default"/>
        </w:rPr>
        <w:t>23</w:t>
      </w:r>
      <w:r>
        <w:rPr/>
        <w:t>、长期待摊费用</w:t>
      </w:r>
      <w:r>
        <w:rPr>
          <w:b w:val="0"/>
          <w:bCs w:val="0"/>
        </w:rPr>
      </w:r>
    </w:p>
    <w:p>
      <w:pPr>
        <w:spacing w:line="240" w:lineRule="auto" w:before="7"/>
        <w:rPr>
          <w:rFonts w:ascii="宋体" w:hAnsi="宋体" w:cs="宋体" w:eastAsia="宋体" w:hint="default"/>
          <w:b/>
          <w:bCs/>
          <w:sz w:val="24"/>
          <w:szCs w:val="24"/>
        </w:rPr>
      </w:pPr>
    </w:p>
    <w:p>
      <w:pPr>
        <w:pStyle w:val="BodyText"/>
        <w:spacing w:line="273" w:lineRule="auto"/>
        <w:ind w:left="1248" w:right="1188"/>
        <w:jc w:val="left"/>
      </w:pPr>
      <w:r>
        <w:rPr/>
        <w:t>长期待摊费用为已经发生但应由本期和以后各期负担的分摊期限在一年以上的各项费用。本公司长期待 摊费用包括游戏授权金、办公室装修费用。</w:t>
      </w:r>
    </w:p>
    <w:p>
      <w:pPr>
        <w:spacing w:line="256" w:lineRule="auto" w:before="7"/>
        <w:ind w:left="1218" w:right="7518" w:firstLine="6"/>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、摊销方法</w:t>
      </w:r>
      <w:r>
        <w:rPr>
          <w:rFonts w:ascii="宋体" w:hAnsi="宋体" w:cs="宋体" w:eastAsia="宋体" w:hint="default"/>
          <w:b/>
          <w:bCs/>
          <w:w w:val="99"/>
          <w:sz w:val="21"/>
          <w:szCs w:val="21"/>
        </w:rPr>
        <w:t> </w:t>
      </w:r>
      <w:r>
        <w:rPr>
          <w:rFonts w:ascii="宋体" w:hAnsi="宋体" w:cs="宋体" w:eastAsia="宋体" w:hint="default"/>
          <w:sz w:val="21"/>
          <w:szCs w:val="21"/>
        </w:rPr>
        <w:t>长期待摊费用在受益期内平均摊销</w:t>
      </w:r>
    </w:p>
    <w:p>
      <w:pPr>
        <w:spacing w:line="240" w:lineRule="auto" w:before="7"/>
        <w:rPr>
          <w:rFonts w:ascii="宋体" w:hAnsi="宋体" w:cs="宋体" w:eastAsia="宋体" w:hint="default"/>
          <w:sz w:val="25"/>
          <w:szCs w:val="25"/>
        </w:rPr>
      </w:pPr>
    </w:p>
    <w:p>
      <w:pPr>
        <w:pStyle w:val="BodyText"/>
        <w:spacing w:line="264" w:lineRule="auto"/>
        <w:ind w:left="1134" w:right="998" w:firstLine="90"/>
        <w:jc w:val="left"/>
      </w:pPr>
      <w:r>
        <w:rPr>
          <w:rFonts w:ascii="Times New Roman" w:hAnsi="Times New Roman" w:cs="Times New Roman" w:eastAsia="Times New Roman" w:hint="default"/>
          <w:b/>
          <w:bCs/>
        </w:rPr>
        <w:t>2</w:t>
      </w:r>
      <w:r>
        <w:rPr>
          <w:rFonts w:ascii="宋体" w:hAnsi="宋体" w:cs="宋体" w:eastAsia="宋体" w:hint="default"/>
          <w:b/>
          <w:bCs/>
        </w:rPr>
        <w:t>、摊销年限</w:t>
      </w:r>
      <w:r>
        <w:rPr>
          <w:rFonts w:ascii="宋体" w:hAnsi="宋体" w:cs="宋体" w:eastAsia="宋体" w:hint="default"/>
          <w:b/>
          <w:bCs/>
          <w:w w:val="99"/>
        </w:rPr>
        <w:t> </w:t>
      </w:r>
      <w:r>
        <w:rPr>
          <w:spacing w:val="-3"/>
        </w:rPr>
        <w:t>授权金为公司获得游戏运营权支付的款项，按照合同规定的游戏运营期限平均摊销计入主营业务成本。当</w:t>
      </w:r>
      <w:r>
        <w:rPr>
          <w:spacing w:val="-67"/>
        </w:rPr>
        <w:t> </w:t>
      </w:r>
      <w:r>
        <w:rPr>
          <w:spacing w:val="-67"/>
        </w:rPr>
      </w:r>
      <w:r>
        <w:rPr/>
        <w:t>合同规定的期限届满前提前终止运营的，将尚未摊销的授权金余值一次摊销全部计入主营业务成本核算。</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8"/>
          <w:szCs w:val="28"/>
        </w:rPr>
      </w:pPr>
    </w:p>
    <w:p>
      <w:pPr>
        <w:pStyle w:val="Heading6"/>
        <w:spacing w:line="240" w:lineRule="auto"/>
        <w:ind w:right="998"/>
        <w:jc w:val="left"/>
        <w:rPr>
          <w:b w:val="0"/>
          <w:bCs w:val="0"/>
        </w:rPr>
      </w:pPr>
      <w:bookmarkStart w:name="24、职工薪酬" w:id="214"/>
      <w:bookmarkEnd w:id="214"/>
      <w:r>
        <w:rPr>
          <w:b w:val="0"/>
          <w:bCs w:val="0"/>
        </w:rPr>
      </w:r>
      <w:r>
        <w:rPr>
          <w:rFonts w:ascii="Times New Roman" w:hAnsi="Times New Roman" w:cs="Times New Roman" w:eastAsia="Times New Roman" w:hint="default"/>
        </w:rPr>
        <w:t>24</w:t>
      </w:r>
      <w:r>
        <w:rPr/>
        <w:t>、职工薪酬</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短期薪酬的会计处理方法" w:id="215"/>
      <w:bookmarkEnd w:id="215"/>
      <w:r>
        <w:rPr>
          <w:b w:val="0"/>
          <w:bCs w:val="0"/>
        </w:rPr>
      </w:r>
      <w:r>
        <w:rPr/>
        <w:t>（</w:t>
      </w:r>
      <w:r>
        <w:rPr>
          <w:rFonts w:ascii="Times New Roman" w:hAnsi="Times New Roman" w:cs="Times New Roman" w:eastAsia="Times New Roman" w:hint="default"/>
        </w:rPr>
        <w:t>1</w:t>
      </w:r>
      <w:r>
        <w:rPr/>
        <w:t>）短期薪酬的会计处理方法</w:t>
      </w:r>
      <w:r>
        <w:rPr>
          <w:b w:val="0"/>
          <w:bCs w:val="0"/>
        </w:rPr>
      </w:r>
    </w:p>
    <w:p>
      <w:pPr>
        <w:spacing w:line="240" w:lineRule="auto" w:before="8"/>
        <w:rPr>
          <w:rFonts w:ascii="宋体" w:hAnsi="宋体" w:cs="宋体" w:eastAsia="宋体" w:hint="default"/>
          <w:b/>
          <w:bCs/>
          <w:sz w:val="24"/>
          <w:szCs w:val="24"/>
        </w:rPr>
      </w:pPr>
    </w:p>
    <w:p>
      <w:pPr>
        <w:pStyle w:val="BodyText"/>
        <w:spacing w:line="273" w:lineRule="auto"/>
        <w:ind w:left="1134" w:right="998"/>
        <w:jc w:val="left"/>
      </w:pPr>
      <w:r>
        <w:rPr>
          <w:spacing w:val="-1"/>
        </w:rPr>
        <w:t>本公司在职工为本公司提供服务的会计期间，将实际发生的短期薪酬确认为负债，并计入当期损益或相关</w:t>
      </w:r>
      <w:r>
        <w:rPr>
          <w:spacing w:val="-81"/>
        </w:rPr>
        <w:t> </w:t>
      </w:r>
      <w:r>
        <w:rPr>
          <w:spacing w:val="-81"/>
        </w:rPr>
      </w:r>
      <w:r>
        <w:rPr/>
        <w:t>资产成本。 </w:t>
      </w:r>
      <w:r>
        <w:rPr>
          <w:spacing w:val="-1"/>
        </w:rPr>
        <w:t>本公司为职工缴纳的社会保险费和住房公积金，以及按规定提取的工会经费和职工教育经费，在职工为本</w:t>
      </w:r>
      <w:r>
        <w:rPr>
          <w:spacing w:val="-81"/>
        </w:rPr>
        <w:t> </w:t>
      </w:r>
      <w:r>
        <w:rPr>
          <w:spacing w:val="-81"/>
        </w:rPr>
      </w:r>
      <w:r>
        <w:rPr/>
        <w:t>公司提供服务的会计期间，根据规定的计提基础和计提比例计算确定相应的职工薪酬金额。 职工福利费为非货币性福利的，如能够可靠计量的，按照公允价值计量。</w:t>
      </w:r>
    </w:p>
    <w:p>
      <w:pPr>
        <w:spacing w:after="0" w:line="273" w:lineRule="auto"/>
        <w:jc w:val="left"/>
        <w:sectPr>
          <w:pgSz w:w="11910" w:h="16840"/>
          <w:pgMar w:header="87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2）离职后福利的会计处理方法" w:id="216"/>
      <w:bookmarkEnd w:id="216"/>
      <w:r>
        <w:rPr>
          <w:b w:val="0"/>
          <w:bCs w:val="0"/>
        </w:rPr>
      </w: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7"/>
        <w:rPr>
          <w:rFonts w:ascii="宋体" w:hAnsi="宋体" w:cs="宋体" w:eastAsia="宋体" w:hint="default"/>
          <w:b/>
          <w:bCs/>
          <w:sz w:val="24"/>
          <w:szCs w:val="24"/>
        </w:rPr>
      </w:pPr>
    </w:p>
    <w:p>
      <w:pPr>
        <w:pStyle w:val="BodyText"/>
        <w:spacing w:line="268" w:lineRule="auto"/>
        <w:ind w:right="998"/>
        <w:jc w:val="left"/>
      </w:pPr>
      <w:r>
        <w:rPr/>
        <w:t>（</w:t>
      </w:r>
      <w:r>
        <w:rPr>
          <w:rFonts w:ascii="Times New Roman" w:hAnsi="Times New Roman" w:cs="Times New Roman" w:eastAsia="Times New Roman" w:hint="default"/>
        </w:rPr>
        <w:t>1</w:t>
      </w:r>
      <w:r>
        <w:rPr/>
        <w:t>）设定提存计划 本公司按当地政府的相关规定为职工缴纳基本养老保险和失业保险，在职工为本公司提供服务的会计期 间，按以当地规定的缴纳基数和比例计算应缴纳金额，确认为负债，并计入当期损益或相关资产成本。 除基本养老保险外，本公司还依据国家企业年金制度的相关政策建立了企业年金缴费制度（补充养老保 </w:t>
      </w:r>
      <w:r>
        <w:rPr>
          <w:spacing w:val="-1"/>
        </w:rPr>
        <w:t>险）。本公司按职工工资总额的一定比例向当地社会保险机构缴费，相应支出计入当期损益或相关资产成</w:t>
      </w:r>
      <w:r>
        <w:rPr>
          <w:spacing w:val="-83"/>
        </w:rPr>
        <w:t> </w:t>
      </w:r>
      <w:r>
        <w:rPr>
          <w:spacing w:val="-83"/>
        </w:rPr>
      </w:r>
      <w:r>
        <w:rPr/>
        <w:t>本。</w:t>
      </w:r>
    </w:p>
    <w:p>
      <w:pPr>
        <w:pStyle w:val="BodyText"/>
        <w:spacing w:line="271" w:lineRule="auto" w:before="12"/>
        <w:ind w:left="1134" w:right="1092"/>
        <w:jc w:val="left"/>
      </w:pPr>
      <w:r>
        <w:rPr/>
        <w:t>（</w:t>
      </w:r>
      <w:r>
        <w:rPr>
          <w:rFonts w:ascii="Times New Roman" w:hAnsi="Times New Roman" w:cs="Times New Roman" w:eastAsia="Times New Roman" w:hint="default"/>
        </w:rPr>
        <w:t>2</w:t>
      </w:r>
      <w:r>
        <w:rPr/>
        <w:t>）设定受益计划 本公司根据预期累计福利单位法确定的公式将设定受益计划产生的福利义务归属于职工提供服务的期间， 并计入当期损益或相关资产成本。 设定受益计划义务现值减去设定受益计划资产公允价值所形成的赤字或盈余确认为一项设定受益计划净 </w:t>
      </w:r>
      <w:r>
        <w:rPr>
          <w:spacing w:val="-1"/>
        </w:rPr>
        <w:t>负债或净资产。设定受益计划存在盈余的，本公司以设定受益计划的盈余和资产上限两项的孰低者计量设</w:t>
      </w:r>
      <w:r>
        <w:rPr>
          <w:spacing w:val="-81"/>
        </w:rPr>
        <w:t> </w:t>
      </w:r>
      <w:r>
        <w:rPr>
          <w:spacing w:val="-81"/>
        </w:rPr>
      </w:r>
      <w:r>
        <w:rPr/>
        <w:t>定受益计划净资产。 </w:t>
      </w:r>
      <w:r>
        <w:rPr>
          <w:spacing w:val="-1"/>
        </w:rPr>
        <w:t>所有设定受益计划义务，包括预期在职工提供服务的年度报告期间结束后的十二个月内支付的义务，根据</w:t>
      </w:r>
      <w:r>
        <w:rPr>
          <w:spacing w:val="-81"/>
        </w:rPr>
        <w:t> </w:t>
      </w:r>
      <w:r>
        <w:rPr>
          <w:spacing w:val="-81"/>
        </w:rPr>
      </w:r>
      <w:r>
        <w:rPr/>
        <w:t>资产负债表日与设定受益计划义务期限和币种相匹配的国债或活跃市场上的高质量公司债券的市场收益 率予以折现。 设定受益计划产生的服务成本和设定受益计划净负债或净资产的利息净额计入当期损益或相关资产成本； </w:t>
      </w:r>
      <w:r>
        <w:rPr>
          <w:spacing w:val="-1"/>
        </w:rPr>
        <w:t>重新计量设定受益计划净负债或净资产所产生的变动计入其他综合收益，并且在后续会计期间不转回至损</w:t>
      </w:r>
      <w:r>
        <w:rPr>
          <w:spacing w:val="-81"/>
        </w:rPr>
        <w:t> </w:t>
      </w:r>
      <w:r>
        <w:rPr>
          <w:spacing w:val="-81"/>
        </w:rPr>
      </w:r>
      <w:r>
        <w:rPr/>
        <w:t>益，在原设定受益计划终止时在权益范围内将原计入其他综合收益的部分全部结转至未分配利润。 </w:t>
      </w:r>
      <w:r>
        <w:rPr>
          <w:spacing w:val="-1"/>
        </w:rPr>
        <w:t>在设定受益计划结算时，按在结算日确定的设定受益计划义务现值和结算价格两者的差额，确认结算利得</w:t>
      </w:r>
      <w:r>
        <w:rPr>
          <w:spacing w:val="-81"/>
        </w:rPr>
        <w:t> </w:t>
      </w:r>
      <w:r>
        <w:rPr>
          <w:spacing w:val="-81"/>
        </w:rPr>
      </w:r>
      <w:r>
        <w:rPr/>
        <w:t>或损失。</w:t>
      </w:r>
    </w:p>
    <w:p>
      <w:pPr>
        <w:pStyle w:val="BodyText"/>
        <w:spacing w:line="240" w:lineRule="auto" w:before="10"/>
        <w:ind w:left="1134" w:right="998"/>
        <w:jc w:val="left"/>
      </w:pPr>
      <w:r>
        <w:rPr/>
        <w:t>详见本附注</w:t>
      </w:r>
      <w:r>
        <w:rPr>
          <w:rFonts w:ascii="Times New Roman" w:hAnsi="Times New Roman" w:cs="Times New Roman" w:eastAsia="Times New Roman" w:hint="default"/>
        </w:rPr>
        <w:t>“</w:t>
      </w:r>
      <w:r>
        <w:rPr/>
        <w:t>五、</w:t>
      </w:r>
      <w:r>
        <w:rPr>
          <w:rFonts w:ascii="Times New Roman" w:hAnsi="Times New Roman" w:cs="Times New Roman" w:eastAsia="Times New Roman" w:hint="default"/>
        </w:rPr>
        <w:t>(</w:t>
      </w:r>
      <w:r>
        <w:rPr/>
        <w:t>十七</w:t>
      </w:r>
      <w:r>
        <w:rPr>
          <w:rFonts w:ascii="Times New Roman" w:hAnsi="Times New Roman" w:cs="Times New Roman" w:eastAsia="Times New Roman" w:hint="default"/>
        </w:rPr>
        <w:t>)</w:t>
      </w:r>
      <w:r>
        <w:rPr>
          <w:rFonts w:ascii="Times New Roman" w:hAnsi="Times New Roman" w:cs="Times New Roman" w:eastAsia="Times New Roman" w:hint="default"/>
          <w:spacing w:val="30"/>
        </w:rPr>
        <w:t> </w:t>
      </w:r>
      <w:r>
        <w:rPr/>
        <w:t>应付职工薪酬</w:t>
      </w:r>
      <w:r>
        <w:rPr>
          <w:rFonts w:ascii="Times New Roman" w:hAnsi="Times New Roman" w:cs="Times New Roman" w:eastAsia="Times New Roman" w:hint="default"/>
        </w:rPr>
        <w:t>”</w:t>
      </w:r>
      <w:r>
        <w:rPr/>
        <w:t>。</w:t>
      </w:r>
    </w:p>
    <w:p>
      <w:pPr>
        <w:spacing w:line="240" w:lineRule="auto" w:before="8"/>
        <w:rPr>
          <w:rFonts w:ascii="宋体" w:hAnsi="宋体" w:cs="宋体" w:eastAsia="宋体" w:hint="default"/>
          <w:sz w:val="24"/>
          <w:szCs w:val="24"/>
        </w:rPr>
      </w:pPr>
    </w:p>
    <w:p>
      <w:pPr>
        <w:pStyle w:val="Heading6"/>
        <w:spacing w:line="240" w:lineRule="auto"/>
        <w:ind w:right="998"/>
        <w:jc w:val="left"/>
        <w:rPr>
          <w:b w:val="0"/>
          <w:bCs w:val="0"/>
        </w:rPr>
      </w:pPr>
      <w:bookmarkStart w:name="（3）辞退福利的会计处理方法" w:id="217"/>
      <w:bookmarkEnd w:id="217"/>
      <w:r>
        <w:rPr>
          <w:b w:val="0"/>
          <w:bCs w:val="0"/>
        </w:rPr>
      </w:r>
      <w:r>
        <w:rPr/>
        <w:t>（</w:t>
      </w:r>
      <w:r>
        <w:rPr>
          <w:rFonts w:ascii="Times New Roman" w:hAnsi="Times New Roman" w:cs="Times New Roman" w:eastAsia="Times New Roman" w:hint="default"/>
        </w:rPr>
        <w:t>3</w:t>
      </w:r>
      <w:r>
        <w:rPr/>
        <w:t>）辞退福利的会计处理方法</w:t>
      </w:r>
      <w:r>
        <w:rPr>
          <w:b w:val="0"/>
          <w:bCs w:val="0"/>
        </w:rPr>
      </w:r>
    </w:p>
    <w:p>
      <w:pPr>
        <w:spacing w:line="240" w:lineRule="auto" w:before="7"/>
        <w:rPr>
          <w:rFonts w:ascii="宋体" w:hAnsi="宋体" w:cs="宋体" w:eastAsia="宋体" w:hint="default"/>
          <w:b/>
          <w:bCs/>
          <w:sz w:val="24"/>
          <w:szCs w:val="24"/>
        </w:rPr>
      </w:pPr>
    </w:p>
    <w:p>
      <w:pPr>
        <w:pStyle w:val="BodyText"/>
        <w:spacing w:line="273" w:lineRule="auto"/>
        <w:ind w:left="1134" w:right="998"/>
        <w:jc w:val="left"/>
      </w:pPr>
      <w:r>
        <w:rPr>
          <w:spacing w:val="-1"/>
        </w:rPr>
        <w:t>本公司在不能单方面撤回因解除劳动关系计划或裁减建议所提供的辞退福利时，或确认与涉及支付辞退福</w:t>
      </w:r>
      <w:r>
        <w:rPr>
          <w:spacing w:val="-81"/>
        </w:rPr>
        <w:t> </w:t>
      </w:r>
      <w:r>
        <w:rPr>
          <w:spacing w:val="-81"/>
        </w:rPr>
      </w:r>
      <w:r>
        <w:rPr/>
        <w:t>利的重组相关的成本或费用时（两者孰早），确认辞退福利产生的职工薪酬负债，并计入当期损益。</w:t>
      </w:r>
    </w:p>
    <w:p>
      <w:pPr>
        <w:spacing w:line="240" w:lineRule="auto" w:before="8"/>
        <w:rPr>
          <w:rFonts w:ascii="宋体" w:hAnsi="宋体" w:cs="宋体" w:eastAsia="宋体" w:hint="default"/>
          <w:sz w:val="23"/>
          <w:szCs w:val="23"/>
        </w:rPr>
      </w:pPr>
    </w:p>
    <w:p>
      <w:pPr>
        <w:pStyle w:val="Heading6"/>
        <w:spacing w:line="240" w:lineRule="auto"/>
        <w:ind w:left="1133" w:right="998"/>
        <w:jc w:val="left"/>
        <w:rPr>
          <w:b w:val="0"/>
          <w:bCs w:val="0"/>
        </w:rPr>
      </w:pPr>
      <w:bookmarkStart w:name="（4）其他长期职工福利的会计处理方法" w:id="218"/>
      <w:bookmarkEnd w:id="218"/>
      <w:r>
        <w:rPr>
          <w:b w:val="0"/>
          <w:bCs w:val="0"/>
        </w:rPr>
      </w: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25、预计负债" w:id="219"/>
      <w:bookmarkEnd w:id="219"/>
      <w:r>
        <w:rPr>
          <w:b w:val="0"/>
          <w:bCs w:val="0"/>
        </w:rPr>
      </w:r>
      <w:r>
        <w:rPr>
          <w:rFonts w:ascii="Times New Roman" w:hAnsi="Times New Roman" w:cs="Times New Roman" w:eastAsia="Times New Roman" w:hint="default"/>
        </w:rPr>
        <w:t>25</w:t>
      </w:r>
      <w:r>
        <w:rPr/>
        <w:t>、预计负债</w:t>
      </w:r>
      <w:r>
        <w:rPr>
          <w:b w:val="0"/>
          <w:bCs w:val="0"/>
        </w:rPr>
      </w:r>
    </w:p>
    <w:p>
      <w:pPr>
        <w:spacing w:line="240" w:lineRule="auto" w:before="7"/>
        <w:rPr>
          <w:rFonts w:ascii="宋体" w:hAnsi="宋体" w:cs="宋体" w:eastAsia="宋体" w:hint="default"/>
          <w:b/>
          <w:bCs/>
          <w:sz w:val="24"/>
          <w:szCs w:val="24"/>
        </w:rPr>
      </w:pPr>
    </w:p>
    <w:p>
      <w:pPr>
        <w:spacing w:line="273" w:lineRule="auto" w:before="0"/>
        <w:ind w:left="2410" w:right="1116" w:hanging="36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pacing w:val="42"/>
          <w:sz w:val="21"/>
          <w:szCs w:val="21"/>
        </w:rPr>
        <w:t> </w:t>
      </w:r>
      <w:r>
        <w:rPr>
          <w:rFonts w:ascii="宋体" w:hAnsi="宋体" w:cs="宋体" w:eastAsia="宋体" w:hint="default"/>
          <w:b/>
          <w:bCs/>
          <w:sz w:val="21"/>
          <w:szCs w:val="21"/>
        </w:rPr>
        <w:t>预计负债的确认标准</w:t>
      </w:r>
      <w:r>
        <w:rPr>
          <w:rFonts w:ascii="宋体" w:hAnsi="宋体" w:cs="宋体" w:eastAsia="宋体" w:hint="default"/>
          <w:b/>
          <w:bCs/>
          <w:w w:val="99"/>
          <w:sz w:val="21"/>
          <w:szCs w:val="21"/>
        </w:rPr>
        <w:t> </w:t>
      </w:r>
      <w:r>
        <w:rPr>
          <w:rFonts w:ascii="宋体" w:hAnsi="宋体" w:cs="宋体" w:eastAsia="宋体" w:hint="default"/>
          <w:spacing w:val="-1"/>
          <w:sz w:val="21"/>
          <w:szCs w:val="21"/>
        </w:rPr>
        <w:t>与诉讼、债务担保、亏损合同、重组事项等或有事项相关的义务同时满足下列条件时，本公</w:t>
      </w:r>
      <w:r>
        <w:rPr>
          <w:rFonts w:ascii="宋体" w:hAnsi="宋体" w:cs="宋体" w:eastAsia="宋体" w:hint="default"/>
          <w:sz w:val="21"/>
          <w:szCs w:val="21"/>
        </w:rPr>
        <w:t> 司确认为预计负债：</w:t>
      </w:r>
    </w:p>
    <w:p>
      <w:pPr>
        <w:pStyle w:val="BodyText"/>
        <w:spacing w:line="240" w:lineRule="auto" w:before="7"/>
        <w:ind w:left="2410" w:right="998"/>
        <w:jc w:val="left"/>
      </w:pPr>
      <w:r>
        <w:rPr/>
        <w:t>（</w:t>
      </w:r>
      <w:r>
        <w:rPr>
          <w:rFonts w:ascii="Times New Roman" w:hAnsi="Times New Roman" w:cs="Times New Roman" w:eastAsia="Times New Roman" w:hint="default"/>
        </w:rPr>
        <w:t>1</w:t>
      </w:r>
      <w:r>
        <w:rPr/>
        <w:t>）该义务是本公司承担的现时义务；</w:t>
      </w:r>
    </w:p>
    <w:p>
      <w:pPr>
        <w:pStyle w:val="BodyText"/>
        <w:spacing w:line="240" w:lineRule="auto" w:before="21"/>
        <w:ind w:left="2410" w:right="998"/>
        <w:jc w:val="left"/>
      </w:pPr>
      <w:r>
        <w:rPr/>
        <w:t>（</w:t>
      </w:r>
      <w:r>
        <w:rPr>
          <w:rFonts w:ascii="Times New Roman" w:hAnsi="Times New Roman" w:cs="Times New Roman" w:eastAsia="Times New Roman" w:hint="default"/>
        </w:rPr>
        <w:t>2</w:t>
      </w:r>
      <w:r>
        <w:rPr/>
        <w:t>）履行该义务很可能导致经济利益流出本公司；</w:t>
      </w:r>
    </w:p>
    <w:p>
      <w:pPr>
        <w:pStyle w:val="BodyText"/>
        <w:spacing w:line="240" w:lineRule="auto" w:before="21"/>
        <w:ind w:left="2410" w:right="998"/>
        <w:jc w:val="left"/>
      </w:pPr>
      <w:r>
        <w:rPr/>
        <w:t>（</w:t>
      </w:r>
      <w:r>
        <w:rPr>
          <w:rFonts w:ascii="Times New Roman" w:hAnsi="Times New Roman" w:cs="Times New Roman" w:eastAsia="Times New Roman" w:hint="default"/>
        </w:rPr>
        <w:t>3</w:t>
      </w:r>
      <w:r>
        <w:rPr/>
        <w:t>）该义务的金额能够可靠地计量。</w:t>
      </w:r>
    </w:p>
    <w:p>
      <w:pPr>
        <w:spacing w:line="240" w:lineRule="auto" w:before="7"/>
        <w:rPr>
          <w:rFonts w:ascii="宋体" w:hAnsi="宋体" w:cs="宋体" w:eastAsia="宋体" w:hint="default"/>
          <w:sz w:val="25"/>
          <w:szCs w:val="25"/>
        </w:rPr>
      </w:pPr>
    </w:p>
    <w:p>
      <w:pPr>
        <w:pStyle w:val="BodyText"/>
        <w:spacing w:line="273" w:lineRule="auto"/>
        <w:ind w:left="2410" w:right="998" w:hanging="360"/>
        <w:jc w:val="left"/>
      </w:pPr>
      <w:r>
        <w:rPr>
          <w:rFonts w:ascii="宋体" w:hAnsi="宋体" w:cs="宋体" w:eastAsia="宋体" w:hint="default"/>
          <w:b/>
          <w:bCs/>
        </w:rPr>
        <w:t>1.</w:t>
      </w:r>
      <w:r>
        <w:rPr>
          <w:rFonts w:ascii="宋体" w:hAnsi="宋体" w:cs="宋体" w:eastAsia="宋体" w:hint="default"/>
          <w:b/>
          <w:bCs/>
          <w:spacing w:val="42"/>
        </w:rPr>
        <w:t> </w:t>
      </w:r>
      <w:r>
        <w:rPr>
          <w:rFonts w:ascii="宋体" w:hAnsi="宋体" w:cs="宋体" w:eastAsia="宋体" w:hint="default"/>
          <w:b/>
          <w:bCs/>
        </w:rPr>
        <w:t>各类预计负债的计量方法</w:t>
      </w:r>
      <w:r>
        <w:rPr>
          <w:rFonts w:ascii="宋体" w:hAnsi="宋体" w:cs="宋体" w:eastAsia="宋体" w:hint="default"/>
          <w:b/>
          <w:bCs/>
          <w:w w:val="99"/>
        </w:rPr>
        <w:t> </w:t>
      </w:r>
      <w:r>
        <w:rPr/>
        <w:t>本公司预计负债按履行相关现时义务所需的支出的最佳估计数进行初始计量。 本公司在确定最佳估计数时，综合考虑与或有事项有关的风险、不确定性和货币时间价值等 </w:t>
      </w:r>
      <w:r>
        <w:rPr>
          <w:spacing w:val="-4"/>
        </w:rPr>
        <w:t>因素。对于货币时间价值影响重大的，通过对相关未来现金流出进行折现后确定最佳估计数。</w:t>
      </w:r>
      <w:r>
        <w:rPr/>
        <w:t> 最佳估计数分别以下情况处理：</w:t>
      </w:r>
    </w:p>
    <w:p>
      <w:pPr>
        <w:spacing w:after="0" w:line="273" w:lineRule="auto"/>
        <w:jc w:val="left"/>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BodyText"/>
        <w:spacing w:line="273" w:lineRule="auto" w:before="35"/>
        <w:ind w:left="2409" w:right="998"/>
        <w:jc w:val="left"/>
      </w:pPr>
      <w:r>
        <w:rPr/>
        <w:t>所需支出存在一个连续范围（或区间），且该范围内各种结果发生的可能性相同的，则最佳 估计数按照该范围的中间值即上下限金额的平均数确定。 所需支出不存在一个连续范围（或区间），或虽然存在一个连续范围但该范围内各种结果发 </w:t>
      </w:r>
      <w:r>
        <w:rPr>
          <w:spacing w:val="-4"/>
        </w:rPr>
        <w:t>生的可能性不相同的，如或有事项涉及单个项目的，则最佳估计数按照最可能发生金额确定；</w:t>
      </w:r>
      <w:r>
        <w:rPr>
          <w:spacing w:val="-86"/>
        </w:rPr>
        <w:t> </w:t>
      </w:r>
      <w:r>
        <w:rPr>
          <w:spacing w:val="-86"/>
        </w:rPr>
      </w:r>
      <w:r>
        <w:rPr/>
        <w:t>如或有事项涉及多个项目的，则最佳估计数按各种可能结果及相关概率计算确定。 本公司清偿预计负债所需支出全部或部分预期由第三方补偿的，补偿金额在基本确定能够收</w:t>
      </w:r>
      <w:r>
        <w:rPr/>
        <w:t> 到时，作为资产单独确认，确认的补偿金额不超过预计负债的账面价值。</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26、股份支付" w:id="220"/>
      <w:bookmarkEnd w:id="220"/>
      <w:r>
        <w:rPr>
          <w:b w:val="0"/>
          <w:bCs w:val="0"/>
        </w:rPr>
      </w:r>
      <w:r>
        <w:rPr>
          <w:rFonts w:ascii="Times New Roman" w:hAnsi="Times New Roman" w:cs="Times New Roman" w:eastAsia="Times New Roman" w:hint="default"/>
        </w:rPr>
        <w:t>26</w:t>
      </w:r>
      <w:r>
        <w:rPr/>
        <w:t>、股份支付</w:t>
      </w:r>
      <w:r>
        <w:rPr>
          <w:b w:val="0"/>
          <w:bCs w:val="0"/>
        </w:rPr>
      </w:r>
    </w:p>
    <w:p>
      <w:pPr>
        <w:spacing w:line="240" w:lineRule="auto" w:before="7"/>
        <w:rPr>
          <w:rFonts w:ascii="宋体" w:hAnsi="宋体" w:cs="宋体" w:eastAsia="宋体" w:hint="default"/>
          <w:b/>
          <w:bCs/>
          <w:sz w:val="24"/>
          <w:szCs w:val="24"/>
        </w:rPr>
      </w:pPr>
    </w:p>
    <w:p>
      <w:pPr>
        <w:pStyle w:val="BodyText"/>
        <w:spacing w:line="256" w:lineRule="auto"/>
        <w:ind w:left="1848" w:right="1218"/>
        <w:jc w:val="left"/>
      </w:pPr>
      <w:r>
        <w:rPr/>
        <w:t>本公司的股份支付是为了获取职工</w:t>
      </w:r>
      <w:r>
        <w:rPr>
          <w:rFonts w:ascii="Times New Roman" w:hAnsi="Times New Roman" w:cs="Times New Roman" w:eastAsia="Times New Roman" w:hint="default"/>
        </w:rPr>
        <w:t>[</w:t>
      </w:r>
      <w:r>
        <w:rPr/>
        <w:t>或其他方</w:t>
      </w:r>
      <w:r>
        <w:rPr>
          <w:rFonts w:ascii="Times New Roman" w:hAnsi="Times New Roman" w:cs="Times New Roman" w:eastAsia="Times New Roman" w:hint="default"/>
        </w:rPr>
        <w:t>]</w:t>
      </w:r>
      <w:r>
        <w:rPr/>
        <w:t>提供服务而授予权益工具或者承担以权益工具为基 础确定的负债的交易。本公司的股份支付分为以权益结算的股份支付和以现金结算的股份支付。</w:t>
      </w:r>
    </w:p>
    <w:p>
      <w:pPr>
        <w:pStyle w:val="BodyText"/>
        <w:spacing w:line="273" w:lineRule="auto" w:before="22"/>
        <w:ind w:left="2410" w:right="998"/>
        <w:jc w:val="left"/>
      </w:pPr>
      <w:r>
        <w:rPr>
          <w:rFonts w:ascii="宋体" w:hAnsi="宋体" w:cs="宋体" w:eastAsia="宋体" w:hint="default"/>
          <w:b/>
          <w:bCs/>
        </w:rPr>
        <w:t>以权益结算的股份支付及权益工具</w:t>
      </w:r>
      <w:r>
        <w:rPr>
          <w:rFonts w:ascii="宋体" w:hAnsi="宋体" w:cs="宋体" w:eastAsia="宋体" w:hint="default"/>
          <w:b/>
          <w:bCs/>
          <w:w w:val="99"/>
        </w:rPr>
        <w:t> </w:t>
      </w:r>
      <w:r>
        <w:rPr/>
        <w:t>以权益结算的股份支付换取职工提供服务的，以授予职工权益工具的公允价值计量。本公司 以限制性股票进行股份支付的，职工出资认购股票，股票在达到解锁条件并解锁前不得上市 流通或转让；如果最终股权激励计划规定的解锁条件未能达到，则本公司按照事先约定的价 格回购股票。本公司取得职工认购限制性股票支付的款项时，按照取得的认股款确认股本和 资本公积（股本溢价），同时就回购义务全额确认一项负债并确认库存股。在等待期内每个 资产负债表日，本公司根据最新取得的可行权职工人数变动、是否达到规定业绩条件等后续 信息对可行权权益工具数量作出最佳估计，以此为基础，按照授予日的公允价值，将当期取 得的服务计入相关成本或费用，相应增加资本公积。在可行权日之后不再对已确认的相关成 本或费用和所有者权益总额进行调整。但授予后立即可行权的，在授予日按照公允价值计入 相关成本或费用，相应增加资本公积。 对于最终未能行权的股份支付，不确认成本或费用，除非行权条件是市场条件或非可行权条 </w:t>
      </w:r>
      <w:r>
        <w:rPr>
          <w:spacing w:val="-4"/>
        </w:rPr>
        <w:t>件，此时无论是否满足市场条件或非可行权条件，只要满足所有可行权条件中的非市场条件，</w:t>
      </w:r>
      <w:r>
        <w:rPr>
          <w:spacing w:val="-86"/>
        </w:rPr>
        <w:t> </w:t>
      </w:r>
      <w:r>
        <w:rPr>
          <w:spacing w:val="-86"/>
        </w:rPr>
      </w:r>
      <w:r>
        <w:rPr/>
        <w:t>即视为可行权。 如果修改了以权益结算的股份支付的条款，至少按照未修改条款的情况确认取得的服务。此</w:t>
      </w:r>
      <w:r>
        <w:rPr/>
        <w:t> 外，任何增加所授予权益工具公允价值的修改，或在修改日对职工有利的变更，均确认取得 服务的增加。 如果取消了以权益结算的股份支付，则于取消日作为加速行权处理，立即确认尚未确认的金 额。职工或其他方能够选择满足非可行权条件但在等待期内未满足的，作为取消以权益结算 的股份支付处理。但是，如果授予新的权益工具，并在新权益工具授予日认定所授予的新权 益工具是用于替代被取消的权益工具的，则以与处理原权益工具条款和条件修改相同的方 式，对所授予的替代权益工具进行处理。</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pStyle w:val="Heading6"/>
        <w:spacing w:line="240" w:lineRule="auto"/>
        <w:ind w:left="1133" w:right="998"/>
        <w:jc w:val="left"/>
        <w:rPr>
          <w:b w:val="0"/>
          <w:bCs w:val="0"/>
        </w:rPr>
      </w:pPr>
      <w:bookmarkStart w:name="27、优先股、永续债等其他金融工具" w:id="221"/>
      <w:bookmarkEnd w:id="221"/>
      <w:r>
        <w:rPr>
          <w:b w:val="0"/>
          <w:bCs w:val="0"/>
        </w:rPr>
      </w:r>
      <w:r>
        <w:rPr>
          <w:rFonts w:ascii="Times New Roman" w:hAnsi="Times New Roman" w:cs="Times New Roman" w:eastAsia="Times New Roman" w:hint="default"/>
        </w:rPr>
        <w:t>27</w:t>
      </w:r>
      <w:r>
        <w:rPr/>
        <w:t>、优先股、永续债等其他金融工具</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28、收入" w:id="222"/>
      <w:bookmarkEnd w:id="222"/>
      <w:r>
        <w:rPr>
          <w:b w:val="0"/>
          <w:bCs w:val="0"/>
        </w:rPr>
      </w:r>
      <w:r>
        <w:rPr>
          <w:rFonts w:ascii="Times New Roman" w:hAnsi="Times New Roman" w:cs="Times New Roman" w:eastAsia="Times New Roman" w:hint="default"/>
        </w:rPr>
        <w:t>28</w:t>
      </w:r>
      <w:r>
        <w:rPr/>
        <w:t>、收入</w:t>
      </w:r>
      <w:r>
        <w:rPr>
          <w:b w:val="0"/>
          <w:bCs w:val="0"/>
        </w:rPr>
      </w:r>
    </w:p>
    <w:p>
      <w:pPr>
        <w:spacing w:line="240" w:lineRule="auto" w:before="8"/>
        <w:rPr>
          <w:rFonts w:ascii="宋体" w:hAnsi="宋体" w:cs="宋体" w:eastAsia="宋体" w:hint="default"/>
          <w:b/>
          <w:bCs/>
          <w:sz w:val="26"/>
          <w:szCs w:val="26"/>
        </w:rPr>
      </w:pPr>
    </w:p>
    <w:p>
      <w:pPr>
        <w:spacing w:line="357" w:lineRule="auto" w:before="0"/>
        <w:ind w:left="113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9"/>
        <w:ind w:left="1134" w:right="998" w:firstLine="0"/>
        <w:jc w:val="left"/>
        <w:rPr>
          <w:rFonts w:ascii="宋体" w:hAnsi="宋体" w:cs="宋体" w:eastAsia="宋体" w:hint="default"/>
          <w:sz w:val="18"/>
          <w:szCs w:val="18"/>
        </w:rPr>
      </w:pPr>
      <w:r>
        <w:rPr>
          <w:rFonts w:ascii="宋体" w:hAnsi="宋体" w:cs="宋体" w:eastAsia="宋体" w:hint="default"/>
          <w:sz w:val="18"/>
          <w:szCs w:val="18"/>
        </w:rPr>
        <w:t>互联网游戏业</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13"/>
        <w:rPr>
          <w:rFonts w:ascii="宋体" w:hAnsi="宋体" w:cs="宋体" w:eastAsia="宋体" w:hint="default"/>
          <w:sz w:val="25"/>
          <w:szCs w:val="25"/>
        </w:rPr>
      </w:pPr>
    </w:p>
    <w:p>
      <w:pPr>
        <w:spacing w:before="44"/>
        <w:ind w:left="1133" w:right="998"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上市公司从事互联网游戏业务》的披露要求</w:t>
      </w:r>
    </w:p>
    <w:p>
      <w:pPr>
        <w:pStyle w:val="Heading6"/>
        <w:spacing w:line="240" w:lineRule="auto" w:before="75"/>
        <w:ind w:left="2050" w:right="998"/>
        <w:jc w:val="left"/>
        <w:rPr>
          <w:b w:val="0"/>
          <w:bCs w:val="0"/>
        </w:rPr>
      </w:pPr>
      <w:r>
        <w:rPr>
          <w:rFonts w:ascii="宋体" w:hAnsi="宋体" w:cs="宋体" w:eastAsia="宋体" w:hint="default"/>
        </w:rPr>
        <w:t>1.</w:t>
      </w:r>
      <w:r>
        <w:rPr>
          <w:rFonts w:ascii="宋体" w:hAnsi="宋体" w:cs="宋体" w:eastAsia="宋体" w:hint="default"/>
          <w:spacing w:val="38"/>
        </w:rPr>
        <w:t> </w:t>
      </w:r>
      <w:r>
        <w:rPr/>
        <w:t>销售商品收入确认的一般原则：</w:t>
      </w:r>
      <w:r>
        <w:rPr>
          <w:b w:val="0"/>
          <w:bCs w:val="0"/>
        </w:rPr>
      </w:r>
    </w:p>
    <w:p>
      <w:pPr>
        <w:pStyle w:val="BodyText"/>
        <w:spacing w:line="240" w:lineRule="auto" w:before="37"/>
        <w:ind w:left="2410" w:right="998"/>
        <w:jc w:val="left"/>
      </w:pPr>
      <w:r>
        <w:rPr/>
        <w:t>（</w:t>
      </w:r>
      <w:r>
        <w:rPr>
          <w:rFonts w:ascii="Times New Roman" w:hAnsi="Times New Roman" w:cs="Times New Roman" w:eastAsia="Times New Roman" w:hint="default"/>
        </w:rPr>
        <w:t>1</w:t>
      </w:r>
      <w:r>
        <w:rPr/>
        <w:t>）本公司已将商品所有权上的主要风险和报酬转移给购货方；</w:t>
      </w:r>
    </w:p>
    <w:p>
      <w:pPr>
        <w:pStyle w:val="BodyText"/>
        <w:spacing w:line="256" w:lineRule="auto" w:before="21"/>
        <w:ind w:left="2410" w:right="1181"/>
        <w:jc w:val="left"/>
      </w:pPr>
      <w:r>
        <w:rPr/>
        <w:t>（</w:t>
      </w:r>
      <w:r>
        <w:rPr>
          <w:rFonts w:ascii="Times New Roman" w:hAnsi="Times New Roman" w:cs="Times New Roman" w:eastAsia="Times New Roman" w:hint="default"/>
        </w:rPr>
        <w:t>2</w:t>
      </w:r>
      <w:r>
        <w:rPr/>
        <w:t>）本公司既没有保留通常与所有权相联系的继续管理权，也没有对已售出的商品实施有 效控制；</w:t>
      </w:r>
    </w:p>
    <w:p>
      <w:pPr>
        <w:pStyle w:val="BodyText"/>
        <w:spacing w:line="240" w:lineRule="auto" w:before="22"/>
        <w:ind w:left="2410" w:right="998"/>
        <w:jc w:val="left"/>
      </w:pPr>
      <w:r>
        <w:rPr/>
        <w:t>（</w:t>
      </w:r>
      <w:r>
        <w:rPr>
          <w:rFonts w:ascii="Times New Roman" w:hAnsi="Times New Roman" w:cs="Times New Roman" w:eastAsia="Times New Roman" w:hint="default"/>
        </w:rPr>
        <w:t>3</w:t>
      </w:r>
      <w:r>
        <w:rPr/>
        <w:t>）收入的金额能够可靠地计量；</w:t>
      </w:r>
    </w:p>
    <w:p>
      <w:pPr>
        <w:pStyle w:val="BodyText"/>
        <w:spacing w:line="240" w:lineRule="auto" w:before="21"/>
        <w:ind w:left="2410" w:right="998"/>
        <w:jc w:val="left"/>
      </w:pPr>
      <w:r>
        <w:rPr/>
        <w:t>（</w:t>
      </w:r>
      <w:r>
        <w:rPr>
          <w:rFonts w:ascii="Times New Roman" w:hAnsi="Times New Roman" w:cs="Times New Roman" w:eastAsia="Times New Roman" w:hint="default"/>
        </w:rPr>
        <w:t>4</w:t>
      </w:r>
      <w:r>
        <w:rPr/>
        <w:t>）相关的经济利益很可能流入本公司；</w:t>
      </w:r>
    </w:p>
    <w:p>
      <w:pPr>
        <w:pStyle w:val="BodyText"/>
        <w:spacing w:line="240" w:lineRule="auto" w:before="21"/>
        <w:ind w:left="2410" w:right="998"/>
        <w:jc w:val="left"/>
      </w:pPr>
      <w:r>
        <w:rPr/>
        <w:t>（</w:t>
      </w:r>
      <w:r>
        <w:rPr>
          <w:rFonts w:ascii="Times New Roman" w:hAnsi="Times New Roman" w:cs="Times New Roman" w:eastAsia="Times New Roman" w:hint="default"/>
        </w:rPr>
        <w:t>5</w:t>
      </w:r>
      <w:r>
        <w:rPr/>
        <w:t>）相关的、已发生或将发生的成本能够可靠地计量。</w:t>
      </w:r>
    </w:p>
    <w:p>
      <w:pPr>
        <w:spacing w:line="240" w:lineRule="auto" w:before="6"/>
        <w:rPr>
          <w:rFonts w:ascii="宋体" w:hAnsi="宋体" w:cs="宋体" w:eastAsia="宋体" w:hint="default"/>
          <w:sz w:val="25"/>
          <w:szCs w:val="25"/>
        </w:rPr>
      </w:pPr>
    </w:p>
    <w:p>
      <w:pPr>
        <w:pStyle w:val="BodyText"/>
        <w:spacing w:line="273" w:lineRule="auto"/>
        <w:ind w:left="2409" w:right="4030" w:hanging="360"/>
        <w:jc w:val="left"/>
      </w:pPr>
      <w:r>
        <w:rPr>
          <w:rFonts w:ascii="宋体" w:hAnsi="宋体" w:cs="宋体" w:eastAsia="宋体" w:hint="default"/>
          <w:b/>
          <w:bCs/>
        </w:rPr>
        <w:t>1.</w:t>
      </w:r>
      <w:r>
        <w:rPr>
          <w:rFonts w:ascii="宋体" w:hAnsi="宋体" w:cs="宋体" w:eastAsia="宋体" w:hint="default"/>
          <w:b/>
          <w:bCs/>
          <w:spacing w:val="46"/>
        </w:rPr>
        <w:t> </w:t>
      </w:r>
      <w:r>
        <w:rPr>
          <w:rFonts w:ascii="宋体" w:hAnsi="宋体" w:cs="宋体" w:eastAsia="宋体" w:hint="default"/>
          <w:b/>
          <w:bCs/>
        </w:rPr>
        <w:t>具体原则</w:t>
      </w:r>
      <w:r>
        <w:rPr>
          <w:rFonts w:ascii="宋体" w:hAnsi="宋体" w:cs="宋体" w:eastAsia="宋体" w:hint="default"/>
          <w:b/>
          <w:bCs/>
          <w:spacing w:val="1"/>
          <w:w w:val="99"/>
        </w:rPr>
        <w:t> </w:t>
      </w:r>
      <w:r>
        <w:rPr/>
        <w:t>公司营业收入主要为游戏收入和互联网产品收入。 本公司游戏收入按照不同的运营模式进行确认，具体如下：</w:t>
      </w:r>
    </w:p>
    <w:p>
      <w:pPr>
        <w:pStyle w:val="BodyText"/>
        <w:spacing w:line="273" w:lineRule="auto" w:before="7"/>
        <w:ind w:left="2410" w:right="1076"/>
        <w:jc w:val="left"/>
      </w:pPr>
      <w:r>
        <w:rPr/>
        <w:t>在自主运营模式下，本公司独立进行游戏产品的研发和运营，按照道具消耗金额确认收入。 </w:t>
      </w:r>
      <w:r>
        <w:rPr>
          <w:spacing w:val="-1"/>
        </w:rPr>
        <w:t>在转授权运营模式下，根据协议约定，本公司不承担主要运营责任，按照净额法，即合作运</w:t>
      </w:r>
      <w:r>
        <w:rPr/>
        <w:t> 营方支付的分成款项扣除应付研发方分成后的净额确认营业收入。 </w:t>
      </w:r>
      <w:r>
        <w:rPr>
          <w:spacing w:val="-1"/>
        </w:rPr>
        <w:t>在代理运营模式下，根据协议约定，本公司承担主要运营责任，按照总额法，采用基于用户</w:t>
      </w:r>
      <w:r>
        <w:rPr/>
        <w:t> 生命周期的收入确认模型，将用户兑换游戏币的金额按照用户生命周期分摊确认收入。 互联网产品收入中，收取的会员费在整个受益期内分期确认收入。</w:t>
      </w:r>
    </w:p>
    <w:p>
      <w:pPr>
        <w:spacing w:line="240" w:lineRule="auto" w:before="6"/>
        <w:rPr>
          <w:rFonts w:ascii="宋体" w:hAnsi="宋体" w:cs="宋体" w:eastAsia="宋体" w:hint="default"/>
          <w:sz w:val="24"/>
          <w:szCs w:val="24"/>
        </w:rPr>
      </w:pPr>
    </w:p>
    <w:p>
      <w:pPr>
        <w:spacing w:line="273" w:lineRule="auto" w:before="0"/>
        <w:ind w:left="2394" w:right="998" w:hanging="345"/>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pacing w:val="42"/>
          <w:sz w:val="21"/>
          <w:szCs w:val="21"/>
        </w:rPr>
        <w:t> </w:t>
      </w:r>
      <w:r>
        <w:rPr>
          <w:rFonts w:ascii="宋体" w:hAnsi="宋体" w:cs="宋体" w:eastAsia="宋体" w:hint="default"/>
          <w:b/>
          <w:bCs/>
          <w:sz w:val="21"/>
          <w:szCs w:val="21"/>
        </w:rPr>
        <w:t>确认让渡资产使用权收入的依据</w:t>
      </w:r>
      <w:r>
        <w:rPr>
          <w:rFonts w:ascii="宋体" w:hAnsi="宋体" w:cs="宋体" w:eastAsia="宋体" w:hint="default"/>
          <w:b/>
          <w:bCs/>
          <w:w w:val="99"/>
          <w:sz w:val="21"/>
          <w:szCs w:val="21"/>
        </w:rPr>
        <w:t> </w:t>
      </w:r>
      <w:r>
        <w:rPr>
          <w:rFonts w:ascii="宋体" w:hAnsi="宋体" w:cs="宋体" w:eastAsia="宋体" w:hint="default"/>
          <w:spacing w:val="-1"/>
          <w:sz w:val="21"/>
          <w:szCs w:val="21"/>
        </w:rPr>
        <w:t>与交易相关的经济利益很可能流入企业，收入的金额能够可靠地计量时。分别下列情况确定</w:t>
      </w:r>
      <w:r>
        <w:rPr>
          <w:rFonts w:ascii="宋体" w:hAnsi="宋体" w:cs="宋体" w:eastAsia="宋体" w:hint="default"/>
          <w:sz w:val="21"/>
          <w:szCs w:val="21"/>
        </w:rPr>
        <w:t> 让渡资产使用权收入金额：</w:t>
      </w:r>
    </w:p>
    <w:p>
      <w:pPr>
        <w:pStyle w:val="BodyText"/>
        <w:spacing w:line="240" w:lineRule="auto" w:before="8"/>
        <w:ind w:left="2394" w:right="998"/>
        <w:jc w:val="left"/>
      </w:pPr>
      <w:r>
        <w:rPr/>
        <w:t>（</w:t>
      </w:r>
      <w:r>
        <w:rPr>
          <w:rFonts w:ascii="Times New Roman" w:hAnsi="Times New Roman" w:cs="Times New Roman" w:eastAsia="Times New Roman" w:hint="default"/>
        </w:rPr>
        <w:t>1</w:t>
      </w:r>
      <w:r>
        <w:rPr/>
        <w:t>）利息收入金额，按照他人使用本企业货币资金的时间和实际利率计算确定。</w:t>
      </w:r>
    </w:p>
    <w:p>
      <w:pPr>
        <w:pStyle w:val="BodyText"/>
        <w:spacing w:line="240" w:lineRule="auto" w:before="21"/>
        <w:ind w:left="2377" w:right="998"/>
        <w:jc w:val="left"/>
      </w:pPr>
      <w:r>
        <w:rPr/>
        <w:t>（</w:t>
      </w:r>
      <w:r>
        <w:rPr>
          <w:rFonts w:ascii="Times New Roman" w:hAnsi="Times New Roman" w:cs="Times New Roman" w:eastAsia="Times New Roman" w:hint="default"/>
        </w:rPr>
        <w:t>2</w:t>
      </w:r>
      <w:r>
        <w:rPr/>
        <w:t>）使用费收入金额，按照有关合同或协议约定的收费时间和方法计算确定。</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26"/>
          <w:szCs w:val="26"/>
        </w:rPr>
      </w:pPr>
    </w:p>
    <w:p>
      <w:pPr>
        <w:pStyle w:val="Heading6"/>
        <w:spacing w:line="240" w:lineRule="auto"/>
        <w:ind w:left="1133" w:right="998"/>
        <w:jc w:val="left"/>
        <w:rPr>
          <w:b w:val="0"/>
          <w:bCs w:val="0"/>
        </w:rPr>
      </w:pPr>
      <w:bookmarkStart w:name="29、政府补助" w:id="223"/>
      <w:bookmarkEnd w:id="223"/>
      <w:r>
        <w:rPr>
          <w:b w:val="0"/>
          <w:bCs w:val="0"/>
        </w:rPr>
      </w:r>
      <w:r>
        <w:rPr>
          <w:rFonts w:ascii="Times New Roman" w:hAnsi="Times New Roman" w:cs="Times New Roman" w:eastAsia="Times New Roman" w:hint="default"/>
        </w:rPr>
        <w:t>29</w:t>
      </w:r>
      <w:r>
        <w:rPr/>
        <w:t>、政府补助</w:t>
      </w:r>
      <w:r>
        <w:rPr>
          <w:b w:val="0"/>
          <w:bCs w:val="0"/>
        </w:rPr>
      </w:r>
    </w:p>
    <w:p>
      <w:pPr>
        <w:spacing w:line="590" w:lineRule="atLeast" w:before="23"/>
        <w:ind w:left="1545" w:right="998" w:hanging="412"/>
        <w:jc w:val="left"/>
        <w:rPr>
          <w:rFonts w:ascii="宋体" w:hAnsi="宋体" w:cs="宋体" w:eastAsia="宋体" w:hint="default"/>
          <w:sz w:val="21"/>
          <w:szCs w:val="21"/>
        </w:rPr>
      </w:pPr>
      <w:bookmarkStart w:name="（1）与资产相关的政府补助判断依据及会计处理方法" w:id="224"/>
      <w:bookmarkEnd w:id="22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）与资产相关的政府补助判断依据及会计处理方法</w:t>
      </w:r>
      <w:r>
        <w:rPr>
          <w:rFonts w:ascii="宋体" w:hAnsi="宋体" w:cs="宋体" w:eastAsia="宋体" w:hint="default"/>
          <w:b/>
          <w:bCs/>
          <w:w w:val="99"/>
          <w:sz w:val="21"/>
          <w:szCs w:val="21"/>
        </w:rPr>
        <w:t> </w:t>
      </w:r>
      <w:r>
        <w:rPr>
          <w:rFonts w:ascii="宋体" w:hAnsi="宋体" w:cs="宋体" w:eastAsia="宋体" w:hint="default"/>
          <w:spacing w:val="-1"/>
          <w:sz w:val="21"/>
          <w:szCs w:val="21"/>
        </w:rPr>
        <w:t>与资产相关的政府补助，冲减相关资产账面价值或确认为递延收益。确认为递延收益的，在相关资产</w:t>
      </w:r>
    </w:p>
    <w:p>
      <w:pPr>
        <w:pStyle w:val="BodyText"/>
        <w:spacing w:line="273" w:lineRule="auto" w:before="37"/>
        <w:ind w:left="1209" w:right="1130"/>
        <w:jc w:val="both"/>
      </w:pPr>
      <w:r>
        <w:rPr>
          <w:spacing w:val="-3"/>
        </w:rPr>
        <w:t>使用寿命内按照合理、系统的方法分期计入当期损益（与本公司日常活动相关的，计入其他收益；与本公</w:t>
      </w:r>
      <w:r>
        <w:rPr>
          <w:spacing w:val="-63"/>
        </w:rPr>
        <w:t> </w:t>
      </w:r>
      <w:r>
        <w:rPr>
          <w:spacing w:val="-63"/>
        </w:rPr>
      </w:r>
      <w:r>
        <w:rPr/>
        <w:t>司日常活动无关的，计入营业外收入）；</w:t>
      </w:r>
    </w:p>
    <w:p>
      <w:pPr>
        <w:spacing w:line="590" w:lineRule="atLeast" w:before="9"/>
        <w:ind w:left="1470" w:right="1176" w:hanging="336"/>
        <w:jc w:val="left"/>
        <w:rPr>
          <w:rFonts w:ascii="宋体" w:hAnsi="宋体" w:cs="宋体" w:eastAsia="宋体" w:hint="default"/>
          <w:sz w:val="21"/>
          <w:szCs w:val="21"/>
        </w:rPr>
      </w:pPr>
      <w:bookmarkStart w:name="（2）与收益相关的政府补助判断依据及会计处理方法" w:id="225"/>
      <w:bookmarkEnd w:id="22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）与收益相关的政府补助判断依据及会计处理方法</w:t>
      </w:r>
      <w:r>
        <w:rPr>
          <w:rFonts w:ascii="宋体" w:hAnsi="宋体" w:cs="宋体" w:eastAsia="宋体" w:hint="default"/>
          <w:b/>
          <w:bCs/>
          <w:w w:val="99"/>
          <w:sz w:val="21"/>
          <w:szCs w:val="21"/>
        </w:rPr>
        <w:t> </w:t>
      </w:r>
      <w:r>
        <w:rPr>
          <w:rFonts w:ascii="宋体" w:hAnsi="宋体" w:cs="宋体" w:eastAsia="宋体" w:hint="default"/>
          <w:sz w:val="21"/>
          <w:szCs w:val="21"/>
        </w:rPr>
        <w:t>与收益相关的政府补助，用于补偿本公司以后期间的相关成本费用或损失的，确认为递延收益，并在</w:t>
      </w:r>
    </w:p>
    <w:p>
      <w:pPr>
        <w:pStyle w:val="BodyText"/>
        <w:spacing w:line="271" w:lineRule="auto" w:before="37"/>
        <w:ind w:left="1134" w:right="1131"/>
        <w:jc w:val="both"/>
      </w:pPr>
      <w:r>
        <w:rPr>
          <w:spacing w:val="-1"/>
        </w:rPr>
        <w:t>确认相关成本费用或损失的期间，计入当期损益（与本公司日常活动相关的，计入其他收益；与本公司日</w:t>
      </w:r>
      <w:r>
        <w:rPr>
          <w:spacing w:val="-86"/>
        </w:rPr>
        <w:t> </w:t>
      </w:r>
      <w:r>
        <w:rPr>
          <w:spacing w:val="-86"/>
        </w:rPr>
      </w:r>
      <w:r>
        <w:rPr>
          <w:spacing w:val="-1"/>
        </w:rPr>
        <w:t>常活动无关的，计入营业外收入）或冲减相关成本费用或损失；用于补偿本公司已发生的相关成本费用或</w:t>
      </w:r>
      <w:r>
        <w:rPr>
          <w:spacing w:val="-83"/>
        </w:rPr>
        <w:t> </w:t>
      </w:r>
      <w:r>
        <w:rPr>
          <w:spacing w:val="-83"/>
        </w:rPr>
      </w:r>
      <w:r>
        <w:rPr>
          <w:spacing w:val="-1"/>
        </w:rPr>
        <w:t>损失的，直接计入当期损益（与本公司日常活动相关的，计入其他收益；与本公司日常活动无关的，计入</w:t>
      </w:r>
      <w:r>
        <w:rPr>
          <w:spacing w:val="-83"/>
        </w:rPr>
        <w:t> </w:t>
      </w:r>
      <w:r>
        <w:rPr>
          <w:spacing w:val="-83"/>
        </w:rPr>
      </w:r>
      <w:r>
        <w:rPr/>
        <w:t>营业外收入）或冲减相关成本费用或损失。</w:t>
      </w:r>
    </w:p>
    <w:p>
      <w:pPr>
        <w:spacing w:after="0" w:line="271" w:lineRule="auto"/>
        <w:jc w:val="both"/>
        <w:sectPr>
          <w:pgSz w:w="11910" w:h="16840"/>
          <w:pgMar w:header="87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30、递延所得税资产/递延所得税负债" w:id="226"/>
      <w:bookmarkEnd w:id="226"/>
      <w:r>
        <w:rPr>
          <w:b w:val="0"/>
          <w:bCs w:val="0"/>
        </w:rPr>
      </w:r>
      <w:r>
        <w:rPr>
          <w:rFonts w:ascii="Times New Roman" w:hAnsi="Times New Roman" w:cs="Times New Roman" w:eastAsia="Times New Roman" w:hint="default"/>
        </w:rPr>
        <w:t>30</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7"/>
        <w:rPr>
          <w:rFonts w:ascii="宋体" w:hAnsi="宋体" w:cs="宋体" w:eastAsia="宋体" w:hint="default"/>
          <w:b/>
          <w:bCs/>
          <w:sz w:val="24"/>
          <w:szCs w:val="24"/>
        </w:rPr>
      </w:pPr>
    </w:p>
    <w:p>
      <w:pPr>
        <w:pStyle w:val="BodyText"/>
        <w:spacing w:line="273" w:lineRule="auto"/>
        <w:ind w:left="1848" w:right="1218"/>
        <w:jc w:val="left"/>
      </w:pPr>
      <w:r>
        <w:rPr/>
        <w:t>对于可抵扣暂时性差异确认递延所得税资产，以未来期间很可能取得的用来抵扣可抵扣暂时性差 异的应纳税所得额为限。对于能够结转以后年度的可抵扣亏损和税款抵减，以很可能获得用来抵 扣可抵扣亏损和税款抵减的未来应纳税所得额为限，确认相应的递延所得税资产。 对于应纳税暂时性差异，除特殊情况外，确认递延所得税负债。 不确认递延所得税资产或递延所得税负债的特殊情况包括：商誉的初始确认；除企业合并以外的 发生时既不影响会计利润也不影响应纳税所得额（或可抵扣亏损）的其他交易或事项。 当拥有以净额结算的法定权利，且意图以净额结算或取得资产、清偿负债同时进行时，当期所得 税资产及当期所得税负债以抵销后的净额列报。 当拥有以净额结算当期所得税资产及当期所得税负债的法定权利，且递延所得税资产及递延所得 税负债是与同一税收征管部门对同一纳税主体征收的所得税相关或者是对不同的纳税主体相关， 但在未来每一具有重要性的递延所得税资产及负债转回的期间内，涉及的纳税主体意图以净额结 算当期所得税资产和负债或是同时取得资产、清偿负债时，递延所得税资产及递延所得税负债以 抵销后的净额列报。</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pStyle w:val="Heading6"/>
        <w:spacing w:line="240" w:lineRule="auto"/>
        <w:ind w:left="1133" w:right="998"/>
        <w:jc w:val="left"/>
        <w:rPr>
          <w:b w:val="0"/>
          <w:bCs w:val="0"/>
        </w:rPr>
      </w:pPr>
      <w:bookmarkStart w:name="31、租赁" w:id="227"/>
      <w:bookmarkEnd w:id="227"/>
      <w:r>
        <w:rPr>
          <w:b w:val="0"/>
          <w:bCs w:val="0"/>
        </w:rPr>
      </w:r>
      <w:r>
        <w:rPr>
          <w:rFonts w:ascii="Times New Roman" w:hAnsi="Times New Roman" w:cs="Times New Roman" w:eastAsia="Times New Roman" w:hint="default"/>
        </w:rPr>
        <w:t>31</w:t>
      </w:r>
      <w:r>
        <w:rPr/>
        <w:t>、租赁</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经营租赁的会计处理方法" w:id="228"/>
      <w:bookmarkEnd w:id="228"/>
      <w:r>
        <w:rPr>
          <w:b w:val="0"/>
          <w:bCs w:val="0"/>
        </w:rPr>
      </w:r>
      <w:r>
        <w:rPr/>
        <w:t>（</w:t>
      </w:r>
      <w:r>
        <w:rPr>
          <w:rFonts w:ascii="Times New Roman" w:hAnsi="Times New Roman" w:cs="Times New Roman" w:eastAsia="Times New Roman" w:hint="default"/>
        </w:rPr>
        <w:t>1</w:t>
      </w:r>
      <w:r>
        <w:rPr/>
        <w:t>）经营租赁的会计处理方法</w:t>
      </w:r>
      <w:r>
        <w:rPr>
          <w:b w:val="0"/>
          <w:bCs w:val="0"/>
        </w:rPr>
      </w:r>
    </w:p>
    <w:p>
      <w:pPr>
        <w:spacing w:line="240" w:lineRule="auto" w:before="7"/>
        <w:rPr>
          <w:rFonts w:ascii="宋体" w:hAnsi="宋体" w:cs="宋体" w:eastAsia="宋体" w:hint="default"/>
          <w:b/>
          <w:bCs/>
          <w:sz w:val="24"/>
          <w:szCs w:val="24"/>
        </w:rPr>
      </w:pPr>
    </w:p>
    <w:p>
      <w:pPr>
        <w:pStyle w:val="BodyText"/>
        <w:spacing w:line="268" w:lineRule="auto"/>
        <w:ind w:left="1209" w:right="1122"/>
        <w:jc w:val="left"/>
      </w:pPr>
      <w:r>
        <w:rPr/>
        <w:t>（</w:t>
      </w:r>
      <w:r>
        <w:rPr>
          <w:rFonts w:ascii="Times New Roman" w:hAnsi="Times New Roman" w:cs="Times New Roman" w:eastAsia="Times New Roman" w:hint="default"/>
        </w:rPr>
        <w:t>1</w:t>
      </w:r>
      <w:r>
        <w:rPr/>
        <w:t>）公司租入资产所支付的租赁费，在不扣除免租期的整个租赁期内，按直线法进行分摊，计入当期费 用。公司支付的与租赁交易相关的初始直接费用，计入当期费用。 </w:t>
      </w:r>
      <w:r>
        <w:rPr>
          <w:spacing w:val="-3"/>
        </w:rPr>
        <w:t>资产出租方承担了应由公司承担的与租赁相关的费用时，公司将该部分费用从租金总额中扣除，按扣除后</w:t>
      </w:r>
      <w:r>
        <w:rPr>
          <w:spacing w:val="-67"/>
        </w:rPr>
        <w:t> </w:t>
      </w:r>
      <w:r>
        <w:rPr>
          <w:spacing w:val="-67"/>
        </w:rPr>
      </w:r>
      <w:r>
        <w:rPr/>
        <w:t>的租金费用在租赁期内分摊，计入当期费用。</w:t>
      </w:r>
    </w:p>
    <w:p>
      <w:pPr>
        <w:pStyle w:val="BodyText"/>
        <w:spacing w:line="268" w:lineRule="auto" w:before="12"/>
        <w:ind w:left="1209" w:right="1017"/>
        <w:jc w:val="left"/>
      </w:pPr>
      <w:r>
        <w:rPr/>
        <w:t>（</w:t>
      </w:r>
      <w:r>
        <w:rPr>
          <w:rFonts w:ascii="Times New Roman" w:hAnsi="Times New Roman" w:cs="Times New Roman" w:eastAsia="Times New Roman" w:hint="default"/>
        </w:rPr>
        <w:t>2</w:t>
      </w:r>
      <w:r>
        <w:rPr/>
        <w:t>）公司出租资产所收取的租赁费，在不扣除免租期的整个租赁期内，按直线法进行分摊，确认为租赁 相关收入。公司支付的与租赁交易相关的初始直接费用，计入当期费用；如金额较大的，则予以资本化， 在整个租赁期间内按照与租赁相关收入确认相同的基础分期计入当期收益。 </w:t>
      </w:r>
      <w:r>
        <w:rPr>
          <w:spacing w:val="-3"/>
        </w:rPr>
        <w:t>公司承担了应由承租方承担的与租赁相关的费用时，公司将该部分费用从租金收入总额中扣除，按扣除后</w:t>
      </w:r>
      <w:r>
        <w:rPr>
          <w:spacing w:val="-67"/>
        </w:rPr>
        <w:t> </w:t>
      </w:r>
      <w:r>
        <w:rPr>
          <w:spacing w:val="-67"/>
        </w:rPr>
      </w:r>
      <w:r>
        <w:rPr/>
        <w:t>的租金费用在租赁期内分配。</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7"/>
          <w:szCs w:val="27"/>
        </w:rPr>
      </w:pPr>
    </w:p>
    <w:p>
      <w:pPr>
        <w:pStyle w:val="Heading6"/>
        <w:spacing w:line="240" w:lineRule="auto"/>
        <w:ind w:right="998"/>
        <w:jc w:val="left"/>
        <w:rPr>
          <w:b w:val="0"/>
          <w:bCs w:val="0"/>
        </w:rPr>
      </w:pPr>
      <w:bookmarkStart w:name="（2）融资租赁的会计处理方法" w:id="229"/>
      <w:bookmarkEnd w:id="229"/>
      <w:r>
        <w:rPr>
          <w:b w:val="0"/>
          <w:bCs w:val="0"/>
        </w:rPr>
      </w:r>
      <w:r>
        <w:rPr/>
        <w:t>（</w:t>
      </w:r>
      <w:r>
        <w:rPr>
          <w:rFonts w:ascii="Times New Roman" w:hAnsi="Times New Roman" w:cs="Times New Roman" w:eastAsia="Times New Roman" w:hint="default"/>
        </w:rPr>
        <w:t>2</w:t>
      </w:r>
      <w:r>
        <w:rPr/>
        <w:t>）融资租赁的会计处理方法</w:t>
      </w:r>
      <w:r>
        <w:rPr>
          <w:b w:val="0"/>
          <w:bCs w:val="0"/>
        </w:rPr>
      </w:r>
    </w:p>
    <w:p>
      <w:pPr>
        <w:spacing w:line="240" w:lineRule="auto" w:before="7"/>
        <w:rPr>
          <w:rFonts w:ascii="宋体" w:hAnsi="宋体" w:cs="宋体" w:eastAsia="宋体" w:hint="default"/>
          <w:b/>
          <w:bCs/>
          <w:sz w:val="24"/>
          <w:szCs w:val="24"/>
        </w:rPr>
      </w:pPr>
    </w:p>
    <w:p>
      <w:pPr>
        <w:pStyle w:val="BodyText"/>
        <w:spacing w:line="266" w:lineRule="auto"/>
        <w:ind w:left="1209" w:right="1131"/>
        <w:jc w:val="both"/>
      </w:pPr>
      <w:r>
        <w:rPr/>
        <w:t>（</w:t>
      </w:r>
      <w:r>
        <w:rPr>
          <w:rFonts w:ascii="Times New Roman" w:hAnsi="Times New Roman" w:cs="Times New Roman" w:eastAsia="Times New Roman" w:hint="default"/>
        </w:rPr>
        <w:t>1</w:t>
      </w:r>
      <w:r>
        <w:rPr/>
        <w:t>）融资租入资产：公司在承租开始日，将租赁资产公允价值与最低租赁付款额现值两者中较低者作为 </w:t>
      </w:r>
      <w:r>
        <w:rPr>
          <w:spacing w:val="-3"/>
        </w:rPr>
        <w:t>租入资产的入账价值，将最低租赁付款额作为长期应付款的入账价值，其差额作为未确认的融资费用。公</w:t>
      </w:r>
      <w:r>
        <w:rPr>
          <w:spacing w:val="-66"/>
        </w:rPr>
        <w:t> </w:t>
      </w:r>
      <w:r>
        <w:rPr>
          <w:spacing w:val="-66"/>
        </w:rPr>
      </w:r>
      <w:r>
        <w:rPr>
          <w:spacing w:val="-3"/>
        </w:rPr>
        <w:t>司采用实际利率法对未确认的融资费用，在资产租赁期间内摊销，计入财务费用。公司发生的初始直接费</w:t>
      </w:r>
      <w:r>
        <w:rPr>
          <w:spacing w:val="-66"/>
        </w:rPr>
        <w:t> </w:t>
      </w:r>
      <w:r>
        <w:rPr>
          <w:spacing w:val="-66"/>
        </w:rPr>
      </w:r>
      <w:r>
        <w:rPr/>
        <w:t>用，计入租入资产价值。</w:t>
      </w:r>
    </w:p>
    <w:p>
      <w:pPr>
        <w:pStyle w:val="BodyText"/>
        <w:spacing w:line="266" w:lineRule="auto" w:before="14"/>
        <w:ind w:left="1209" w:right="998"/>
        <w:jc w:val="left"/>
      </w:pPr>
      <w:r>
        <w:rPr/>
        <w:t>（</w:t>
      </w:r>
      <w:r>
        <w:rPr>
          <w:rFonts w:ascii="Times New Roman" w:hAnsi="Times New Roman" w:cs="Times New Roman" w:eastAsia="Times New Roman" w:hint="default"/>
        </w:rPr>
        <w:t>2</w:t>
      </w:r>
      <w:r>
        <w:rPr/>
        <w:t>）融资租出资产：公司在租赁开始日，将应收融资租赁款，未担保余值之和与其现值的差额确认为未 </w:t>
      </w:r>
      <w:r>
        <w:rPr>
          <w:spacing w:val="-5"/>
        </w:rPr>
        <w:t>实现融资收益，在将来收到租金的各期间内确认为租赁收入。公司发生的与出租交易相关的初始直接费用，</w:t>
      </w:r>
      <w:r>
        <w:rPr>
          <w:spacing w:val="-75"/>
        </w:rPr>
        <w:t> </w:t>
      </w:r>
      <w:r>
        <w:rPr>
          <w:spacing w:val="-75"/>
        </w:rPr>
      </w:r>
      <w:r>
        <w:rPr/>
        <w:t>计入应收融资租赁款的初始计量中，并减少租赁期内确认的收益金额。</w:t>
      </w:r>
    </w:p>
    <w:p>
      <w:pPr>
        <w:spacing w:after="0" w:line="266" w:lineRule="auto"/>
        <w:jc w:val="left"/>
        <w:sectPr>
          <w:pgSz w:w="11910" w:h="16840"/>
          <w:pgMar w:header="87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32、其他重要的会计政策和会计估计" w:id="230"/>
      <w:bookmarkEnd w:id="230"/>
      <w:r>
        <w:rPr>
          <w:b w:val="0"/>
          <w:bCs w:val="0"/>
        </w:rPr>
      </w:r>
      <w:r>
        <w:rPr>
          <w:rFonts w:ascii="Times New Roman" w:hAnsi="Times New Roman" w:cs="Times New Roman" w:eastAsia="Times New Roman" w:hint="default"/>
        </w:rPr>
        <w:t>32</w:t>
      </w:r>
      <w:r>
        <w:rPr/>
        <w:t>、其他重要的会计政策和会计估计</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33、重要会计政策和会计估计变更" w:id="231"/>
      <w:bookmarkEnd w:id="231"/>
      <w:r>
        <w:rPr>
          <w:b w:val="0"/>
          <w:bCs w:val="0"/>
        </w:rPr>
      </w:r>
      <w:r>
        <w:rPr>
          <w:rFonts w:ascii="Times New Roman" w:hAnsi="Times New Roman" w:cs="Times New Roman" w:eastAsia="Times New Roman" w:hint="default"/>
        </w:rPr>
        <w:t>33</w:t>
      </w:r>
      <w:r>
        <w:rPr/>
        <w:t>、重要会计政策和会计估计变更</w:t>
      </w:r>
      <w:r>
        <w:rPr>
          <w:b w:val="0"/>
          <w:bCs w:val="0"/>
        </w:rPr>
      </w:r>
    </w:p>
    <w:p>
      <w:pPr>
        <w:spacing w:line="240" w:lineRule="auto" w:before="9"/>
        <w:rPr>
          <w:rFonts w:ascii="宋体" w:hAnsi="宋体" w:cs="宋体" w:eastAsia="宋体" w:hint="default"/>
          <w:b/>
          <w:bCs/>
          <w:sz w:val="24"/>
          <w:szCs w:val="24"/>
        </w:rPr>
      </w:pPr>
    </w:p>
    <w:p>
      <w:pPr>
        <w:pStyle w:val="Heading6"/>
        <w:spacing w:line="240" w:lineRule="auto"/>
        <w:ind w:left="1133" w:right="998"/>
        <w:jc w:val="left"/>
        <w:rPr>
          <w:b w:val="0"/>
          <w:bCs w:val="0"/>
        </w:rPr>
      </w:pPr>
      <w:bookmarkStart w:name="（1）重要会计政策变更" w:id="232"/>
      <w:bookmarkEnd w:id="232"/>
      <w:r>
        <w:rPr>
          <w:b w:val="0"/>
          <w:bCs w:val="0"/>
        </w:rPr>
      </w:r>
      <w:r>
        <w:rPr/>
        <w:t>（</w:t>
      </w:r>
      <w:r>
        <w:rPr>
          <w:rFonts w:ascii="Times New Roman" w:hAnsi="Times New Roman" w:cs="Times New Roman" w:eastAsia="Times New Roman" w:hint="default"/>
        </w:rPr>
        <w:t>1</w:t>
      </w:r>
      <w:r>
        <w:rPr/>
        <w:t>）重要会计政策变更</w:t>
      </w:r>
      <w:r>
        <w:rPr>
          <w:b w:val="0"/>
          <w:bCs w:val="0"/>
        </w:rPr>
      </w:r>
    </w:p>
    <w:p>
      <w:pPr>
        <w:spacing w:line="240" w:lineRule="auto" w:before="8"/>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91"/>
        <w:gridCol w:w="3190"/>
        <w:gridCol w:w="3189"/>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0"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审批程序</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1026"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23"/>
              <w:jc w:val="both"/>
              <w:rPr>
                <w:rFonts w:ascii="宋体" w:hAnsi="宋体" w:cs="宋体" w:eastAsia="宋体" w:hint="default"/>
                <w:sz w:val="18"/>
                <w:szCs w:val="18"/>
              </w:rPr>
            </w:pPr>
            <w:r>
              <w:rPr>
                <w:rFonts w:ascii="宋体" w:hAnsi="宋体" w:cs="宋体" w:eastAsia="宋体" w:hint="default"/>
                <w:spacing w:val="-5"/>
                <w:w w:val="99"/>
                <w:sz w:val="18"/>
                <w:szCs w:val="18"/>
              </w:rPr>
              <w:t>（</w:t>
            </w:r>
            <w:r>
              <w:rPr>
                <w:rFonts w:ascii="Times New Roman" w:hAnsi="Times New Roman" w:cs="Times New Roman" w:eastAsia="Times New Roman" w:hint="default"/>
                <w:spacing w:val="-5"/>
                <w:w w:val="99"/>
                <w:sz w:val="18"/>
                <w:szCs w:val="18"/>
              </w:rPr>
              <w:t>1</w:t>
            </w:r>
            <w:r>
              <w:rPr>
                <w:rFonts w:ascii="宋体" w:hAnsi="宋体" w:cs="宋体" w:eastAsia="宋体" w:hint="default"/>
                <w:spacing w:val="-5"/>
                <w:w w:val="99"/>
                <w:sz w:val="18"/>
                <w:szCs w:val="18"/>
              </w:rPr>
              <w:t>）在利润表中分别列示</w:t>
            </w:r>
            <w:r>
              <w:rPr>
                <w:rFonts w:ascii="Times New Roman" w:hAnsi="Times New Roman" w:cs="Times New Roman" w:eastAsia="Times New Roman" w:hint="default"/>
                <w:spacing w:val="-5"/>
                <w:w w:val="99"/>
                <w:sz w:val="18"/>
                <w:szCs w:val="18"/>
              </w:rPr>
              <w:t>"</w:t>
            </w:r>
            <w:r>
              <w:rPr>
                <w:rFonts w:ascii="宋体" w:hAnsi="宋体" w:cs="宋体" w:eastAsia="宋体" w:hint="default"/>
                <w:spacing w:val="-5"/>
                <w:w w:val="99"/>
                <w:sz w:val="18"/>
                <w:szCs w:val="18"/>
              </w:rPr>
              <w:t>持续经营净利</w:t>
            </w:r>
            <w:r>
              <w:rPr>
                <w:rFonts w:ascii="宋体" w:hAnsi="宋体" w:cs="宋体" w:eastAsia="宋体" w:hint="default"/>
                <w:spacing w:val="-85"/>
                <w:w w:val="99"/>
                <w:sz w:val="18"/>
                <w:szCs w:val="18"/>
              </w:rPr>
              <w:t> </w:t>
            </w:r>
            <w:r>
              <w:rPr>
                <w:rFonts w:ascii="宋体" w:hAnsi="宋体" w:cs="宋体" w:eastAsia="宋体" w:hint="default"/>
                <w:sz w:val="18"/>
                <w:szCs w:val="18"/>
              </w:rPr>
              <w:t>润</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终止经营净利润</w:t>
            </w:r>
            <w:r>
              <w:rPr>
                <w:rFonts w:ascii="Times New Roman" w:hAnsi="Times New Roman" w:cs="Times New Roman" w:eastAsia="Times New Roman" w:hint="default"/>
                <w:sz w:val="18"/>
                <w:szCs w:val="18"/>
              </w:rPr>
              <w:t>"</w:t>
            </w:r>
            <w:r>
              <w:rPr>
                <w:rFonts w:ascii="宋体" w:hAnsi="宋体" w:cs="宋体" w:eastAsia="宋体" w:hint="default"/>
                <w:sz w:val="18"/>
                <w:szCs w:val="18"/>
              </w:rPr>
              <w:t>。比较数据相应 调整。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董事会决议</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本期列示持续经营净利润金额</w:t>
            </w:r>
          </w:p>
          <w:p>
            <w:pPr>
              <w:pStyle w:val="TableParagraph"/>
              <w:spacing w:line="240" w:lineRule="auto" w:before="75"/>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1,418,686,409.55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元；上期列示持续经营</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净利润金额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545,250,896.55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r>
      <w:tr>
        <w:trPr>
          <w:trHeight w:val="1026"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96"/>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）与本公司日常活动相关的政府补 助，计入其他收益，不再计入营业外收 入。比较数据不调整。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董事会决议</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其他收益：</w:t>
            </w:r>
            <w:r>
              <w:rPr>
                <w:rFonts w:ascii="Times New Roman" w:hAnsi="Times New Roman" w:cs="Times New Roman" w:eastAsia="Times New Roman" w:hint="default"/>
                <w:sz w:val="18"/>
                <w:szCs w:val="18"/>
              </w:rPr>
              <w:t>35,581,798.35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tc>
      </w:tr>
      <w:tr>
        <w:trPr>
          <w:trHeight w:val="1962"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0" w:lineRule="auto" w:before="128"/>
              <w:ind w:left="22" w:right="-4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）在利润表中新增</w:t>
            </w:r>
            <w:r>
              <w:rPr>
                <w:rFonts w:ascii="Times New Roman" w:hAnsi="Times New Roman" w:cs="Times New Roman" w:eastAsia="Times New Roman" w:hint="default"/>
                <w:sz w:val="18"/>
                <w:szCs w:val="18"/>
              </w:rPr>
              <w:t>"</w:t>
            </w:r>
            <w:r>
              <w:rPr>
                <w:rFonts w:ascii="宋体" w:hAnsi="宋体" w:cs="宋体" w:eastAsia="宋体" w:hint="default"/>
                <w:sz w:val="18"/>
                <w:szCs w:val="18"/>
              </w:rPr>
              <w:t>资产处置收益</w:t>
            </w:r>
            <w:r>
              <w:rPr>
                <w:rFonts w:ascii="Times New Roman" w:hAnsi="Times New Roman" w:cs="Times New Roman" w:eastAsia="Times New Roman" w:hint="default"/>
                <w:sz w:val="18"/>
                <w:szCs w:val="18"/>
              </w:rPr>
              <w:t>"</w:t>
            </w:r>
            <w:r>
              <w:rPr>
                <w:rFonts w:ascii="宋体" w:hAnsi="宋体" w:cs="宋体" w:eastAsia="宋体" w:hint="default"/>
                <w:sz w:val="18"/>
                <w:szCs w:val="18"/>
              </w:rPr>
              <w:t>项 </w:t>
            </w:r>
            <w:r>
              <w:rPr>
                <w:rFonts w:ascii="宋体" w:hAnsi="宋体" w:cs="宋体" w:eastAsia="宋体" w:hint="default"/>
                <w:spacing w:val="-4"/>
                <w:sz w:val="18"/>
                <w:szCs w:val="18"/>
              </w:rPr>
              <w:t>目，将部分原列示为</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营业外收入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的资产</w:t>
            </w:r>
            <w:r>
              <w:rPr>
                <w:rFonts w:ascii="宋体" w:hAnsi="宋体" w:cs="宋体" w:eastAsia="宋体" w:hint="default"/>
                <w:sz w:val="18"/>
                <w:szCs w:val="18"/>
              </w:rPr>
              <w:t> 处置损益重分类至</w:t>
            </w:r>
            <w:r>
              <w:rPr>
                <w:rFonts w:ascii="Times New Roman" w:hAnsi="Times New Roman" w:cs="Times New Roman" w:eastAsia="Times New Roman" w:hint="default"/>
                <w:sz w:val="18"/>
                <w:szCs w:val="18"/>
              </w:rPr>
              <w:t>"</w:t>
            </w:r>
            <w:r>
              <w:rPr>
                <w:rFonts w:ascii="宋体" w:hAnsi="宋体" w:cs="宋体" w:eastAsia="宋体" w:hint="default"/>
                <w:sz w:val="18"/>
                <w:szCs w:val="18"/>
              </w:rPr>
              <w:t>资产处置收益</w:t>
            </w:r>
            <w:r>
              <w:rPr>
                <w:rFonts w:ascii="Times New Roman" w:hAnsi="Times New Roman" w:cs="Times New Roman" w:eastAsia="Times New Roman" w:hint="default"/>
                <w:sz w:val="18"/>
                <w:szCs w:val="18"/>
              </w:rPr>
              <w:t>"</w:t>
            </w:r>
            <w:r>
              <w:rPr>
                <w:rFonts w:ascii="宋体" w:hAnsi="宋体" w:cs="宋体" w:eastAsia="宋体" w:hint="default"/>
                <w:sz w:val="18"/>
                <w:szCs w:val="18"/>
              </w:rPr>
              <w:t>项目。 比较数据相应调整。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董事会决议</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both"/>
              <w:rPr>
                <w:rFonts w:ascii="宋体" w:hAnsi="宋体" w:cs="宋体" w:eastAsia="宋体" w:hint="default"/>
                <w:sz w:val="18"/>
                <w:szCs w:val="18"/>
              </w:rPr>
            </w:pPr>
            <w:r>
              <w:rPr>
                <w:rFonts w:ascii="宋体" w:hAnsi="宋体" w:cs="宋体" w:eastAsia="宋体" w:hint="default"/>
                <w:sz w:val="18"/>
                <w:szCs w:val="18"/>
              </w:rPr>
              <w:t>本年营业外收入</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年度计入资产处置</w:t>
            </w:r>
          </w:p>
          <w:p>
            <w:pPr>
              <w:pStyle w:val="TableParagraph"/>
              <w:spacing w:line="300" w:lineRule="auto" w:before="61"/>
              <w:ind w:left="22" w:right="20"/>
              <w:jc w:val="both"/>
              <w:rPr>
                <w:rFonts w:ascii="宋体" w:hAnsi="宋体" w:cs="宋体" w:eastAsia="宋体" w:hint="default"/>
                <w:sz w:val="18"/>
                <w:szCs w:val="18"/>
              </w:rPr>
            </w:pPr>
            <w:r>
              <w:rPr>
                <w:rFonts w:ascii="宋体" w:hAnsi="宋体" w:cs="宋体" w:eastAsia="宋体" w:hint="default"/>
                <w:sz w:val="18"/>
                <w:szCs w:val="18"/>
              </w:rPr>
              <w:t>收益</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1,250,264.28</w:t>
            </w:r>
            <w:r>
              <w:rPr>
                <w:rFonts w:ascii="Times New Roman" w:hAnsi="Times New Roman" w:cs="Times New Roman" w:eastAsia="Times New Roman" w:hint="default"/>
                <w:spacing w:val="3"/>
                <w:sz w:val="18"/>
                <w:szCs w:val="18"/>
              </w:rPr>
              <w:t> </w:t>
            </w:r>
            <w:r>
              <w:rPr>
                <w:rFonts w:ascii="宋体" w:hAnsi="宋体" w:cs="宋体" w:eastAsia="宋体" w:hint="default"/>
                <w:spacing w:val="-7"/>
                <w:sz w:val="18"/>
                <w:szCs w:val="18"/>
              </w:rPr>
              <w:t>元，重分类至资产处置</w:t>
            </w:r>
            <w:r>
              <w:rPr>
                <w:rFonts w:ascii="宋体" w:hAnsi="宋体" w:cs="宋体" w:eastAsia="宋体" w:hint="default"/>
                <w:sz w:val="18"/>
                <w:szCs w:val="18"/>
              </w:rPr>
              <w:t> 收益；上年；</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年度营业外收入减少 </w:t>
            </w:r>
            <w:r>
              <w:rPr>
                <w:rFonts w:ascii="Times New Roman" w:hAnsi="Times New Roman" w:cs="Times New Roman" w:eastAsia="Times New Roman" w:hint="default"/>
                <w:sz w:val="18"/>
                <w:szCs w:val="18"/>
              </w:rPr>
              <w:t>5,939.99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元，重分类至营业外支出减少</w:t>
            </w:r>
          </w:p>
          <w:p>
            <w:pPr>
              <w:pStyle w:val="TableParagraph"/>
              <w:spacing w:line="240" w:lineRule="auto" w:before="13"/>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204,349.23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元，资产处置收益。增加</w:t>
            </w:r>
          </w:p>
          <w:p>
            <w:pPr>
              <w:pStyle w:val="TableParagraph"/>
              <w:spacing w:line="240" w:lineRule="auto" w:before="64"/>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-198,409.24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r>
        <w:rPr/>
        <w:pict>
          <v:group style="position:absolute;margin-left:216.5pt;margin-top:-72.256332pt;width:159pt;height:59.2pt;mso-position-horizontal-relative:page;mso-position-vertical-relative:paragraph;z-index:-1135432" coordorigin="4330,-1445" coordsize="3180,1184">
            <v:group style="position:absolute;left:4341;top:-1434;width:2;height:393" coordorigin="4341,-1434" coordsize="2,393">
              <v:shape style="position:absolute;left:4341;top:-1434;width:2;height:393" coordorigin="4341,-1434" coordsize="0,393" path="m4341,-1434l4341,-1041e" filled="false" stroked="true" strokeweight="1.140pt" strokecolor="#ffffff">
                <v:path arrowok="t"/>
              </v:shape>
            </v:group>
            <v:group style="position:absolute;left:4330;top:-1041;width:3180;height:780" coordorigin="4330,-1041" coordsize="3180,780">
              <v:shape style="position:absolute;left:4330;top:-1041;width:3180;height:780" coordorigin="4330,-1041" coordsize="3180,780" path="m4330,-261l7509,-261,7509,-1041,4330,-1041,4330,-261xe" filled="true" fillcolor="#ffffff" stroked="false">
                <v:path arrowok="t"/>
                <v:fill type="solid"/>
              </v:shape>
            </v:group>
            <w10:wrap type="none"/>
          </v:group>
        </w:pict>
      </w:r>
      <w:bookmarkStart w:name="（2）重要会计估计变更" w:id="233"/>
      <w:bookmarkEnd w:id="233"/>
      <w:r>
        <w:rPr>
          <w:b w:val="0"/>
          <w:bCs w:val="0"/>
        </w:rPr>
      </w:r>
      <w:r>
        <w:rPr/>
        <w:t>（</w:t>
      </w:r>
      <w:r>
        <w:rPr>
          <w:rFonts w:ascii="Times New Roman" w:hAnsi="Times New Roman" w:cs="Times New Roman" w:eastAsia="Times New Roman" w:hint="default"/>
        </w:rPr>
        <w:t>2</w:t>
      </w:r>
      <w:r>
        <w:rPr/>
        <w:t>）重要会计估计变更</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spacing w:line="487" w:lineRule="auto" w:before="0"/>
        <w:ind w:left="1134" w:right="8966" w:firstLine="0"/>
        <w:jc w:val="left"/>
        <w:rPr>
          <w:rFonts w:ascii="宋体" w:hAnsi="宋体" w:cs="宋体" w:eastAsia="宋体" w:hint="default"/>
          <w:sz w:val="21"/>
          <w:szCs w:val="21"/>
        </w:rPr>
      </w:pPr>
      <w:bookmarkStart w:name="34、其他" w:id="234"/>
      <w:bookmarkEnd w:id="234"/>
      <w:r>
        <w:rPr/>
      </w:r>
      <w:r>
        <w:rPr>
          <w:rFonts w:ascii="Times New Roman" w:hAnsi="Times New Roman" w:cs="Times New Roman" w:eastAsia="Times New Roman" w:hint="default"/>
          <w:b/>
          <w:bCs/>
          <w:sz w:val="21"/>
          <w:szCs w:val="21"/>
        </w:rPr>
        <w:t>34</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六、税项" w:id="235"/>
      <w:bookmarkEnd w:id="235"/>
      <w:r>
        <w:rPr>
          <w:rFonts w:ascii="宋体" w:hAnsi="宋体" w:cs="宋体" w:eastAsia="宋体" w:hint="default"/>
          <w:b/>
          <w:bCs/>
          <w:w w:val="99"/>
          <w:sz w:val="21"/>
          <w:szCs w:val="21"/>
        </w:rPr>
      </w:r>
      <w:r>
        <w:rPr>
          <w:rFonts w:ascii="宋体" w:hAnsi="宋体" w:cs="宋体" w:eastAsia="宋体" w:hint="default"/>
          <w:b/>
          <w:bCs/>
          <w:sz w:val="24"/>
          <w:szCs w:val="24"/>
        </w:rPr>
        <w:t>六、税项</w:t>
      </w:r>
      <w:r>
        <w:rPr>
          <w:rFonts w:ascii="宋体" w:hAnsi="宋体" w:cs="宋体" w:eastAsia="宋体" w:hint="default"/>
          <w:b/>
          <w:bCs/>
          <w:spacing w:val="1"/>
          <w:w w:val="99"/>
          <w:sz w:val="24"/>
          <w:szCs w:val="24"/>
        </w:rPr>
        <w:t> </w:t>
      </w:r>
      <w:bookmarkStart w:name="1、主要税种及税率" w:id="236"/>
      <w:bookmarkEnd w:id="236"/>
      <w:r>
        <w:rPr>
          <w:rFonts w:ascii="宋体" w:hAnsi="宋体" w:cs="宋体" w:eastAsia="宋体" w:hint="default"/>
          <w:b/>
          <w:bCs/>
          <w:spacing w:val="1"/>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、主要税种及税率</w:t>
      </w:r>
      <w:r>
        <w:rPr>
          <w:rFonts w:ascii="宋体" w:hAnsi="宋体" w:cs="宋体" w:eastAsia="宋体" w:hint="default"/>
          <w:sz w:val="21"/>
          <w:szCs w:val="21"/>
        </w:rPr>
      </w:r>
    </w:p>
    <w:p>
      <w:pPr>
        <w:spacing w:line="240" w:lineRule="auto" w:before="5"/>
        <w:rPr>
          <w:rFonts w:ascii="宋体" w:hAnsi="宋体" w:cs="宋体" w:eastAsia="宋体" w:hint="default"/>
          <w:b/>
          <w:bCs/>
          <w:sz w:val="7"/>
          <w:szCs w:val="7"/>
        </w:rPr>
      </w:pPr>
    </w:p>
    <w:tbl>
      <w:tblPr>
        <w:tblW w:w="0" w:type="auto"/>
        <w:jc w:val="left"/>
        <w:tblInd w:w="1129" w:type="dxa"/>
        <w:tblLayout w:type="fixed"/>
        <w:tblCellMar>
          <w:top w:w="0" w:type="dxa"/>
          <w:left w:w="0" w:type="dxa"/>
          <w:bottom w:w="0" w:type="dxa"/>
          <w:right w:w="0" w:type="dxa"/>
        </w:tblCellMar>
        <w:tblLook w:val="01E0"/>
      </w:tblPr>
      <w:tblGrid>
        <w:gridCol w:w="3178"/>
        <w:gridCol w:w="3202"/>
        <w:gridCol w:w="3190"/>
      </w:tblGrid>
      <w:tr>
        <w:trPr>
          <w:trHeight w:val="402" w:hRule="exact"/>
        </w:trPr>
        <w:tc>
          <w:tcPr>
            <w:tcW w:w="3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474" w:hRule="exact"/>
        </w:trPr>
        <w:tc>
          <w:tcPr>
            <w:tcW w:w="3178" w:type="dxa"/>
            <w:tcBorders>
              <w:top w:val="single" w:sz="4" w:space="0" w:color="000000"/>
              <w:left w:val="single" w:sz="4" w:space="0" w:color="000000"/>
              <w:bottom w:val="nil" w:sz="6" w:space="0" w:color="auto"/>
              <w:right w:val="single" w:sz="4" w:space="0" w:color="000000"/>
            </w:tcBorders>
            <w:shd w:val="clear" w:color="auto" w:fill="D2D2D2"/>
          </w:tcPr>
          <w:p>
            <w:pPr/>
          </w:p>
        </w:tc>
        <w:tc>
          <w:tcPr>
            <w:tcW w:w="3202" w:type="dxa"/>
            <w:vMerge w:val="restart"/>
            <w:tcBorders>
              <w:top w:val="single" w:sz="4" w:space="0" w:color="000000"/>
              <w:left w:val="single" w:sz="9" w:space="0" w:color="D2D2D2"/>
              <w:right w:val="single" w:sz="4" w:space="0" w:color="000000"/>
            </w:tcBorders>
          </w:tcPr>
          <w:p>
            <w:pPr>
              <w:pStyle w:val="TableParagraph"/>
              <w:spacing w:line="316" w:lineRule="auto" w:before="52"/>
              <w:ind w:left="28" w:right="95"/>
              <w:jc w:val="both"/>
              <w:rPr>
                <w:rFonts w:ascii="宋体" w:hAnsi="宋体" w:cs="宋体" w:eastAsia="宋体" w:hint="default"/>
                <w:sz w:val="18"/>
                <w:szCs w:val="18"/>
              </w:rPr>
            </w:pPr>
            <w:r>
              <w:rPr>
                <w:rFonts w:ascii="宋体" w:hAnsi="宋体" w:cs="宋体" w:eastAsia="宋体" w:hint="default"/>
                <w:sz w:val="18"/>
                <w:szCs w:val="18"/>
              </w:rPr>
              <w:t>按税法规定计算的销售货物和应税劳务 收入为基础计算销项税额，在扣除当期 允许抵扣的进项税额后，差额部分为应 交增值税</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4"/>
                <w:szCs w:val="2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6%</w:t>
            </w:r>
          </w:p>
        </w:tc>
      </w:tr>
      <w:tr>
        <w:trPr>
          <w:trHeight w:val="391" w:hRule="exact"/>
        </w:trPr>
        <w:tc>
          <w:tcPr>
            <w:tcW w:w="317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202" w:type="dxa"/>
            <w:vMerge/>
            <w:tcBorders>
              <w:left w:val="single" w:sz="9"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473" w:hRule="exact"/>
        </w:trPr>
        <w:tc>
          <w:tcPr>
            <w:tcW w:w="3178" w:type="dxa"/>
            <w:tcBorders>
              <w:top w:val="nil" w:sz="6" w:space="0" w:color="auto"/>
              <w:left w:val="single" w:sz="4" w:space="0" w:color="000000"/>
              <w:bottom w:val="single" w:sz="4" w:space="0" w:color="000000"/>
              <w:right w:val="single" w:sz="4" w:space="0" w:color="000000"/>
            </w:tcBorders>
            <w:shd w:val="clear" w:color="auto" w:fill="D2D2D2"/>
          </w:tcPr>
          <w:p>
            <w:pPr/>
          </w:p>
        </w:tc>
        <w:tc>
          <w:tcPr>
            <w:tcW w:w="3202" w:type="dxa"/>
            <w:vMerge/>
            <w:tcBorders>
              <w:left w:val="single" w:sz="9"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2" w:hRule="exact"/>
        </w:trPr>
        <w:tc>
          <w:tcPr>
            <w:tcW w:w="3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按实际缴纳的流转税计缴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3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按应纳税所得额计缴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9%</w:t>
            </w:r>
          </w:p>
        </w:tc>
      </w:tr>
      <w:tr>
        <w:trPr>
          <w:trHeight w:val="402" w:hRule="exact"/>
        </w:trPr>
        <w:tc>
          <w:tcPr>
            <w:tcW w:w="3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4" w:right="0"/>
              <w:jc w:val="left"/>
              <w:rPr>
                <w:rFonts w:ascii="宋体" w:hAnsi="宋体" w:cs="宋体" w:eastAsia="宋体" w:hint="default"/>
                <w:sz w:val="18"/>
                <w:szCs w:val="18"/>
              </w:rPr>
            </w:pPr>
            <w:r>
              <w:rPr>
                <w:rFonts w:ascii="宋体" w:hAnsi="宋体" w:cs="宋体" w:eastAsia="宋体" w:hint="default"/>
                <w:sz w:val="18"/>
                <w:szCs w:val="18"/>
              </w:rPr>
              <w:t>实际缴纳流转税额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p>
        </w:tc>
      </w:tr>
      <w:tr>
        <w:trPr>
          <w:trHeight w:val="403" w:hRule="exact"/>
        </w:trPr>
        <w:tc>
          <w:tcPr>
            <w:tcW w:w="3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文化建设事业费</w:t>
            </w:r>
          </w:p>
        </w:tc>
        <w:tc>
          <w:tcPr>
            <w:tcW w:w="3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4" w:right="0"/>
              <w:jc w:val="left"/>
              <w:rPr>
                <w:rFonts w:ascii="宋体" w:hAnsi="宋体" w:cs="宋体" w:eastAsia="宋体" w:hint="default"/>
                <w:sz w:val="18"/>
                <w:szCs w:val="18"/>
              </w:rPr>
            </w:pPr>
            <w:r>
              <w:rPr>
                <w:rFonts w:ascii="宋体" w:hAnsi="宋体" w:cs="宋体" w:eastAsia="宋体" w:hint="default"/>
                <w:sz w:val="18"/>
                <w:szCs w:val="18"/>
              </w:rPr>
              <w:t>广告收入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3%</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存在不同企业所得税税率纳税主体的，披露情况说明</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昆仑日本株式会社</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w:t>
            </w:r>
            <w:r>
              <w:rPr>
                <w:rFonts w:ascii="Times New Roman" w:hAnsi="Times New Roman" w:cs="Times New Roman" w:eastAsia="Times New Roman" w:hint="default"/>
                <w:sz w:val="18"/>
                <w:szCs w:val="18"/>
              </w:rPr>
              <w:t>23.4%</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昆仑韩国株式会社</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r>
              <w:rPr>
                <w:rFonts w:ascii="Times New Roman" w:hAnsi="Times New Roman" w:cs="Times New Roman" w:eastAsia="Times New Roman" w:hint="default"/>
                <w:sz w:val="18"/>
                <w:szCs w:val="18"/>
              </w:rPr>
              <w:t>22%</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香港昆仑万维股份有限公司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昆仑集团有限公司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KUNLUN</w:t>
            </w:r>
            <w:r>
              <w:rPr>
                <w:rFonts w:ascii="Times New Roman"/>
                <w:spacing w:val="-8"/>
                <w:sz w:val="18"/>
              </w:rPr>
              <w:t> </w:t>
            </w:r>
            <w:r>
              <w:rPr>
                <w:rFonts w:ascii="Times New Roman"/>
                <w:sz w:val="18"/>
              </w:rPr>
              <w:t>GLOBAL</w:t>
            </w:r>
            <w:r>
              <w:rPr>
                <w:rFonts w:ascii="Times New Roman"/>
                <w:spacing w:val="-13"/>
                <w:sz w:val="18"/>
              </w:rPr>
              <w:t> </w:t>
            </w:r>
            <w:r>
              <w:rPr>
                <w:rFonts w:ascii="Times New Roman"/>
                <w:sz w:val="18"/>
              </w:rPr>
              <w:t>INTERNATIONAL</w:t>
            </w:r>
            <w:r>
              <w:rPr>
                <w:rFonts w:ascii="Times New Roman"/>
                <w:spacing w:val="-13"/>
                <w:sz w:val="18"/>
              </w:rPr>
              <w:t> </w:t>
            </w:r>
            <w:r>
              <w:rPr>
                <w:rFonts w:ascii="Times New Roman"/>
                <w:sz w:val="18"/>
              </w:rPr>
              <w:t>SDN.</w:t>
            </w:r>
            <w:r>
              <w:rPr>
                <w:rFonts w:ascii="Times New Roman"/>
                <w:spacing w:val="-7"/>
                <w:sz w:val="18"/>
              </w:rPr>
              <w:t> </w:t>
            </w:r>
            <w:r>
              <w:rPr>
                <w:rFonts w:ascii="Times New Roman"/>
                <w:sz w:val="18"/>
              </w:rPr>
              <w:t>BHD.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w:t>
            </w:r>
            <w:r>
              <w:rPr>
                <w:rFonts w:ascii="宋体" w:hAnsi="宋体" w:cs="宋体" w:eastAsia="宋体" w:hint="default"/>
                <w:sz w:val="18"/>
                <w:szCs w:val="18"/>
              </w:rPr>
              <w:t>、</w:t>
            </w:r>
            <w:r>
              <w:rPr>
                <w:rFonts w:ascii="Times New Roman" w:hAnsi="Times New Roman" w:cs="Times New Roman" w:eastAsia="Times New Roman" w:hint="default"/>
                <w:sz w:val="18"/>
                <w:szCs w:val="18"/>
              </w:rPr>
              <w:t>18%</w:t>
            </w:r>
            <w:r>
              <w:rPr>
                <w:rFonts w:ascii="宋体" w:hAnsi="宋体" w:cs="宋体" w:eastAsia="宋体" w:hint="default"/>
                <w:sz w:val="18"/>
                <w:szCs w:val="18"/>
              </w:rPr>
              <w:t>、</w:t>
            </w:r>
            <w:r>
              <w:rPr>
                <w:rFonts w:ascii="Times New Roman" w:hAnsi="Times New Roman" w:cs="Times New Roman" w:eastAsia="Times New Roman" w:hint="default"/>
                <w:sz w:val="18"/>
                <w:szCs w:val="18"/>
              </w:rPr>
              <w:t>24%</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KUNLUN EUROPE</w:t>
            </w:r>
            <w:r>
              <w:rPr>
                <w:rFonts w:ascii="Times New Roman"/>
                <w:spacing w:val="-3"/>
                <w:sz w:val="18"/>
              </w:rPr>
              <w:t> </w:t>
            </w:r>
            <w:r>
              <w:rPr>
                <w:rFonts w:ascii="Times New Roman"/>
                <w:sz w:val="18"/>
              </w:rPr>
              <w:t>LIMITED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19%</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KUNLUN US</w:t>
            </w:r>
            <w:r>
              <w:rPr>
                <w:rFonts w:ascii="Times New Roman"/>
                <w:spacing w:val="-3"/>
                <w:sz w:val="18"/>
              </w:rPr>
              <w:t> </w:t>
            </w:r>
            <w:r>
              <w:rPr>
                <w:rFonts w:ascii="Times New Roman"/>
                <w:sz w:val="18"/>
              </w:rPr>
              <w:t>INC</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15%-35%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网潮（香港）科技股份有限公司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游景蓝图（香港）科技股份有限公司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台湾昆仑万维有限公司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17%</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KunlunGrindrHoldingsLimited</w:t>
            </w:r>
          </w:p>
        </w:tc>
        <w:tc>
          <w:tcPr>
            <w:tcW w:w="47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KLGrindrHoldings,Inc.</w:t>
            </w:r>
          </w:p>
        </w:tc>
        <w:tc>
          <w:tcPr>
            <w:tcW w:w="47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Grindr</w:t>
            </w:r>
            <w:r>
              <w:rPr>
                <w:rFonts w:ascii="Times New Roman"/>
                <w:spacing w:val="-1"/>
                <w:sz w:val="18"/>
              </w:rPr>
              <w:t> </w:t>
            </w:r>
            <w:r>
              <w:rPr>
                <w:rFonts w:ascii="Times New Roman"/>
                <w:sz w:val="18"/>
              </w:rPr>
              <w:t>LLC</w:t>
            </w:r>
          </w:p>
        </w:tc>
        <w:tc>
          <w:tcPr>
            <w:tcW w:w="47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Cayman Kunlun</w:t>
            </w:r>
            <w:r>
              <w:rPr>
                <w:rFonts w:ascii="Times New Roman"/>
                <w:spacing w:val="-2"/>
                <w:sz w:val="18"/>
              </w:rPr>
              <w:t> </w:t>
            </w:r>
            <w:r>
              <w:rPr>
                <w:rFonts w:ascii="Times New Roman"/>
                <w:sz w:val="18"/>
              </w:rPr>
              <w:t>Group</w:t>
            </w:r>
          </w:p>
        </w:tc>
        <w:tc>
          <w:tcPr>
            <w:tcW w:w="478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2、税收优惠" w:id="237"/>
      <w:bookmarkEnd w:id="237"/>
      <w:r>
        <w:rPr>
          <w:b w:val="0"/>
          <w:bCs w:val="0"/>
        </w:rPr>
      </w:r>
      <w:r>
        <w:rPr>
          <w:rFonts w:ascii="Times New Roman" w:hAnsi="Times New Roman" w:cs="Times New Roman" w:eastAsia="Times New Roman" w:hint="default"/>
        </w:rPr>
        <w:t>2</w:t>
      </w:r>
      <w:r>
        <w:rPr/>
        <w:t>、税收优惠</w:t>
      </w:r>
      <w:r>
        <w:rPr>
          <w:b w:val="0"/>
          <w:bCs w:val="0"/>
        </w:rPr>
      </w:r>
    </w:p>
    <w:p>
      <w:pPr>
        <w:spacing w:line="240" w:lineRule="auto" w:before="8"/>
        <w:rPr>
          <w:rFonts w:ascii="宋体" w:hAnsi="宋体" w:cs="宋体" w:eastAsia="宋体" w:hint="default"/>
          <w:b/>
          <w:bCs/>
          <w:sz w:val="24"/>
          <w:szCs w:val="24"/>
        </w:rPr>
      </w:pPr>
    </w:p>
    <w:p>
      <w:pPr>
        <w:pStyle w:val="BodyText"/>
        <w:spacing w:line="240" w:lineRule="auto"/>
        <w:ind w:left="1848" w:right="998"/>
        <w:jc w:val="left"/>
      </w:pPr>
      <w:r>
        <w:rPr>
          <w:rFonts w:ascii="Times New Roman" w:hAnsi="Times New Roman" w:cs="Times New Roman" w:eastAsia="Times New Roman" w:hint="default"/>
        </w:rPr>
        <w:t>1</w:t>
      </w:r>
      <w:r>
        <w:rPr/>
        <w:t>、母公司税收优惠政策</w:t>
      </w:r>
    </w:p>
    <w:p>
      <w:pPr>
        <w:pStyle w:val="BodyText"/>
        <w:spacing w:line="256" w:lineRule="auto" w:before="21"/>
        <w:ind w:left="1848" w:right="1136"/>
        <w:jc w:val="left"/>
      </w:pPr>
      <w:r>
        <w:rPr/>
        <w:t>根据（财税〔</w:t>
      </w:r>
      <w:r>
        <w:rPr>
          <w:rFonts w:ascii="Times New Roman" w:hAnsi="Times New Roman" w:cs="Times New Roman" w:eastAsia="Times New Roman" w:hint="default"/>
        </w:rPr>
        <w:t>2016</w:t>
      </w:r>
      <w:r>
        <w:rPr/>
        <w:t>〕</w:t>
      </w:r>
      <w:r>
        <w:rPr>
          <w:rFonts w:ascii="Times New Roman" w:hAnsi="Times New Roman" w:cs="Times New Roman" w:eastAsia="Times New Roman" w:hint="default"/>
        </w:rPr>
        <w:t>36</w:t>
      </w:r>
      <w:r>
        <w:rPr/>
        <w:t>号）号文件《财政部</w:t>
      </w:r>
      <w:r>
        <w:rPr>
          <w:spacing w:val="-23"/>
        </w:rPr>
        <w:t> </w:t>
      </w:r>
      <w:r>
        <w:rPr/>
        <w:t>国家税务总局关于全面推开营业税改征增值税试点的</w:t>
      </w:r>
      <w:r>
        <w:rPr/>
        <w:t> 通知》的规定，公司对于在</w:t>
      </w:r>
      <w:r>
        <w:rPr>
          <w:rFonts w:ascii="Times New Roman" w:hAnsi="Times New Roman" w:cs="Times New Roman" w:eastAsia="Times New Roman" w:hint="default"/>
        </w:rPr>
        <w:t>2017</w:t>
      </w:r>
      <w:r>
        <w:rPr/>
        <w:t>年度从事的技术转让，技术开发业务收入在办理完毕相应的备案 手续后免征增值税。</w:t>
      </w:r>
    </w:p>
    <w:p>
      <w:pPr>
        <w:pStyle w:val="BodyText"/>
        <w:spacing w:line="256" w:lineRule="auto" w:before="22"/>
        <w:ind w:left="1848" w:right="1131"/>
        <w:jc w:val="left"/>
      </w:pPr>
      <w:r>
        <w:rPr>
          <w:rFonts w:ascii="Times New Roman" w:hAnsi="Times New Roman" w:cs="Times New Roman" w:eastAsia="Times New Roman" w:hint="default"/>
        </w:rPr>
        <w:t>2</w:t>
      </w:r>
      <w:r>
        <w:rPr/>
        <w:t>、子公司北京昆仑在线网络科技有限公司税收优惠政策 根据</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12</w:t>
      </w:r>
      <w:r>
        <w:rPr/>
        <w:t>日北京市科学技术委员会、北京市财政局、北京市国家税务局、北京市地方税 务局联合颁发的编号为</w:t>
      </w:r>
      <w:r>
        <w:rPr>
          <w:rFonts w:ascii="Times New Roman" w:hAnsi="Times New Roman" w:cs="Times New Roman" w:eastAsia="Times New Roman" w:hint="default"/>
        </w:rPr>
        <w:t>GF201411000916</w:t>
      </w:r>
      <w:r>
        <w:rPr/>
        <w:t>号高新技术企业证书（有效期为</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12</w:t>
      </w:r>
      <w:r>
        <w:rPr/>
        <w:t>日至</w:t>
      </w:r>
      <w:r>
        <w:rPr>
          <w:rFonts w:ascii="Times New Roman" w:hAnsi="Times New Roman" w:cs="Times New Roman" w:eastAsia="Times New Roman" w:hint="default"/>
        </w:rPr>
        <w:t>2017</w:t>
      </w:r>
      <w:r>
        <w:rPr/>
        <w:t>年 </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12</w:t>
      </w:r>
      <w:r>
        <w:rPr/>
        <w:t>日），根据中华人民共和国企业所得税税法第二十八条的规定及主管税务机关的认定，公 </w:t>
      </w:r>
      <w:r>
        <w:rPr>
          <w:spacing w:val="-2"/>
        </w:rPr>
        <w:t>司在高新技术企业证书有效期内按</w:t>
      </w:r>
      <w:r>
        <w:rPr>
          <w:rFonts w:ascii="Times New Roman" w:hAnsi="Times New Roman" w:cs="Times New Roman" w:eastAsia="Times New Roman" w:hint="default"/>
          <w:spacing w:val="-2"/>
        </w:rPr>
        <w:t>15%</w:t>
      </w:r>
      <w:r>
        <w:rPr>
          <w:spacing w:val="-2"/>
        </w:rPr>
        <w:t>的所得税税率缴纳当年的企业所得税，上述证书到期后企业</w:t>
      </w:r>
      <w:r>
        <w:rPr>
          <w:spacing w:val="-90"/>
        </w:rPr>
        <w:t> </w:t>
      </w:r>
      <w:r>
        <w:rPr>
          <w:spacing w:val="-90"/>
        </w:rPr>
      </w:r>
      <w:r>
        <w:rPr>
          <w:spacing w:val="-2"/>
        </w:rPr>
        <w:t>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6</w:t>
      </w:r>
      <w:r>
        <w:rPr>
          <w:spacing w:val="-2"/>
        </w:rPr>
        <w:t>日取得了证书编号为</w:t>
      </w:r>
      <w:r>
        <w:rPr>
          <w:rFonts w:ascii="Times New Roman" w:hAnsi="Times New Roman" w:cs="Times New Roman" w:eastAsia="Times New Roman" w:hint="default"/>
          <w:spacing w:val="-2"/>
        </w:rPr>
        <w:t>GR201711007702</w:t>
      </w:r>
      <w:r>
        <w:rPr>
          <w:spacing w:val="-2"/>
        </w:rPr>
        <w:t>号高新技术企业证书，有效期三年，公司在高</w:t>
      </w:r>
      <w:r>
        <w:rPr>
          <w:spacing w:val="-87"/>
        </w:rPr>
        <w:t> </w:t>
      </w:r>
      <w:r>
        <w:rPr>
          <w:spacing w:val="-87"/>
        </w:rPr>
      </w:r>
      <w:r>
        <w:rPr/>
        <w:t>新技术企业证书有效期内按</w:t>
      </w:r>
      <w:r>
        <w:rPr>
          <w:rFonts w:ascii="Times New Roman" w:hAnsi="Times New Roman" w:cs="Times New Roman" w:eastAsia="Times New Roman" w:hint="default"/>
        </w:rPr>
        <w:t>15%</w:t>
      </w:r>
      <w:r>
        <w:rPr/>
        <w:t>的所得税税率缴纳当年的企业所得税。 根据（财税〔</w:t>
      </w:r>
      <w:r>
        <w:rPr>
          <w:rFonts w:ascii="Times New Roman" w:hAnsi="Times New Roman" w:cs="Times New Roman" w:eastAsia="Times New Roman" w:hint="default"/>
        </w:rPr>
        <w:t>2016</w:t>
      </w:r>
      <w:r>
        <w:rPr/>
        <w:t>〕</w:t>
      </w:r>
      <w:r>
        <w:rPr>
          <w:rFonts w:ascii="Times New Roman" w:hAnsi="Times New Roman" w:cs="Times New Roman" w:eastAsia="Times New Roman" w:hint="default"/>
        </w:rPr>
        <w:t>36</w:t>
      </w:r>
      <w:r>
        <w:rPr/>
        <w:t>号）号文件《财政部</w:t>
      </w:r>
      <w:r>
        <w:rPr>
          <w:spacing w:val="-23"/>
        </w:rPr>
        <w:t> </w:t>
      </w:r>
      <w:r>
        <w:rPr/>
        <w:t>国家税务总局关于全面推开营业税改征增值税试点的</w:t>
      </w:r>
      <w:r>
        <w:rPr/>
        <w:t> 通知》的规定，公司对于在</w:t>
      </w:r>
      <w:r>
        <w:rPr>
          <w:rFonts w:ascii="Times New Roman" w:hAnsi="Times New Roman" w:cs="Times New Roman" w:eastAsia="Times New Roman" w:hint="default"/>
        </w:rPr>
        <w:t>2017</w:t>
      </w:r>
      <w:r>
        <w:rPr/>
        <w:t>年度从事的技术转让，技术开发业务收入在办理完毕相应的备案 手续后免征增值税。</w:t>
      </w:r>
    </w:p>
    <w:p>
      <w:pPr>
        <w:pStyle w:val="BodyText"/>
        <w:spacing w:line="256" w:lineRule="auto" w:before="22"/>
        <w:ind w:left="1848" w:right="1136"/>
        <w:jc w:val="left"/>
      </w:pPr>
      <w:r>
        <w:rPr>
          <w:rFonts w:ascii="Times New Roman" w:hAnsi="Times New Roman" w:cs="Times New Roman" w:eastAsia="Times New Roman" w:hint="default"/>
        </w:rPr>
        <w:t>3</w:t>
      </w:r>
      <w:r>
        <w:rPr/>
        <w:t>、子公司广州昆仑在线信息科技有限公司税收优惠政策 根据（财税〔</w:t>
      </w:r>
      <w:r>
        <w:rPr>
          <w:rFonts w:ascii="Times New Roman" w:hAnsi="Times New Roman" w:cs="Times New Roman" w:eastAsia="Times New Roman" w:hint="default"/>
        </w:rPr>
        <w:t>2016</w:t>
      </w:r>
      <w:r>
        <w:rPr/>
        <w:t>〕</w:t>
      </w:r>
      <w:r>
        <w:rPr>
          <w:rFonts w:ascii="Times New Roman" w:hAnsi="Times New Roman" w:cs="Times New Roman" w:eastAsia="Times New Roman" w:hint="default"/>
        </w:rPr>
        <w:t>36</w:t>
      </w:r>
      <w:r>
        <w:rPr/>
        <w:t>号）号文件《财政部</w:t>
      </w:r>
      <w:r>
        <w:rPr>
          <w:spacing w:val="-23"/>
        </w:rPr>
        <w:t> </w:t>
      </w:r>
      <w:r>
        <w:rPr/>
        <w:t>国家税务总局关于全面推开营业税改征增值税试点的</w:t>
      </w:r>
      <w:r>
        <w:rPr/>
        <w:t> 通知》的规定，公司对于在</w:t>
      </w:r>
      <w:r>
        <w:rPr>
          <w:rFonts w:ascii="Times New Roman" w:hAnsi="Times New Roman" w:cs="Times New Roman" w:eastAsia="Times New Roman" w:hint="default"/>
        </w:rPr>
        <w:t>2017</w:t>
      </w:r>
      <w:r>
        <w:rPr/>
        <w:t>年度从事的技术转让，技术开发业务收入在办理完毕相应的备案 手续后免征增值税。</w:t>
      </w:r>
    </w:p>
    <w:p>
      <w:pPr>
        <w:pStyle w:val="BodyText"/>
        <w:spacing w:line="256" w:lineRule="auto" w:before="23"/>
        <w:ind w:left="1848" w:right="1136"/>
        <w:jc w:val="left"/>
      </w:pPr>
      <w:r>
        <w:rPr>
          <w:rFonts w:ascii="Times New Roman" w:hAnsi="Times New Roman" w:cs="Times New Roman" w:eastAsia="Times New Roman" w:hint="default"/>
        </w:rPr>
        <w:t>4</w:t>
      </w:r>
      <w:r>
        <w:rPr/>
        <w:t>、子公司北京昆仑乐享网络技术有限公司税收优惠政策 根据（财税〔</w:t>
      </w:r>
      <w:r>
        <w:rPr>
          <w:rFonts w:ascii="Times New Roman" w:hAnsi="Times New Roman" w:cs="Times New Roman" w:eastAsia="Times New Roman" w:hint="default"/>
        </w:rPr>
        <w:t>2016</w:t>
      </w:r>
      <w:r>
        <w:rPr/>
        <w:t>〕</w:t>
      </w:r>
      <w:r>
        <w:rPr>
          <w:rFonts w:ascii="Times New Roman" w:hAnsi="Times New Roman" w:cs="Times New Roman" w:eastAsia="Times New Roman" w:hint="default"/>
        </w:rPr>
        <w:t>36</w:t>
      </w:r>
      <w:r>
        <w:rPr/>
        <w:t>号）号文件《财政部</w:t>
      </w:r>
      <w:r>
        <w:rPr>
          <w:spacing w:val="-23"/>
        </w:rPr>
        <w:t> </w:t>
      </w:r>
      <w:r>
        <w:rPr/>
        <w:t>国家税务总局关于全面推开营业税改征增值税试点的</w:t>
      </w:r>
      <w:r>
        <w:rPr/>
        <w:t> 通知》的规定，公司对于在</w:t>
      </w:r>
      <w:r>
        <w:rPr>
          <w:rFonts w:ascii="Times New Roman" w:hAnsi="Times New Roman" w:cs="Times New Roman" w:eastAsia="Times New Roman" w:hint="default"/>
        </w:rPr>
        <w:t>2017</w:t>
      </w:r>
      <w:r>
        <w:rPr/>
        <w:t>年度从事的技术转让，技术开发业务收入在办理完毕相应的备案 手续后免征增值税。</w:t>
      </w:r>
    </w:p>
    <w:p>
      <w:pPr>
        <w:spacing w:after="0" w:line="256" w:lineRule="auto"/>
        <w:jc w:val="left"/>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BodyText"/>
        <w:spacing w:line="256" w:lineRule="auto" w:before="35"/>
        <w:ind w:left="1848" w:right="1121"/>
        <w:jc w:val="left"/>
      </w:pPr>
      <w:r>
        <w:rPr>
          <w:rFonts w:ascii="Times New Roman" w:hAnsi="Times New Roman" w:cs="Times New Roman" w:eastAsia="Times New Roman" w:hint="default"/>
        </w:rPr>
        <w:t>5</w:t>
      </w:r>
      <w:r>
        <w:rPr/>
        <w:t>、子公司西藏昆诺赢展创业投资有限责任公司税收优惠政策 根据（财税（</w:t>
      </w:r>
      <w:r>
        <w:rPr>
          <w:rFonts w:ascii="Times New Roman" w:hAnsi="Times New Roman" w:cs="Times New Roman" w:eastAsia="Times New Roman" w:hint="default"/>
        </w:rPr>
        <w:t>2011</w:t>
      </w:r>
      <w:r>
        <w:rPr/>
        <w:t>）</w:t>
      </w:r>
      <w:r>
        <w:rPr>
          <w:rFonts w:ascii="Times New Roman" w:hAnsi="Times New Roman" w:cs="Times New Roman" w:eastAsia="Times New Roman" w:hint="default"/>
        </w:rPr>
        <w:t>58</w:t>
      </w:r>
      <w:r>
        <w:rPr/>
        <w:t>号）文件《财政部、海关总署、国家税务总局关于深入实施西部大开发战 </w:t>
      </w:r>
      <w:r>
        <w:rPr>
          <w:spacing w:val="-1"/>
        </w:rPr>
        <w:t>略有关税收政策问题的通知》国家关于西部大开发税收优惠政策，并按照</w:t>
      </w:r>
      <w:r>
        <w:rPr>
          <w:rFonts w:ascii="Times New Roman" w:hAnsi="Times New Roman" w:cs="Times New Roman" w:eastAsia="Times New Roman" w:hint="default"/>
          <w:spacing w:val="-1"/>
        </w:rPr>
        <w:t>&lt;</w:t>
      </w:r>
      <w:r>
        <w:rPr>
          <w:spacing w:val="-1"/>
        </w:rPr>
        <w:t>西藏自治区人民政府关</w:t>
      </w:r>
      <w:r>
        <w:rPr>
          <w:spacing w:val="-78"/>
        </w:rPr>
        <w:t> </w:t>
      </w:r>
      <w:r>
        <w:rPr>
          <w:spacing w:val="-5"/>
        </w:rPr>
        <w:t>于印发《西藏自治区企业所得税政策实施办法》的通知</w:t>
      </w:r>
      <w:r>
        <w:rPr>
          <w:rFonts w:ascii="Times New Roman" w:hAnsi="Times New Roman" w:cs="Times New Roman" w:eastAsia="Times New Roman" w:hint="default"/>
          <w:spacing w:val="-5"/>
        </w:rPr>
        <w:t>&gt;</w:t>
      </w:r>
      <w:r>
        <w:rPr>
          <w:spacing w:val="-5"/>
        </w:rPr>
        <w:t>（藏政发</w:t>
      </w:r>
      <w:r>
        <w:rPr>
          <w:rFonts w:ascii="Times New Roman" w:hAnsi="Times New Roman" w:cs="Times New Roman" w:eastAsia="Times New Roman" w:hint="default"/>
          <w:spacing w:val="-5"/>
        </w:rPr>
        <w:t>[2014]51</w:t>
      </w:r>
      <w:r>
        <w:rPr>
          <w:spacing w:val="-5"/>
        </w:rPr>
        <w:t>号）的规定，企业</w:t>
      </w:r>
      <w:r>
        <w:rPr>
          <w:rFonts w:ascii="Times New Roman" w:hAnsi="Times New Roman" w:cs="Times New Roman" w:eastAsia="Times New Roman" w:hint="default"/>
          <w:spacing w:val="-5"/>
        </w:rPr>
        <w:t>“</w:t>
      </w:r>
      <w:r>
        <w:rPr>
          <w:spacing w:val="-5"/>
        </w:rPr>
        <w:t>自</w:t>
      </w:r>
      <w:r>
        <w:rPr>
          <w:rFonts w:ascii="Times New Roman" w:hAnsi="Times New Roman" w:cs="Times New Roman" w:eastAsia="Times New Roman" w:hint="default"/>
          <w:spacing w:val="-5"/>
        </w:rPr>
        <w:t>2011</w:t>
      </w:r>
      <w:r>
        <w:rPr>
          <w:rFonts w:ascii="Times New Roman" w:hAnsi="Times New Roman" w:cs="Times New Roman" w:eastAsia="Times New Roman" w:hint="default"/>
        </w:rPr>
        <w:t> </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日至</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日，对设在西部地区的鼓励类产业企业减按</w:t>
      </w:r>
      <w:r>
        <w:rPr>
          <w:rFonts w:ascii="Times New Roman" w:hAnsi="Times New Roman" w:cs="Times New Roman" w:eastAsia="Times New Roman" w:hint="default"/>
        </w:rPr>
        <w:t>15%</w:t>
      </w:r>
      <w:r>
        <w:rPr/>
        <w:t>的税率征收企业所得</w:t>
      </w:r>
    </w:p>
    <w:p>
      <w:pPr>
        <w:pStyle w:val="BodyText"/>
        <w:spacing w:line="256" w:lineRule="auto" w:before="5"/>
        <w:ind w:left="1848" w:right="1113"/>
        <w:jc w:val="left"/>
      </w:pPr>
      <w:r>
        <w:rPr/>
        <w:t>税</w:t>
      </w:r>
      <w:r>
        <w:rPr>
          <w:rFonts w:ascii="Times New Roman" w:hAnsi="Times New Roman" w:cs="Times New Roman" w:eastAsia="Times New Roman" w:hint="default"/>
        </w:rPr>
        <w:t>”</w:t>
      </w:r>
      <w:r>
        <w:rPr>
          <w:rFonts w:ascii="Times New Roman" w:hAnsi="Times New Roman" w:cs="Times New Roman" w:eastAsia="Times New Roman" w:hint="default"/>
          <w:spacing w:val="-3"/>
        </w:rPr>
        <w:t> </w:t>
      </w:r>
      <w:r>
        <w:rPr/>
        <w:t>、</w:t>
      </w:r>
      <w:r>
        <w:rPr>
          <w:rFonts w:ascii="Times New Roman" w:hAnsi="Times New Roman" w:cs="Times New Roman" w:eastAsia="Times New Roman" w:hint="default"/>
        </w:rPr>
        <w:t>“</w:t>
      </w:r>
      <w:r>
        <w:rPr/>
        <w:t>自</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日止，暂免征收我区企业应缴纳的企业所得税中属于地 方分享的部分</w:t>
      </w:r>
      <w:r>
        <w:rPr>
          <w:rFonts w:ascii="Times New Roman" w:hAnsi="Times New Roman" w:cs="Times New Roman" w:eastAsia="Times New Roman" w:hint="default"/>
        </w:rPr>
        <w:t>”</w:t>
      </w:r>
      <w:r>
        <w:rPr/>
        <w:t>，即西藏子公司按照实际</w:t>
      </w:r>
      <w:r>
        <w:rPr>
          <w:spacing w:val="-53"/>
        </w:rPr>
        <w:t> </w:t>
      </w:r>
      <w:r>
        <w:rPr>
          <w:rFonts w:ascii="Times New Roman" w:hAnsi="Times New Roman" w:cs="Times New Roman" w:eastAsia="Times New Roman" w:hint="default"/>
        </w:rPr>
        <w:t>9%</w:t>
      </w:r>
      <w:r>
        <w:rPr/>
        <w:t>的企业所得税税率缴纳企业所得税。 </w:t>
      </w:r>
      <w:r>
        <w:rPr>
          <w:rFonts w:ascii="Times New Roman" w:hAnsi="Times New Roman" w:cs="Times New Roman" w:eastAsia="Times New Roman" w:hint="default"/>
        </w:rPr>
        <w:t>6</w:t>
      </w:r>
      <w:r>
        <w:rPr/>
        <w:t>、子公司霍尔果斯昆仑点金科技网络有限公司、霍尔果斯昆诺天勤创业投资有限公司税收优惠政 策</w:t>
      </w:r>
    </w:p>
    <w:p>
      <w:pPr>
        <w:pStyle w:val="BodyText"/>
        <w:spacing w:line="264" w:lineRule="auto" w:before="22"/>
        <w:ind w:left="1764" w:right="1026" w:firstLine="84"/>
        <w:jc w:val="left"/>
      </w:pPr>
      <w:r>
        <w:rPr/>
        <w:t>根据《财政部</w:t>
      </w:r>
      <w:r>
        <w:rPr>
          <w:spacing w:val="-21"/>
        </w:rPr>
        <w:t> </w:t>
      </w:r>
      <w:r>
        <w:rPr/>
        <w:t>国家税务总局关于新疆喀什霍尔果斯两个特殊经济开发区企业所得税优惠政策的通</w:t>
      </w:r>
      <w:r>
        <w:rPr/>
        <w:t> 知》（财税</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rFonts w:ascii="Times New Roman" w:hAnsi="Times New Roman" w:cs="Times New Roman" w:eastAsia="Times New Roman" w:hint="default"/>
        </w:rPr>
        <w:t>112</w:t>
      </w:r>
      <w:r>
        <w:rPr/>
        <w:t>号），自</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日至</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日，对在新疆喀什、霍尔果斯两个特 殊经济开发区内新办的属于《新疆困难地区重点鼓励发展产业企业所得税优惠目录》范围内的企 业，自取得第一笔生产经营收入所属纳税年度起，五年内免征企业所得税 </w:t>
      </w:r>
      <w:r>
        <w:rPr>
          <w:rFonts w:ascii="Times New Roman" w:hAnsi="Times New Roman" w:cs="Times New Roman" w:eastAsia="Times New Roman" w:hint="default"/>
        </w:rPr>
        <w:t>7</w:t>
      </w:r>
      <w:r>
        <w:rPr/>
        <w:t>、子公司北京闲徕互娱网络科技有限公司于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28</w:t>
      </w:r>
      <w:r>
        <w:rPr/>
        <w:t>日取得编号为京</w:t>
      </w:r>
      <w:r>
        <w:rPr>
          <w:rFonts w:ascii="Times New Roman" w:hAnsi="Times New Roman" w:cs="Times New Roman" w:eastAsia="Times New Roman" w:hint="default"/>
        </w:rPr>
        <w:t>RQ-2018-0069</w:t>
      </w:r>
      <w:r>
        <w:rPr/>
        <w:t>号的《软件</w:t>
      </w:r>
      <w:r>
        <w:rPr>
          <w:w w:val="99"/>
        </w:rPr>
        <w:t> </w:t>
      </w:r>
      <w:r>
        <w:rPr>
          <w:spacing w:val="-3"/>
        </w:rPr>
        <w:t>企业认定证书》，按照《财政部国家税务总局关于企业所得税若干优惠政策的通知》（财税（</w:t>
      </w:r>
      <w:r>
        <w:rPr>
          <w:rFonts w:ascii="Times New Roman" w:hAnsi="Times New Roman" w:cs="Times New Roman" w:eastAsia="Times New Roman" w:hint="default"/>
          <w:spacing w:val="-3"/>
        </w:rPr>
        <w:t>2008</w:t>
      </w:r>
      <w:r>
        <w:rPr>
          <w:spacing w:val="-3"/>
        </w:rPr>
        <w:t>）</w:t>
      </w:r>
      <w:r>
        <w:rPr>
          <w:spacing w:val="-99"/>
        </w:rPr>
        <w:t> </w:t>
      </w:r>
      <w:r>
        <w:rPr>
          <w:rFonts w:ascii="Times New Roman" w:hAnsi="Times New Roman" w:cs="Times New Roman" w:eastAsia="Times New Roman" w:hint="default"/>
        </w:rPr>
        <w:t>1</w:t>
      </w:r>
      <w:r>
        <w:rPr/>
        <w:t>号）和《关于进一步鼓励软件产业和集成电路产业发展企业所得税政策的通知》（财税（</w:t>
      </w:r>
      <w:r>
        <w:rPr>
          <w:rFonts w:ascii="Times New Roman" w:hAnsi="Times New Roman" w:cs="Times New Roman" w:eastAsia="Times New Roman" w:hint="default"/>
        </w:rPr>
        <w:t>2012</w:t>
      </w:r>
      <w:r>
        <w:rPr/>
        <w:t>）</w:t>
      </w:r>
    </w:p>
    <w:p>
      <w:pPr>
        <w:pStyle w:val="BodyText"/>
        <w:spacing w:line="259" w:lineRule="auto"/>
        <w:ind w:left="1764" w:right="1129"/>
        <w:jc w:val="left"/>
      </w:pPr>
      <w:r>
        <w:rPr>
          <w:rFonts w:ascii="Times New Roman" w:hAnsi="Times New Roman" w:cs="Times New Roman" w:eastAsia="Times New Roman" w:hint="default"/>
          <w:spacing w:val="-5"/>
        </w:rPr>
        <w:t>27</w:t>
      </w:r>
      <w:r>
        <w:rPr>
          <w:spacing w:val="-5"/>
        </w:rPr>
        <w:t>号）规定，自获利年度起计算优惠期，第一年至第二年免征企业所得税，第三年至第五年按照</w:t>
      </w:r>
      <w:r>
        <w:rPr>
          <w:rFonts w:ascii="Times New Roman" w:hAnsi="Times New Roman" w:cs="Times New Roman" w:eastAsia="Times New Roman" w:hint="default"/>
          <w:spacing w:val="-5"/>
        </w:rPr>
        <w:t>25%</w:t>
      </w:r>
      <w:r>
        <w:rPr>
          <w:rFonts w:ascii="Times New Roman" w:hAnsi="Times New Roman" w:cs="Times New Roman" w:eastAsia="Times New Roman" w:hint="default"/>
          <w:spacing w:val="-24"/>
        </w:rPr>
        <w:t> </w:t>
      </w:r>
      <w:r>
        <w:rPr>
          <w:spacing w:val="-1"/>
        </w:rPr>
        <w:t>的法定税率减半征收企业所得税，并享受至期满为止，公司从</w:t>
      </w:r>
      <w:r>
        <w:rPr>
          <w:rFonts w:ascii="Times New Roman" w:hAnsi="Times New Roman" w:cs="Times New Roman" w:eastAsia="Times New Roman" w:hint="default"/>
          <w:spacing w:val="-1"/>
        </w:rPr>
        <w:t>2017</w:t>
      </w:r>
      <w:r>
        <w:rPr>
          <w:spacing w:val="-1"/>
        </w:rPr>
        <w:t>年开始盈利，</w:t>
      </w:r>
      <w:r>
        <w:rPr>
          <w:rFonts w:ascii="Times New Roman" w:hAnsi="Times New Roman" w:cs="Times New Roman" w:eastAsia="Times New Roman" w:hint="default"/>
          <w:spacing w:val="-1"/>
        </w:rPr>
        <w:t>2017</w:t>
      </w:r>
      <w:r>
        <w:rPr>
          <w:spacing w:val="-1"/>
        </w:rPr>
        <w:t>年为享受两免</w:t>
      </w:r>
      <w:r>
        <w:rPr>
          <w:spacing w:val="-84"/>
        </w:rPr>
        <w:t> </w:t>
      </w:r>
      <w:r>
        <w:rPr>
          <w:spacing w:val="-84"/>
        </w:rPr>
      </w:r>
      <w:r>
        <w:rPr/>
        <w:t>三减半的第一年。 </w:t>
      </w:r>
      <w:r>
        <w:rPr>
          <w:rFonts w:ascii="Times New Roman" w:hAnsi="Times New Roman" w:cs="Times New Roman" w:eastAsia="Times New Roman" w:hint="default"/>
          <w:spacing w:val="-1"/>
        </w:rPr>
        <w:t>8</w:t>
      </w:r>
      <w:r>
        <w:rPr>
          <w:spacing w:val="-1"/>
        </w:rPr>
        <w:t>、子公司闲来互娱（海南）网络科技有限公司根据海南省人民政府于</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20</w:t>
      </w:r>
      <w:r>
        <w:rPr>
          <w:spacing w:val="-1"/>
        </w:rPr>
        <w:t>日发布的《海南</w:t>
      </w:r>
      <w:r>
        <w:rPr>
          <w:spacing w:val="-87"/>
        </w:rPr>
        <w:t> </w:t>
      </w:r>
      <w:r>
        <w:rPr>
          <w:spacing w:val="-87"/>
        </w:rPr>
      </w:r>
      <w:r>
        <w:rPr/>
        <w:t>省鼓励和支持战略性新兴产业和高新技术产业发展的若干政策》（暂行）（琼府</w:t>
      </w:r>
      <w:r>
        <w:rPr>
          <w:rFonts w:ascii="Times New Roman" w:hAnsi="Times New Roman" w:cs="Times New Roman" w:eastAsia="Times New Roman" w:hint="default"/>
        </w:rPr>
        <w:t>[2011]52</w:t>
      </w:r>
      <w:r>
        <w:rPr/>
        <w:t>号），企</w:t>
      </w:r>
      <w:r>
        <w:rPr>
          <w:spacing w:val="-67"/>
        </w:rPr>
        <w:t> </w:t>
      </w:r>
      <w:r>
        <w:rPr>
          <w:spacing w:val="-67"/>
        </w:rPr>
      </w:r>
      <w:r>
        <w:rPr/>
        <w:t>业所得税、增值税的地方分享部分年纳税额度合计</w:t>
      </w:r>
      <w:r>
        <w:rPr>
          <w:rFonts w:ascii="Times New Roman" w:hAnsi="Times New Roman" w:cs="Times New Roman" w:eastAsia="Times New Roman" w:hint="default"/>
        </w:rPr>
        <w:t>500</w:t>
      </w:r>
      <w:r>
        <w:rPr/>
        <w:t>万元以上的，扶持奖励已缴纳税额</w:t>
      </w:r>
      <w:r>
        <w:rPr>
          <w:rFonts w:ascii="Times New Roman" w:hAnsi="Times New Roman" w:cs="Times New Roman" w:eastAsia="Times New Roman" w:hint="default"/>
        </w:rPr>
        <w:t>80%</w:t>
      </w:r>
      <w:r>
        <w:rPr/>
        <w:t>。 </w:t>
      </w:r>
      <w:r>
        <w:rPr>
          <w:rFonts w:ascii="Times New Roman" w:hAnsi="Times New Roman" w:cs="Times New Roman" w:eastAsia="Times New Roman" w:hint="default"/>
          <w:spacing w:val="-2"/>
        </w:rPr>
        <w:t>9</w:t>
      </w:r>
      <w:r>
        <w:rPr>
          <w:spacing w:val="-2"/>
        </w:rPr>
        <w:t>、深圳市天橙一品科技有限公司于</w:t>
      </w: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2</w:t>
      </w:r>
      <w:r>
        <w:rPr>
          <w:spacing w:val="-2"/>
        </w:rPr>
        <w:t>月</w:t>
      </w:r>
      <w:r>
        <w:rPr>
          <w:rFonts w:ascii="Times New Roman" w:hAnsi="Times New Roman" w:cs="Times New Roman" w:eastAsia="Times New Roman" w:hint="default"/>
          <w:spacing w:val="-2"/>
        </w:rPr>
        <w:t>28</w:t>
      </w:r>
      <w:r>
        <w:rPr>
          <w:spacing w:val="-2"/>
        </w:rPr>
        <w:t>日取得编号为深</w:t>
      </w:r>
      <w:r>
        <w:rPr>
          <w:rFonts w:ascii="Times New Roman" w:hAnsi="Times New Roman" w:cs="Times New Roman" w:eastAsia="Times New Roman" w:hint="default"/>
          <w:spacing w:val="-2"/>
        </w:rPr>
        <w:t>R-2014-0020</w:t>
      </w:r>
      <w:r>
        <w:rPr>
          <w:spacing w:val="-2"/>
        </w:rPr>
        <w:t>号的《软件企业认定证</w:t>
      </w:r>
      <w:r>
        <w:rPr>
          <w:spacing w:val="-99"/>
        </w:rPr>
        <w:t> </w:t>
      </w:r>
      <w:r>
        <w:rPr>
          <w:spacing w:val="-99"/>
        </w:rPr>
      </w:r>
      <w:r>
        <w:rPr/>
        <w:t>书》，按照《财政部国家税务总局关于企业所得税若干优惠政策的通知》（财税（</w:t>
      </w:r>
      <w:r>
        <w:rPr>
          <w:rFonts w:ascii="Times New Roman" w:hAnsi="Times New Roman" w:cs="Times New Roman" w:eastAsia="Times New Roman" w:hint="default"/>
        </w:rPr>
        <w:t>2008</w:t>
      </w:r>
      <w:r>
        <w:rPr/>
        <w:t>）</w:t>
      </w:r>
      <w:r>
        <w:rPr>
          <w:rFonts w:ascii="Times New Roman" w:hAnsi="Times New Roman" w:cs="Times New Roman" w:eastAsia="Times New Roman" w:hint="default"/>
        </w:rPr>
        <w:t>1</w:t>
      </w:r>
      <w:r>
        <w:rPr/>
        <w:t>号）和</w:t>
      </w:r>
    </w:p>
    <w:p>
      <w:pPr>
        <w:pStyle w:val="BodyText"/>
        <w:spacing w:line="256" w:lineRule="auto" w:before="2"/>
        <w:ind w:left="1764" w:right="1130"/>
        <w:jc w:val="both"/>
      </w:pPr>
      <w:r>
        <w:rPr>
          <w:spacing w:val="-1"/>
        </w:rPr>
        <w:t>《关于进一步鼓励软件产业和集成电路产业发展企业所得税政策的通知》（财税（</w:t>
      </w:r>
      <w:r>
        <w:rPr>
          <w:rFonts w:ascii="Times New Roman" w:hAnsi="Times New Roman" w:cs="Times New Roman" w:eastAsia="Times New Roman" w:hint="default"/>
          <w:spacing w:val="-1"/>
        </w:rPr>
        <w:t>2012</w:t>
      </w:r>
      <w:r>
        <w:rPr>
          <w:spacing w:val="-1"/>
        </w:rPr>
        <w:t>）</w:t>
      </w:r>
      <w:r>
        <w:rPr>
          <w:rFonts w:ascii="Times New Roman" w:hAnsi="Times New Roman" w:cs="Times New Roman" w:eastAsia="Times New Roman" w:hint="default"/>
          <w:spacing w:val="-1"/>
        </w:rPr>
        <w:t>27</w:t>
      </w:r>
      <w:r>
        <w:rPr>
          <w:spacing w:val="-1"/>
        </w:rPr>
        <w:t>号）规</w:t>
      </w:r>
      <w:r>
        <w:rPr>
          <w:spacing w:val="-83"/>
        </w:rPr>
        <w:t> </w:t>
      </w:r>
      <w:r>
        <w:rPr>
          <w:spacing w:val="-83"/>
        </w:rPr>
      </w:r>
      <w:r>
        <w:rPr/>
        <w:t>定，自获利年度起计算优惠期，第一年至第二年免征企业所得税，第三年至第五年按照</w:t>
      </w:r>
      <w:r>
        <w:rPr>
          <w:rFonts w:ascii="Times New Roman" w:hAnsi="Times New Roman" w:cs="Times New Roman" w:eastAsia="Times New Roman" w:hint="default"/>
        </w:rPr>
        <w:t>25%</w:t>
      </w:r>
      <w:r>
        <w:rPr/>
        <w:t>的法定</w:t>
      </w:r>
      <w:r>
        <w:rPr>
          <w:spacing w:val="-95"/>
        </w:rPr>
        <w:t> </w:t>
      </w:r>
      <w:r>
        <w:rPr>
          <w:spacing w:val="-1"/>
        </w:rPr>
        <w:t>税率减半征收企业所得税，并享受至期满为止，公司从</w:t>
      </w:r>
      <w:r>
        <w:rPr>
          <w:rFonts w:ascii="Times New Roman" w:hAnsi="Times New Roman" w:cs="Times New Roman" w:eastAsia="Times New Roman" w:hint="default"/>
          <w:spacing w:val="-1"/>
        </w:rPr>
        <w:t>2017</w:t>
      </w:r>
      <w:r>
        <w:rPr>
          <w:spacing w:val="-1"/>
        </w:rPr>
        <w:t>年开始盈利，</w:t>
      </w:r>
      <w:r>
        <w:rPr>
          <w:rFonts w:ascii="Times New Roman" w:hAnsi="Times New Roman" w:cs="Times New Roman" w:eastAsia="Times New Roman" w:hint="default"/>
          <w:spacing w:val="-1"/>
        </w:rPr>
        <w:t>2017</w:t>
      </w:r>
      <w:r>
        <w:rPr>
          <w:spacing w:val="-1"/>
        </w:rPr>
        <w:t>年为享受两免三减半</w:t>
      </w:r>
      <w:r>
        <w:rPr>
          <w:spacing w:val="-84"/>
        </w:rPr>
        <w:t> </w:t>
      </w:r>
      <w:r>
        <w:rPr>
          <w:spacing w:val="-84"/>
        </w:rPr>
      </w:r>
      <w:r>
        <w:rPr/>
        <w:t>的第一年。</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87" w:lineRule="auto" w:before="162"/>
        <w:ind w:left="1133" w:right="7333" w:firstLine="0"/>
        <w:jc w:val="left"/>
        <w:rPr>
          <w:rFonts w:ascii="宋体" w:hAnsi="宋体" w:cs="宋体" w:eastAsia="宋体" w:hint="default"/>
          <w:sz w:val="21"/>
          <w:szCs w:val="21"/>
        </w:rPr>
      </w:pPr>
      <w:bookmarkStart w:name="3、其他" w:id="238"/>
      <w:bookmarkEnd w:id="238"/>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七、合并财务报表项目注释" w:id="239"/>
      <w:bookmarkEnd w:id="239"/>
      <w:r>
        <w:rPr>
          <w:rFonts w:ascii="宋体" w:hAnsi="宋体" w:cs="宋体" w:eastAsia="宋体" w:hint="default"/>
          <w:b/>
          <w:bCs/>
          <w:spacing w:val="1"/>
          <w:w w:val="99"/>
          <w:sz w:val="21"/>
          <w:szCs w:val="21"/>
        </w:rPr>
      </w:r>
      <w:r>
        <w:rPr>
          <w:rFonts w:ascii="宋体" w:hAnsi="宋体" w:cs="宋体" w:eastAsia="宋体" w:hint="default"/>
          <w:b/>
          <w:bCs/>
          <w:w w:val="95"/>
          <w:sz w:val="24"/>
          <w:szCs w:val="24"/>
        </w:rPr>
        <w:t>七、合并财务报表项目注释</w:t>
      </w:r>
      <w:r>
        <w:rPr>
          <w:rFonts w:ascii="宋体" w:hAnsi="宋体" w:cs="宋体" w:eastAsia="宋体" w:hint="default"/>
          <w:b/>
          <w:bCs/>
          <w:spacing w:val="18"/>
          <w:w w:val="95"/>
          <w:sz w:val="24"/>
          <w:szCs w:val="24"/>
        </w:rPr>
        <w:t> </w:t>
      </w:r>
      <w:r>
        <w:rPr>
          <w:rFonts w:ascii="宋体" w:hAnsi="宋体" w:cs="宋体" w:eastAsia="宋体" w:hint="default"/>
          <w:b/>
          <w:bCs/>
          <w:spacing w:val="18"/>
          <w:w w:val="95"/>
          <w:sz w:val="24"/>
          <w:szCs w:val="24"/>
        </w:rPr>
      </w:r>
      <w:bookmarkStart w:name="1、货币资金" w:id="240"/>
      <w:bookmarkEnd w:id="240"/>
      <w:r>
        <w:rPr>
          <w:rFonts w:ascii="宋体" w:hAnsi="宋体" w:cs="宋体" w:eastAsia="宋体" w:hint="default"/>
          <w:b/>
          <w:bCs/>
          <w:spacing w:val="18"/>
          <w:w w:val="95"/>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、货币资金</w:t>
      </w:r>
      <w:r>
        <w:rPr>
          <w:rFonts w:ascii="宋体" w:hAnsi="宋体" w:cs="宋体" w:eastAsia="宋体" w:hint="default"/>
          <w:sz w:val="21"/>
          <w:szCs w:val="21"/>
        </w:rPr>
      </w:r>
    </w:p>
    <w:p>
      <w:pPr>
        <w:spacing w:before="108"/>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343,240.46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127,910.62</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2,003,493,721.00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1,056,969,889.80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29,851,128.92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19,287,737.98</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2,033,688,090.38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1,076,385,538.40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其中：存放在境外的款项总额</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8" w:right="0"/>
              <w:jc w:val="left"/>
              <w:rPr>
                <w:rFonts w:ascii="Times New Roman" w:hAnsi="Times New Roman" w:cs="Times New Roman" w:eastAsia="Times New Roman" w:hint="default"/>
                <w:sz w:val="18"/>
                <w:szCs w:val="18"/>
              </w:rPr>
            </w:pPr>
            <w:r>
              <w:rPr>
                <w:rFonts w:ascii="Times New Roman"/>
                <w:sz w:val="18"/>
              </w:rPr>
              <w:t>1,301,025,813.24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3" w:right="0"/>
              <w:jc w:val="left"/>
              <w:rPr>
                <w:rFonts w:ascii="Times New Roman" w:hAnsi="Times New Roman" w:cs="Times New Roman" w:eastAsia="Times New Roman" w:hint="default"/>
                <w:sz w:val="18"/>
                <w:szCs w:val="18"/>
              </w:rPr>
            </w:pPr>
            <w:r>
              <w:rPr>
                <w:rFonts w:ascii="Times New Roman"/>
                <w:sz w:val="18"/>
              </w:rPr>
              <w:t>264,300,646.81</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40" w:lineRule="auto" w:before="90"/>
        <w:ind w:right="998"/>
        <w:jc w:val="left"/>
      </w:pPr>
      <w:r>
        <w:rPr/>
        <w:t>其中因抵押、质押或冻结等对使用有限制，以及放在境外且资金汇回受到限制的货币资金明细如下：</w:t>
      </w:r>
    </w:p>
    <w:p>
      <w:pPr>
        <w:spacing w:line="240" w:lineRule="auto" w:before="13"/>
        <w:rPr>
          <w:rFonts w:ascii="宋体" w:hAnsi="宋体" w:cs="宋体" w:eastAsia="宋体" w:hint="default"/>
          <w:sz w:val="3"/>
          <w:szCs w:val="3"/>
        </w:rPr>
      </w:pPr>
    </w:p>
    <w:tbl>
      <w:tblPr>
        <w:tblW w:w="0" w:type="auto"/>
        <w:jc w:val="left"/>
        <w:tblInd w:w="1733" w:type="dxa"/>
        <w:tblLayout w:type="fixed"/>
        <w:tblCellMar>
          <w:top w:w="0" w:type="dxa"/>
          <w:left w:w="0" w:type="dxa"/>
          <w:bottom w:w="0" w:type="dxa"/>
          <w:right w:w="0" w:type="dxa"/>
        </w:tblCellMar>
        <w:tblLook w:val="01E0"/>
      </w:tblPr>
      <w:tblGrid>
        <w:gridCol w:w="3338"/>
        <w:gridCol w:w="2238"/>
        <w:gridCol w:w="2238"/>
      </w:tblGrid>
      <w:tr>
        <w:trPr>
          <w:trHeight w:val="355" w:hRule="exact"/>
        </w:trPr>
        <w:tc>
          <w:tcPr>
            <w:tcW w:w="3338"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238"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left="691"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238" w:type="dxa"/>
            <w:tcBorders>
              <w:top w:val="single" w:sz="6" w:space="0" w:color="000000"/>
              <w:left w:val="single" w:sz="6" w:space="0" w:color="000000"/>
              <w:bottom w:val="single" w:sz="12" w:space="0" w:color="000000"/>
              <w:right w:val="nil" w:sz="6" w:space="0" w:color="auto"/>
            </w:tcBorders>
          </w:tcPr>
          <w:p>
            <w:pPr>
              <w:pStyle w:val="TableParagraph"/>
              <w:spacing w:line="271" w:lineRule="exact"/>
              <w:ind w:left="691"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52" w:hRule="exact"/>
        </w:trPr>
        <w:tc>
          <w:tcPr>
            <w:tcW w:w="333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银行承兑汇票保证金</w:t>
            </w:r>
          </w:p>
        </w:tc>
        <w:tc>
          <w:tcPr>
            <w:tcW w:w="2238" w:type="dxa"/>
            <w:tcBorders>
              <w:top w:val="single" w:sz="12" w:space="0" w:color="000000"/>
              <w:left w:val="single" w:sz="6" w:space="0" w:color="000000"/>
              <w:bottom w:val="single" w:sz="12" w:space="0" w:color="000000"/>
              <w:right w:val="single" w:sz="6" w:space="0" w:color="000000"/>
            </w:tcBorders>
          </w:tcPr>
          <w:p>
            <w:pPr/>
          </w:p>
        </w:tc>
        <w:tc>
          <w:tcPr>
            <w:tcW w:w="2238" w:type="dxa"/>
            <w:tcBorders>
              <w:top w:val="single" w:sz="12" w:space="0" w:color="000000"/>
              <w:left w:val="single" w:sz="6" w:space="0" w:color="000000"/>
              <w:bottom w:val="single" w:sz="12" w:space="0" w:color="000000"/>
              <w:right w:val="nil" w:sz="6" w:space="0" w:color="auto"/>
            </w:tcBorders>
          </w:tcPr>
          <w:p>
            <w:pPr/>
          </w:p>
        </w:tc>
      </w:tr>
      <w:tr>
        <w:trPr>
          <w:trHeight w:val="353" w:hRule="exact"/>
        </w:trPr>
        <w:tc>
          <w:tcPr>
            <w:tcW w:w="333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信用证保证金</w:t>
            </w:r>
          </w:p>
        </w:tc>
        <w:tc>
          <w:tcPr>
            <w:tcW w:w="2238" w:type="dxa"/>
            <w:tcBorders>
              <w:top w:val="single" w:sz="12" w:space="0" w:color="000000"/>
              <w:left w:val="single" w:sz="6" w:space="0" w:color="000000"/>
              <w:bottom w:val="single" w:sz="12" w:space="0" w:color="000000"/>
              <w:right w:val="single" w:sz="6" w:space="0" w:color="000000"/>
            </w:tcBorders>
          </w:tcPr>
          <w:p>
            <w:pPr/>
          </w:p>
        </w:tc>
        <w:tc>
          <w:tcPr>
            <w:tcW w:w="2238"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333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履约保证金</w:t>
            </w:r>
          </w:p>
        </w:tc>
        <w:tc>
          <w:tcPr>
            <w:tcW w:w="2238" w:type="dxa"/>
            <w:tcBorders>
              <w:top w:val="single" w:sz="12" w:space="0" w:color="000000"/>
              <w:left w:val="single" w:sz="6" w:space="0" w:color="000000"/>
              <w:bottom w:val="single" w:sz="12" w:space="0" w:color="000000"/>
              <w:right w:val="single" w:sz="6" w:space="0" w:color="000000"/>
            </w:tcBorders>
          </w:tcPr>
          <w:p>
            <w:pPr/>
          </w:p>
        </w:tc>
        <w:tc>
          <w:tcPr>
            <w:tcW w:w="2238"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333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用于担保的定期存款或通知存款</w:t>
            </w:r>
          </w:p>
        </w:tc>
        <w:tc>
          <w:tcPr>
            <w:tcW w:w="2238" w:type="dxa"/>
            <w:tcBorders>
              <w:top w:val="single" w:sz="12" w:space="0" w:color="000000"/>
              <w:left w:val="single" w:sz="6" w:space="0" w:color="000000"/>
              <w:bottom w:val="single" w:sz="12" w:space="0" w:color="000000"/>
              <w:right w:val="single" w:sz="6" w:space="0" w:color="000000"/>
            </w:tcBorders>
          </w:tcPr>
          <w:p>
            <w:pPr/>
          </w:p>
        </w:tc>
        <w:tc>
          <w:tcPr>
            <w:tcW w:w="2238" w:type="dxa"/>
            <w:tcBorders>
              <w:top w:val="single" w:sz="12" w:space="0" w:color="000000"/>
              <w:left w:val="single" w:sz="6" w:space="0" w:color="000000"/>
              <w:bottom w:val="single" w:sz="12" w:space="0" w:color="000000"/>
              <w:right w:val="nil" w:sz="6" w:space="0" w:color="auto"/>
            </w:tcBorders>
          </w:tcPr>
          <w:p>
            <w:pPr/>
          </w:p>
        </w:tc>
      </w:tr>
      <w:tr>
        <w:trPr>
          <w:trHeight w:val="665" w:hRule="exact"/>
        </w:trPr>
        <w:tc>
          <w:tcPr>
            <w:tcW w:w="333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放在境外且资金汇回受到限制的款</w:t>
            </w:r>
          </w:p>
          <w:p>
            <w:pPr>
              <w:pStyle w:val="TableParagraph"/>
              <w:spacing w:line="240" w:lineRule="auto" w:before="37"/>
              <w:ind w:left="2" w:right="0"/>
              <w:jc w:val="left"/>
              <w:rPr>
                <w:rFonts w:ascii="宋体" w:hAnsi="宋体" w:cs="宋体" w:eastAsia="宋体" w:hint="default"/>
                <w:sz w:val="21"/>
                <w:szCs w:val="21"/>
              </w:rPr>
            </w:pPr>
            <w:r>
              <w:rPr>
                <w:rFonts w:ascii="宋体" w:hAnsi="宋体" w:cs="宋体" w:eastAsia="宋体" w:hint="default"/>
                <w:sz w:val="21"/>
                <w:szCs w:val="21"/>
              </w:rPr>
              <w:t>项</w:t>
            </w:r>
          </w:p>
        </w:tc>
        <w:tc>
          <w:tcPr>
            <w:tcW w:w="2238" w:type="dxa"/>
            <w:tcBorders>
              <w:top w:val="single" w:sz="12" w:space="0" w:color="000000"/>
              <w:left w:val="single" w:sz="6" w:space="0" w:color="000000"/>
              <w:bottom w:val="single" w:sz="12" w:space="0" w:color="000000"/>
              <w:right w:val="single" w:sz="6" w:space="0" w:color="000000"/>
            </w:tcBorders>
          </w:tcPr>
          <w:p>
            <w:pPr/>
          </w:p>
        </w:tc>
        <w:tc>
          <w:tcPr>
            <w:tcW w:w="2238"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333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保证金</w:t>
            </w:r>
          </w:p>
        </w:tc>
        <w:tc>
          <w:tcPr>
            <w:tcW w:w="223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9,096,390.50</w:t>
            </w:r>
          </w:p>
        </w:tc>
        <w:tc>
          <w:tcPr>
            <w:tcW w:w="223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8"/>
              <w:jc w:val="right"/>
              <w:rPr>
                <w:rFonts w:ascii="Times New Roman" w:hAnsi="Times New Roman" w:cs="Times New Roman" w:eastAsia="Times New Roman" w:hint="default"/>
                <w:sz w:val="21"/>
                <w:szCs w:val="21"/>
              </w:rPr>
            </w:pPr>
            <w:r>
              <w:rPr>
                <w:rFonts w:ascii="Times New Roman"/>
                <w:sz w:val="21"/>
              </w:rPr>
              <w:t>19,287,718.53</w:t>
            </w:r>
          </w:p>
        </w:tc>
      </w:tr>
      <w:tr>
        <w:trPr>
          <w:trHeight w:val="352" w:hRule="exact"/>
        </w:trPr>
        <w:tc>
          <w:tcPr>
            <w:tcW w:w="333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223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9,096,390.50</w:t>
            </w:r>
          </w:p>
        </w:tc>
        <w:tc>
          <w:tcPr>
            <w:tcW w:w="223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8"/>
              <w:jc w:val="right"/>
              <w:rPr>
                <w:rFonts w:ascii="Times New Roman" w:hAnsi="Times New Roman" w:cs="Times New Roman" w:eastAsia="Times New Roman" w:hint="default"/>
                <w:sz w:val="21"/>
                <w:szCs w:val="21"/>
              </w:rPr>
            </w:pPr>
            <w:r>
              <w:rPr>
                <w:rFonts w:ascii="Times New Roman"/>
                <w:sz w:val="21"/>
              </w:rPr>
              <w:t>19,287,718.53</w:t>
            </w:r>
          </w:p>
        </w:tc>
      </w:tr>
    </w:tbl>
    <w:p>
      <w:pPr>
        <w:pStyle w:val="BodyText"/>
        <w:spacing w:line="276" w:lineRule="exact"/>
        <w:ind w:left="1716" w:right="998"/>
        <w:jc w:val="left"/>
      </w:pPr>
      <w:r>
        <w:rPr/>
        <w:t>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日，其他货币资金中人民币</w:t>
      </w:r>
      <w:r>
        <w:rPr>
          <w:rFonts w:ascii="Times New Roman" w:hAnsi="Times New Roman" w:cs="Times New Roman" w:eastAsia="Times New Roman" w:hint="default"/>
        </w:rPr>
        <w:t>9,096,390.50</w:t>
      </w:r>
      <w:r>
        <w:rPr/>
        <w:t>元为子公司</w:t>
      </w:r>
      <w:r>
        <w:rPr>
          <w:rFonts w:ascii="Times New Roman" w:hAnsi="Times New Roman" w:cs="Times New Roman" w:eastAsia="Times New Roman" w:hint="default"/>
        </w:rPr>
        <w:t>Grindr</w:t>
      </w:r>
      <w:r>
        <w:rPr>
          <w:rFonts w:ascii="Times New Roman" w:hAnsi="Times New Roman" w:cs="Times New Roman" w:eastAsia="Times New Roman" w:hint="default"/>
          <w:spacing w:val="-9"/>
        </w:rPr>
        <w:t> </w:t>
      </w:r>
      <w:r>
        <w:rPr>
          <w:rFonts w:ascii="Times New Roman" w:hAnsi="Times New Roman" w:cs="Times New Roman" w:eastAsia="Times New Roman" w:hint="default"/>
        </w:rPr>
        <w:t>LLC</w:t>
      </w:r>
      <w:r>
        <w:rPr/>
        <w:t>租房保证金。</w:t>
      </w:r>
    </w:p>
    <w:p>
      <w:pPr>
        <w:spacing w:line="240" w:lineRule="auto" w:before="8"/>
        <w:rPr>
          <w:rFonts w:ascii="宋体" w:hAnsi="宋体" w:cs="宋体" w:eastAsia="宋体" w:hint="default"/>
          <w:sz w:val="24"/>
          <w:szCs w:val="24"/>
        </w:rPr>
      </w:pPr>
    </w:p>
    <w:p>
      <w:pPr>
        <w:pStyle w:val="Heading6"/>
        <w:spacing w:line="240" w:lineRule="auto"/>
        <w:ind w:left="1133" w:right="998"/>
        <w:jc w:val="left"/>
        <w:rPr>
          <w:b w:val="0"/>
          <w:bCs w:val="0"/>
        </w:rPr>
      </w:pPr>
      <w:bookmarkStart w:name="2、以公允价值计量且其变动计入当期损益的金融资产" w:id="241"/>
      <w:bookmarkEnd w:id="241"/>
      <w:r>
        <w:rPr>
          <w:b w:val="0"/>
          <w:bCs w:val="0"/>
        </w:rPr>
      </w:r>
      <w:r>
        <w:rPr>
          <w:rFonts w:ascii="Times New Roman" w:hAnsi="Times New Roman" w:cs="Times New Roman" w:eastAsia="Times New Roman" w:hint="default"/>
        </w:rPr>
        <w:t>2</w:t>
      </w:r>
      <w:r>
        <w:rPr/>
        <w:t>、以公允价值计量且其变动计入当期损益的金融资产</w:t>
      </w:r>
      <w:r>
        <w:rPr>
          <w:b w:val="0"/>
          <w:bCs w:val="0"/>
        </w:rPr>
      </w:r>
    </w:p>
    <w:p>
      <w:pPr>
        <w:spacing w:line="240" w:lineRule="auto" w:before="9"/>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90"/>
        <w:gridCol w:w="3190"/>
        <w:gridCol w:w="31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357" w:lineRule="auto" w:before="51"/>
        <w:ind w:left="1133" w:right="9853"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3"/>
        <w:rPr>
          <w:rFonts w:ascii="宋体" w:hAnsi="宋体" w:cs="宋体" w:eastAsia="宋体" w:hint="default"/>
          <w:sz w:val="20"/>
          <w:szCs w:val="20"/>
        </w:rPr>
      </w:pPr>
    </w:p>
    <w:p>
      <w:pPr>
        <w:pStyle w:val="Heading6"/>
        <w:spacing w:line="240" w:lineRule="auto"/>
        <w:ind w:right="998"/>
        <w:jc w:val="left"/>
        <w:rPr>
          <w:b w:val="0"/>
          <w:bCs w:val="0"/>
        </w:rPr>
      </w:pPr>
      <w:bookmarkStart w:name="3、衍生金融资产" w:id="242"/>
      <w:bookmarkEnd w:id="242"/>
      <w:r>
        <w:rPr>
          <w:b w:val="0"/>
          <w:bCs w:val="0"/>
        </w:rPr>
      </w:r>
      <w:r>
        <w:rPr>
          <w:rFonts w:ascii="Times New Roman" w:hAnsi="Times New Roman" w:cs="Times New Roman" w:eastAsia="Times New Roman" w:hint="default"/>
        </w:rPr>
        <w:t>3</w:t>
      </w:r>
      <w:r>
        <w:rPr/>
        <w:t>、衍生金融资产</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6"/>
        <w:spacing w:line="240" w:lineRule="auto"/>
        <w:ind w:left="1133" w:right="998"/>
        <w:jc w:val="left"/>
        <w:rPr>
          <w:b w:val="0"/>
          <w:bCs w:val="0"/>
        </w:rPr>
      </w:pPr>
      <w:bookmarkStart w:name="4、应收票据" w:id="243"/>
      <w:bookmarkEnd w:id="243"/>
      <w:r>
        <w:rPr>
          <w:b w:val="0"/>
          <w:bCs w:val="0"/>
        </w:rPr>
      </w:r>
      <w:r>
        <w:rPr>
          <w:rFonts w:ascii="Times New Roman" w:hAnsi="Times New Roman" w:cs="Times New Roman" w:eastAsia="Times New Roman" w:hint="default"/>
        </w:rPr>
        <w:t>4</w:t>
      </w:r>
      <w:r>
        <w:rPr/>
        <w:t>、应收票据</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left="1133" w:right="998"/>
        <w:jc w:val="left"/>
        <w:rPr>
          <w:b w:val="0"/>
          <w:bCs w:val="0"/>
        </w:rPr>
      </w:pPr>
      <w:bookmarkStart w:name="（1）应收票据分类列示" w:id="244"/>
      <w:bookmarkEnd w:id="244"/>
      <w:r>
        <w:rPr>
          <w:b w:val="0"/>
          <w:bCs w:val="0"/>
        </w:rPr>
      </w:r>
      <w:r>
        <w:rPr/>
        <w:t>（</w:t>
      </w:r>
      <w:r>
        <w:rPr>
          <w:rFonts w:ascii="Times New Roman" w:hAnsi="Times New Roman" w:cs="Times New Roman" w:eastAsia="Times New Roman" w:hint="default"/>
        </w:rPr>
        <w:t>1</w:t>
      </w:r>
      <w:r>
        <w:rPr/>
        <w:t>）应收票据分类列示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90"/>
        <w:gridCol w:w="3190"/>
        <w:gridCol w:w="31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2）期末公司已质押的应收票据" w:id="245"/>
      <w:bookmarkEnd w:id="245"/>
      <w:r>
        <w:rPr>
          <w:b w:val="0"/>
          <w:bCs w:val="0"/>
        </w:rPr>
      </w:r>
      <w:r>
        <w:rPr/>
        <w:t>（</w:t>
      </w:r>
      <w:r>
        <w:rPr>
          <w:rFonts w:ascii="Times New Roman" w:hAnsi="Times New Roman" w:cs="Times New Roman" w:eastAsia="Times New Roman" w:hint="default"/>
        </w:rPr>
        <w:t>2</w:t>
      </w:r>
      <w:r>
        <w:rPr/>
        <w:t>）期末公司已质押的应收票据</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期末已质押金额</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3）期末公司已背书或贴现且在资产负债表日尚未到期的应收票据" w:id="246"/>
      <w:bookmarkEnd w:id="246"/>
      <w:r>
        <w:rPr>
          <w:b w:val="0"/>
          <w:bCs w:val="0"/>
        </w:rPr>
      </w:r>
      <w:r>
        <w:rPr/>
        <w:t>（</w:t>
      </w:r>
      <w:r>
        <w:rPr>
          <w:rFonts w:ascii="Times New Roman" w:hAnsi="Times New Roman" w:cs="Times New Roman" w:eastAsia="Times New Roman" w:hint="default"/>
        </w:rPr>
        <w:t>3</w:t>
      </w:r>
      <w:r>
        <w:rPr/>
        <w:t>）期末公司已背书或贴现且在资产负债表日尚未到期的应收票据</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90"/>
        <w:gridCol w:w="3190"/>
        <w:gridCol w:w="31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0"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4）期末公司因出票人未履约而将其转应收账款的票据" w:id="247"/>
      <w:bookmarkEnd w:id="247"/>
      <w:r>
        <w:rPr>
          <w:b w:val="0"/>
          <w:bCs w:val="0"/>
        </w:rPr>
      </w:r>
      <w:r>
        <w:rPr/>
        <w:t>（</w:t>
      </w:r>
      <w:r>
        <w:rPr>
          <w:rFonts w:ascii="Times New Roman" w:hAnsi="Times New Roman" w:cs="Times New Roman" w:eastAsia="Times New Roman" w:hint="default"/>
        </w:rPr>
        <w:t>4</w:t>
      </w:r>
      <w:r>
        <w:rPr/>
        <w:t>）期末公司因出票人未履约而将其转应收账款的票据</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76" w:right="0"/>
              <w:jc w:val="left"/>
              <w:rPr>
                <w:rFonts w:ascii="宋体" w:hAnsi="宋体" w:cs="宋体" w:eastAsia="宋体" w:hint="default"/>
                <w:sz w:val="18"/>
                <w:szCs w:val="18"/>
              </w:rPr>
            </w:pPr>
            <w:r>
              <w:rPr>
                <w:rFonts w:ascii="宋体" w:hAnsi="宋体" w:cs="宋体" w:eastAsia="宋体" w:hint="default"/>
                <w:sz w:val="18"/>
                <w:szCs w:val="18"/>
              </w:rPr>
              <w:t>期末转应收账款金额</w:t>
            </w:r>
          </w:p>
        </w:tc>
      </w:tr>
    </w:tbl>
    <w:p>
      <w:pPr>
        <w:spacing w:line="357" w:lineRule="auto" w:before="52"/>
        <w:ind w:left="1133" w:right="10033"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2"/>
        <w:rPr>
          <w:rFonts w:ascii="宋体" w:hAnsi="宋体" w:cs="宋体" w:eastAsia="宋体" w:hint="default"/>
          <w:sz w:val="20"/>
          <w:szCs w:val="20"/>
        </w:rPr>
      </w:pPr>
    </w:p>
    <w:p>
      <w:pPr>
        <w:pStyle w:val="Heading6"/>
        <w:spacing w:line="240" w:lineRule="auto"/>
        <w:ind w:right="998"/>
        <w:jc w:val="left"/>
        <w:rPr>
          <w:b w:val="0"/>
          <w:bCs w:val="0"/>
        </w:rPr>
      </w:pPr>
      <w:bookmarkStart w:name="5、应收账款" w:id="248"/>
      <w:bookmarkEnd w:id="248"/>
      <w:r>
        <w:rPr>
          <w:b w:val="0"/>
          <w:bCs w:val="0"/>
        </w:rPr>
      </w:r>
      <w:r>
        <w:rPr>
          <w:rFonts w:ascii="Times New Roman" w:hAnsi="Times New Roman" w:cs="Times New Roman" w:eastAsia="Times New Roman" w:hint="default"/>
        </w:rPr>
        <w:t>5</w:t>
      </w:r>
      <w:r>
        <w:rPr/>
        <w:t>、应收账款</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应收账款分类披露" w:id="249"/>
      <w:bookmarkEnd w:id="249"/>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611"/>
        <w:gridCol w:w="775"/>
        <w:gridCol w:w="762"/>
        <w:gridCol w:w="762"/>
        <w:gridCol w:w="762"/>
        <w:gridCol w:w="790"/>
        <w:gridCol w:w="654"/>
        <w:gridCol w:w="762"/>
        <w:gridCol w:w="813"/>
        <w:gridCol w:w="932"/>
        <w:gridCol w:w="932"/>
      </w:tblGrid>
      <w:tr>
        <w:trPr>
          <w:trHeight w:val="397" w:hRule="exact"/>
        </w:trPr>
        <w:tc>
          <w:tcPr>
            <w:tcW w:w="1611" w:type="dxa"/>
            <w:vMerge w:val="restart"/>
            <w:tcBorders>
              <w:top w:val="single" w:sz="4" w:space="0" w:color="000000"/>
              <w:left w:val="single" w:sz="4" w:space="0" w:color="000000"/>
              <w:right w:val="single" w:sz="4" w:space="0" w:color="000000"/>
            </w:tcBorders>
            <w:shd w:val="clear" w:color="auto" w:fill="D2D2D2"/>
          </w:tcPr>
          <w:p>
            <w:pPr/>
          </w:p>
        </w:tc>
        <w:tc>
          <w:tcPr>
            <w:tcW w:w="385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11" w:type="dxa"/>
            <w:vMerge/>
            <w:tcBorders>
              <w:left w:val="single" w:sz="4" w:space="0" w:color="000000"/>
              <w:bottom w:val="nil" w:sz="6" w:space="0" w:color="auto"/>
              <w:right w:val="single" w:sz="4" w:space="0" w:color="000000"/>
            </w:tcBorders>
            <w:shd w:val="clear" w:color="auto" w:fill="D2D2D2"/>
          </w:tcPr>
          <w:p>
            <w:pPr/>
          </w:p>
        </w:tc>
        <w:tc>
          <w:tcPr>
            <w:tcW w:w="153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1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37"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11" w:type="dxa"/>
            <w:vMerge/>
            <w:tcBorders>
              <w:left w:val="single" w:sz="4" w:space="0" w:color="000000"/>
              <w:bottom w:val="single" w:sz="4" w:space="0" w:color="FFFFFF"/>
              <w:right w:val="single" w:sz="4" w:space="0" w:color="000000"/>
            </w:tcBorders>
            <w:shd w:val="clear" w:color="auto" w:fill="D2D2D2"/>
          </w:tcPr>
          <w:p>
            <w:pPr/>
          </w:p>
        </w:tc>
        <w:tc>
          <w:tcPr>
            <w:tcW w:w="775"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3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11" w:type="dxa"/>
            <w:vMerge w:val="restart"/>
            <w:tcBorders>
              <w:top w:val="single" w:sz="4" w:space="0" w:color="FFFFFF"/>
              <w:left w:val="single" w:sz="4" w:space="0" w:color="000000"/>
              <w:right w:val="single" w:sz="4" w:space="0" w:color="000000"/>
            </w:tcBorders>
            <w:shd w:val="clear" w:color="auto" w:fill="D2D2D2"/>
          </w:tcPr>
          <w:p>
            <w:pPr/>
          </w:p>
        </w:tc>
        <w:tc>
          <w:tcPr>
            <w:tcW w:w="775"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11" w:type="dxa"/>
            <w:vMerge/>
            <w:tcBorders>
              <w:left w:val="single" w:sz="4" w:space="0" w:color="000000"/>
              <w:right w:val="single" w:sz="4" w:space="0" w:color="000000"/>
            </w:tcBorders>
            <w:shd w:val="clear" w:color="auto" w:fill="D2D2D2"/>
          </w:tcPr>
          <w:p>
            <w:pPr/>
          </w:p>
        </w:tc>
        <w:tc>
          <w:tcPr>
            <w:tcW w:w="775"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11" w:type="dxa"/>
            <w:vMerge/>
            <w:tcBorders>
              <w:left w:val="single" w:sz="4" w:space="0" w:color="000000"/>
              <w:bottom w:val="single" w:sz="4" w:space="0" w:color="000000"/>
              <w:right w:val="single" w:sz="4" w:space="0" w:color="000000"/>
            </w:tcBorders>
            <w:shd w:val="clear" w:color="auto" w:fill="D2D2D2"/>
          </w:tcPr>
          <w:p>
            <w:pPr/>
          </w:p>
        </w:tc>
        <w:tc>
          <w:tcPr>
            <w:tcW w:w="77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941" w:hRule="exact"/>
        </w:trPr>
        <w:tc>
          <w:tcPr>
            <w:tcW w:w="1611" w:type="dxa"/>
            <w:tcBorders>
              <w:top w:val="single" w:sz="4" w:space="0" w:color="000000"/>
              <w:left w:val="single" w:sz="4" w:space="0" w:color="000000"/>
              <w:bottom w:val="nil" w:sz="6" w:space="0" w:color="auto"/>
              <w:right w:val="single" w:sz="4" w:space="0" w:color="000000"/>
            </w:tcBorders>
            <w:shd w:val="clear" w:color="auto" w:fill="D2D2D2"/>
          </w:tcPr>
          <w:p>
            <w:pPr/>
          </w:p>
        </w:tc>
        <w:tc>
          <w:tcPr>
            <w:tcW w:w="775" w:type="dxa"/>
            <w:vMerge w:val="restart"/>
            <w:tcBorders>
              <w:top w:val="single" w:sz="4" w:space="0" w:color="000000"/>
              <w:left w:val="single" w:sz="9" w:space="0" w:color="D2D2D2"/>
              <w:right w:val="single" w:sz="4" w:space="0" w:color="000000"/>
            </w:tcBorders>
          </w:tcPr>
          <w:p>
            <w:pPr>
              <w:pStyle w:val="TableParagraph"/>
              <w:spacing w:line="316" w:lineRule="auto" w:before="51"/>
              <w:ind w:left="28" w:right="98" w:firstLine="90"/>
              <w:jc w:val="left"/>
              <w:rPr>
                <w:rFonts w:ascii="宋体" w:hAnsi="宋体" w:cs="宋体" w:eastAsia="宋体" w:hint="default"/>
                <w:sz w:val="18"/>
                <w:szCs w:val="18"/>
              </w:rPr>
            </w:pPr>
            <w:r>
              <w:rPr>
                <w:rFonts w:ascii="宋体" w:hAnsi="宋体" w:cs="宋体" w:eastAsia="宋体" w:hint="default"/>
                <w:sz w:val="18"/>
                <w:szCs w:val="18"/>
              </w:rPr>
              <w:t>无法插 入组合 </w:t>
            </w:r>
            <w:r>
              <w:rPr>
                <w:rFonts w:ascii="Times New Roman" w:hAnsi="Times New Roman" w:cs="Times New Roman" w:eastAsia="Times New Roman" w:hint="default"/>
                <w:sz w:val="18"/>
                <w:szCs w:val="18"/>
              </w:rPr>
              <w:t>1</w:t>
            </w:r>
            <w:r>
              <w:rPr>
                <w:rFonts w:ascii="宋体" w:hAnsi="宋体" w:cs="宋体" w:eastAsia="宋体" w:hint="default"/>
                <w:sz w:val="18"/>
                <w:szCs w:val="18"/>
              </w:rPr>
              <w:t>，导致 审计报 告与本 表可填 入数据 格式不 符</w:t>
            </w:r>
          </w:p>
        </w:tc>
        <w:tc>
          <w:tcPr>
            <w:tcW w:w="762" w:type="dxa"/>
            <w:vMerge w:val="restart"/>
            <w:tcBorders>
              <w:top w:val="single" w:sz="4" w:space="0" w:color="000000"/>
              <w:left w:val="single" w:sz="4" w:space="0" w:color="000000"/>
              <w:right w:val="single" w:sz="4" w:space="0" w:color="000000"/>
            </w:tcBorders>
          </w:tcPr>
          <w:p>
            <w:pPr/>
          </w:p>
        </w:tc>
        <w:tc>
          <w:tcPr>
            <w:tcW w:w="762" w:type="dxa"/>
            <w:vMerge w:val="restart"/>
            <w:tcBorders>
              <w:top w:val="single" w:sz="4" w:space="0" w:color="000000"/>
              <w:left w:val="single" w:sz="4" w:space="0" w:color="000000"/>
              <w:right w:val="single" w:sz="4" w:space="0" w:color="000000"/>
            </w:tcBorders>
          </w:tcPr>
          <w:p>
            <w:pPr/>
          </w:p>
        </w:tc>
        <w:tc>
          <w:tcPr>
            <w:tcW w:w="762" w:type="dxa"/>
            <w:vMerge w:val="restart"/>
            <w:tcBorders>
              <w:top w:val="single" w:sz="4" w:space="0" w:color="000000"/>
              <w:left w:val="single" w:sz="4" w:space="0" w:color="000000"/>
              <w:right w:val="single" w:sz="4" w:space="0" w:color="000000"/>
            </w:tcBorders>
          </w:tcPr>
          <w:p>
            <w:pPr/>
          </w:p>
        </w:tc>
        <w:tc>
          <w:tcPr>
            <w:tcW w:w="790" w:type="dxa"/>
            <w:vMerge w:val="restart"/>
            <w:tcBorders>
              <w:top w:val="single" w:sz="4" w:space="0" w:color="000000"/>
              <w:left w:val="single" w:sz="4" w:space="0" w:color="000000"/>
              <w:right w:val="single" w:sz="4" w:space="0" w:color="000000"/>
            </w:tcBorders>
          </w:tcPr>
          <w:p>
            <w:pPr/>
          </w:p>
        </w:tc>
        <w:tc>
          <w:tcPr>
            <w:tcW w:w="654" w:type="dxa"/>
            <w:vMerge w:val="restart"/>
            <w:tcBorders>
              <w:top w:val="single" w:sz="4" w:space="0" w:color="000000"/>
              <w:left w:val="single" w:sz="4" w:space="0" w:color="000000"/>
              <w:right w:val="single" w:sz="4" w:space="0" w:color="000000"/>
            </w:tcBorders>
          </w:tcPr>
          <w:p>
            <w:pPr/>
          </w:p>
        </w:tc>
        <w:tc>
          <w:tcPr>
            <w:tcW w:w="762" w:type="dxa"/>
            <w:vMerge w:val="restart"/>
            <w:tcBorders>
              <w:top w:val="single" w:sz="4" w:space="0" w:color="000000"/>
              <w:left w:val="single" w:sz="4" w:space="0" w:color="000000"/>
              <w:right w:val="single" w:sz="4" w:space="0" w:color="000000"/>
            </w:tcBorders>
          </w:tcPr>
          <w:p>
            <w:pPr/>
          </w:p>
        </w:tc>
        <w:tc>
          <w:tcPr>
            <w:tcW w:w="813" w:type="dxa"/>
            <w:vMerge w:val="restart"/>
            <w:tcBorders>
              <w:top w:val="single" w:sz="4" w:space="0" w:color="000000"/>
              <w:left w:val="single" w:sz="4" w:space="0" w:color="000000"/>
              <w:right w:val="single" w:sz="4" w:space="0" w:color="000000"/>
            </w:tcBorders>
          </w:tcPr>
          <w:p>
            <w:pPr/>
          </w:p>
        </w:tc>
        <w:tc>
          <w:tcPr>
            <w:tcW w:w="932" w:type="dxa"/>
            <w:vMerge w:val="restart"/>
            <w:tcBorders>
              <w:top w:val="single" w:sz="4" w:space="0" w:color="000000"/>
              <w:left w:val="single" w:sz="4" w:space="0" w:color="000000"/>
              <w:right w:val="single" w:sz="4" w:space="0" w:color="000000"/>
            </w:tcBorders>
          </w:tcPr>
          <w:p>
            <w:pPr/>
          </w:p>
        </w:tc>
        <w:tc>
          <w:tcPr>
            <w:tcW w:w="932" w:type="dxa"/>
            <w:vMerge w:val="restart"/>
            <w:tcBorders>
              <w:top w:val="single" w:sz="4" w:space="0" w:color="000000"/>
              <w:left w:val="single" w:sz="4" w:space="0" w:color="000000"/>
              <w:right w:val="single" w:sz="4" w:space="0" w:color="000000"/>
            </w:tcBorders>
          </w:tcPr>
          <w:p>
            <w:pPr/>
          </w:p>
        </w:tc>
      </w:tr>
      <w:tr>
        <w:trPr>
          <w:trHeight w:val="1017" w:hRule="exact"/>
        </w:trPr>
        <w:tc>
          <w:tcPr>
            <w:tcW w:w="161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9" w:lineRule="auto" w:before="51"/>
              <w:ind w:left="11" w:right="148"/>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应收账款</w:t>
            </w:r>
          </w:p>
        </w:tc>
        <w:tc>
          <w:tcPr>
            <w:tcW w:w="775"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941" w:hRule="exact"/>
        </w:trPr>
        <w:tc>
          <w:tcPr>
            <w:tcW w:w="1611" w:type="dxa"/>
            <w:tcBorders>
              <w:top w:val="nil" w:sz="6" w:space="0" w:color="auto"/>
              <w:left w:val="single" w:sz="4" w:space="0" w:color="000000"/>
              <w:bottom w:val="single" w:sz="4" w:space="0" w:color="000000"/>
              <w:right w:val="single" w:sz="4" w:space="0" w:color="000000"/>
            </w:tcBorders>
            <w:shd w:val="clear" w:color="auto" w:fill="D2D2D2"/>
          </w:tcPr>
          <w:p>
            <w:pPr/>
          </w:p>
        </w:tc>
        <w:tc>
          <w:tcPr>
            <w:tcW w:w="775"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r>
        <w:trPr>
          <w:trHeight w:val="1026"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449,887,</w:t>
            </w:r>
          </w:p>
          <w:p>
            <w:pPr>
              <w:pStyle w:val="TableParagraph"/>
              <w:spacing w:line="240" w:lineRule="auto" w:before="106"/>
              <w:ind w:left="212" w:right="0"/>
              <w:jc w:val="center"/>
              <w:rPr>
                <w:rFonts w:ascii="Times New Roman" w:hAnsi="Times New Roman" w:cs="Times New Roman" w:eastAsia="Times New Roman" w:hint="default"/>
                <w:sz w:val="18"/>
                <w:szCs w:val="18"/>
              </w:rPr>
            </w:pPr>
            <w:r>
              <w:rPr>
                <w:rFonts w:ascii="Times New Roman"/>
                <w:sz w:val="18"/>
              </w:rPr>
              <w:t>470.40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99.65%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40,134,5</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57.98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8.92%</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409,752,9</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12.42</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624,454</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,788.59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99.74%</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left"/>
              <w:rPr>
                <w:rFonts w:ascii="Times New Roman" w:hAnsi="Times New Roman" w:cs="Times New Roman" w:eastAsia="Times New Roman" w:hint="default"/>
                <w:sz w:val="18"/>
                <w:szCs w:val="18"/>
              </w:rPr>
            </w:pPr>
            <w:r>
              <w:rPr>
                <w:rFonts w:ascii="Times New Roman"/>
                <w:sz w:val="18"/>
              </w:rPr>
              <w:t>44,483,45</w:t>
            </w:r>
          </w:p>
          <w:p>
            <w:pPr>
              <w:pStyle w:val="TableParagraph"/>
              <w:spacing w:line="240" w:lineRule="auto" w:before="106"/>
              <w:ind w:left="466" w:right="0"/>
              <w:jc w:val="left"/>
              <w:rPr>
                <w:rFonts w:ascii="Times New Roman" w:hAnsi="Times New Roman" w:cs="Times New Roman" w:eastAsia="Times New Roman" w:hint="default"/>
                <w:sz w:val="18"/>
                <w:szCs w:val="18"/>
              </w:rPr>
            </w:pPr>
            <w:r>
              <w:rPr>
                <w:rFonts w:ascii="Times New Roman"/>
                <w:sz w:val="18"/>
              </w:rPr>
              <w:t>6.56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7.12%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579,971,33</w:t>
            </w:r>
          </w:p>
          <w:p>
            <w:pPr>
              <w:pStyle w:val="TableParagraph"/>
              <w:spacing w:line="240" w:lineRule="auto" w:before="106"/>
              <w:ind w:left="584" w:right="0"/>
              <w:jc w:val="left"/>
              <w:rPr>
                <w:rFonts w:ascii="Times New Roman" w:hAnsi="Times New Roman" w:cs="Times New Roman" w:eastAsia="Times New Roman" w:hint="default"/>
                <w:sz w:val="18"/>
                <w:szCs w:val="18"/>
              </w:rPr>
            </w:pPr>
            <w:r>
              <w:rPr>
                <w:rFonts w:ascii="Times New Roman"/>
                <w:sz w:val="18"/>
              </w:rPr>
              <w:t>2.03</w:t>
            </w:r>
          </w:p>
        </w:tc>
      </w:tr>
      <w:tr>
        <w:trPr>
          <w:trHeight w:val="1026"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48"/>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的应收账款</w:t>
            </w:r>
          </w:p>
        </w:tc>
        <w:tc>
          <w:tcPr>
            <w:tcW w:w="7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9" w:right="0"/>
              <w:jc w:val="left"/>
              <w:rPr>
                <w:rFonts w:ascii="Times New Roman" w:hAnsi="Times New Roman" w:cs="Times New Roman" w:eastAsia="Times New Roman" w:hint="default"/>
                <w:sz w:val="18"/>
                <w:szCs w:val="18"/>
              </w:rPr>
            </w:pPr>
            <w:r>
              <w:rPr>
                <w:rFonts w:ascii="Times New Roman"/>
                <w:sz w:val="18"/>
              </w:rPr>
              <w:t>1,600,00</w:t>
            </w:r>
          </w:p>
          <w:p>
            <w:pPr>
              <w:pStyle w:val="TableParagraph"/>
              <w:spacing w:line="240" w:lineRule="auto" w:before="106"/>
              <w:ind w:left="415" w:right="0"/>
              <w:jc w:val="left"/>
              <w:rPr>
                <w:rFonts w:ascii="Times New Roman" w:hAnsi="Times New Roman" w:cs="Times New Roman" w:eastAsia="Times New Roman" w:hint="default"/>
                <w:sz w:val="18"/>
                <w:szCs w:val="18"/>
              </w:rPr>
            </w:pPr>
            <w:r>
              <w:rPr>
                <w:rFonts w:ascii="Times New Roman"/>
                <w:sz w:val="18"/>
              </w:rPr>
              <w:t>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0.35%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1,600,00</w:t>
            </w:r>
          </w:p>
          <w:p>
            <w:pPr>
              <w:pStyle w:val="TableParagraph"/>
              <w:spacing w:line="240" w:lineRule="auto" w:before="106"/>
              <w:ind w:left="413" w:right="0"/>
              <w:jc w:val="left"/>
              <w:rPr>
                <w:rFonts w:ascii="Times New Roman" w:hAnsi="Times New Roman" w:cs="Times New Roman" w:eastAsia="Times New Roman" w:hint="default"/>
                <w:sz w:val="18"/>
                <w:szCs w:val="18"/>
              </w:rPr>
            </w:pPr>
            <w:r>
              <w:rPr>
                <w:rFonts w:ascii="Times New Roman"/>
                <w:sz w:val="18"/>
              </w:rPr>
              <w:t>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2" w:right="0"/>
              <w:jc w:val="left"/>
              <w:rPr>
                <w:rFonts w:ascii="Times New Roman" w:hAnsi="Times New Roman" w:cs="Times New Roman" w:eastAsia="Times New Roman" w:hint="default"/>
                <w:sz w:val="18"/>
                <w:szCs w:val="18"/>
              </w:rPr>
            </w:pPr>
            <w:r>
              <w:rPr>
                <w:rFonts w:ascii="Times New Roman"/>
                <w:sz w:val="18"/>
              </w:rPr>
              <w:t>0.00</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 w:right="0"/>
              <w:jc w:val="center"/>
              <w:rPr>
                <w:rFonts w:ascii="Times New Roman" w:hAnsi="Times New Roman" w:cs="Times New Roman" w:eastAsia="Times New Roman" w:hint="default"/>
                <w:sz w:val="18"/>
                <w:szCs w:val="18"/>
              </w:rPr>
            </w:pPr>
            <w:r>
              <w:rPr>
                <w:rFonts w:ascii="Times New Roman"/>
                <w:sz w:val="18"/>
              </w:rPr>
              <w:t>1,600,0</w:t>
            </w:r>
          </w:p>
          <w:p>
            <w:pPr>
              <w:pStyle w:val="TableParagraph"/>
              <w:spacing w:line="240" w:lineRule="auto" w:before="106"/>
              <w:ind w:left="192" w:right="0"/>
              <w:jc w:val="center"/>
              <w:rPr>
                <w:rFonts w:ascii="Times New Roman" w:hAnsi="Times New Roman" w:cs="Times New Roman" w:eastAsia="Times New Roman" w:hint="default"/>
                <w:sz w:val="18"/>
                <w:szCs w:val="18"/>
              </w:rPr>
            </w:pPr>
            <w:r>
              <w:rPr>
                <w:rFonts w:ascii="Times New Roman"/>
                <w:sz w:val="18"/>
              </w:rPr>
              <w:t>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0.26%</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1,600,000</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84" w:right="0"/>
              <w:jc w:val="left"/>
              <w:rPr>
                <w:rFonts w:ascii="Times New Roman" w:hAnsi="Times New Roman" w:cs="Times New Roman" w:eastAsia="Times New Roman" w:hint="default"/>
                <w:sz w:val="18"/>
                <w:szCs w:val="18"/>
              </w:rPr>
            </w:pPr>
            <w:r>
              <w:rPr>
                <w:rFonts w:ascii="Times New Roman"/>
                <w:sz w:val="18"/>
              </w:rPr>
              <w:t>0.00</w:t>
            </w:r>
          </w:p>
        </w:tc>
      </w:tr>
      <w:tr>
        <w:trPr>
          <w:trHeight w:val="161" w:hRule="exact"/>
        </w:trPr>
        <w:tc>
          <w:tcPr>
            <w:tcW w:w="1611" w:type="dxa"/>
            <w:tcBorders>
              <w:top w:val="single" w:sz="4" w:space="0" w:color="000000"/>
              <w:left w:val="single" w:sz="4" w:space="0" w:color="000000"/>
              <w:bottom w:val="nil" w:sz="6" w:space="0" w:color="auto"/>
              <w:right w:val="single" w:sz="4" w:space="0" w:color="000000"/>
            </w:tcBorders>
            <w:shd w:val="clear" w:color="auto" w:fill="D2D2D2"/>
          </w:tcPr>
          <w:p>
            <w:pPr/>
          </w:p>
        </w:tc>
        <w:tc>
          <w:tcPr>
            <w:tcW w:w="775" w:type="dxa"/>
            <w:vMerge w:val="restart"/>
            <w:tcBorders>
              <w:top w:val="single" w:sz="4" w:space="0" w:color="000000"/>
              <w:left w:val="single" w:sz="9" w:space="0" w:color="D2D2D2"/>
              <w:right w:val="single" w:sz="4" w:space="0" w:color="000000"/>
            </w:tcBorders>
          </w:tcPr>
          <w:p>
            <w:pPr>
              <w:pStyle w:val="TableParagraph"/>
              <w:spacing w:line="240" w:lineRule="auto" w:before="91"/>
              <w:ind w:left="81" w:right="0"/>
              <w:jc w:val="center"/>
              <w:rPr>
                <w:rFonts w:ascii="Times New Roman" w:hAnsi="Times New Roman" w:cs="Times New Roman" w:eastAsia="Times New Roman" w:hint="default"/>
                <w:sz w:val="18"/>
                <w:szCs w:val="18"/>
              </w:rPr>
            </w:pPr>
            <w:r>
              <w:rPr>
                <w:rFonts w:ascii="Times New Roman"/>
                <w:sz w:val="18"/>
              </w:rPr>
              <w:t>451,487,</w:t>
            </w:r>
          </w:p>
          <w:p>
            <w:pPr>
              <w:pStyle w:val="TableParagraph"/>
              <w:spacing w:line="240" w:lineRule="auto" w:before="106"/>
              <w:ind w:left="217" w:right="0"/>
              <w:jc w:val="center"/>
              <w:rPr>
                <w:rFonts w:ascii="Times New Roman" w:hAnsi="Times New Roman" w:cs="Times New Roman" w:eastAsia="Times New Roman" w:hint="default"/>
                <w:sz w:val="18"/>
                <w:szCs w:val="18"/>
              </w:rPr>
            </w:pPr>
            <w:r>
              <w:rPr>
                <w:rFonts w:ascii="Times New Roman"/>
                <w:sz w:val="18"/>
              </w:rPr>
              <w:t>470.40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41,734,5</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57.98</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9.24%</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409,752,9</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12.42</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626,054</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,788.59</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left="60" w:right="0"/>
              <w:jc w:val="left"/>
              <w:rPr>
                <w:rFonts w:ascii="Times New Roman" w:hAnsi="Times New Roman" w:cs="Times New Roman" w:eastAsia="Times New Roman" w:hint="default"/>
                <w:sz w:val="18"/>
                <w:szCs w:val="18"/>
              </w:rPr>
            </w:pPr>
            <w:r>
              <w:rPr>
                <w:rFonts w:ascii="Times New Roman"/>
                <w:sz w:val="18"/>
              </w:rPr>
              <w:t>46,083,45</w:t>
            </w:r>
          </w:p>
          <w:p>
            <w:pPr>
              <w:pStyle w:val="TableParagraph"/>
              <w:spacing w:line="240" w:lineRule="auto" w:before="106"/>
              <w:ind w:left="466" w:right="0"/>
              <w:jc w:val="left"/>
              <w:rPr>
                <w:rFonts w:ascii="Times New Roman" w:hAnsi="Times New Roman" w:cs="Times New Roman" w:eastAsia="Times New Roman" w:hint="default"/>
                <w:sz w:val="18"/>
                <w:szCs w:val="18"/>
              </w:rPr>
            </w:pPr>
            <w:r>
              <w:rPr>
                <w:rFonts w:ascii="Times New Roman"/>
                <w:sz w:val="18"/>
              </w:rPr>
              <w:t>6.56</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7.36%</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579,971,33</w:t>
            </w:r>
          </w:p>
          <w:p>
            <w:pPr>
              <w:pStyle w:val="TableParagraph"/>
              <w:spacing w:line="240" w:lineRule="auto" w:before="106"/>
              <w:ind w:left="584" w:right="0"/>
              <w:jc w:val="left"/>
              <w:rPr>
                <w:rFonts w:ascii="Times New Roman" w:hAnsi="Times New Roman" w:cs="Times New Roman" w:eastAsia="Times New Roman" w:hint="default"/>
                <w:sz w:val="18"/>
                <w:szCs w:val="18"/>
              </w:rPr>
            </w:pPr>
            <w:r>
              <w:rPr>
                <w:rFonts w:ascii="Times New Roman"/>
                <w:sz w:val="18"/>
              </w:rPr>
              <w:t>2.03</w:t>
            </w:r>
          </w:p>
        </w:tc>
      </w:tr>
      <w:tr>
        <w:trPr>
          <w:trHeight w:val="392" w:hRule="exact"/>
        </w:trPr>
        <w:tc>
          <w:tcPr>
            <w:tcW w:w="161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5"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1" w:hRule="exact"/>
        </w:trPr>
        <w:tc>
          <w:tcPr>
            <w:tcW w:w="1611" w:type="dxa"/>
            <w:tcBorders>
              <w:top w:val="nil" w:sz="6" w:space="0" w:color="auto"/>
              <w:left w:val="single" w:sz="4" w:space="0" w:color="000000"/>
              <w:bottom w:val="single" w:sz="4" w:space="0" w:color="000000"/>
              <w:right w:val="single" w:sz="4" w:space="0" w:color="000000"/>
            </w:tcBorders>
            <w:shd w:val="clear" w:color="auto" w:fill="D2D2D2"/>
          </w:tcPr>
          <w:p>
            <w:pPr/>
          </w:p>
        </w:tc>
        <w:tc>
          <w:tcPr>
            <w:tcW w:w="775"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before="51"/>
        <w:ind w:left="1134"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期末单项金额重大并单项计提坏账准备的应收账款：</w:t>
      </w:r>
    </w:p>
    <w:p>
      <w:pPr>
        <w:spacing w:line="338" w:lineRule="auto" w:before="117"/>
        <w:ind w:left="1133" w:right="16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组合中，按账龄分析法计提坏账准备的应收账款：</w:t>
      </w:r>
    </w:p>
    <w:p>
      <w:pPr>
        <w:spacing w:before="43"/>
        <w:ind w:left="1133"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 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5275" w:space="3555"/>
            <w:col w:w="3080"/>
          </w:cols>
        </w:sectPr>
      </w:pP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2392"/>
        <w:gridCol w:w="2393"/>
        <w:gridCol w:w="2392"/>
        <w:gridCol w:w="2394"/>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bl>
    <w:p>
      <w:pPr>
        <w:spacing w:after="0" w:line="240" w:lineRule="auto"/>
        <w:jc w:val="center"/>
        <w:rPr>
          <w:rFonts w:ascii="宋体" w:hAnsi="宋体" w:cs="宋体" w:eastAsia="宋体" w:hint="default"/>
          <w:sz w:val="18"/>
          <w:szCs w:val="18"/>
        </w:rPr>
        <w:sectPr>
          <w:type w:val="continuous"/>
          <w:pgSz w:w="11910" w:h="16840"/>
          <w:pgMar w:top="1060" w:bottom="1160" w:left="0" w:right="0"/>
        </w:sectPr>
      </w:pPr>
    </w:p>
    <w:p>
      <w:pPr>
        <w:spacing w:line="240" w:lineRule="auto" w:before="6"/>
        <w:rPr>
          <w:rFonts w:ascii="宋体" w:hAnsi="宋体" w:cs="宋体" w:eastAsia="宋体" w:hint="default"/>
          <w:sz w:val="28"/>
          <w:szCs w:val="28"/>
        </w:rPr>
      </w:pPr>
    </w:p>
    <w:tbl>
      <w:tblPr>
        <w:tblW w:w="0" w:type="auto"/>
        <w:jc w:val="left"/>
        <w:tblInd w:w="1140" w:type="dxa"/>
        <w:tblLayout w:type="fixed"/>
        <w:tblCellMar>
          <w:top w:w="0" w:type="dxa"/>
          <w:left w:w="0" w:type="dxa"/>
          <w:bottom w:w="0" w:type="dxa"/>
          <w:right w:w="0" w:type="dxa"/>
        </w:tblCellMar>
        <w:tblLook w:val="01E0"/>
      </w:tblPr>
      <w:tblGrid>
        <w:gridCol w:w="2369"/>
        <w:gridCol w:w="2405"/>
        <w:gridCol w:w="2392"/>
        <w:gridCol w:w="2392"/>
      </w:tblGrid>
      <w:tr>
        <w:trPr>
          <w:trHeight w:val="402" w:hRule="exact"/>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284,085,911.70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14,210,461.45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145,025,847.08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14,502,584.70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11,692,749.73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2,338,549.94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9,082,961.89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9,082,961.89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449,887,470.40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40,134,557.98</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line="357" w:lineRule="auto" w:before="51"/>
        <w:ind w:left="1134" w:right="8772"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无</w:t>
      </w:r>
    </w:p>
    <w:p>
      <w:pPr>
        <w:spacing w:before="29"/>
        <w:ind w:left="1134" w:right="998" w:firstLine="0"/>
        <w:jc w:val="left"/>
        <w:rPr>
          <w:rFonts w:ascii="宋体" w:hAnsi="宋体" w:cs="宋体" w:eastAsia="宋体" w:hint="default"/>
          <w:sz w:val="18"/>
          <w:szCs w:val="18"/>
        </w:rPr>
      </w:pPr>
      <w:r>
        <w:rPr>
          <w:rFonts w:ascii="宋体" w:hAnsi="宋体" w:cs="宋体" w:eastAsia="宋体" w:hint="default"/>
          <w:sz w:val="18"/>
          <w:szCs w:val="18"/>
        </w:rPr>
        <w:t>组合中，采用余额百分比法计提坏账准备的应收账款：</w:t>
      </w:r>
    </w:p>
    <w:p>
      <w:pPr>
        <w:spacing w:line="336" w:lineRule="auto" w:before="117"/>
        <w:ind w:left="1133" w:right="5923" w:firstLine="0"/>
        <w:jc w:val="left"/>
        <w:rPr>
          <w:rFonts w:ascii="宋体" w:hAnsi="宋体" w:cs="宋体" w:eastAsia="宋体" w:hint="default"/>
          <w:sz w:val="21"/>
          <w:szCs w:val="21"/>
        </w:rPr>
      </w:pPr>
      <w:r>
        <w:rPr/>
        <w:pict>
          <v:shape style="position:absolute;margin-left:86.480003pt;margin-top:56.021725pt;width:384.6pt;height:87.25pt;mso-position-horizontal-relative:page;mso-position-vertical-relative:paragraph;z-index:25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032"/>
                    <w:gridCol w:w="1646"/>
                    <w:gridCol w:w="1417"/>
                    <w:gridCol w:w="1189"/>
                    <w:gridCol w:w="1371"/>
                  </w:tblGrid>
                  <w:tr>
                    <w:trPr>
                      <w:trHeight w:val="355" w:hRule="exact"/>
                    </w:trPr>
                    <w:tc>
                      <w:tcPr>
                        <w:tcW w:w="2032" w:type="dxa"/>
                        <w:vMerge w:val="restart"/>
                        <w:tcBorders>
                          <w:top w:val="single" w:sz="6" w:space="0" w:color="000000"/>
                          <w:left w:val="single" w:sz="6" w:space="0" w:color="000000"/>
                          <w:right w:val="single" w:sz="6" w:space="0" w:color="000000"/>
                        </w:tcBorders>
                      </w:tcPr>
                      <w:p>
                        <w:pPr>
                          <w:pStyle w:val="TableParagraph"/>
                          <w:spacing w:line="240" w:lineRule="auto" w:before="21"/>
                          <w:ind w:left="197" w:right="0"/>
                          <w:jc w:val="left"/>
                          <w:rPr>
                            <w:rFonts w:ascii="宋体" w:hAnsi="宋体" w:cs="宋体" w:eastAsia="宋体" w:hint="default"/>
                            <w:sz w:val="18"/>
                            <w:szCs w:val="18"/>
                          </w:rPr>
                        </w:pPr>
                        <w:r>
                          <w:rPr>
                            <w:rFonts w:ascii="宋体" w:hAnsi="宋体" w:cs="宋体" w:eastAsia="宋体" w:hint="default"/>
                            <w:sz w:val="18"/>
                            <w:szCs w:val="18"/>
                          </w:rPr>
                          <w:t>应收账款（按单位）</w:t>
                        </w:r>
                      </w:p>
                    </w:tc>
                    <w:tc>
                      <w:tcPr>
                        <w:tcW w:w="5623" w:type="dxa"/>
                        <w:gridSpan w:val="4"/>
                        <w:tcBorders>
                          <w:top w:val="single" w:sz="6" w:space="0" w:color="000000"/>
                          <w:left w:val="single" w:sz="6" w:space="0" w:color="000000"/>
                          <w:bottom w:val="single" w:sz="12" w:space="0" w:color="000000"/>
                          <w:right w:val="nil" w:sz="6" w:space="0" w:color="auto"/>
                        </w:tcBorders>
                      </w:tcPr>
                      <w:p>
                        <w:pPr>
                          <w:pStyle w:val="TableParagraph"/>
                          <w:spacing w:line="240" w:lineRule="auto" w:before="21"/>
                          <w:ind w:right="6"/>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3" w:hRule="exact"/>
                    </w:trPr>
                    <w:tc>
                      <w:tcPr>
                        <w:tcW w:w="2032" w:type="dxa"/>
                        <w:vMerge/>
                        <w:tcBorders>
                          <w:left w:val="single" w:sz="6" w:space="0" w:color="000000"/>
                          <w:bottom w:val="single" w:sz="12" w:space="0" w:color="000000"/>
                          <w:right w:val="single" w:sz="6" w:space="0" w:color="000000"/>
                        </w:tcBorders>
                      </w:tcPr>
                      <w:p>
                        <w:pPr/>
                      </w:p>
                    </w:tc>
                    <w:tc>
                      <w:tcPr>
                        <w:tcW w:w="164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454"/>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341"/>
                          <w:jc w:val="right"/>
                          <w:rPr>
                            <w:rFonts w:ascii="宋体" w:hAnsi="宋体" w:cs="宋体" w:eastAsia="宋体" w:hint="default"/>
                            <w:sz w:val="18"/>
                            <w:szCs w:val="18"/>
                          </w:rPr>
                        </w:pPr>
                        <w:r>
                          <w:rPr>
                            <w:rFonts w:ascii="宋体" w:hAnsi="宋体" w:cs="宋体" w:eastAsia="宋体" w:hint="default"/>
                            <w:sz w:val="18"/>
                            <w:szCs w:val="18"/>
                          </w:rPr>
                          <w:t>坏账准备</w:t>
                        </w:r>
                      </w:p>
                    </w:tc>
                    <w:tc>
                      <w:tcPr>
                        <w:tcW w:w="118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26"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37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left="318"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664" w:hRule="exact"/>
                    </w:trPr>
                    <w:tc>
                      <w:tcPr>
                        <w:tcW w:w="2032" w:type="dxa"/>
                        <w:tcBorders>
                          <w:top w:val="single" w:sz="12" w:space="0" w:color="000000"/>
                          <w:left w:val="single" w:sz="6" w:space="0" w:color="000000"/>
                          <w:bottom w:val="single" w:sz="12" w:space="0" w:color="000000"/>
                          <w:right w:val="single" w:sz="6" w:space="0" w:color="000000"/>
                        </w:tcBorders>
                      </w:tcPr>
                      <w:p>
                        <w:pPr>
                          <w:pStyle w:val="TableParagraph"/>
                          <w:spacing w:line="316" w:lineRule="auto" w:before="10"/>
                          <w:ind w:left="2" w:right="32"/>
                          <w:jc w:val="left"/>
                          <w:rPr>
                            <w:rFonts w:ascii="宋体" w:hAnsi="宋体" w:cs="宋体" w:eastAsia="宋体" w:hint="default"/>
                            <w:sz w:val="18"/>
                            <w:szCs w:val="18"/>
                          </w:rPr>
                        </w:pPr>
                        <w:r>
                          <w:rPr>
                            <w:rFonts w:ascii="宋体" w:hAnsi="宋体" w:cs="宋体" w:eastAsia="宋体" w:hint="default"/>
                            <w:sz w:val="18"/>
                            <w:szCs w:val="18"/>
                          </w:rPr>
                          <w:t>北京多游网络科技有限公 司</w:t>
                        </w:r>
                      </w:p>
                    </w:tc>
                    <w:tc>
                      <w:tcPr>
                        <w:tcW w:w="164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501"/>
                          <w:jc w:val="right"/>
                          <w:rPr>
                            <w:rFonts w:ascii="Times New Roman" w:hAnsi="Times New Roman" w:cs="Times New Roman" w:eastAsia="Times New Roman" w:hint="default"/>
                            <w:sz w:val="18"/>
                            <w:szCs w:val="18"/>
                          </w:rPr>
                        </w:pPr>
                        <w:r>
                          <w:rPr>
                            <w:rFonts w:ascii="Times New Roman"/>
                            <w:spacing w:val="-1"/>
                            <w:sz w:val="18"/>
                          </w:rPr>
                          <w:t>1,600,000.00</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273"/>
                          <w:jc w:val="right"/>
                          <w:rPr>
                            <w:rFonts w:ascii="Times New Roman" w:hAnsi="Times New Roman" w:cs="Times New Roman" w:eastAsia="Times New Roman" w:hint="default"/>
                            <w:sz w:val="18"/>
                            <w:szCs w:val="18"/>
                          </w:rPr>
                        </w:pPr>
                        <w:r>
                          <w:rPr>
                            <w:rFonts w:ascii="Times New Roman"/>
                            <w:spacing w:val="-1"/>
                            <w:sz w:val="18"/>
                          </w:rPr>
                          <w:t>1,600,000.00</w:t>
                        </w:r>
                      </w:p>
                    </w:tc>
                    <w:tc>
                      <w:tcPr>
                        <w:tcW w:w="118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left="182" w:right="0"/>
                          <w:jc w:val="left"/>
                          <w:rPr>
                            <w:rFonts w:ascii="Times New Roman" w:hAnsi="Times New Roman" w:cs="Times New Roman" w:eastAsia="Times New Roman" w:hint="default"/>
                            <w:sz w:val="18"/>
                            <w:szCs w:val="18"/>
                          </w:rPr>
                        </w:pPr>
                        <w:r>
                          <w:rPr>
                            <w:rFonts w:ascii="Times New Roman"/>
                            <w:sz w:val="18"/>
                          </w:rPr>
                          <w:t>100.00%</w:t>
                        </w:r>
                      </w:p>
                    </w:tc>
                    <w:tc>
                      <w:tcPr>
                        <w:tcW w:w="137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left="183" w:right="0"/>
                          <w:jc w:val="left"/>
                          <w:rPr>
                            <w:rFonts w:ascii="宋体" w:hAnsi="宋体" w:cs="宋体" w:eastAsia="宋体" w:hint="default"/>
                            <w:sz w:val="18"/>
                            <w:szCs w:val="18"/>
                          </w:rPr>
                        </w:pPr>
                        <w:r>
                          <w:rPr>
                            <w:rFonts w:ascii="宋体" w:hAnsi="宋体" w:cs="宋体" w:eastAsia="宋体" w:hint="default"/>
                            <w:sz w:val="18"/>
                            <w:szCs w:val="18"/>
                          </w:rPr>
                          <w:t>无法收回</w:t>
                        </w:r>
                      </w:p>
                    </w:tc>
                  </w:tr>
                  <w:tr>
                    <w:trPr>
                      <w:trHeight w:val="352" w:hRule="exact"/>
                    </w:trPr>
                    <w:tc>
                      <w:tcPr>
                        <w:tcW w:w="203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55"/>
                            <w:sz w:val="18"/>
                            <w:szCs w:val="18"/>
                          </w:rPr>
                          <w:t> </w:t>
                        </w:r>
                        <w:r>
                          <w:rPr>
                            <w:rFonts w:ascii="宋体" w:hAnsi="宋体" w:cs="宋体" w:eastAsia="宋体" w:hint="default"/>
                            <w:sz w:val="18"/>
                            <w:szCs w:val="18"/>
                          </w:rPr>
                          <w:t>计</w:t>
                        </w:r>
                      </w:p>
                    </w:tc>
                    <w:tc>
                      <w:tcPr>
                        <w:tcW w:w="164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501"/>
                          <w:jc w:val="right"/>
                          <w:rPr>
                            <w:rFonts w:ascii="Times New Roman" w:hAnsi="Times New Roman" w:cs="Times New Roman" w:eastAsia="Times New Roman" w:hint="default"/>
                            <w:sz w:val="18"/>
                            <w:szCs w:val="18"/>
                          </w:rPr>
                        </w:pPr>
                        <w:r>
                          <w:rPr>
                            <w:rFonts w:ascii="Times New Roman"/>
                            <w:spacing w:val="-1"/>
                            <w:sz w:val="18"/>
                          </w:rPr>
                          <w:t>1,600,000.00</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273"/>
                          <w:jc w:val="right"/>
                          <w:rPr>
                            <w:rFonts w:ascii="Times New Roman" w:hAnsi="Times New Roman" w:cs="Times New Roman" w:eastAsia="Times New Roman" w:hint="default"/>
                            <w:sz w:val="18"/>
                            <w:szCs w:val="18"/>
                          </w:rPr>
                        </w:pPr>
                        <w:r>
                          <w:rPr>
                            <w:rFonts w:ascii="Times New Roman"/>
                            <w:spacing w:val="-1"/>
                            <w:sz w:val="18"/>
                          </w:rPr>
                          <w:t>1,600,000.00</w:t>
                        </w:r>
                      </w:p>
                    </w:tc>
                    <w:tc>
                      <w:tcPr>
                        <w:tcW w:w="118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w:t>
                        </w:r>
                      </w:p>
                    </w:tc>
                    <w:tc>
                      <w:tcPr>
                        <w:tcW w:w="137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5"/>
                          <w:jc w:val="center"/>
                          <w:rPr>
                            <w:rFonts w:ascii="Times New Roman" w:hAnsi="Times New Roman" w:cs="Times New Roman" w:eastAsia="Times New Roman" w:hint="default"/>
                            <w:sz w:val="18"/>
                            <w:szCs w:val="18"/>
                          </w:rPr>
                        </w:pPr>
                        <w:r>
                          <w:rPr>
                            <w:rFonts w:ascii="Times New Roman"/>
                            <w:sz w:val="18"/>
                          </w:rPr>
                          <w:t>/</w:t>
                        </w:r>
                      </w:p>
                    </w:tc>
                  </w:tr>
                </w:tbl>
                <w:p>
                  <w:pPr/>
                </w:p>
              </w:txbxContent>
            </v:textbox>
            <w10:wrap type="none"/>
          </v:shape>
        </w:pict>
      </w: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组合中，采用其他方法计提坏账准备的应收账款： </w:t>
      </w:r>
      <w:r>
        <w:rPr>
          <w:rFonts w:ascii="宋体" w:hAnsi="宋体" w:cs="宋体" w:eastAsia="宋体" w:hint="default"/>
          <w:sz w:val="21"/>
          <w:szCs w:val="21"/>
        </w:rPr>
        <w:t>期末单项金额不重大但单独计提坏账准备的应收账款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Heading6"/>
        <w:spacing w:line="240" w:lineRule="auto" w:before="35"/>
        <w:ind w:right="998"/>
        <w:jc w:val="left"/>
        <w:rPr>
          <w:b w:val="0"/>
          <w:bCs w:val="0"/>
        </w:rPr>
      </w:pPr>
      <w:bookmarkStart w:name="（2）本期计提、收回或转回的坏账准备情况" w:id="250"/>
      <w:bookmarkEnd w:id="250"/>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979" w:top="1060" w:bottom="1160" w:left="0" w:right="0"/>
        </w:sectPr>
      </w:pPr>
    </w:p>
    <w:p>
      <w:pPr>
        <w:spacing w:line="338" w:lineRule="auto" w:before="44"/>
        <w:ind w:left="1133" w:right="-12"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4,632,998.29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元；本期收回或转回坏账准备金额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 其中本期坏账准备收回或转回金额重要的：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 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7434" w:space="1395"/>
            <w:col w:w="3081"/>
          </w:cols>
        </w:sectPr>
      </w:pP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90"/>
        <w:gridCol w:w="3190"/>
        <w:gridCol w:w="31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0"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before="1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3）本期实际核销的应收账款情况" w:id="251"/>
      <w:bookmarkEnd w:id="251"/>
      <w:r>
        <w:rPr>
          <w:b w:val="0"/>
          <w:bCs w:val="0"/>
        </w:rPr>
      </w: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4785"/>
        <w:gridCol w:w="4784"/>
      </w:tblGrid>
      <w:tr>
        <w:trPr>
          <w:trHeight w:val="401"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3"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实际核销的应收账款</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8,981,896.87</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其中重要的应收账款核销情况：</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714"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2"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2"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23" w:right="71"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spacing w:line="357" w:lineRule="auto" w:before="51"/>
        <w:ind w:left="1134" w:right="9132" w:firstLine="0"/>
        <w:jc w:val="left"/>
        <w:rPr>
          <w:rFonts w:ascii="宋体" w:hAnsi="宋体" w:cs="宋体" w:eastAsia="宋体" w:hint="default"/>
          <w:sz w:val="18"/>
          <w:szCs w:val="18"/>
        </w:rPr>
      </w:pPr>
      <w:r>
        <w:rPr>
          <w:rFonts w:ascii="宋体" w:hAnsi="宋体" w:cs="宋体" w:eastAsia="宋体" w:hint="default"/>
          <w:sz w:val="18"/>
          <w:szCs w:val="18"/>
        </w:rPr>
        <w:t>应收账款核销说明： 无</w:t>
      </w:r>
    </w:p>
    <w:p>
      <w:pPr>
        <w:spacing w:after="0" w:line="357" w:lineRule="auto"/>
        <w:jc w:val="left"/>
        <w:rPr>
          <w:rFonts w:ascii="宋体" w:hAnsi="宋体" w:cs="宋体" w:eastAsia="宋体" w:hint="default"/>
          <w:sz w:val="18"/>
          <w:szCs w:val="18"/>
        </w:rPr>
        <w:sectPr>
          <w:type w:val="continuous"/>
          <w:pgSz w:w="11910" w:h="16840"/>
          <w:pgMar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4）按欠款方归集的期末余额前五名的应收账款情况" w:id="252"/>
      <w:bookmarkEnd w:id="252"/>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8"/>
        <w:rPr>
          <w:rFonts w:ascii="宋体" w:hAnsi="宋体" w:cs="宋体" w:eastAsia="宋体" w:hint="default"/>
          <w:b/>
          <w:bCs/>
          <w:sz w:val="26"/>
          <w:szCs w:val="26"/>
        </w:rPr>
      </w:pPr>
    </w:p>
    <w:p>
      <w:pPr>
        <w:spacing w:line="357" w:lineRule="auto" w:before="0"/>
        <w:ind w:left="1133" w:right="7693"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9"/>
        <w:ind w:left="1134" w:right="998" w:firstLine="0"/>
        <w:jc w:val="left"/>
        <w:rPr>
          <w:rFonts w:ascii="宋体" w:hAnsi="宋体" w:cs="宋体" w:eastAsia="宋体" w:hint="default"/>
          <w:sz w:val="18"/>
          <w:szCs w:val="18"/>
        </w:rPr>
      </w:pPr>
      <w:r>
        <w:rPr>
          <w:rFonts w:ascii="宋体" w:hAnsi="宋体" w:cs="宋体" w:eastAsia="宋体" w:hint="default"/>
          <w:sz w:val="18"/>
          <w:szCs w:val="18"/>
        </w:rPr>
        <w:t>互联网游戏业</w:t>
      </w:r>
    </w:p>
    <w:p>
      <w:pPr>
        <w:spacing w:line="240" w:lineRule="auto" w:before="13"/>
        <w:rPr>
          <w:rFonts w:ascii="宋体" w:hAnsi="宋体" w:cs="宋体" w:eastAsia="宋体" w:hint="default"/>
          <w:sz w:val="7"/>
          <w:szCs w:val="7"/>
        </w:rPr>
      </w:pPr>
    </w:p>
    <w:tbl>
      <w:tblPr>
        <w:tblW w:w="0" w:type="auto"/>
        <w:jc w:val="left"/>
        <w:tblInd w:w="1733" w:type="dxa"/>
        <w:tblLayout w:type="fixed"/>
        <w:tblCellMar>
          <w:top w:w="0" w:type="dxa"/>
          <w:left w:w="0" w:type="dxa"/>
          <w:bottom w:w="0" w:type="dxa"/>
          <w:right w:w="0" w:type="dxa"/>
        </w:tblCellMar>
        <w:tblLook w:val="01E0"/>
      </w:tblPr>
      <w:tblGrid>
        <w:gridCol w:w="3327"/>
        <w:gridCol w:w="1589"/>
        <w:gridCol w:w="1424"/>
        <w:gridCol w:w="1421"/>
      </w:tblGrid>
      <w:tr>
        <w:trPr>
          <w:trHeight w:val="355" w:hRule="exact"/>
        </w:trPr>
        <w:tc>
          <w:tcPr>
            <w:tcW w:w="3327" w:type="dxa"/>
            <w:vMerge w:val="restart"/>
            <w:tcBorders>
              <w:top w:val="single" w:sz="6" w:space="0" w:color="000000"/>
              <w:left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4434" w:type="dxa"/>
            <w:gridSpan w:val="3"/>
            <w:tcBorders>
              <w:top w:val="single" w:sz="6" w:space="0" w:color="000000"/>
              <w:left w:val="single" w:sz="6" w:space="0" w:color="000000"/>
              <w:bottom w:val="single" w:sz="12" w:space="0" w:color="000000"/>
              <w:right w:val="nil" w:sz="6" w:space="0" w:color="auto"/>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665" w:hRule="exact"/>
        </w:trPr>
        <w:tc>
          <w:tcPr>
            <w:tcW w:w="3327" w:type="dxa"/>
            <w:vMerge/>
            <w:tcBorders>
              <w:left w:val="single" w:sz="6" w:space="0" w:color="000000"/>
              <w:bottom w:val="single" w:sz="12" w:space="0" w:color="000000"/>
              <w:right w:val="single" w:sz="6" w:space="0" w:color="000000"/>
            </w:tcBorders>
          </w:tcPr>
          <w:p>
            <w:pPr/>
          </w:p>
        </w:tc>
        <w:tc>
          <w:tcPr>
            <w:tcW w:w="158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365"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42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2" w:right="0" w:firstLine="51"/>
              <w:jc w:val="left"/>
              <w:rPr>
                <w:rFonts w:ascii="宋体" w:hAnsi="宋体" w:cs="宋体" w:eastAsia="宋体" w:hint="default"/>
                <w:sz w:val="21"/>
                <w:szCs w:val="21"/>
              </w:rPr>
            </w:pPr>
            <w:r>
              <w:rPr>
                <w:rFonts w:ascii="宋体" w:hAnsi="宋体" w:cs="宋体" w:eastAsia="宋体" w:hint="default"/>
                <w:sz w:val="21"/>
                <w:szCs w:val="21"/>
              </w:rPr>
              <w:t>占应收账款合</w:t>
            </w:r>
          </w:p>
          <w:p>
            <w:pPr>
              <w:pStyle w:val="TableParagraph"/>
              <w:spacing w:line="240" w:lineRule="auto" w:before="37"/>
              <w:ind w:left="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计数的比例</w:t>
            </w:r>
            <w:r>
              <w:rPr>
                <w:rFonts w:ascii="Times New Roman" w:hAnsi="Times New Roman" w:cs="Times New Roman" w:eastAsia="Times New Roman" w:hint="default"/>
                <w:sz w:val="21"/>
                <w:szCs w:val="21"/>
              </w:rPr>
              <w:t>(%)</w:t>
            </w:r>
          </w:p>
        </w:tc>
        <w:tc>
          <w:tcPr>
            <w:tcW w:w="1421"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283"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52" w:hRule="exact"/>
        </w:trPr>
        <w:tc>
          <w:tcPr>
            <w:tcW w:w="3327"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摩利数位行销股份有限公司</w:t>
            </w:r>
          </w:p>
        </w:tc>
        <w:tc>
          <w:tcPr>
            <w:tcW w:w="158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77,416,051.75</w:t>
            </w:r>
          </w:p>
        </w:tc>
        <w:tc>
          <w:tcPr>
            <w:tcW w:w="142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0"/>
              <w:jc w:val="right"/>
              <w:rPr>
                <w:rFonts w:ascii="Times New Roman" w:hAnsi="Times New Roman" w:cs="Times New Roman" w:eastAsia="Times New Roman" w:hint="default"/>
                <w:sz w:val="21"/>
                <w:szCs w:val="21"/>
              </w:rPr>
            </w:pPr>
            <w:r>
              <w:rPr>
                <w:rFonts w:ascii="Times New Roman"/>
                <w:sz w:val="21"/>
              </w:rPr>
              <w:t>17.15</w:t>
            </w:r>
          </w:p>
        </w:tc>
        <w:tc>
          <w:tcPr>
            <w:tcW w:w="14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z w:val="21"/>
              </w:rPr>
              <w:t>6,685,209.34</w:t>
            </w:r>
          </w:p>
        </w:tc>
      </w:tr>
      <w:tr>
        <w:trPr>
          <w:trHeight w:val="352" w:hRule="exact"/>
        </w:trPr>
        <w:tc>
          <w:tcPr>
            <w:tcW w:w="3327"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陈建军</w:t>
            </w:r>
          </w:p>
        </w:tc>
        <w:tc>
          <w:tcPr>
            <w:tcW w:w="158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70,008,055.79</w:t>
            </w:r>
          </w:p>
        </w:tc>
        <w:tc>
          <w:tcPr>
            <w:tcW w:w="142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0"/>
              <w:jc w:val="right"/>
              <w:rPr>
                <w:rFonts w:ascii="Times New Roman" w:hAnsi="Times New Roman" w:cs="Times New Roman" w:eastAsia="Times New Roman" w:hint="default"/>
                <w:sz w:val="21"/>
                <w:szCs w:val="21"/>
              </w:rPr>
            </w:pPr>
            <w:r>
              <w:rPr>
                <w:rFonts w:ascii="Times New Roman"/>
                <w:sz w:val="21"/>
              </w:rPr>
              <w:t>15.51</w:t>
            </w:r>
          </w:p>
        </w:tc>
        <w:tc>
          <w:tcPr>
            <w:tcW w:w="14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z w:val="21"/>
              </w:rPr>
              <w:t>7,000,805.58</w:t>
            </w:r>
          </w:p>
        </w:tc>
      </w:tr>
      <w:tr>
        <w:trPr>
          <w:trHeight w:val="353" w:hRule="exact"/>
        </w:trPr>
        <w:tc>
          <w:tcPr>
            <w:tcW w:w="332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left="2" w:right="0"/>
              <w:jc w:val="left"/>
              <w:rPr>
                <w:rFonts w:ascii="Times New Roman" w:hAnsi="Times New Roman" w:cs="Times New Roman" w:eastAsia="Times New Roman" w:hint="default"/>
                <w:sz w:val="21"/>
                <w:szCs w:val="21"/>
              </w:rPr>
            </w:pPr>
            <w:r>
              <w:rPr>
                <w:rFonts w:ascii="Times New Roman"/>
                <w:sz w:val="21"/>
              </w:rPr>
              <w:t>App</w:t>
            </w:r>
            <w:r>
              <w:rPr>
                <w:rFonts w:ascii="Times New Roman"/>
                <w:spacing w:val="-3"/>
                <w:sz w:val="21"/>
              </w:rPr>
              <w:t> </w:t>
            </w:r>
            <w:r>
              <w:rPr>
                <w:rFonts w:ascii="Times New Roman"/>
                <w:sz w:val="21"/>
              </w:rPr>
              <w:t>Store</w:t>
            </w:r>
          </w:p>
        </w:tc>
        <w:tc>
          <w:tcPr>
            <w:tcW w:w="158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64,524,464.48</w:t>
            </w:r>
          </w:p>
        </w:tc>
        <w:tc>
          <w:tcPr>
            <w:tcW w:w="142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0"/>
              <w:jc w:val="right"/>
              <w:rPr>
                <w:rFonts w:ascii="Times New Roman" w:hAnsi="Times New Roman" w:cs="Times New Roman" w:eastAsia="Times New Roman" w:hint="default"/>
                <w:sz w:val="21"/>
                <w:szCs w:val="21"/>
              </w:rPr>
            </w:pPr>
            <w:r>
              <w:rPr>
                <w:rFonts w:ascii="Times New Roman"/>
                <w:sz w:val="21"/>
              </w:rPr>
              <w:t>14.29</w:t>
            </w:r>
          </w:p>
        </w:tc>
        <w:tc>
          <w:tcPr>
            <w:tcW w:w="14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z w:val="21"/>
              </w:rPr>
              <w:t>3,226,223.22</w:t>
            </w:r>
          </w:p>
        </w:tc>
      </w:tr>
      <w:tr>
        <w:trPr>
          <w:trHeight w:val="352" w:hRule="exact"/>
        </w:trPr>
        <w:tc>
          <w:tcPr>
            <w:tcW w:w="332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left="2" w:right="0"/>
              <w:jc w:val="left"/>
              <w:rPr>
                <w:rFonts w:ascii="Times New Roman" w:hAnsi="Times New Roman" w:cs="Times New Roman" w:eastAsia="Times New Roman" w:hint="default"/>
                <w:sz w:val="21"/>
                <w:szCs w:val="21"/>
              </w:rPr>
            </w:pPr>
            <w:r>
              <w:rPr>
                <w:rFonts w:ascii="Times New Roman"/>
                <w:sz w:val="21"/>
              </w:rPr>
              <w:t>Google</w:t>
            </w:r>
            <w:r>
              <w:rPr>
                <w:rFonts w:ascii="Times New Roman"/>
                <w:spacing w:val="-1"/>
                <w:sz w:val="21"/>
              </w:rPr>
              <w:t> </w:t>
            </w:r>
            <w:r>
              <w:rPr>
                <w:rFonts w:ascii="Times New Roman"/>
                <w:sz w:val="21"/>
              </w:rPr>
              <w:t>Play</w:t>
            </w:r>
          </w:p>
        </w:tc>
        <w:tc>
          <w:tcPr>
            <w:tcW w:w="158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25,807,425.24</w:t>
            </w:r>
          </w:p>
        </w:tc>
        <w:tc>
          <w:tcPr>
            <w:tcW w:w="142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5.72</w:t>
            </w:r>
          </w:p>
        </w:tc>
        <w:tc>
          <w:tcPr>
            <w:tcW w:w="14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z w:val="21"/>
              </w:rPr>
              <w:t>1,290,371.26</w:t>
            </w:r>
          </w:p>
        </w:tc>
      </w:tr>
      <w:tr>
        <w:trPr>
          <w:trHeight w:val="352" w:hRule="exact"/>
        </w:trPr>
        <w:tc>
          <w:tcPr>
            <w:tcW w:w="332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left="2" w:right="0"/>
              <w:jc w:val="left"/>
              <w:rPr>
                <w:rFonts w:ascii="Times New Roman" w:hAnsi="Times New Roman" w:cs="Times New Roman" w:eastAsia="Times New Roman" w:hint="default"/>
                <w:sz w:val="21"/>
                <w:szCs w:val="21"/>
              </w:rPr>
            </w:pPr>
            <w:r>
              <w:rPr>
                <w:rFonts w:ascii="Times New Roman"/>
                <w:sz w:val="21"/>
              </w:rPr>
              <w:t>hope software joint stock</w:t>
            </w:r>
            <w:r>
              <w:rPr>
                <w:rFonts w:ascii="Times New Roman"/>
                <w:spacing w:val="-6"/>
                <w:sz w:val="21"/>
              </w:rPr>
              <w:t> </w:t>
            </w:r>
            <w:r>
              <w:rPr>
                <w:rFonts w:ascii="Times New Roman"/>
                <w:sz w:val="21"/>
              </w:rPr>
              <w:t>company</w:t>
            </w:r>
          </w:p>
        </w:tc>
        <w:tc>
          <w:tcPr>
            <w:tcW w:w="158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18,131,084.41</w:t>
            </w:r>
          </w:p>
        </w:tc>
        <w:tc>
          <w:tcPr>
            <w:tcW w:w="142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4.02</w:t>
            </w:r>
          </w:p>
        </w:tc>
        <w:tc>
          <w:tcPr>
            <w:tcW w:w="14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8"/>
              <w:jc w:val="right"/>
              <w:rPr>
                <w:rFonts w:ascii="Times New Roman" w:hAnsi="Times New Roman" w:cs="Times New Roman" w:eastAsia="Times New Roman" w:hint="default"/>
                <w:sz w:val="21"/>
                <w:szCs w:val="21"/>
              </w:rPr>
            </w:pPr>
            <w:r>
              <w:rPr>
                <w:rFonts w:ascii="Times New Roman"/>
                <w:sz w:val="21"/>
              </w:rPr>
              <w:t>906,554.22</w:t>
            </w:r>
          </w:p>
        </w:tc>
      </w:tr>
      <w:tr>
        <w:trPr>
          <w:trHeight w:val="353" w:hRule="exact"/>
        </w:trPr>
        <w:tc>
          <w:tcPr>
            <w:tcW w:w="3327"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8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0"/>
              <w:jc w:val="right"/>
              <w:rPr>
                <w:rFonts w:ascii="Times New Roman" w:hAnsi="Times New Roman" w:cs="Times New Roman" w:eastAsia="Times New Roman" w:hint="default"/>
                <w:sz w:val="21"/>
                <w:szCs w:val="21"/>
              </w:rPr>
            </w:pPr>
            <w:r>
              <w:rPr>
                <w:rFonts w:ascii="Times New Roman"/>
                <w:spacing w:val="-1"/>
                <w:sz w:val="21"/>
              </w:rPr>
              <w:t>255,887,081.67</w:t>
            </w:r>
          </w:p>
        </w:tc>
        <w:tc>
          <w:tcPr>
            <w:tcW w:w="142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0"/>
              <w:jc w:val="right"/>
              <w:rPr>
                <w:rFonts w:ascii="Times New Roman" w:hAnsi="Times New Roman" w:cs="Times New Roman" w:eastAsia="Times New Roman" w:hint="default"/>
                <w:sz w:val="21"/>
                <w:szCs w:val="21"/>
              </w:rPr>
            </w:pPr>
            <w:r>
              <w:rPr>
                <w:rFonts w:ascii="Times New Roman"/>
                <w:sz w:val="21"/>
              </w:rPr>
              <w:t>56.69</w:t>
            </w:r>
          </w:p>
        </w:tc>
        <w:tc>
          <w:tcPr>
            <w:tcW w:w="1421"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z w:val="21"/>
              </w:rPr>
              <w:t>19,109,163.62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pStyle w:val="Heading6"/>
        <w:spacing w:line="240" w:lineRule="auto" w:before="35"/>
        <w:ind w:right="998"/>
        <w:jc w:val="left"/>
        <w:rPr>
          <w:b w:val="0"/>
          <w:bCs w:val="0"/>
        </w:rPr>
      </w:pPr>
      <w:bookmarkStart w:name="（5）因金融资产转移而终止确认的应收账款" w:id="253"/>
      <w:bookmarkEnd w:id="253"/>
      <w:r>
        <w:rPr>
          <w:b w:val="0"/>
          <w:bCs w:val="0"/>
        </w:rPr>
      </w: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6）转移应收账款且继续涉入形成的资产、负债金额" w:id="254"/>
      <w:bookmarkEnd w:id="254"/>
      <w:r>
        <w:rPr>
          <w:b w:val="0"/>
          <w:bCs w:val="0"/>
        </w:rPr>
      </w: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7"/>
        <w:rPr>
          <w:rFonts w:ascii="宋体" w:hAnsi="宋体" w:cs="宋体" w:eastAsia="宋体" w:hint="default"/>
          <w:b/>
          <w:bCs/>
          <w:sz w:val="26"/>
          <w:szCs w:val="26"/>
        </w:rPr>
      </w:pPr>
    </w:p>
    <w:p>
      <w:pPr>
        <w:spacing w:line="357" w:lineRule="auto" w:before="0"/>
        <w:ind w:left="1133" w:right="9853" w:firstLine="0"/>
        <w:jc w:val="left"/>
        <w:rPr>
          <w:rFonts w:ascii="宋体" w:hAnsi="宋体" w:cs="宋体" w:eastAsia="宋体" w:hint="default"/>
          <w:sz w:val="18"/>
          <w:szCs w:val="18"/>
        </w:rPr>
      </w:pPr>
      <w:r>
        <w:rPr>
          <w:rFonts w:ascii="宋体" w:hAnsi="宋体" w:cs="宋体" w:eastAsia="宋体" w:hint="default"/>
          <w:sz w:val="18"/>
          <w:szCs w:val="18"/>
        </w:rPr>
        <w:t>无 其他说明： 无</w:t>
      </w:r>
    </w:p>
    <w:p>
      <w:pPr>
        <w:spacing w:line="240" w:lineRule="auto" w:before="2"/>
        <w:rPr>
          <w:rFonts w:ascii="宋体" w:hAnsi="宋体" w:cs="宋体" w:eastAsia="宋体" w:hint="default"/>
          <w:sz w:val="20"/>
          <w:szCs w:val="20"/>
        </w:rPr>
      </w:pPr>
    </w:p>
    <w:p>
      <w:pPr>
        <w:pStyle w:val="Heading6"/>
        <w:spacing w:line="240" w:lineRule="auto"/>
        <w:ind w:right="998"/>
        <w:jc w:val="left"/>
        <w:rPr>
          <w:b w:val="0"/>
          <w:bCs w:val="0"/>
        </w:rPr>
      </w:pPr>
      <w:bookmarkStart w:name="6、预付款项" w:id="255"/>
      <w:bookmarkEnd w:id="255"/>
      <w:r>
        <w:rPr>
          <w:b w:val="0"/>
          <w:bCs w:val="0"/>
        </w:rPr>
      </w:r>
      <w:r>
        <w:rPr>
          <w:rFonts w:ascii="Times New Roman" w:hAnsi="Times New Roman" w:cs="Times New Roman" w:eastAsia="Times New Roman" w:hint="default"/>
        </w:rPr>
        <w:t>6</w:t>
      </w:r>
      <w:r>
        <w:rPr/>
        <w:t>、预付款项</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预付款项按账龄列示" w:id="256"/>
      <w:bookmarkEnd w:id="256"/>
      <w:r>
        <w:rPr>
          <w:b w:val="0"/>
          <w:bCs w:val="0"/>
        </w:rPr>
      </w:r>
      <w:r>
        <w:rPr/>
        <w:t>（</w:t>
      </w:r>
      <w:r>
        <w:rPr>
          <w:rFonts w:ascii="Times New Roman" w:hAnsi="Times New Roman" w:cs="Times New Roman" w:eastAsia="Times New Roman" w:hint="default"/>
        </w:rPr>
        <w:t>1</w:t>
      </w:r>
      <w:r>
        <w:rPr/>
        <w:t>）预付款项按账龄列示</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889"/>
        <w:gridCol w:w="1927"/>
        <w:gridCol w:w="1914"/>
        <w:gridCol w:w="1914"/>
        <w:gridCol w:w="1915"/>
      </w:tblGrid>
      <w:tr>
        <w:trPr>
          <w:trHeight w:val="206" w:hRule="exact"/>
        </w:trPr>
        <w:tc>
          <w:tcPr>
            <w:tcW w:w="18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8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41" w:type="dxa"/>
            <w:gridSpan w:val="2"/>
            <w:vMerge/>
            <w:tcBorders>
              <w:left w:val="single" w:sz="4" w:space="0" w:color="000000"/>
              <w:bottom w:val="single" w:sz="4" w:space="0" w:color="000000"/>
              <w:right w:val="single" w:sz="4" w:space="0" w:color="000000"/>
            </w:tcBorders>
            <w:shd w:val="clear" w:color="auto" w:fill="D2D2D2"/>
          </w:tcPr>
          <w:p>
            <w:pPr/>
          </w:p>
        </w:tc>
        <w:tc>
          <w:tcPr>
            <w:tcW w:w="3830"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889" w:type="dxa"/>
            <w:vMerge/>
            <w:tcBorders>
              <w:left w:val="single" w:sz="4" w:space="0" w:color="000000"/>
              <w:bottom w:val="nil" w:sz="6" w:space="0" w:color="auto"/>
              <w:right w:val="single" w:sz="4" w:space="0" w:color="000000"/>
            </w:tcBorders>
            <w:shd w:val="clear" w:color="auto" w:fill="D2D2D2"/>
          </w:tcPr>
          <w:p>
            <w:pPr/>
          </w:p>
        </w:tc>
        <w:tc>
          <w:tcPr>
            <w:tcW w:w="19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18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51,799,804.79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44.08%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101,473,639.76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49.09%</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40,562,269.19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34.51%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95,824,673.38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46.36%</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23,437,354.52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7,974,069.48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3.86%</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1,732,000.76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1,424,949.67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0.69%</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7"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pacing w:val="-1"/>
                <w:sz w:val="18"/>
              </w:rPr>
              <w:t>117,531,429.26</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206,697,332.29</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账龄超过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年且金额重要的预付款项未及时结算原因的说明：</w:t>
      </w:r>
    </w:p>
    <w:p>
      <w:pPr>
        <w:pStyle w:val="BodyText"/>
        <w:spacing w:line="240" w:lineRule="auto" w:before="77"/>
        <w:ind w:left="1134" w:right="998"/>
        <w:jc w:val="left"/>
      </w:pPr>
      <w:r>
        <w:rPr/>
        <w:t>上表所列金额为预付款项计提减值损失后的净额，预付款项主要为预付游戏分成款项，本期计提减值损失</w:t>
      </w:r>
    </w:p>
    <w:p>
      <w:pPr>
        <w:spacing w:after="0" w:line="240" w:lineRule="auto"/>
        <w:jc w:val="left"/>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BodyText"/>
        <w:spacing w:line="240" w:lineRule="auto" w:before="35"/>
        <w:ind w:right="998"/>
        <w:jc w:val="left"/>
      </w:pPr>
      <w:r>
        <w:rPr>
          <w:rFonts w:ascii="Times New Roman" w:hAnsi="Times New Roman" w:cs="Times New Roman" w:eastAsia="Times New Roman" w:hint="default"/>
        </w:rPr>
        <w:t>5,548,880.16</w:t>
      </w:r>
      <w:r>
        <w:rPr/>
        <w:t>元。</w:t>
      </w:r>
    </w:p>
    <w:p>
      <w:pPr>
        <w:spacing w:line="240" w:lineRule="auto" w:before="8"/>
        <w:rPr>
          <w:rFonts w:ascii="宋体" w:hAnsi="宋体" w:cs="宋体" w:eastAsia="宋体" w:hint="default"/>
          <w:sz w:val="24"/>
          <w:szCs w:val="24"/>
        </w:rPr>
      </w:pPr>
    </w:p>
    <w:p>
      <w:pPr>
        <w:pStyle w:val="Heading6"/>
        <w:spacing w:line="240" w:lineRule="auto"/>
        <w:ind w:right="998"/>
        <w:jc w:val="left"/>
        <w:rPr>
          <w:b w:val="0"/>
          <w:bCs w:val="0"/>
        </w:rPr>
      </w:pPr>
      <w:bookmarkStart w:name="（2）按预付对象归集的期末余额前五名的预付款情况" w:id="257"/>
      <w:bookmarkEnd w:id="257"/>
      <w:r>
        <w:rPr>
          <w:b w:val="0"/>
          <w:bCs w:val="0"/>
        </w:rPr>
      </w: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9"/>
        <w:rPr>
          <w:rFonts w:ascii="宋体" w:hAnsi="宋体" w:cs="宋体" w:eastAsia="宋体" w:hint="default"/>
          <w:b/>
          <w:bCs/>
          <w:sz w:val="25"/>
          <w:szCs w:val="25"/>
        </w:rPr>
      </w:pPr>
    </w:p>
    <w:tbl>
      <w:tblPr>
        <w:tblW w:w="0" w:type="auto"/>
        <w:jc w:val="left"/>
        <w:tblInd w:w="1733" w:type="dxa"/>
        <w:tblLayout w:type="fixed"/>
        <w:tblCellMar>
          <w:top w:w="0" w:type="dxa"/>
          <w:left w:w="0" w:type="dxa"/>
          <w:bottom w:w="0" w:type="dxa"/>
          <w:right w:w="0" w:type="dxa"/>
        </w:tblCellMar>
        <w:tblLook w:val="01E0"/>
      </w:tblPr>
      <w:tblGrid>
        <w:gridCol w:w="3502"/>
        <w:gridCol w:w="2128"/>
        <w:gridCol w:w="2129"/>
      </w:tblGrid>
      <w:tr>
        <w:trPr>
          <w:trHeight w:val="667" w:hRule="exact"/>
        </w:trPr>
        <w:tc>
          <w:tcPr>
            <w:tcW w:w="3502"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预付对象</w:t>
            </w:r>
          </w:p>
        </w:tc>
        <w:tc>
          <w:tcPr>
            <w:tcW w:w="2128"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left="635"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129" w:type="dxa"/>
            <w:tcBorders>
              <w:top w:val="single" w:sz="6" w:space="0" w:color="000000"/>
              <w:left w:val="single" w:sz="6" w:space="0" w:color="000000"/>
              <w:bottom w:val="single" w:sz="12" w:space="0" w:color="000000"/>
              <w:right w:val="nil" w:sz="6" w:space="0" w:color="auto"/>
            </w:tcBorders>
          </w:tcPr>
          <w:p>
            <w:pPr>
              <w:pStyle w:val="TableParagraph"/>
              <w:spacing w:line="273" w:lineRule="auto"/>
              <w:ind w:left="233" w:right="15" w:hanging="228"/>
              <w:jc w:val="left"/>
              <w:rPr>
                <w:rFonts w:ascii="宋体" w:hAnsi="宋体" w:cs="宋体" w:eastAsia="宋体" w:hint="default"/>
                <w:sz w:val="21"/>
                <w:szCs w:val="21"/>
              </w:rPr>
            </w:pPr>
            <w:r>
              <w:rPr>
                <w:rFonts w:ascii="宋体" w:hAnsi="宋体" w:cs="宋体" w:eastAsia="宋体" w:hint="default"/>
                <w:sz w:val="21"/>
                <w:szCs w:val="21"/>
              </w:rPr>
              <w:t>占预付款项期末余额合 计数的比例（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53" w:hRule="exact"/>
        </w:trPr>
        <w:tc>
          <w:tcPr>
            <w:tcW w:w="3502"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86" w:right="0"/>
              <w:jc w:val="left"/>
              <w:rPr>
                <w:rFonts w:ascii="宋体" w:hAnsi="宋体" w:cs="宋体" w:eastAsia="宋体" w:hint="default"/>
                <w:sz w:val="21"/>
                <w:szCs w:val="21"/>
              </w:rPr>
            </w:pPr>
            <w:r>
              <w:rPr>
                <w:rFonts w:ascii="宋体" w:hAnsi="宋体" w:cs="宋体" w:eastAsia="宋体" w:hint="default"/>
                <w:sz w:val="21"/>
                <w:szCs w:val="21"/>
              </w:rPr>
              <w:t>苏州蜗牛数字科技股份有限公司</w:t>
            </w:r>
          </w:p>
        </w:tc>
        <w:tc>
          <w:tcPr>
            <w:tcW w:w="212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43"/>
              <w:jc w:val="right"/>
              <w:rPr>
                <w:rFonts w:ascii="Times New Roman" w:hAnsi="Times New Roman" w:cs="Times New Roman" w:eastAsia="Times New Roman" w:hint="default"/>
                <w:sz w:val="21"/>
                <w:szCs w:val="21"/>
              </w:rPr>
            </w:pPr>
            <w:r>
              <w:rPr>
                <w:rFonts w:ascii="Times New Roman"/>
                <w:sz w:val="21"/>
              </w:rPr>
              <w:t>18,971,523.27</w:t>
            </w:r>
          </w:p>
        </w:tc>
        <w:tc>
          <w:tcPr>
            <w:tcW w:w="2129"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8"/>
              <w:jc w:val="right"/>
              <w:rPr>
                <w:rFonts w:ascii="Times New Roman" w:hAnsi="Times New Roman" w:cs="Times New Roman" w:eastAsia="Times New Roman" w:hint="default"/>
                <w:sz w:val="21"/>
                <w:szCs w:val="21"/>
              </w:rPr>
            </w:pPr>
            <w:r>
              <w:rPr>
                <w:rFonts w:ascii="Times New Roman"/>
                <w:sz w:val="21"/>
              </w:rPr>
              <w:t>16.14</w:t>
            </w:r>
          </w:p>
        </w:tc>
      </w:tr>
      <w:tr>
        <w:trPr>
          <w:trHeight w:val="352" w:hRule="exact"/>
        </w:trPr>
        <w:tc>
          <w:tcPr>
            <w:tcW w:w="350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left="86" w:right="0"/>
              <w:jc w:val="left"/>
              <w:rPr>
                <w:rFonts w:ascii="Times New Roman" w:hAnsi="Times New Roman" w:cs="Times New Roman" w:eastAsia="Times New Roman" w:hint="default"/>
                <w:sz w:val="21"/>
                <w:szCs w:val="21"/>
              </w:rPr>
            </w:pPr>
            <w:r>
              <w:rPr>
                <w:rFonts w:ascii="Times New Roman"/>
                <w:sz w:val="21"/>
              </w:rPr>
              <w:t>klab</w:t>
            </w:r>
            <w:r>
              <w:rPr>
                <w:rFonts w:ascii="Times New Roman"/>
                <w:spacing w:val="-2"/>
                <w:sz w:val="21"/>
              </w:rPr>
              <w:t> </w:t>
            </w:r>
            <w:r>
              <w:rPr>
                <w:rFonts w:ascii="Times New Roman"/>
                <w:sz w:val="21"/>
              </w:rPr>
              <w:t>inc.</w:t>
            </w:r>
          </w:p>
        </w:tc>
        <w:tc>
          <w:tcPr>
            <w:tcW w:w="212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43"/>
              <w:jc w:val="right"/>
              <w:rPr>
                <w:rFonts w:ascii="Times New Roman" w:hAnsi="Times New Roman" w:cs="Times New Roman" w:eastAsia="Times New Roman" w:hint="default"/>
                <w:sz w:val="21"/>
                <w:szCs w:val="21"/>
              </w:rPr>
            </w:pPr>
            <w:r>
              <w:rPr>
                <w:rFonts w:ascii="Times New Roman"/>
                <w:sz w:val="21"/>
              </w:rPr>
              <w:t>18,547,258.01</w:t>
            </w:r>
          </w:p>
        </w:tc>
        <w:tc>
          <w:tcPr>
            <w:tcW w:w="2129"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8"/>
              <w:jc w:val="right"/>
              <w:rPr>
                <w:rFonts w:ascii="Times New Roman" w:hAnsi="Times New Roman" w:cs="Times New Roman" w:eastAsia="Times New Roman" w:hint="default"/>
                <w:sz w:val="21"/>
                <w:szCs w:val="21"/>
              </w:rPr>
            </w:pPr>
            <w:r>
              <w:rPr>
                <w:rFonts w:ascii="Times New Roman"/>
                <w:sz w:val="21"/>
              </w:rPr>
              <w:t>15.78</w:t>
            </w:r>
          </w:p>
        </w:tc>
      </w:tr>
      <w:tr>
        <w:trPr>
          <w:trHeight w:val="352" w:hRule="exact"/>
        </w:trPr>
        <w:tc>
          <w:tcPr>
            <w:tcW w:w="3502"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86" w:right="0"/>
              <w:jc w:val="left"/>
              <w:rPr>
                <w:rFonts w:ascii="宋体" w:hAnsi="宋体" w:cs="宋体" w:eastAsia="宋体" w:hint="default"/>
                <w:sz w:val="21"/>
                <w:szCs w:val="21"/>
              </w:rPr>
            </w:pPr>
            <w:r>
              <w:rPr>
                <w:rFonts w:ascii="宋体" w:hAnsi="宋体" w:cs="宋体" w:eastAsia="宋体" w:hint="default"/>
                <w:sz w:val="21"/>
                <w:szCs w:val="21"/>
              </w:rPr>
              <w:t>上海心引网络科技有限公司</w:t>
            </w:r>
          </w:p>
        </w:tc>
        <w:tc>
          <w:tcPr>
            <w:tcW w:w="212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64"/>
              <w:jc w:val="right"/>
              <w:rPr>
                <w:rFonts w:ascii="Times New Roman" w:hAnsi="Times New Roman" w:cs="Times New Roman" w:eastAsia="Times New Roman" w:hint="default"/>
                <w:sz w:val="21"/>
                <w:szCs w:val="21"/>
              </w:rPr>
            </w:pPr>
            <w:r>
              <w:rPr>
                <w:rFonts w:ascii="Times New Roman"/>
                <w:spacing w:val="-1"/>
                <w:sz w:val="21"/>
              </w:rPr>
              <w:t>9,638,297.00</w:t>
            </w:r>
          </w:p>
        </w:tc>
        <w:tc>
          <w:tcPr>
            <w:tcW w:w="2129"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z w:val="21"/>
              </w:rPr>
              <w:t>8.20</w:t>
            </w:r>
          </w:p>
        </w:tc>
      </w:tr>
      <w:tr>
        <w:trPr>
          <w:trHeight w:val="353" w:hRule="exact"/>
        </w:trPr>
        <w:tc>
          <w:tcPr>
            <w:tcW w:w="3502"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86" w:right="0"/>
              <w:jc w:val="left"/>
              <w:rPr>
                <w:rFonts w:ascii="宋体" w:hAnsi="宋体" w:cs="宋体" w:eastAsia="宋体" w:hint="default"/>
                <w:sz w:val="21"/>
                <w:szCs w:val="21"/>
              </w:rPr>
            </w:pPr>
            <w:r>
              <w:rPr>
                <w:rFonts w:ascii="宋体" w:hAnsi="宋体" w:cs="宋体" w:eastAsia="宋体" w:hint="default"/>
                <w:sz w:val="21"/>
                <w:szCs w:val="21"/>
              </w:rPr>
              <w:t>霍尔果斯游范儿网络科技有限公司</w:t>
            </w:r>
          </w:p>
        </w:tc>
        <w:tc>
          <w:tcPr>
            <w:tcW w:w="212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64"/>
              <w:jc w:val="right"/>
              <w:rPr>
                <w:rFonts w:ascii="Times New Roman" w:hAnsi="Times New Roman" w:cs="Times New Roman" w:eastAsia="Times New Roman" w:hint="default"/>
                <w:sz w:val="21"/>
                <w:szCs w:val="21"/>
              </w:rPr>
            </w:pPr>
            <w:r>
              <w:rPr>
                <w:rFonts w:ascii="Times New Roman"/>
                <w:spacing w:val="-1"/>
                <w:sz w:val="21"/>
              </w:rPr>
              <w:t>7,783,018.65</w:t>
            </w:r>
          </w:p>
        </w:tc>
        <w:tc>
          <w:tcPr>
            <w:tcW w:w="2129"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z w:val="21"/>
              </w:rPr>
              <w:t>6.62</w:t>
            </w:r>
          </w:p>
        </w:tc>
      </w:tr>
      <w:tr>
        <w:trPr>
          <w:trHeight w:val="352" w:hRule="exact"/>
        </w:trPr>
        <w:tc>
          <w:tcPr>
            <w:tcW w:w="3502"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86" w:right="0"/>
              <w:jc w:val="left"/>
              <w:rPr>
                <w:rFonts w:ascii="宋体" w:hAnsi="宋体" w:cs="宋体" w:eastAsia="宋体" w:hint="default"/>
                <w:sz w:val="21"/>
                <w:szCs w:val="21"/>
              </w:rPr>
            </w:pPr>
            <w:r>
              <w:rPr>
                <w:rFonts w:ascii="宋体" w:hAnsi="宋体" w:cs="宋体" w:eastAsia="宋体" w:hint="default"/>
                <w:sz w:val="21"/>
                <w:szCs w:val="21"/>
              </w:rPr>
              <w:t>印纪影视娱乐传媒有限公司</w:t>
            </w:r>
          </w:p>
        </w:tc>
        <w:tc>
          <w:tcPr>
            <w:tcW w:w="212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64"/>
              <w:jc w:val="right"/>
              <w:rPr>
                <w:rFonts w:ascii="Times New Roman" w:hAnsi="Times New Roman" w:cs="Times New Roman" w:eastAsia="Times New Roman" w:hint="default"/>
                <w:sz w:val="21"/>
                <w:szCs w:val="21"/>
              </w:rPr>
            </w:pPr>
            <w:r>
              <w:rPr>
                <w:rFonts w:ascii="Times New Roman"/>
                <w:spacing w:val="-1"/>
                <w:sz w:val="21"/>
              </w:rPr>
              <w:t>7,563,679.25</w:t>
            </w:r>
          </w:p>
        </w:tc>
        <w:tc>
          <w:tcPr>
            <w:tcW w:w="2129"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z w:val="21"/>
              </w:rPr>
              <w:t>6.44</w:t>
            </w:r>
          </w:p>
        </w:tc>
      </w:tr>
      <w:tr>
        <w:trPr>
          <w:trHeight w:val="352" w:hRule="exact"/>
        </w:trPr>
        <w:tc>
          <w:tcPr>
            <w:tcW w:w="3502"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63"/>
                <w:sz w:val="21"/>
                <w:szCs w:val="21"/>
              </w:rPr>
              <w:t> </w:t>
            </w:r>
            <w:r>
              <w:rPr>
                <w:rFonts w:ascii="宋体" w:hAnsi="宋体" w:cs="宋体" w:eastAsia="宋体" w:hint="default"/>
                <w:sz w:val="21"/>
                <w:szCs w:val="21"/>
              </w:rPr>
              <w:t>计</w:t>
            </w:r>
          </w:p>
        </w:tc>
        <w:tc>
          <w:tcPr>
            <w:tcW w:w="212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72"/>
              <w:jc w:val="right"/>
              <w:rPr>
                <w:rFonts w:ascii="Times New Roman" w:hAnsi="Times New Roman" w:cs="Times New Roman" w:eastAsia="Times New Roman" w:hint="default"/>
                <w:sz w:val="21"/>
                <w:szCs w:val="21"/>
              </w:rPr>
            </w:pPr>
            <w:r>
              <w:rPr>
                <w:rFonts w:ascii="Times New Roman"/>
                <w:sz w:val="21"/>
              </w:rPr>
              <w:t>62,503,776.18</w:t>
            </w:r>
          </w:p>
        </w:tc>
        <w:tc>
          <w:tcPr>
            <w:tcW w:w="2129"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8"/>
              <w:jc w:val="right"/>
              <w:rPr>
                <w:rFonts w:ascii="Times New Roman" w:hAnsi="Times New Roman" w:cs="Times New Roman" w:eastAsia="Times New Roman" w:hint="default"/>
                <w:sz w:val="21"/>
                <w:szCs w:val="21"/>
              </w:rPr>
            </w:pPr>
            <w:r>
              <w:rPr>
                <w:rFonts w:ascii="Times New Roman"/>
                <w:sz w:val="21"/>
              </w:rPr>
              <w:t>53.18</w:t>
            </w:r>
          </w:p>
        </w:tc>
      </w:tr>
    </w:tbl>
    <w:p>
      <w:pPr>
        <w:spacing w:line="240" w:lineRule="auto" w:before="5"/>
        <w:rPr>
          <w:rFonts w:ascii="宋体" w:hAnsi="宋体" w:cs="宋体" w:eastAsia="宋体" w:hint="default"/>
          <w:b/>
          <w:bCs/>
          <w:sz w:val="24"/>
          <w:szCs w:val="24"/>
        </w:rPr>
      </w:pPr>
    </w:p>
    <w:p>
      <w:pPr>
        <w:spacing w:line="357" w:lineRule="auto" w:before="44"/>
        <w:ind w:left="1133" w:right="9853"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2"/>
        <w:rPr>
          <w:rFonts w:ascii="宋体" w:hAnsi="宋体" w:cs="宋体" w:eastAsia="宋体" w:hint="default"/>
          <w:sz w:val="20"/>
          <w:szCs w:val="20"/>
        </w:rPr>
      </w:pPr>
    </w:p>
    <w:p>
      <w:pPr>
        <w:pStyle w:val="Heading6"/>
        <w:spacing w:line="240" w:lineRule="auto"/>
        <w:ind w:right="998"/>
        <w:jc w:val="left"/>
        <w:rPr>
          <w:b w:val="0"/>
          <w:bCs w:val="0"/>
        </w:rPr>
      </w:pPr>
      <w:bookmarkStart w:name="7、应收利息" w:id="258"/>
      <w:bookmarkEnd w:id="258"/>
      <w:r>
        <w:rPr>
          <w:b w:val="0"/>
          <w:bCs w:val="0"/>
        </w:rPr>
      </w:r>
      <w:r>
        <w:rPr>
          <w:rFonts w:ascii="Times New Roman" w:hAnsi="Times New Roman" w:cs="Times New Roman" w:eastAsia="Times New Roman" w:hint="default"/>
        </w:rPr>
        <w:t>7</w:t>
      </w:r>
      <w:r>
        <w:rPr/>
        <w:t>、应收利息</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应收利息分类" w:id="259"/>
      <w:bookmarkEnd w:id="259"/>
      <w:r>
        <w:rPr>
          <w:b w:val="0"/>
          <w:bCs w:val="0"/>
        </w:rPr>
      </w:r>
      <w:r>
        <w:rPr/>
        <w:t>（</w:t>
      </w:r>
      <w:r>
        <w:rPr>
          <w:rFonts w:ascii="Times New Roman" w:hAnsi="Times New Roman" w:cs="Times New Roman" w:eastAsia="Times New Roman" w:hint="default"/>
        </w:rPr>
        <w:t>1</w:t>
      </w:r>
      <w:r>
        <w:rPr/>
        <w:t>）应收利息分类</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90"/>
        <w:gridCol w:w="3191"/>
        <w:gridCol w:w="3177"/>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2）重要逾期利息" w:id="260"/>
      <w:bookmarkEnd w:id="260"/>
      <w:r>
        <w:rPr>
          <w:b w:val="0"/>
          <w:bCs w:val="0"/>
        </w:rPr>
      </w:r>
      <w:r>
        <w:rPr/>
        <w:t>（</w:t>
      </w:r>
      <w:r>
        <w:rPr>
          <w:rFonts w:ascii="Times New Roman" w:hAnsi="Times New Roman" w:cs="Times New Roman" w:eastAsia="Times New Roman" w:hint="default"/>
        </w:rPr>
        <w:t>2</w:t>
      </w:r>
      <w:r>
        <w:rPr/>
        <w:t>）重要逾期利息</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1914"/>
        <w:gridCol w:w="1914"/>
        <w:gridCol w:w="1914"/>
        <w:gridCol w:w="1914"/>
        <w:gridCol w:w="1903"/>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71" w:right="39" w:hanging="720"/>
              <w:jc w:val="left"/>
              <w:rPr>
                <w:rFonts w:ascii="宋体" w:hAnsi="宋体" w:cs="宋体" w:eastAsia="宋体" w:hint="default"/>
                <w:sz w:val="18"/>
                <w:szCs w:val="18"/>
              </w:rPr>
            </w:pPr>
            <w:r>
              <w:rPr>
                <w:rFonts w:ascii="宋体" w:hAnsi="宋体" w:cs="宋体" w:eastAsia="宋体" w:hint="default"/>
                <w:sz w:val="18"/>
                <w:szCs w:val="18"/>
              </w:rPr>
              <w:t>是否发生减值及其判断 依据</w:t>
            </w:r>
          </w:p>
        </w:tc>
      </w:tr>
    </w:tbl>
    <w:p>
      <w:pPr>
        <w:spacing w:line="357" w:lineRule="auto" w:before="51"/>
        <w:ind w:left="1133" w:right="9853"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2"/>
        <w:rPr>
          <w:rFonts w:ascii="宋体" w:hAnsi="宋体" w:cs="宋体" w:eastAsia="宋体" w:hint="default"/>
          <w:sz w:val="20"/>
          <w:szCs w:val="20"/>
        </w:rPr>
      </w:pPr>
    </w:p>
    <w:p>
      <w:pPr>
        <w:pStyle w:val="Heading6"/>
        <w:spacing w:line="240" w:lineRule="auto"/>
        <w:ind w:right="998"/>
        <w:jc w:val="left"/>
        <w:rPr>
          <w:b w:val="0"/>
          <w:bCs w:val="0"/>
        </w:rPr>
      </w:pPr>
      <w:bookmarkStart w:name="8、应收股利" w:id="261"/>
      <w:bookmarkEnd w:id="261"/>
      <w:r>
        <w:rPr>
          <w:b w:val="0"/>
          <w:bCs w:val="0"/>
        </w:rPr>
      </w:r>
      <w:r>
        <w:rPr>
          <w:rFonts w:ascii="Times New Roman" w:hAnsi="Times New Roman" w:cs="Times New Roman" w:eastAsia="Times New Roman" w:hint="default"/>
        </w:rPr>
        <w:t>8</w:t>
      </w:r>
      <w:r>
        <w:rPr/>
        <w:t>、应收股利</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应收股利" w:id="262"/>
      <w:bookmarkEnd w:id="262"/>
      <w:r>
        <w:rPr>
          <w:b w:val="0"/>
          <w:bCs w:val="0"/>
        </w:rPr>
      </w:r>
      <w:r>
        <w:rPr/>
        <w:t>（</w:t>
      </w:r>
      <w:r>
        <w:rPr>
          <w:rFonts w:ascii="Times New Roman" w:hAnsi="Times New Roman" w:cs="Times New Roman" w:eastAsia="Times New Roman" w:hint="default"/>
        </w:rPr>
        <w:t>1</w:t>
      </w:r>
      <w:r>
        <w:rPr/>
        <w:t>）应收股利</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90"/>
        <w:gridCol w:w="3191"/>
        <w:gridCol w:w="3177"/>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1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2）重要的账龄超过1年的应收股利" w:id="263"/>
      <w:bookmarkEnd w:id="263"/>
      <w:r>
        <w:rPr>
          <w:b w:val="0"/>
          <w:bCs w:val="0"/>
        </w:rPr>
      </w:r>
      <w:r>
        <w:rPr/>
        <w:t>（</w:t>
      </w:r>
      <w:r>
        <w:rPr>
          <w:rFonts w:ascii="Times New Roman" w:hAnsi="Times New Roman" w:cs="Times New Roman" w:eastAsia="Times New Roman" w:hint="default"/>
        </w:rPr>
        <w:t>2</w:t>
      </w:r>
      <w:r>
        <w:rPr/>
        <w:t>）重要的账龄超过</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年的应收股利</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914"/>
        <w:gridCol w:w="1914"/>
        <w:gridCol w:w="1914"/>
        <w:gridCol w:w="1914"/>
        <w:gridCol w:w="1903"/>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1"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71" w:right="39" w:hanging="720"/>
              <w:jc w:val="left"/>
              <w:rPr>
                <w:rFonts w:ascii="宋体" w:hAnsi="宋体" w:cs="宋体" w:eastAsia="宋体" w:hint="default"/>
                <w:sz w:val="18"/>
                <w:szCs w:val="18"/>
              </w:rPr>
            </w:pPr>
            <w:r>
              <w:rPr>
                <w:rFonts w:ascii="宋体" w:hAnsi="宋体" w:cs="宋体" w:eastAsia="宋体" w:hint="default"/>
                <w:sz w:val="18"/>
                <w:szCs w:val="18"/>
              </w:rPr>
              <w:t>是否发生减值及其判断 依据</w:t>
            </w:r>
          </w:p>
        </w:tc>
      </w:tr>
    </w:tbl>
    <w:p>
      <w:pPr>
        <w:spacing w:after="0" w:line="319"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13"/>
        <w:rPr>
          <w:rFonts w:ascii="宋体" w:hAnsi="宋体" w:cs="宋体" w:eastAsia="宋体" w:hint="default"/>
          <w:sz w:val="25"/>
          <w:szCs w:val="25"/>
        </w:rPr>
      </w:pPr>
    </w:p>
    <w:p>
      <w:pPr>
        <w:spacing w:line="357" w:lineRule="auto" w:before="44"/>
        <w:ind w:left="1133" w:right="9853"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2"/>
        <w:rPr>
          <w:rFonts w:ascii="宋体" w:hAnsi="宋体" w:cs="宋体" w:eastAsia="宋体" w:hint="default"/>
          <w:sz w:val="20"/>
          <w:szCs w:val="20"/>
        </w:rPr>
      </w:pPr>
    </w:p>
    <w:p>
      <w:pPr>
        <w:pStyle w:val="Heading6"/>
        <w:spacing w:line="240" w:lineRule="auto"/>
        <w:ind w:right="998"/>
        <w:jc w:val="left"/>
        <w:rPr>
          <w:b w:val="0"/>
          <w:bCs w:val="0"/>
        </w:rPr>
      </w:pPr>
      <w:bookmarkStart w:name="9、其他应收款" w:id="264"/>
      <w:bookmarkEnd w:id="264"/>
      <w:r>
        <w:rPr>
          <w:b w:val="0"/>
          <w:bCs w:val="0"/>
        </w:rPr>
      </w:r>
      <w:r>
        <w:rPr>
          <w:rFonts w:ascii="Times New Roman" w:hAnsi="Times New Roman" w:cs="Times New Roman" w:eastAsia="Times New Roman" w:hint="default"/>
        </w:rPr>
        <w:t>9</w:t>
      </w:r>
      <w:r>
        <w:rPr/>
        <w:t>、其他应收款</w:t>
      </w:r>
      <w:r>
        <w:rPr>
          <w:b w:val="0"/>
          <w:bCs w:val="0"/>
        </w:rPr>
      </w:r>
    </w:p>
    <w:p>
      <w:pPr>
        <w:spacing w:line="240" w:lineRule="auto" w:before="9"/>
        <w:rPr>
          <w:rFonts w:ascii="宋体" w:hAnsi="宋体" w:cs="宋体" w:eastAsia="宋体" w:hint="default"/>
          <w:b/>
          <w:bCs/>
          <w:sz w:val="24"/>
          <w:szCs w:val="24"/>
        </w:rPr>
      </w:pPr>
    </w:p>
    <w:p>
      <w:pPr>
        <w:pStyle w:val="Heading6"/>
        <w:spacing w:line="240" w:lineRule="auto"/>
        <w:ind w:right="998"/>
        <w:jc w:val="left"/>
        <w:rPr>
          <w:b w:val="0"/>
          <w:bCs w:val="0"/>
        </w:rPr>
      </w:pPr>
      <w:bookmarkStart w:name="（1）其他应收款分类披露" w:id="265"/>
      <w:bookmarkEnd w:id="265"/>
      <w:r>
        <w:rPr>
          <w:b w:val="0"/>
          <w:bCs w:val="0"/>
        </w:rPr>
      </w:r>
      <w:r>
        <w:rPr/>
        <w:t>（</w:t>
      </w:r>
      <w:r>
        <w:rPr>
          <w:rFonts w:ascii="Times New Roman" w:hAnsi="Times New Roman" w:cs="Times New Roman" w:eastAsia="Times New Roman" w:hint="default"/>
        </w:rPr>
        <w:t>1</w:t>
      </w:r>
      <w:r>
        <w:rPr/>
        <w:t>）其他应收款分类披露</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1611"/>
        <w:gridCol w:w="775"/>
        <w:gridCol w:w="762"/>
        <w:gridCol w:w="762"/>
        <w:gridCol w:w="762"/>
        <w:gridCol w:w="790"/>
        <w:gridCol w:w="654"/>
        <w:gridCol w:w="762"/>
        <w:gridCol w:w="813"/>
        <w:gridCol w:w="932"/>
        <w:gridCol w:w="932"/>
      </w:tblGrid>
      <w:tr>
        <w:trPr>
          <w:trHeight w:val="397" w:hRule="exact"/>
        </w:trPr>
        <w:tc>
          <w:tcPr>
            <w:tcW w:w="1611" w:type="dxa"/>
            <w:vMerge w:val="restart"/>
            <w:tcBorders>
              <w:top w:val="single" w:sz="4" w:space="0" w:color="000000"/>
              <w:left w:val="single" w:sz="4" w:space="0" w:color="000000"/>
              <w:right w:val="single" w:sz="4" w:space="0" w:color="000000"/>
            </w:tcBorders>
            <w:shd w:val="clear" w:color="auto" w:fill="D2D2D2"/>
          </w:tcPr>
          <w:p>
            <w:pPr/>
          </w:p>
        </w:tc>
        <w:tc>
          <w:tcPr>
            <w:tcW w:w="385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11" w:type="dxa"/>
            <w:vMerge/>
            <w:tcBorders>
              <w:left w:val="single" w:sz="4" w:space="0" w:color="000000"/>
              <w:bottom w:val="nil" w:sz="6" w:space="0" w:color="auto"/>
              <w:right w:val="single" w:sz="4" w:space="0" w:color="000000"/>
            </w:tcBorders>
            <w:shd w:val="clear" w:color="auto" w:fill="D2D2D2"/>
          </w:tcPr>
          <w:p>
            <w:pPr/>
          </w:p>
        </w:tc>
        <w:tc>
          <w:tcPr>
            <w:tcW w:w="153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1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37"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11" w:type="dxa"/>
            <w:vMerge/>
            <w:tcBorders>
              <w:left w:val="single" w:sz="4" w:space="0" w:color="000000"/>
              <w:bottom w:val="single" w:sz="4" w:space="0" w:color="FFFFFF"/>
              <w:right w:val="single" w:sz="4" w:space="0" w:color="000000"/>
            </w:tcBorders>
            <w:shd w:val="clear" w:color="auto" w:fill="D2D2D2"/>
          </w:tcPr>
          <w:p>
            <w:pPr/>
          </w:p>
        </w:tc>
        <w:tc>
          <w:tcPr>
            <w:tcW w:w="775"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3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11" w:type="dxa"/>
            <w:vMerge w:val="restart"/>
            <w:tcBorders>
              <w:top w:val="single" w:sz="4" w:space="0" w:color="FFFFFF"/>
              <w:left w:val="single" w:sz="4" w:space="0" w:color="000000"/>
              <w:right w:val="single" w:sz="4" w:space="0" w:color="000000"/>
            </w:tcBorders>
            <w:shd w:val="clear" w:color="auto" w:fill="D2D2D2"/>
          </w:tcPr>
          <w:p>
            <w:pPr/>
          </w:p>
        </w:tc>
        <w:tc>
          <w:tcPr>
            <w:tcW w:w="775"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11" w:type="dxa"/>
            <w:vMerge/>
            <w:tcBorders>
              <w:left w:val="single" w:sz="4" w:space="0" w:color="000000"/>
              <w:right w:val="single" w:sz="4" w:space="0" w:color="000000"/>
            </w:tcBorders>
            <w:shd w:val="clear" w:color="auto" w:fill="D2D2D2"/>
          </w:tcPr>
          <w:p>
            <w:pPr/>
          </w:p>
        </w:tc>
        <w:tc>
          <w:tcPr>
            <w:tcW w:w="775"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11" w:type="dxa"/>
            <w:vMerge/>
            <w:tcBorders>
              <w:left w:val="single" w:sz="4" w:space="0" w:color="000000"/>
              <w:bottom w:val="single" w:sz="4" w:space="0" w:color="000000"/>
              <w:right w:val="single" w:sz="4" w:space="0" w:color="000000"/>
            </w:tcBorders>
            <w:shd w:val="clear" w:color="auto" w:fill="D2D2D2"/>
          </w:tcPr>
          <w:p>
            <w:pPr/>
          </w:p>
        </w:tc>
        <w:tc>
          <w:tcPr>
            <w:tcW w:w="77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48"/>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其他应收款</w:t>
            </w:r>
          </w:p>
        </w:tc>
        <w:tc>
          <w:tcPr>
            <w:tcW w:w="7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98" w:firstLine="90"/>
              <w:jc w:val="left"/>
              <w:rPr>
                <w:rFonts w:ascii="宋体" w:hAnsi="宋体" w:cs="宋体" w:eastAsia="宋体" w:hint="default"/>
                <w:sz w:val="18"/>
                <w:szCs w:val="18"/>
              </w:rPr>
            </w:pPr>
            <w:r>
              <w:rPr>
                <w:rFonts w:ascii="宋体" w:hAnsi="宋体" w:cs="宋体" w:eastAsia="宋体" w:hint="default"/>
                <w:sz w:val="18"/>
                <w:szCs w:val="18"/>
              </w:rPr>
              <w:t>无法插 入组合</w:t>
            </w: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20,000,</w:t>
            </w:r>
          </w:p>
          <w:p>
            <w:pPr>
              <w:pStyle w:val="TableParagraph"/>
              <w:spacing w:line="240" w:lineRule="auto" w:before="105"/>
              <w:ind w:left="125" w:right="0"/>
              <w:jc w:val="left"/>
              <w:rPr>
                <w:rFonts w:ascii="Times New Roman" w:hAnsi="Times New Roman" w:cs="Times New Roman" w:eastAsia="Times New Roman" w:hint="default"/>
                <w:sz w:val="18"/>
                <w:szCs w:val="18"/>
              </w:rPr>
            </w:pPr>
            <w:r>
              <w:rPr>
                <w:rFonts w:ascii="Times New Roman"/>
                <w:sz w:val="18"/>
              </w:rPr>
              <w:t>000.00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left"/>
              <w:rPr>
                <w:rFonts w:ascii="Times New Roman" w:hAnsi="Times New Roman" w:cs="Times New Roman" w:eastAsia="Times New Roman" w:hint="default"/>
                <w:sz w:val="18"/>
                <w:szCs w:val="18"/>
              </w:rPr>
            </w:pPr>
            <w:r>
              <w:rPr>
                <w:rFonts w:ascii="Times New Roman"/>
                <w:sz w:val="18"/>
              </w:rPr>
              <w:t>20,000,00</w:t>
            </w:r>
          </w:p>
          <w:p>
            <w:pPr>
              <w:pStyle w:val="TableParagraph"/>
              <w:spacing w:line="240" w:lineRule="auto" w:before="105"/>
              <w:ind w:left="466" w:right="0"/>
              <w:jc w:val="left"/>
              <w:rPr>
                <w:rFonts w:ascii="Times New Roman" w:hAnsi="Times New Roman" w:cs="Times New Roman" w:eastAsia="Times New Roman" w:hint="default"/>
                <w:sz w:val="18"/>
                <w:szCs w:val="18"/>
              </w:rPr>
            </w:pPr>
            <w:r>
              <w:rPr>
                <w:rFonts w:ascii="Times New Roman"/>
                <w:sz w:val="18"/>
              </w:rPr>
              <w:t>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197,630,</w:t>
            </w:r>
          </w:p>
          <w:p>
            <w:pPr>
              <w:pStyle w:val="TableParagraph"/>
              <w:spacing w:line="240" w:lineRule="auto" w:before="105"/>
              <w:ind w:left="212" w:right="0"/>
              <w:jc w:val="center"/>
              <w:rPr>
                <w:rFonts w:ascii="Times New Roman" w:hAnsi="Times New Roman" w:cs="Times New Roman" w:eastAsia="Times New Roman" w:hint="default"/>
                <w:sz w:val="18"/>
                <w:szCs w:val="18"/>
              </w:rPr>
            </w:pPr>
            <w:r>
              <w:rPr>
                <w:rFonts w:ascii="Times New Roman"/>
                <w:sz w:val="18"/>
              </w:rPr>
              <w:t>437.02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10,383,7</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40.21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5.25%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187,246,6</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96.81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161,818</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,571.64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89.00%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8,525,316</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5.27%</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153,293,25</w:t>
            </w:r>
          </w:p>
          <w:p>
            <w:pPr>
              <w:pStyle w:val="TableParagraph"/>
              <w:spacing w:line="240" w:lineRule="auto" w:before="105"/>
              <w:ind w:left="584" w:right="0"/>
              <w:jc w:val="left"/>
              <w:rPr>
                <w:rFonts w:ascii="Times New Roman" w:hAnsi="Times New Roman" w:cs="Times New Roman" w:eastAsia="Times New Roman" w:hint="default"/>
                <w:sz w:val="18"/>
                <w:szCs w:val="18"/>
              </w:rPr>
            </w:pPr>
            <w:r>
              <w:rPr>
                <w:rFonts w:ascii="Times New Roman"/>
                <w:sz w:val="18"/>
              </w:rPr>
              <w:t>4.65</w:t>
            </w:r>
          </w:p>
        </w:tc>
      </w:tr>
      <w:tr>
        <w:trPr>
          <w:trHeight w:val="161" w:hRule="exact"/>
        </w:trPr>
        <w:tc>
          <w:tcPr>
            <w:tcW w:w="1611" w:type="dxa"/>
            <w:tcBorders>
              <w:top w:val="single" w:sz="4" w:space="0" w:color="000000"/>
              <w:left w:val="single" w:sz="4" w:space="0" w:color="000000"/>
              <w:bottom w:val="nil" w:sz="6" w:space="0" w:color="auto"/>
              <w:right w:val="single" w:sz="4" w:space="0" w:color="000000"/>
            </w:tcBorders>
            <w:shd w:val="clear" w:color="auto" w:fill="D2D2D2"/>
          </w:tcPr>
          <w:p>
            <w:pPr/>
          </w:p>
        </w:tc>
        <w:tc>
          <w:tcPr>
            <w:tcW w:w="775" w:type="dxa"/>
            <w:vMerge w:val="restart"/>
            <w:tcBorders>
              <w:top w:val="single" w:sz="4" w:space="0" w:color="000000"/>
              <w:left w:val="single" w:sz="9" w:space="0" w:color="D2D2D2"/>
              <w:right w:val="single" w:sz="4" w:space="0" w:color="000000"/>
            </w:tcBorders>
          </w:tcPr>
          <w:p>
            <w:pPr>
              <w:pStyle w:val="TableParagraph"/>
              <w:spacing w:line="240" w:lineRule="auto" w:before="91"/>
              <w:ind w:left="81" w:right="0"/>
              <w:jc w:val="center"/>
              <w:rPr>
                <w:rFonts w:ascii="Times New Roman" w:hAnsi="Times New Roman" w:cs="Times New Roman" w:eastAsia="Times New Roman" w:hint="default"/>
                <w:sz w:val="18"/>
                <w:szCs w:val="18"/>
              </w:rPr>
            </w:pPr>
            <w:r>
              <w:rPr>
                <w:rFonts w:ascii="Times New Roman"/>
                <w:sz w:val="18"/>
              </w:rPr>
              <w:t>197,630,</w:t>
            </w:r>
          </w:p>
          <w:p>
            <w:pPr>
              <w:pStyle w:val="TableParagraph"/>
              <w:spacing w:line="240" w:lineRule="auto" w:before="105"/>
              <w:ind w:left="217" w:right="0"/>
              <w:jc w:val="center"/>
              <w:rPr>
                <w:rFonts w:ascii="Times New Roman" w:hAnsi="Times New Roman" w:cs="Times New Roman" w:eastAsia="Times New Roman" w:hint="default"/>
                <w:sz w:val="18"/>
                <w:szCs w:val="18"/>
              </w:rPr>
            </w:pPr>
            <w:r>
              <w:rPr>
                <w:rFonts w:ascii="Times New Roman"/>
                <w:sz w:val="18"/>
              </w:rPr>
              <w:t>437.02</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10,383,7</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40.21</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5.25%</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187,246,6</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96.81</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181,818</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,571.64</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left="60" w:right="0"/>
              <w:jc w:val="left"/>
              <w:rPr>
                <w:rFonts w:ascii="Times New Roman" w:hAnsi="Times New Roman" w:cs="Times New Roman" w:eastAsia="Times New Roman" w:hint="default"/>
                <w:sz w:val="18"/>
                <w:szCs w:val="18"/>
              </w:rPr>
            </w:pPr>
            <w:r>
              <w:rPr>
                <w:rFonts w:ascii="Times New Roman"/>
                <w:sz w:val="18"/>
              </w:rPr>
              <w:t>28,525,31</w:t>
            </w:r>
          </w:p>
          <w:p>
            <w:pPr>
              <w:pStyle w:val="TableParagraph"/>
              <w:spacing w:line="240" w:lineRule="auto" w:before="105"/>
              <w:ind w:left="466" w:right="0"/>
              <w:jc w:val="left"/>
              <w:rPr>
                <w:rFonts w:ascii="Times New Roman" w:hAnsi="Times New Roman" w:cs="Times New Roman" w:eastAsia="Times New Roman" w:hint="default"/>
                <w:sz w:val="18"/>
                <w:szCs w:val="18"/>
              </w:rPr>
            </w:pPr>
            <w:r>
              <w:rPr>
                <w:rFonts w:ascii="Times New Roman"/>
                <w:sz w:val="18"/>
              </w:rPr>
              <w:t>6.99</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5" w:right="0"/>
              <w:jc w:val="left"/>
              <w:rPr>
                <w:rFonts w:ascii="Times New Roman" w:hAnsi="Times New Roman" w:cs="Times New Roman" w:eastAsia="Times New Roman" w:hint="default"/>
                <w:sz w:val="18"/>
                <w:szCs w:val="18"/>
              </w:rPr>
            </w:pPr>
            <w:r>
              <w:rPr>
                <w:rFonts w:ascii="Times New Roman"/>
                <w:sz w:val="18"/>
              </w:rPr>
              <w:t>15.69%</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153,293,25</w:t>
            </w:r>
          </w:p>
          <w:p>
            <w:pPr>
              <w:pStyle w:val="TableParagraph"/>
              <w:spacing w:line="240" w:lineRule="auto" w:before="105"/>
              <w:ind w:left="584" w:right="0"/>
              <w:jc w:val="left"/>
              <w:rPr>
                <w:rFonts w:ascii="Times New Roman" w:hAnsi="Times New Roman" w:cs="Times New Roman" w:eastAsia="Times New Roman" w:hint="default"/>
                <w:sz w:val="18"/>
                <w:szCs w:val="18"/>
              </w:rPr>
            </w:pPr>
            <w:r>
              <w:rPr>
                <w:rFonts w:ascii="Times New Roman"/>
                <w:sz w:val="18"/>
              </w:rPr>
              <w:t>4.65</w:t>
            </w:r>
          </w:p>
        </w:tc>
      </w:tr>
      <w:tr>
        <w:trPr>
          <w:trHeight w:val="392" w:hRule="exact"/>
        </w:trPr>
        <w:tc>
          <w:tcPr>
            <w:tcW w:w="161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5"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1" w:hRule="exact"/>
        </w:trPr>
        <w:tc>
          <w:tcPr>
            <w:tcW w:w="1611" w:type="dxa"/>
            <w:tcBorders>
              <w:top w:val="nil" w:sz="6" w:space="0" w:color="auto"/>
              <w:left w:val="single" w:sz="4" w:space="0" w:color="000000"/>
              <w:bottom w:val="single" w:sz="4" w:space="0" w:color="000000"/>
              <w:right w:val="single" w:sz="4" w:space="0" w:color="000000"/>
            </w:tcBorders>
            <w:shd w:val="clear" w:color="auto" w:fill="D2D2D2"/>
          </w:tcPr>
          <w:p>
            <w:pPr/>
          </w:p>
        </w:tc>
        <w:tc>
          <w:tcPr>
            <w:tcW w:w="775"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before="51"/>
        <w:ind w:left="1134"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期末单项金额重大并单项计提坏账准备的其他应收款：</w:t>
      </w:r>
    </w:p>
    <w:p>
      <w:pPr>
        <w:spacing w:line="338" w:lineRule="auto" w:before="117"/>
        <w:ind w:left="1133" w:right="16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组合中，按账龄分析法计提坏账准备的其他应收款：</w:t>
      </w:r>
    </w:p>
    <w:p>
      <w:pPr>
        <w:spacing w:before="42"/>
        <w:ind w:left="113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 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5455" w:space="3375"/>
            <w:col w:w="3080"/>
          </w:cols>
        </w:sectPr>
      </w:pP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380"/>
        <w:gridCol w:w="2393"/>
        <w:gridCol w:w="2392"/>
        <w:gridCol w:w="2392"/>
      </w:tblGrid>
      <w:tr>
        <w:trPr>
          <w:trHeight w:val="206" w:hRule="exact"/>
        </w:trPr>
        <w:tc>
          <w:tcPr>
            <w:tcW w:w="2380" w:type="dxa"/>
            <w:tcBorders>
              <w:top w:val="single" w:sz="4" w:space="0" w:color="000000"/>
              <w:left w:val="single" w:sz="4" w:space="0" w:color="000000"/>
              <w:bottom w:val="nil" w:sz="6" w:space="0" w:color="auto"/>
              <w:right w:val="single" w:sz="4" w:space="0" w:color="000000"/>
            </w:tcBorders>
            <w:shd w:val="clear" w:color="auto" w:fill="D2D2D2"/>
          </w:tcPr>
          <w:p>
            <w:pPr/>
          </w:p>
        </w:tc>
        <w:tc>
          <w:tcPr>
            <w:tcW w:w="717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1" w:hRule="exact"/>
        </w:trPr>
        <w:tc>
          <w:tcPr>
            <w:tcW w:w="238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9"/>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380" w:type="dxa"/>
            <w:vMerge/>
            <w:tcBorders>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74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0" w:hRule="exact"/>
        </w:trPr>
        <w:tc>
          <w:tcPr>
            <w:tcW w:w="238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397" w:hRule="exact"/>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126,027,819.34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6,301,391.13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37,046,338.01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3,704,633.80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377,715.28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377,715.28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163,451,872.63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10,383,740.21</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line="360" w:lineRule="auto" w:before="51"/>
        <w:ind w:left="1134" w:right="6252"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组合中，采用余额百分比法计提坏账准备的其他应收款：</w:t>
      </w:r>
    </w:p>
    <w:p>
      <w:pPr>
        <w:spacing w:line="340" w:lineRule="auto" w:before="26"/>
        <w:ind w:left="1133" w:right="66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组合中，采用其他方法计提坏账准备的其他应收款：</w:t>
      </w:r>
    </w:p>
    <w:p>
      <w:pPr>
        <w:spacing w:before="4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pStyle w:val="BodyText"/>
        <w:spacing w:line="240" w:lineRule="auto" w:before="75"/>
        <w:ind w:left="1810" w:right="998"/>
        <w:jc w:val="left"/>
      </w:pPr>
      <w:r>
        <w:rPr/>
        <w:t>组合中，采用个别认定计入组合</w:t>
      </w:r>
      <w:r>
        <w:rPr>
          <w:rFonts w:ascii="Times New Roman" w:hAnsi="Times New Roman" w:cs="Times New Roman" w:eastAsia="Times New Roman" w:hint="default"/>
        </w:rPr>
        <w:t>3</w:t>
      </w:r>
      <w:r>
        <w:rPr/>
        <w:t>计提坏账准备的其他应收款：</w:t>
      </w:r>
    </w:p>
    <w:p>
      <w:pPr>
        <w:spacing w:after="0" w:line="240" w:lineRule="auto"/>
        <w:jc w:val="left"/>
        <w:sectPr>
          <w:type w:val="continuous"/>
          <w:pgSz w:w="11910" w:h="16840"/>
          <w:pgMar w:top="1060" w:bottom="1160" w:left="0" w:right="0"/>
        </w:sectPr>
      </w:pPr>
    </w:p>
    <w:p>
      <w:pPr>
        <w:spacing w:line="240" w:lineRule="auto" w:before="6"/>
        <w:rPr>
          <w:rFonts w:ascii="宋体" w:hAnsi="宋体" w:cs="宋体" w:eastAsia="宋体" w:hint="default"/>
          <w:sz w:val="28"/>
          <w:szCs w:val="28"/>
        </w:rPr>
      </w:pPr>
    </w:p>
    <w:tbl>
      <w:tblPr>
        <w:tblW w:w="0" w:type="auto"/>
        <w:jc w:val="left"/>
        <w:tblInd w:w="1733" w:type="dxa"/>
        <w:tblLayout w:type="fixed"/>
        <w:tblCellMar>
          <w:top w:w="0" w:type="dxa"/>
          <w:left w:w="0" w:type="dxa"/>
          <w:bottom w:w="0" w:type="dxa"/>
          <w:right w:w="0" w:type="dxa"/>
        </w:tblCellMar>
        <w:tblLook w:val="01E0"/>
      </w:tblPr>
      <w:tblGrid>
        <w:gridCol w:w="2113"/>
        <w:gridCol w:w="1829"/>
        <w:gridCol w:w="1830"/>
        <w:gridCol w:w="2042"/>
      </w:tblGrid>
      <w:tr>
        <w:trPr>
          <w:trHeight w:val="355" w:hRule="exact"/>
        </w:trPr>
        <w:tc>
          <w:tcPr>
            <w:tcW w:w="2113" w:type="dxa"/>
            <w:vMerge w:val="restart"/>
            <w:tcBorders>
              <w:top w:val="single" w:sz="6" w:space="0" w:color="000000"/>
              <w:left w:val="single" w:sz="6" w:space="0" w:color="000000"/>
              <w:right w:val="single" w:sz="6" w:space="0" w:color="000000"/>
            </w:tcBorders>
          </w:tcPr>
          <w:p>
            <w:pPr>
              <w:pStyle w:val="TableParagraph"/>
              <w:spacing w:line="271" w:lineRule="exact"/>
              <w:ind w:left="628" w:right="0"/>
              <w:jc w:val="left"/>
              <w:rPr>
                <w:rFonts w:ascii="宋体" w:hAnsi="宋体" w:cs="宋体" w:eastAsia="宋体" w:hint="default"/>
                <w:sz w:val="21"/>
                <w:szCs w:val="21"/>
              </w:rPr>
            </w:pPr>
            <w:r>
              <w:rPr>
                <w:rFonts w:ascii="宋体" w:hAnsi="宋体" w:cs="宋体" w:eastAsia="宋体" w:hint="default"/>
                <w:sz w:val="21"/>
                <w:szCs w:val="21"/>
              </w:rPr>
              <w:t>组合名称</w:t>
            </w:r>
          </w:p>
        </w:tc>
        <w:tc>
          <w:tcPr>
            <w:tcW w:w="5701" w:type="dxa"/>
            <w:gridSpan w:val="3"/>
            <w:tcBorders>
              <w:top w:val="single" w:sz="6" w:space="0" w:color="000000"/>
              <w:left w:val="single" w:sz="6" w:space="0" w:color="000000"/>
              <w:bottom w:val="single" w:sz="12" w:space="0" w:color="000000"/>
              <w:right w:val="nil" w:sz="6" w:space="0" w:color="auto"/>
            </w:tcBorders>
          </w:tcPr>
          <w:p>
            <w:pPr>
              <w:pStyle w:val="TableParagraph"/>
              <w:spacing w:line="271" w:lineRule="exact"/>
              <w:ind w:right="7"/>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353" w:hRule="exact"/>
        </w:trPr>
        <w:tc>
          <w:tcPr>
            <w:tcW w:w="2113" w:type="dxa"/>
            <w:vMerge/>
            <w:tcBorders>
              <w:left w:val="single" w:sz="6" w:space="0" w:color="000000"/>
              <w:bottom w:val="single" w:sz="12" w:space="0" w:color="000000"/>
              <w:right w:val="single" w:sz="6" w:space="0" w:color="000000"/>
            </w:tcBorders>
          </w:tcPr>
          <w:p>
            <w:pPr/>
          </w:p>
        </w:tc>
        <w:tc>
          <w:tcPr>
            <w:tcW w:w="182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381"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830"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487"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042" w:type="dxa"/>
            <w:tcBorders>
              <w:top w:val="single" w:sz="12" w:space="0" w:color="000000"/>
              <w:left w:val="single" w:sz="6" w:space="0" w:color="000000"/>
              <w:bottom w:val="single" w:sz="12" w:space="0" w:color="000000"/>
              <w:right w:val="nil" w:sz="6" w:space="0" w:color="auto"/>
            </w:tcBorders>
          </w:tcPr>
          <w:p>
            <w:pPr>
              <w:pStyle w:val="TableParagraph"/>
              <w:spacing w:line="276" w:lineRule="exact"/>
              <w:ind w:left="295"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52" w:hRule="exact"/>
        </w:trPr>
        <w:tc>
          <w:tcPr>
            <w:tcW w:w="211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pacing w:val="-1"/>
                <w:sz w:val="21"/>
                <w:szCs w:val="21"/>
              </w:rPr>
              <w:t>押金、保证金及备用金</w:t>
            </w:r>
          </w:p>
        </w:tc>
        <w:tc>
          <w:tcPr>
            <w:tcW w:w="182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34,178,564.39</w:t>
            </w:r>
          </w:p>
        </w:tc>
        <w:tc>
          <w:tcPr>
            <w:tcW w:w="1830" w:type="dxa"/>
            <w:tcBorders>
              <w:top w:val="single" w:sz="12" w:space="0" w:color="000000"/>
              <w:left w:val="single" w:sz="6" w:space="0" w:color="000000"/>
              <w:bottom w:val="single" w:sz="12" w:space="0" w:color="000000"/>
              <w:right w:val="single" w:sz="6" w:space="0" w:color="000000"/>
            </w:tcBorders>
          </w:tcPr>
          <w:p>
            <w:pPr/>
          </w:p>
        </w:tc>
        <w:tc>
          <w:tcPr>
            <w:tcW w:w="2042"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211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82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34,178,564.39</w:t>
            </w:r>
          </w:p>
        </w:tc>
        <w:tc>
          <w:tcPr>
            <w:tcW w:w="1830" w:type="dxa"/>
            <w:tcBorders>
              <w:top w:val="single" w:sz="12" w:space="0" w:color="000000"/>
              <w:left w:val="single" w:sz="6" w:space="0" w:color="000000"/>
              <w:bottom w:val="single" w:sz="12" w:space="0" w:color="000000"/>
              <w:right w:val="single" w:sz="6" w:space="0" w:color="000000"/>
            </w:tcBorders>
          </w:tcPr>
          <w:p>
            <w:pPr/>
          </w:p>
        </w:tc>
        <w:tc>
          <w:tcPr>
            <w:tcW w:w="2042" w:type="dxa"/>
            <w:tcBorders>
              <w:top w:val="single" w:sz="12" w:space="0" w:color="000000"/>
              <w:left w:val="single" w:sz="6"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pStyle w:val="Heading6"/>
        <w:spacing w:line="240" w:lineRule="auto" w:before="35"/>
        <w:ind w:right="998"/>
        <w:jc w:val="left"/>
        <w:rPr>
          <w:b w:val="0"/>
          <w:bCs w:val="0"/>
        </w:rPr>
      </w:pPr>
      <w:bookmarkStart w:name="（2）本期计提、收回或转回的坏账准备情况" w:id="266"/>
      <w:bookmarkEnd w:id="266"/>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979" w:top="1060" w:bottom="1160" w:left="0" w:right="0"/>
        </w:sectPr>
      </w:pPr>
    </w:p>
    <w:p>
      <w:pPr>
        <w:spacing w:line="340" w:lineRule="auto" w:before="44"/>
        <w:ind w:left="1133" w:right="-12"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6,858,423.22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元；本期收回或转回坏账准备金额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 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 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7434" w:space="1395"/>
            <w:col w:w="3081"/>
          </w:cols>
        </w:sectPr>
      </w:pP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1"/>
        <w:gridCol w:w="318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60"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before="11"/>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3）本期实际核销的其他应收款情况" w:id="267"/>
      <w:bookmarkEnd w:id="267"/>
      <w:r>
        <w:rPr>
          <w:b w:val="0"/>
          <w:bCs w:val="0"/>
        </w:rPr>
      </w:r>
      <w:r>
        <w:rPr/>
        <w:t>（</w:t>
      </w:r>
      <w:r>
        <w:rPr>
          <w:rFonts w:ascii="Times New Roman" w:hAnsi="Times New Roman" w:cs="Times New Roman" w:eastAsia="Times New Roman" w:hint="default"/>
        </w:rPr>
        <w:t>3</w:t>
      </w:r>
      <w:r>
        <w:rPr/>
        <w:t>）本期实际核销的其他应收款情况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实际核销的其他应收款</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25,000,000.00</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其中重要的其他应收款核销情况：</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594"/>
        <w:gridCol w:w="1595"/>
        <w:gridCol w:w="1594"/>
        <w:gridCol w:w="1594"/>
        <w:gridCol w:w="1596"/>
        <w:gridCol w:w="1595"/>
      </w:tblGrid>
      <w:tr>
        <w:trPr>
          <w:trHeight w:val="71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核销原因</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21" w:right="71"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19"/>
              <w:jc w:val="left"/>
              <w:rPr>
                <w:rFonts w:ascii="宋体" w:hAnsi="宋体" w:cs="宋体" w:eastAsia="宋体" w:hint="default"/>
                <w:sz w:val="18"/>
                <w:szCs w:val="18"/>
              </w:rPr>
            </w:pPr>
            <w:r>
              <w:rPr>
                <w:rFonts w:ascii="宋体" w:hAnsi="宋体" w:cs="宋体" w:eastAsia="宋体" w:hint="default"/>
                <w:sz w:val="18"/>
                <w:szCs w:val="18"/>
              </w:rPr>
              <w:t>北京小矮人信息技 术有限公司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投资款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0"/>
              <w:jc w:val="left"/>
              <w:rPr>
                <w:rFonts w:ascii="宋体" w:hAnsi="宋体" w:cs="宋体" w:eastAsia="宋体" w:hint="default"/>
                <w:sz w:val="18"/>
                <w:szCs w:val="18"/>
              </w:rPr>
            </w:pPr>
            <w:r>
              <w:rPr>
                <w:rFonts w:ascii="宋体" w:hAnsi="宋体" w:cs="宋体" w:eastAsia="宋体" w:hint="default"/>
                <w:spacing w:val="-10"/>
                <w:sz w:val="18"/>
                <w:szCs w:val="18"/>
              </w:rPr>
              <w:t>债务人经营不善，无</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法收回</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经总经理审批</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19"/>
              <w:jc w:val="left"/>
              <w:rPr>
                <w:rFonts w:ascii="宋体" w:hAnsi="宋体" w:cs="宋体" w:eastAsia="宋体" w:hint="default"/>
                <w:sz w:val="18"/>
                <w:szCs w:val="18"/>
              </w:rPr>
            </w:pPr>
            <w:r>
              <w:rPr>
                <w:rFonts w:ascii="宋体" w:hAnsi="宋体" w:cs="宋体" w:eastAsia="宋体" w:hint="default"/>
                <w:sz w:val="18"/>
                <w:szCs w:val="18"/>
              </w:rPr>
              <w:t>广州市叉叉信息科 技有限公司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游戏授权金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0"/>
              <w:jc w:val="left"/>
              <w:rPr>
                <w:rFonts w:ascii="宋体" w:hAnsi="宋体" w:cs="宋体" w:eastAsia="宋体" w:hint="default"/>
                <w:sz w:val="18"/>
                <w:szCs w:val="18"/>
              </w:rPr>
            </w:pPr>
            <w:r>
              <w:rPr>
                <w:rFonts w:ascii="宋体" w:hAnsi="宋体" w:cs="宋体" w:eastAsia="宋体" w:hint="default"/>
                <w:spacing w:val="-10"/>
                <w:sz w:val="18"/>
                <w:szCs w:val="18"/>
              </w:rPr>
              <w:t>债务人经营不善，无</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法收回</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经总经理审批</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92"/>
              <w:ind w:right="14"/>
              <w:jc w:val="right"/>
              <w:rPr>
                <w:rFonts w:ascii="Times New Roman" w:hAnsi="Times New Roman" w:cs="Times New Roman" w:eastAsia="Times New Roman" w:hint="default"/>
                <w:sz w:val="18"/>
                <w:szCs w:val="18"/>
              </w:rPr>
            </w:pPr>
            <w:r>
              <w:rPr>
                <w:rFonts w:ascii="Times New Roman"/>
                <w:spacing w:val="-1"/>
                <w:sz w:val="18"/>
              </w:rPr>
              <w:t>25,000,000.00</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r>
    </w:tbl>
    <w:p>
      <w:pPr>
        <w:spacing w:line="357" w:lineRule="auto" w:before="51"/>
        <w:ind w:left="1134" w:right="8952" w:firstLine="0"/>
        <w:jc w:val="left"/>
        <w:rPr>
          <w:rFonts w:ascii="宋体" w:hAnsi="宋体" w:cs="宋体" w:eastAsia="宋体" w:hint="default"/>
          <w:sz w:val="18"/>
          <w:szCs w:val="18"/>
        </w:rPr>
      </w:pPr>
      <w:r>
        <w:rPr>
          <w:rFonts w:ascii="宋体" w:hAnsi="宋体" w:cs="宋体" w:eastAsia="宋体" w:hint="default"/>
          <w:sz w:val="18"/>
          <w:szCs w:val="18"/>
        </w:rPr>
        <w:t>其他应收款核销说明： 无</w:t>
      </w:r>
    </w:p>
    <w:p>
      <w:pPr>
        <w:spacing w:line="240" w:lineRule="auto" w:before="2"/>
        <w:rPr>
          <w:rFonts w:ascii="宋体" w:hAnsi="宋体" w:cs="宋体" w:eastAsia="宋体" w:hint="default"/>
          <w:sz w:val="20"/>
          <w:szCs w:val="20"/>
        </w:rPr>
      </w:pPr>
    </w:p>
    <w:p>
      <w:pPr>
        <w:pStyle w:val="Heading6"/>
        <w:spacing w:line="240" w:lineRule="auto"/>
        <w:ind w:right="998"/>
        <w:jc w:val="left"/>
        <w:rPr>
          <w:b w:val="0"/>
          <w:bCs w:val="0"/>
        </w:rPr>
      </w:pPr>
      <w:bookmarkStart w:name="（4）其他应收款按款项性质分类情况" w:id="268"/>
      <w:bookmarkEnd w:id="268"/>
      <w:r>
        <w:rPr>
          <w:b w:val="0"/>
          <w:bCs w:val="0"/>
        </w:rPr>
      </w:r>
      <w:r>
        <w:rPr/>
        <w:t>（</w:t>
      </w:r>
      <w:r>
        <w:rPr>
          <w:rFonts w:ascii="Times New Roman" w:hAnsi="Times New Roman" w:cs="Times New Roman" w:eastAsia="Times New Roman" w:hint="default"/>
        </w:rPr>
        <w:t>4</w:t>
      </w:r>
      <w:r>
        <w:rPr/>
        <w:t>）其他应收款按款项性质分类情况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股权回购款</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87,795,045.33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84,160,000.00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游戏授权金</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垫付款</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10,103,571.61</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员工借款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2,033,900.66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2,337,599.00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外包费</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119,296.98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24,433,831.78</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12,620,617.15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6,744,732.62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5,141,819.95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企业借款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45,990,645.25</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38,513,709.48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保理业务款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4,659,237.91</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股东出资款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3,000,000.00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闲徕少数股东款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22,578,431.37</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4,029,657.43</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186,912.14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197,630,437.02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181,818,571.64</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5）按欠款方归集的期末余额前五名的其他应收款情况" w:id="269"/>
      <w:bookmarkEnd w:id="269"/>
      <w:r>
        <w:rPr>
          <w:b w:val="0"/>
          <w:bCs w:val="0"/>
        </w:rPr>
      </w:r>
      <w:r>
        <w:rPr/>
        <w:t>（</w:t>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594"/>
        <w:gridCol w:w="1595"/>
        <w:gridCol w:w="1594"/>
        <w:gridCol w:w="1594"/>
        <w:gridCol w:w="1596"/>
        <w:gridCol w:w="1595"/>
      </w:tblGrid>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3" w:right="7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71"/>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刘佳</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投资款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84,160,000.00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42.58%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4,208,000.00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569"/>
              <w:jc w:val="left"/>
              <w:rPr>
                <w:rFonts w:ascii="Times New Roman" w:hAnsi="Times New Roman" w:cs="Times New Roman" w:eastAsia="Times New Roman" w:hint="default"/>
                <w:sz w:val="18"/>
                <w:szCs w:val="18"/>
              </w:rPr>
            </w:pPr>
            <w:r>
              <w:rPr>
                <w:rFonts w:ascii="Times New Roman"/>
                <w:sz w:val="18"/>
              </w:rPr>
              <w:t>charm top</w:t>
            </w:r>
            <w:r>
              <w:rPr>
                <w:rFonts w:ascii="Times New Roman"/>
                <w:spacing w:val="-2"/>
                <w:sz w:val="18"/>
              </w:rPr>
              <w:t> </w:t>
            </w:r>
            <w:r>
              <w:rPr>
                <w:rFonts w:ascii="Times New Roman"/>
                <w:sz w:val="18"/>
              </w:rPr>
              <w:t>inc</w:t>
            </w:r>
            <w:r>
              <w:rPr>
                <w:rFonts w:ascii="Times New Roman"/>
                <w:sz w:val="18"/>
              </w:rPr>
              <w:t> limited</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借款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35,990,645.25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18.21%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3,599,064.53</w:t>
            </w:r>
          </w:p>
        </w:tc>
      </w:tr>
      <w:tr>
        <w:trPr>
          <w:trHeight w:val="1026"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9"/>
              <w:jc w:val="both"/>
              <w:rPr>
                <w:rFonts w:ascii="宋体" w:hAnsi="宋体" w:cs="宋体" w:eastAsia="宋体" w:hint="default"/>
                <w:sz w:val="18"/>
                <w:szCs w:val="18"/>
              </w:rPr>
            </w:pPr>
            <w:r>
              <w:rPr>
                <w:rFonts w:ascii="宋体" w:hAnsi="宋体" w:cs="宋体" w:eastAsia="宋体" w:hint="default"/>
                <w:sz w:val="18"/>
                <w:szCs w:val="18"/>
              </w:rPr>
              <w:t>北京市文化科技融 资租赁股份有限公 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5.06%</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深圳市盘古天地科 技有限公司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借款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500,000.00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汇丰银行</w:t>
            </w:r>
            <w:r>
              <w:rPr>
                <w:rFonts w:ascii="Times New Roman" w:hAnsi="Times New Roman" w:cs="Times New Roman" w:eastAsia="Times New Roman" w:hint="default"/>
                <w:sz w:val="18"/>
                <w:szCs w:val="18"/>
              </w:rPr>
              <w:t>-</w:t>
            </w:r>
            <w:r>
              <w:rPr>
                <w:rFonts w:ascii="宋体" w:hAnsi="宋体" w:cs="宋体" w:eastAsia="宋体" w:hint="default"/>
                <w:sz w:val="18"/>
                <w:szCs w:val="18"/>
              </w:rPr>
              <w:t>保理专户</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保理业务款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4,659,237.91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232,961.90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144,809,883.16</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73.27%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8,540,026.43</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6）涉及政府补助的应收款项" w:id="270"/>
      <w:bookmarkEnd w:id="270"/>
      <w:r>
        <w:rPr>
          <w:b w:val="0"/>
          <w:bCs w:val="0"/>
        </w:rPr>
      </w:r>
      <w:r>
        <w:rPr/>
        <w:t>（</w:t>
      </w:r>
      <w:r>
        <w:rPr>
          <w:rFonts w:ascii="Times New Roman" w:hAnsi="Times New Roman" w:cs="Times New Roman" w:eastAsia="Times New Roman" w:hint="default"/>
        </w:rPr>
        <w:t>6</w:t>
      </w:r>
      <w:r>
        <w:rPr/>
        <w:t>）涉及政府补助的应收款项</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912"/>
        <w:gridCol w:w="1914"/>
        <w:gridCol w:w="1914"/>
        <w:gridCol w:w="1914"/>
        <w:gridCol w:w="1905"/>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83" w:right="39" w:hanging="630"/>
              <w:jc w:val="left"/>
              <w:rPr>
                <w:rFonts w:ascii="宋体" w:hAnsi="宋体" w:cs="宋体" w:eastAsia="宋体" w:hint="default"/>
                <w:sz w:val="18"/>
                <w:szCs w:val="18"/>
              </w:rPr>
            </w:pPr>
            <w:r>
              <w:rPr>
                <w:rFonts w:ascii="宋体" w:hAnsi="宋体" w:cs="宋体" w:eastAsia="宋体" w:hint="default"/>
                <w:sz w:val="18"/>
                <w:szCs w:val="18"/>
              </w:rPr>
              <w:t>预计收取的时间、金额 及依据</w:t>
            </w:r>
          </w:p>
        </w:tc>
      </w:tr>
    </w:tbl>
    <w:p>
      <w:pPr>
        <w:spacing w:before="11"/>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7）因金融资产转移而终止确认的其他应收款" w:id="271"/>
      <w:bookmarkEnd w:id="271"/>
      <w:r>
        <w:rPr>
          <w:b w:val="0"/>
          <w:bCs w:val="0"/>
        </w:rPr>
      </w:r>
      <w:r>
        <w:rPr/>
        <w:t>（</w:t>
      </w: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8）转移其他应收款且继续涉入形成的资产、负债金额" w:id="272"/>
      <w:bookmarkEnd w:id="272"/>
      <w:r>
        <w:rPr>
          <w:b w:val="0"/>
          <w:bCs w:val="0"/>
        </w:rPr>
      </w:r>
      <w:r>
        <w:rPr/>
        <w:t>（</w:t>
      </w: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7"/>
        <w:rPr>
          <w:rFonts w:ascii="宋体" w:hAnsi="宋体" w:cs="宋体" w:eastAsia="宋体" w:hint="default"/>
          <w:b/>
          <w:bCs/>
          <w:sz w:val="26"/>
          <w:szCs w:val="26"/>
        </w:rPr>
      </w:pPr>
    </w:p>
    <w:p>
      <w:pPr>
        <w:spacing w:line="360" w:lineRule="auto" w:before="0"/>
        <w:ind w:left="1133" w:right="9853" w:firstLine="0"/>
        <w:jc w:val="left"/>
        <w:rPr>
          <w:rFonts w:ascii="宋体" w:hAnsi="宋体" w:cs="宋体" w:eastAsia="宋体" w:hint="default"/>
          <w:sz w:val="18"/>
          <w:szCs w:val="18"/>
        </w:rPr>
      </w:pPr>
      <w:r>
        <w:rPr>
          <w:rFonts w:ascii="宋体" w:hAnsi="宋体" w:cs="宋体" w:eastAsia="宋体" w:hint="default"/>
          <w:sz w:val="18"/>
          <w:szCs w:val="18"/>
        </w:rPr>
        <w:t>无 其他说明： 无</w:t>
      </w:r>
    </w:p>
    <w:p>
      <w:pPr>
        <w:spacing w:line="240" w:lineRule="auto" w:before="0"/>
        <w:rPr>
          <w:rFonts w:ascii="宋体" w:hAnsi="宋体" w:cs="宋体" w:eastAsia="宋体" w:hint="default"/>
          <w:sz w:val="20"/>
          <w:szCs w:val="20"/>
        </w:rPr>
      </w:pPr>
    </w:p>
    <w:p>
      <w:pPr>
        <w:pStyle w:val="Heading6"/>
        <w:spacing w:line="240" w:lineRule="auto"/>
        <w:ind w:right="998"/>
        <w:jc w:val="left"/>
        <w:rPr>
          <w:b w:val="0"/>
          <w:bCs w:val="0"/>
        </w:rPr>
      </w:pPr>
      <w:bookmarkStart w:name="10、存货" w:id="273"/>
      <w:bookmarkEnd w:id="273"/>
      <w:r>
        <w:rPr>
          <w:b w:val="0"/>
          <w:bCs w:val="0"/>
        </w:rPr>
      </w:r>
      <w:r>
        <w:rPr>
          <w:rFonts w:ascii="Times New Roman" w:hAnsi="Times New Roman" w:cs="Times New Roman" w:eastAsia="Times New Roman" w:hint="default"/>
        </w:rPr>
        <w:t>10</w:t>
      </w:r>
      <w:r>
        <w:rPr/>
        <w:t>、存货</w:t>
      </w:r>
      <w:r>
        <w:rPr>
          <w:b w:val="0"/>
          <w:bCs w:val="0"/>
        </w:rPr>
      </w:r>
    </w:p>
    <w:p>
      <w:pPr>
        <w:spacing w:line="240" w:lineRule="auto" w:before="8"/>
        <w:rPr>
          <w:rFonts w:ascii="宋体" w:hAnsi="宋体" w:cs="宋体" w:eastAsia="宋体" w:hint="default"/>
          <w:b/>
          <w:bCs/>
          <w:sz w:val="26"/>
          <w:szCs w:val="26"/>
        </w:rPr>
      </w:pPr>
    </w:p>
    <w:p>
      <w:pPr>
        <w:spacing w:line="357" w:lineRule="auto" w:before="0"/>
        <w:ind w:left="1134" w:right="7512" w:firstLine="0"/>
        <w:jc w:val="left"/>
        <w:rPr>
          <w:rFonts w:ascii="宋体" w:hAnsi="宋体" w:cs="宋体" w:eastAsia="宋体" w:hint="default"/>
          <w:sz w:val="18"/>
          <w:szCs w:val="18"/>
        </w:rPr>
      </w:pPr>
      <w:r>
        <w:rPr>
          <w:rFonts w:ascii="宋体" w:hAnsi="宋体" w:cs="宋体" w:eastAsia="宋体" w:hint="default"/>
          <w:sz w:val="18"/>
          <w:szCs w:val="18"/>
        </w:rPr>
        <w:t>公司是否需要遵守房地产行业的披露要求 否</w:t>
      </w:r>
    </w:p>
    <w:p>
      <w:pPr>
        <w:spacing w:line="240" w:lineRule="auto" w:before="13"/>
        <w:rPr>
          <w:rFonts w:ascii="宋体" w:hAnsi="宋体" w:cs="宋体" w:eastAsia="宋体" w:hint="default"/>
          <w:sz w:val="19"/>
          <w:szCs w:val="19"/>
        </w:rPr>
      </w:pPr>
    </w:p>
    <w:p>
      <w:pPr>
        <w:pStyle w:val="Heading6"/>
        <w:spacing w:line="240" w:lineRule="auto"/>
        <w:ind w:right="998"/>
        <w:jc w:val="left"/>
        <w:rPr>
          <w:b w:val="0"/>
          <w:bCs w:val="0"/>
        </w:rPr>
      </w:pPr>
      <w:bookmarkStart w:name="（1）存货分类" w:id="274"/>
      <w:bookmarkEnd w:id="274"/>
      <w:r>
        <w:rPr>
          <w:b w:val="0"/>
          <w:bCs w:val="0"/>
        </w:rPr>
      </w:r>
      <w:r>
        <w:rPr/>
        <w:t>（</w:t>
      </w:r>
      <w:r>
        <w:rPr>
          <w:rFonts w:ascii="Times New Roman" w:hAnsi="Times New Roman" w:cs="Times New Roman" w:eastAsia="Times New Roman" w:hint="default"/>
        </w:rPr>
        <w:t>1</w:t>
      </w:r>
      <w:r>
        <w:rPr/>
        <w:t>）存货分类</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340" w:lineRule="auto" w:before="51"/>
        <w:ind w:left="1134" w:right="2474"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上市公司从事种业、种植业务》的披露要求 否</w:t>
      </w:r>
    </w:p>
    <w:p>
      <w:pPr>
        <w:spacing w:line="338" w:lineRule="auto" w:before="40"/>
        <w:ind w:left="1133" w:right="1574"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上市公司从事广播电影电视业务》的披露要求 否</w:t>
      </w:r>
    </w:p>
    <w:p>
      <w:pPr>
        <w:spacing w:line="338" w:lineRule="auto" w:before="43"/>
        <w:ind w:left="1133" w:right="1754"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上市公司从事互联网游戏业务》的披露要求 是</w:t>
      </w:r>
    </w:p>
    <w:p>
      <w:pPr>
        <w:spacing w:before="42"/>
        <w:ind w:left="1134" w:right="998" w:firstLine="0"/>
        <w:jc w:val="left"/>
        <w:rPr>
          <w:rFonts w:ascii="宋体" w:hAnsi="宋体" w:cs="宋体" w:eastAsia="宋体" w:hint="default"/>
          <w:sz w:val="18"/>
          <w:szCs w:val="18"/>
        </w:rPr>
      </w:pPr>
      <w:r>
        <w:rPr>
          <w:rFonts w:ascii="宋体" w:hAnsi="宋体" w:cs="宋体" w:eastAsia="宋体" w:hint="default"/>
          <w:sz w:val="18"/>
          <w:szCs w:val="18"/>
        </w:rPr>
        <w:t>前五名游戏情况</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2）存货跌价准备" w:id="275"/>
      <w:bookmarkEnd w:id="275"/>
      <w:r>
        <w:rPr>
          <w:b w:val="0"/>
          <w:bCs w:val="0"/>
        </w:rPr>
      </w:r>
      <w:r>
        <w:rPr/>
        <w:t>（</w:t>
      </w:r>
      <w:r>
        <w:rPr>
          <w:rFonts w:ascii="Times New Roman" w:hAnsi="Times New Roman" w:cs="Times New Roman" w:eastAsia="Times New Roman" w:hint="default"/>
        </w:rPr>
        <w:t>2</w:t>
      </w:r>
      <w:r>
        <w:rPr/>
        <w:t>）存货跌价准备</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2"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9"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vMerge/>
            <w:tcBorders>
              <w:left w:val="single" w:sz="4" w:space="0" w:color="000000"/>
              <w:bottom w:val="single" w:sz="4" w:space="0" w:color="000000"/>
              <w:right w:val="single" w:sz="4" w:space="0" w:color="000000"/>
            </w:tcBorders>
            <w:shd w:val="clear" w:color="auto" w:fill="D2D2D2"/>
          </w:tcPr>
          <w:p>
            <w:pP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3）存货期末余额含有借款费用资本化金额的说明" w:id="276"/>
      <w:bookmarkEnd w:id="276"/>
      <w:r>
        <w:rPr>
          <w:b w:val="0"/>
          <w:bCs w:val="0"/>
        </w:rPr>
      </w:r>
      <w:r>
        <w:rPr/>
        <w:t>（</w:t>
      </w:r>
      <w:r>
        <w:rPr>
          <w:rFonts w:ascii="Times New Roman" w:hAnsi="Times New Roman" w:cs="Times New Roman" w:eastAsia="Times New Roman" w:hint="default"/>
        </w:rPr>
        <w:t>3</w:t>
      </w:r>
      <w:r>
        <w:rPr/>
        <w:t>）存货期末余额含有借款费用资本化金额的说明</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4）期末建造合同形成的已完工未结算资产情况" w:id="277"/>
      <w:bookmarkEnd w:id="277"/>
      <w:r>
        <w:rPr>
          <w:b w:val="0"/>
          <w:bCs w:val="0"/>
        </w:rPr>
      </w:r>
      <w:r>
        <w:rPr/>
        <w:t>（</w:t>
      </w:r>
      <w:r>
        <w:rPr>
          <w:rFonts w:ascii="Times New Roman" w:hAnsi="Times New Roman" w:cs="Times New Roman" w:eastAsia="Times New Roman" w:hint="default"/>
        </w:rPr>
        <w:t>4</w:t>
      </w:r>
      <w:r>
        <w:rPr/>
        <w:t>）期末建造合同形成的已完工未结算资产情况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4784"/>
        <w:gridCol w:w="4785"/>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r>
    </w:tbl>
    <w:p>
      <w:pPr>
        <w:spacing w:before="52"/>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11、持有待售的资产" w:id="278"/>
      <w:bookmarkEnd w:id="278"/>
      <w:r>
        <w:rPr>
          <w:b w:val="0"/>
          <w:bCs w:val="0"/>
        </w:rPr>
      </w:r>
      <w:r>
        <w:rPr>
          <w:rFonts w:ascii="Times New Roman" w:hAnsi="Times New Roman" w:cs="Times New Roman" w:eastAsia="Times New Roman" w:hint="default"/>
        </w:rPr>
        <w:t>11</w:t>
      </w:r>
      <w:r>
        <w:rPr/>
        <w:t>、持有待售的资产</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1912"/>
        <w:gridCol w:w="1914"/>
        <w:gridCol w:w="1914"/>
        <w:gridCol w:w="1914"/>
        <w:gridCol w:w="1905"/>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2"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2" w:right="0"/>
              <w:jc w:val="left"/>
              <w:rPr>
                <w:rFonts w:ascii="宋体" w:hAnsi="宋体" w:cs="宋体" w:eastAsia="宋体" w:hint="default"/>
                <w:sz w:val="18"/>
                <w:szCs w:val="18"/>
              </w:rPr>
            </w:pPr>
            <w:r>
              <w:rPr>
                <w:rFonts w:ascii="宋体" w:hAnsi="宋体" w:cs="宋体" w:eastAsia="宋体" w:hint="default"/>
                <w:sz w:val="18"/>
                <w:szCs w:val="18"/>
              </w:rPr>
              <w:t>预计处置费用</w:t>
            </w:r>
          </w:p>
        </w:tc>
        <w:tc>
          <w:tcPr>
            <w:tcW w:w="1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预计处置时间</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12、一年内到期的非流动资产" w:id="279"/>
      <w:bookmarkEnd w:id="279"/>
      <w:r>
        <w:rPr>
          <w:b w:val="0"/>
          <w:bCs w:val="0"/>
        </w:rPr>
      </w:r>
      <w:r>
        <w:rPr>
          <w:rFonts w:ascii="Times New Roman" w:hAnsi="Times New Roman" w:cs="Times New Roman" w:eastAsia="Times New Roman" w:hint="default"/>
        </w:rPr>
        <w:t>12</w:t>
      </w:r>
      <w:r>
        <w:rPr/>
        <w:t>、一年内到期的非流动资产</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1"/>
        <w:gridCol w:w="318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13、其他流动资产" w:id="280"/>
      <w:bookmarkEnd w:id="280"/>
      <w:r>
        <w:rPr>
          <w:b w:val="0"/>
          <w:bCs w:val="0"/>
        </w:rPr>
      </w:r>
      <w:r>
        <w:rPr>
          <w:rFonts w:ascii="Times New Roman" w:hAnsi="Times New Roman" w:cs="Times New Roman" w:eastAsia="Times New Roman" w:hint="default"/>
        </w:rPr>
        <w:t>13</w:t>
      </w:r>
      <w:r>
        <w:rPr/>
        <w:t>、其他流动资产</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预缴税金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149,509,117.50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13,045,016.78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过桥贷款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110,759,150.73</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32,381,668.83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260,268,268.23</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45,426,685.61</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14、可供出售金融资产" w:id="281"/>
      <w:bookmarkEnd w:id="281"/>
      <w:r>
        <w:rPr>
          <w:b w:val="0"/>
          <w:bCs w:val="0"/>
        </w:rPr>
      </w:r>
      <w:r>
        <w:rPr>
          <w:rFonts w:ascii="Times New Roman" w:hAnsi="Times New Roman" w:cs="Times New Roman" w:eastAsia="Times New Roman" w:hint="default"/>
        </w:rPr>
        <w:t>14</w:t>
      </w:r>
      <w:r>
        <w:rPr/>
        <w:t>、可供出售金融资产</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right="998"/>
        <w:jc w:val="left"/>
        <w:rPr>
          <w:b w:val="0"/>
          <w:bCs w:val="0"/>
        </w:rPr>
      </w:pPr>
      <w:bookmarkStart w:name="（1）可供出售金融资产情况" w:id="282"/>
      <w:bookmarkEnd w:id="282"/>
      <w:r>
        <w:rPr>
          <w:b w:val="0"/>
          <w:bCs w:val="0"/>
        </w:rPr>
      </w:r>
      <w:r>
        <w:rPr/>
        <w:t>（</w:t>
      </w:r>
      <w:r>
        <w:rPr>
          <w:rFonts w:ascii="Times New Roman" w:hAnsi="Times New Roman" w:cs="Times New Roman" w:eastAsia="Times New Roman" w:hint="default"/>
        </w:rPr>
        <w:t>1</w:t>
      </w:r>
      <w:r>
        <w:rPr/>
        <w:t>）可供出售金融资产情况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989"/>
        <w:gridCol w:w="1195"/>
        <w:gridCol w:w="1196"/>
        <w:gridCol w:w="1196"/>
        <w:gridCol w:w="1248"/>
        <w:gridCol w:w="1367"/>
        <w:gridCol w:w="1367"/>
      </w:tblGrid>
      <w:tr>
        <w:trPr>
          <w:trHeight w:val="206" w:hRule="exact"/>
        </w:trPr>
        <w:tc>
          <w:tcPr>
            <w:tcW w:w="19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58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8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9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3587" w:type="dxa"/>
            <w:gridSpan w:val="3"/>
            <w:vMerge/>
            <w:tcBorders>
              <w:left w:val="single" w:sz="4" w:space="0" w:color="000000"/>
              <w:bottom w:val="single" w:sz="4" w:space="0" w:color="000000"/>
              <w:right w:val="single" w:sz="4" w:space="0" w:color="000000"/>
            </w:tcBorders>
            <w:shd w:val="clear" w:color="auto" w:fill="D2D2D2"/>
          </w:tcPr>
          <w:p>
            <w:pPr/>
          </w:p>
        </w:tc>
        <w:tc>
          <w:tcPr>
            <w:tcW w:w="3982"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989" w:type="dxa"/>
            <w:vMerge/>
            <w:tcBorders>
              <w:left w:val="single" w:sz="4" w:space="0" w:color="000000"/>
              <w:bottom w:val="nil" w:sz="6" w:space="0" w:color="auto"/>
              <w:right w:val="single" w:sz="4" w:space="0" w:color="000000"/>
            </w:tcBorders>
            <w:shd w:val="clear" w:color="auto" w:fill="D2D2D2"/>
          </w:tcPr>
          <w:p>
            <w:pP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4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5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5" w:hRule="exact"/>
        </w:trPr>
        <w:tc>
          <w:tcPr>
            <w:tcW w:w="19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24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162" w:hRule="exact"/>
        </w:trPr>
        <w:tc>
          <w:tcPr>
            <w:tcW w:w="1989"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5" w:type="dxa"/>
            <w:vMerge w:val="restart"/>
            <w:tcBorders>
              <w:top w:val="single" w:sz="4" w:space="0" w:color="000000"/>
              <w:left w:val="single" w:sz="9" w:space="0" w:color="D2D2D2"/>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5,707,402,632.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80</w:t>
            </w:r>
          </w:p>
        </w:tc>
        <w:tc>
          <w:tcPr>
            <w:tcW w:w="1196" w:type="dxa"/>
            <w:vMerge w:val="restart"/>
            <w:tcBorders>
              <w:top w:val="single" w:sz="4" w:space="0" w:color="000000"/>
              <w:left w:val="single" w:sz="4" w:space="0" w:color="000000"/>
              <w:right w:val="single" w:sz="4" w:space="0" w:color="000000"/>
            </w:tcBorders>
          </w:tcPr>
          <w:p>
            <w:pP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5,707,402,632.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80</w:t>
            </w:r>
          </w:p>
        </w:tc>
        <w:tc>
          <w:tcPr>
            <w:tcW w:w="1248" w:type="dxa"/>
            <w:vMerge w:val="restart"/>
            <w:tcBorders>
              <w:top w:val="single" w:sz="4" w:space="0" w:color="000000"/>
              <w:left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1,855,783,846.5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1,855,783,846.56</w:t>
            </w:r>
          </w:p>
        </w:tc>
      </w:tr>
      <w:tr>
        <w:trPr>
          <w:trHeight w:val="391" w:hRule="exact"/>
        </w:trPr>
        <w:tc>
          <w:tcPr>
            <w:tcW w:w="19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195" w:type="dxa"/>
            <w:vMerge/>
            <w:tcBorders>
              <w:left w:val="single" w:sz="9" w:space="0" w:color="D2D2D2"/>
              <w:right w:val="single" w:sz="4" w:space="0" w:color="000000"/>
            </w:tcBorders>
          </w:tcPr>
          <w:p>
            <w:pPr/>
          </w:p>
        </w:tc>
        <w:tc>
          <w:tcPr>
            <w:tcW w:w="1196"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248"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r>
      <w:tr>
        <w:trPr>
          <w:trHeight w:val="161" w:hRule="exact"/>
        </w:trPr>
        <w:tc>
          <w:tcPr>
            <w:tcW w:w="19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5" w:type="dxa"/>
            <w:vMerge/>
            <w:tcBorders>
              <w:left w:val="single" w:sz="9" w:space="0" w:color="D2D2D2"/>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248"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r>
      <w:tr>
        <w:trPr>
          <w:trHeight w:val="162" w:hRule="exact"/>
        </w:trPr>
        <w:tc>
          <w:tcPr>
            <w:tcW w:w="1989"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5" w:type="dxa"/>
            <w:vMerge w:val="restart"/>
            <w:tcBorders>
              <w:top w:val="single" w:sz="4" w:space="0" w:color="000000"/>
              <w:left w:val="single" w:sz="9" w:space="0" w:color="D2D2D2"/>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4,556,104,587.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97</w:t>
            </w:r>
          </w:p>
        </w:tc>
        <w:tc>
          <w:tcPr>
            <w:tcW w:w="1196" w:type="dxa"/>
            <w:vMerge w:val="restart"/>
            <w:tcBorders>
              <w:top w:val="single" w:sz="4" w:space="0" w:color="000000"/>
              <w:left w:val="single" w:sz="4" w:space="0" w:color="000000"/>
              <w:right w:val="single" w:sz="4" w:space="0" w:color="000000"/>
            </w:tcBorders>
          </w:tcPr>
          <w:p>
            <w:pP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4,556,104,587.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97</w:t>
            </w:r>
          </w:p>
        </w:tc>
        <w:tc>
          <w:tcPr>
            <w:tcW w:w="1248"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79" w:right="0"/>
              <w:jc w:val="left"/>
              <w:rPr>
                <w:rFonts w:ascii="Times New Roman" w:hAnsi="Times New Roman" w:cs="Times New Roman" w:eastAsia="Times New Roman" w:hint="default"/>
                <w:sz w:val="18"/>
                <w:szCs w:val="18"/>
              </w:rPr>
            </w:pPr>
            <w:r>
              <w:rPr>
                <w:rFonts w:ascii="Times New Roman"/>
                <w:sz w:val="18"/>
              </w:rPr>
              <w:t>36,227,655.00</w:t>
            </w: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00" w:right="0"/>
              <w:jc w:val="left"/>
              <w:rPr>
                <w:rFonts w:ascii="Times New Roman" w:hAnsi="Times New Roman" w:cs="Times New Roman" w:eastAsia="Times New Roman" w:hint="default"/>
                <w:sz w:val="18"/>
                <w:szCs w:val="18"/>
              </w:rPr>
            </w:pPr>
            <w:r>
              <w:rPr>
                <w:rFonts w:ascii="Times New Roman"/>
                <w:sz w:val="18"/>
              </w:rPr>
              <w:t>36,227,655.00</w:t>
            </w:r>
          </w:p>
        </w:tc>
      </w:tr>
      <w:tr>
        <w:trPr>
          <w:trHeight w:val="391" w:hRule="exact"/>
        </w:trPr>
        <w:tc>
          <w:tcPr>
            <w:tcW w:w="19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按公允价值计量的</w:t>
            </w:r>
          </w:p>
        </w:tc>
        <w:tc>
          <w:tcPr>
            <w:tcW w:w="1195" w:type="dxa"/>
            <w:vMerge/>
            <w:tcBorders>
              <w:left w:val="single" w:sz="9" w:space="0" w:color="D2D2D2"/>
              <w:right w:val="single" w:sz="4" w:space="0" w:color="000000"/>
            </w:tcBorders>
          </w:tcPr>
          <w:p>
            <w:pPr/>
          </w:p>
        </w:tc>
        <w:tc>
          <w:tcPr>
            <w:tcW w:w="1196"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248"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r>
      <w:tr>
        <w:trPr>
          <w:trHeight w:val="161" w:hRule="exact"/>
        </w:trPr>
        <w:tc>
          <w:tcPr>
            <w:tcW w:w="19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5" w:type="dxa"/>
            <w:vMerge/>
            <w:tcBorders>
              <w:left w:val="single" w:sz="9" w:space="0" w:color="D2D2D2"/>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248"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r>
      <w:tr>
        <w:trPr>
          <w:trHeight w:val="162" w:hRule="exact"/>
        </w:trPr>
        <w:tc>
          <w:tcPr>
            <w:tcW w:w="1989"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5" w:type="dxa"/>
            <w:vMerge w:val="restart"/>
            <w:tcBorders>
              <w:top w:val="single" w:sz="4" w:space="0" w:color="000000"/>
              <w:left w:val="single" w:sz="9" w:space="0" w:color="D2D2D2"/>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1,151,298,044.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83</w:t>
            </w:r>
          </w:p>
        </w:tc>
        <w:tc>
          <w:tcPr>
            <w:tcW w:w="1196" w:type="dxa"/>
            <w:vMerge w:val="restart"/>
            <w:tcBorders>
              <w:top w:val="single" w:sz="4" w:space="0" w:color="000000"/>
              <w:left w:val="single" w:sz="4" w:space="0" w:color="000000"/>
              <w:right w:val="single" w:sz="4" w:space="0" w:color="000000"/>
            </w:tcBorders>
          </w:tcPr>
          <w:p>
            <w:pP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1,151,298,044.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83</w:t>
            </w:r>
          </w:p>
        </w:tc>
        <w:tc>
          <w:tcPr>
            <w:tcW w:w="1248" w:type="dxa"/>
            <w:vMerge w:val="restart"/>
            <w:tcBorders>
              <w:top w:val="single" w:sz="4" w:space="0" w:color="000000"/>
              <w:left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1,819,556,191.5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1,819,556,191.56</w:t>
            </w:r>
          </w:p>
        </w:tc>
      </w:tr>
      <w:tr>
        <w:trPr>
          <w:trHeight w:val="391" w:hRule="exact"/>
        </w:trPr>
        <w:tc>
          <w:tcPr>
            <w:tcW w:w="19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按成本计量的</w:t>
            </w:r>
          </w:p>
        </w:tc>
        <w:tc>
          <w:tcPr>
            <w:tcW w:w="1195" w:type="dxa"/>
            <w:vMerge/>
            <w:tcBorders>
              <w:left w:val="single" w:sz="9" w:space="0" w:color="D2D2D2"/>
              <w:right w:val="single" w:sz="4" w:space="0" w:color="000000"/>
            </w:tcBorders>
          </w:tcPr>
          <w:p>
            <w:pPr/>
          </w:p>
        </w:tc>
        <w:tc>
          <w:tcPr>
            <w:tcW w:w="1196"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248"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r>
      <w:tr>
        <w:trPr>
          <w:trHeight w:val="161" w:hRule="exact"/>
        </w:trPr>
        <w:tc>
          <w:tcPr>
            <w:tcW w:w="19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5" w:type="dxa"/>
            <w:vMerge/>
            <w:tcBorders>
              <w:left w:val="single" w:sz="9" w:space="0" w:color="D2D2D2"/>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248"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r>
      <w:tr>
        <w:trPr>
          <w:trHeight w:val="162" w:hRule="exact"/>
        </w:trPr>
        <w:tc>
          <w:tcPr>
            <w:tcW w:w="1989"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5" w:type="dxa"/>
            <w:vMerge w:val="restart"/>
            <w:tcBorders>
              <w:top w:val="single" w:sz="4" w:space="0" w:color="000000"/>
              <w:left w:val="single" w:sz="9" w:space="0" w:color="D2D2D2"/>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5,707,402,632.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80</w:t>
            </w:r>
          </w:p>
        </w:tc>
        <w:tc>
          <w:tcPr>
            <w:tcW w:w="1196" w:type="dxa"/>
            <w:vMerge w:val="restart"/>
            <w:tcBorders>
              <w:top w:val="single" w:sz="4" w:space="0" w:color="000000"/>
              <w:left w:val="single" w:sz="4" w:space="0" w:color="000000"/>
              <w:right w:val="single" w:sz="4" w:space="0" w:color="000000"/>
            </w:tcBorders>
          </w:tcPr>
          <w:p>
            <w:pP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5,707,402,632.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80</w:t>
            </w:r>
          </w:p>
        </w:tc>
        <w:tc>
          <w:tcPr>
            <w:tcW w:w="1248" w:type="dxa"/>
            <w:vMerge w:val="restart"/>
            <w:tcBorders>
              <w:top w:val="single" w:sz="4" w:space="0" w:color="000000"/>
              <w:left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1,855,783,846.5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c>
          <w:tcPr>
            <w:tcW w:w="1367" w:type="dxa"/>
            <w:vMerge w:val="restart"/>
            <w:tcBorders>
              <w:top w:val="single" w:sz="4" w:space="0" w:color="000000"/>
              <w:left w:val="single" w:sz="4" w:space="0" w:color="000000"/>
              <w:right w:val="single" w:sz="4" w:space="0" w:color="000000"/>
            </w:tcBorders>
          </w:tcPr>
          <w:p>
            <w:pPr/>
          </w:p>
        </w:tc>
        <w:tc>
          <w:tcPr>
            <w:tcW w:w="1367"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1,855,783,846.56</w:t>
            </w:r>
          </w:p>
        </w:tc>
      </w:tr>
      <w:tr>
        <w:trPr>
          <w:trHeight w:val="391" w:hRule="exact"/>
        </w:trPr>
        <w:tc>
          <w:tcPr>
            <w:tcW w:w="19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95" w:type="dxa"/>
            <w:vMerge/>
            <w:tcBorders>
              <w:left w:val="single" w:sz="9" w:space="0" w:color="D2D2D2"/>
              <w:right w:val="single" w:sz="4" w:space="0" w:color="000000"/>
            </w:tcBorders>
          </w:tcPr>
          <w:p>
            <w:pPr/>
          </w:p>
        </w:tc>
        <w:tc>
          <w:tcPr>
            <w:tcW w:w="1196"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248"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c>
          <w:tcPr>
            <w:tcW w:w="1367" w:type="dxa"/>
            <w:vMerge/>
            <w:tcBorders>
              <w:left w:val="single" w:sz="4" w:space="0" w:color="000000"/>
              <w:right w:val="single" w:sz="4" w:space="0" w:color="000000"/>
            </w:tcBorders>
          </w:tcPr>
          <w:p>
            <w:pPr/>
          </w:p>
        </w:tc>
      </w:tr>
      <w:tr>
        <w:trPr>
          <w:trHeight w:val="162" w:hRule="exact"/>
        </w:trPr>
        <w:tc>
          <w:tcPr>
            <w:tcW w:w="19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5" w:type="dxa"/>
            <w:vMerge/>
            <w:tcBorders>
              <w:left w:val="single" w:sz="9" w:space="0" w:color="D2D2D2"/>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248"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c>
          <w:tcPr>
            <w:tcW w:w="1367" w:type="dxa"/>
            <w:vMerge/>
            <w:tcBorders>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2）期末按公允价值计量的可供出售金融资产" w:id="283"/>
      <w:bookmarkEnd w:id="283"/>
      <w:r>
        <w:rPr>
          <w:b w:val="0"/>
          <w:bCs w:val="0"/>
        </w:rPr>
      </w:r>
      <w:r>
        <w:rPr/>
        <w:t>（</w:t>
      </w:r>
      <w:r>
        <w:rPr>
          <w:rFonts w:ascii="Times New Roman" w:hAnsi="Times New Roman" w:cs="Times New Roman" w:eastAsia="Times New Roman" w:hint="default"/>
        </w:rPr>
        <w:t>2</w:t>
      </w:r>
      <w:r>
        <w:rPr/>
        <w:t>）期末按公允价值计量的可供出售金融资产</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903"/>
        <w:gridCol w:w="1926"/>
        <w:gridCol w:w="1914"/>
        <w:gridCol w:w="1914"/>
        <w:gridCol w:w="1914"/>
      </w:tblGrid>
      <w:tr>
        <w:trPr>
          <w:trHeight w:val="402" w:hRule="exact"/>
        </w:trPr>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1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2"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14" w:type="dxa"/>
            <w:tcBorders>
              <w:top w:val="single" w:sz="4" w:space="0" w:color="000000"/>
              <w:left w:val="single" w:sz="4" w:space="0" w:color="000000"/>
              <w:bottom w:val="single" w:sz="4" w:space="0" w:color="000000"/>
              <w:right w:val="single" w:sz="9" w:space="0" w:color="E0FFFF"/>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14" w:type="dxa"/>
            <w:tcBorders>
              <w:top w:val="single" w:sz="4" w:space="0" w:color="000000"/>
              <w:left w:val="single" w:sz="13" w:space="0" w:color="D2D2D2"/>
              <w:bottom w:val="single" w:sz="4" w:space="0" w:color="000000"/>
              <w:right w:val="single" w:sz="4" w:space="0" w:color="000000"/>
            </w:tcBorders>
            <w:shd w:val="clear" w:color="auto" w:fill="E0FFFF"/>
          </w:tcPr>
          <w:p>
            <w:pP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1" w:right="0"/>
              <w:jc w:val="left"/>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3" w:right="0"/>
              <w:jc w:val="center"/>
              <w:rPr>
                <w:rFonts w:ascii="宋体" w:hAnsi="宋体" w:cs="宋体" w:eastAsia="宋体" w:hint="default"/>
                <w:sz w:val="18"/>
                <w:szCs w:val="18"/>
              </w:rPr>
            </w:pPr>
            <w:r>
              <w:rPr>
                <w:rFonts w:ascii="宋体" w:hAnsi="宋体" w:cs="宋体" w:eastAsia="宋体" w:hint="default"/>
                <w:sz w:val="18"/>
                <w:szCs w:val="18"/>
              </w:rPr>
              <w:t>权益工具的成本</w:t>
            </w:r>
            <w:r>
              <w:rPr>
                <w:rFonts w:ascii="Times New Roman" w:hAnsi="Times New Roman" w:cs="Times New Roman" w:eastAsia="Times New Roman" w:hint="default"/>
                <w:sz w:val="18"/>
                <w:szCs w:val="18"/>
              </w:rPr>
              <w:t>/</w:t>
            </w:r>
            <w:r>
              <w:rPr>
                <w:rFonts w:ascii="宋体" w:hAnsi="宋体" w:cs="宋体" w:eastAsia="宋体" w:hint="default"/>
                <w:sz w:val="18"/>
                <w:szCs w:val="18"/>
              </w:rPr>
              <w:t>债务工</w:t>
            </w:r>
          </w:p>
        </w:tc>
        <w:tc>
          <w:tcPr>
            <w:tcW w:w="192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755" w:right="0"/>
              <w:jc w:val="left"/>
              <w:rPr>
                <w:rFonts w:ascii="Times New Roman" w:hAnsi="Times New Roman" w:cs="Times New Roman" w:eastAsia="Times New Roman" w:hint="default"/>
                <w:sz w:val="18"/>
                <w:szCs w:val="18"/>
              </w:rPr>
            </w:pPr>
            <w:r>
              <w:rPr>
                <w:rFonts w:ascii="Times New Roman"/>
                <w:sz w:val="18"/>
              </w:rPr>
              <w:t>466,564,268.30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466,564,268.30</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36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具的摊余成本</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4,556,104,587.97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4,556,104,587.97</w:t>
            </w:r>
          </w:p>
        </w:tc>
      </w:tr>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81"/>
              <w:jc w:val="left"/>
              <w:rPr>
                <w:rFonts w:ascii="宋体" w:hAnsi="宋体" w:cs="宋体" w:eastAsia="宋体" w:hint="default"/>
                <w:sz w:val="18"/>
                <w:szCs w:val="18"/>
              </w:rPr>
            </w:pPr>
            <w:r>
              <w:rPr>
                <w:rFonts w:ascii="宋体" w:hAnsi="宋体" w:cs="宋体" w:eastAsia="宋体" w:hint="default"/>
                <w:sz w:val="18"/>
                <w:szCs w:val="18"/>
              </w:rPr>
              <w:t>累计计入其他综合收益 的公允价值变动金额</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4,089,540,319.67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4,089,540,319.67</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3）期末按成本计量的可供出售金融资产" w:id="284"/>
      <w:bookmarkEnd w:id="284"/>
      <w:r>
        <w:rPr>
          <w:b w:val="0"/>
          <w:bCs w:val="0"/>
        </w:rPr>
      </w:r>
      <w:r>
        <w:rPr/>
        <w:t>（</w:t>
      </w:r>
      <w:r>
        <w:rPr>
          <w:rFonts w:ascii="Times New Roman" w:hAnsi="Times New Roman" w:cs="Times New Roman" w:eastAsia="Times New Roman" w:hint="default"/>
        </w:rPr>
        <w:t>3</w:t>
      </w:r>
      <w:r>
        <w:rPr/>
        <w:t>）期末按成本计量的可供出售金融资产</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863"/>
        <w:gridCol w:w="870"/>
        <w:gridCol w:w="870"/>
        <w:gridCol w:w="870"/>
        <w:gridCol w:w="870"/>
        <w:gridCol w:w="870"/>
        <w:gridCol w:w="870"/>
        <w:gridCol w:w="870"/>
        <w:gridCol w:w="870"/>
        <w:gridCol w:w="870"/>
        <w:gridCol w:w="870"/>
      </w:tblGrid>
      <w:tr>
        <w:trPr>
          <w:trHeight w:val="402" w:hRule="exact"/>
        </w:trPr>
        <w:tc>
          <w:tcPr>
            <w:tcW w:w="8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35" w:right="65"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87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69" w:right="68"/>
              <w:jc w:val="center"/>
              <w:rPr>
                <w:rFonts w:ascii="宋体" w:hAnsi="宋体" w:cs="宋体" w:eastAsia="宋体" w:hint="default"/>
                <w:sz w:val="18"/>
                <w:szCs w:val="18"/>
              </w:rPr>
            </w:pPr>
            <w:r>
              <w:rPr>
                <w:rFonts w:ascii="宋体" w:hAnsi="宋体" w:cs="宋体" w:eastAsia="宋体" w:hint="default"/>
                <w:sz w:val="18"/>
                <w:szCs w:val="18"/>
              </w:rPr>
              <w:t>在被投资 单位持股 比例</w:t>
            </w:r>
          </w:p>
        </w:tc>
        <w:tc>
          <w:tcPr>
            <w:tcW w:w="8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49" w:right="68" w:hanging="180"/>
              <w:jc w:val="left"/>
              <w:rPr>
                <w:rFonts w:ascii="宋体" w:hAnsi="宋体" w:cs="宋体" w:eastAsia="宋体" w:hint="default"/>
                <w:sz w:val="18"/>
                <w:szCs w:val="18"/>
              </w:rPr>
            </w:pPr>
            <w:r>
              <w:rPr>
                <w:rFonts w:ascii="宋体" w:hAnsi="宋体" w:cs="宋体" w:eastAsia="宋体" w:hint="default"/>
                <w:sz w:val="18"/>
                <w:szCs w:val="18"/>
              </w:rPr>
              <w:t>本期现金 红利</w:t>
            </w:r>
          </w:p>
        </w:tc>
      </w:tr>
      <w:tr>
        <w:trPr>
          <w:trHeight w:val="623" w:hRule="exact"/>
        </w:trPr>
        <w:tc>
          <w:tcPr>
            <w:tcW w:w="863" w:type="dxa"/>
            <w:vMerge/>
            <w:tcBorders>
              <w:left w:val="single" w:sz="4" w:space="0" w:color="000000"/>
              <w:bottom w:val="single" w:sz="4" w:space="0" w:color="000000"/>
              <w:right w:val="single" w:sz="4" w:space="0" w:color="000000"/>
            </w:tcBorders>
            <w:shd w:val="clear" w:color="auto" w:fill="D2D2D2"/>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50"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70" w:type="dxa"/>
            <w:vMerge/>
            <w:tcBorders>
              <w:left w:val="single" w:sz="4" w:space="0" w:color="000000"/>
              <w:bottom w:val="single" w:sz="4" w:space="0" w:color="000000"/>
              <w:right w:val="single" w:sz="4" w:space="0" w:color="000000"/>
            </w:tcBorders>
            <w:shd w:val="clear" w:color="auto" w:fill="D2D2D2"/>
          </w:tcPr>
          <w:p>
            <w:pPr/>
          </w:p>
        </w:tc>
        <w:tc>
          <w:tcPr>
            <w:tcW w:w="870" w:type="dxa"/>
            <w:vMerge/>
            <w:tcBorders>
              <w:left w:val="single" w:sz="4" w:space="0" w:color="000000"/>
              <w:bottom w:val="single" w:sz="4" w:space="0" w:color="000000"/>
              <w:right w:val="single" w:sz="4" w:space="0" w:color="000000"/>
            </w:tcBorders>
            <w:shd w:val="clear" w:color="auto" w:fill="D2D2D2"/>
          </w:tcPr>
          <w:p>
            <w:pPr/>
          </w:p>
        </w:tc>
      </w:tr>
      <w:tr>
        <w:trPr>
          <w:trHeight w:val="1650"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8"/>
              <w:jc w:val="both"/>
              <w:rPr>
                <w:rFonts w:ascii="宋体" w:hAnsi="宋体" w:cs="宋体" w:eastAsia="宋体" w:hint="default"/>
                <w:sz w:val="18"/>
                <w:szCs w:val="18"/>
              </w:rPr>
            </w:pPr>
            <w:r>
              <w:rPr>
                <w:rFonts w:ascii="宋体" w:hAnsi="宋体" w:cs="宋体" w:eastAsia="宋体" w:hint="default"/>
                <w:sz w:val="18"/>
                <w:szCs w:val="18"/>
              </w:rPr>
              <w:t>北京龙渊 天启投资 管理中心</w:t>
            </w:r>
          </w:p>
          <w:p>
            <w:pPr>
              <w:pStyle w:val="TableParagraph"/>
              <w:spacing w:line="319" w:lineRule="auto" w:before="19"/>
              <w:ind w:left="22" w:right="108"/>
              <w:jc w:val="both"/>
              <w:rPr>
                <w:rFonts w:ascii="宋体" w:hAnsi="宋体" w:cs="宋体" w:eastAsia="宋体" w:hint="default"/>
                <w:sz w:val="18"/>
                <w:szCs w:val="18"/>
              </w:rPr>
            </w:pPr>
            <w:r>
              <w:rPr>
                <w:rFonts w:ascii="宋体" w:hAnsi="宋体" w:cs="宋体" w:eastAsia="宋体" w:hint="default"/>
                <w:sz w:val="18"/>
                <w:szCs w:val="18"/>
              </w:rPr>
              <w:t>（有限合 伙）</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4,462,275.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02</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503,485.63</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3,958,789.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39</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19.19%</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8"/>
              <w:jc w:val="both"/>
              <w:rPr>
                <w:rFonts w:ascii="宋体" w:hAnsi="宋体" w:cs="宋体" w:eastAsia="宋体" w:hint="default"/>
                <w:sz w:val="18"/>
                <w:szCs w:val="18"/>
              </w:rPr>
            </w:pPr>
            <w:r>
              <w:rPr>
                <w:rFonts w:ascii="宋体" w:hAnsi="宋体" w:cs="宋体" w:eastAsia="宋体" w:hint="default"/>
                <w:sz w:val="18"/>
                <w:szCs w:val="18"/>
              </w:rPr>
              <w:t>天津真格 天峰投资 中心（有 限合伙）</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400,826.00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17,599,174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3.28%</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2" w:right="108"/>
              <w:jc w:val="left"/>
              <w:rPr>
                <w:rFonts w:ascii="宋体" w:hAnsi="宋体" w:cs="宋体" w:eastAsia="宋体" w:hint="default"/>
                <w:sz w:val="18"/>
                <w:szCs w:val="18"/>
              </w:rPr>
            </w:pPr>
            <w:r>
              <w:rPr>
                <w:rFonts w:ascii="宋体" w:hAnsi="宋体" w:cs="宋体" w:eastAsia="宋体" w:hint="default"/>
                <w:sz w:val="18"/>
                <w:szCs w:val="18"/>
              </w:rPr>
              <w:t>艾普拉斯 投资顾问</w:t>
            </w:r>
          </w:p>
          <w:p>
            <w:pPr>
              <w:pStyle w:val="TableParagraph"/>
              <w:spacing w:line="319" w:lineRule="auto" w:before="19"/>
              <w:ind w:left="22" w:right="108"/>
              <w:jc w:val="left"/>
              <w:rPr>
                <w:rFonts w:ascii="宋体" w:hAnsi="宋体" w:cs="宋体" w:eastAsia="宋体" w:hint="default"/>
                <w:sz w:val="18"/>
                <w:szCs w:val="18"/>
              </w:rPr>
            </w:pPr>
            <w:r>
              <w:rPr>
                <w:rFonts w:ascii="宋体" w:hAnsi="宋体" w:cs="宋体" w:eastAsia="宋体" w:hint="default"/>
                <w:sz w:val="18"/>
                <w:szCs w:val="18"/>
              </w:rPr>
              <w:t>（北京） 有限公司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74,808,747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.24</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74,808,747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.24</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9.95%</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both"/>
              <w:rPr>
                <w:rFonts w:ascii="宋体" w:hAnsi="宋体" w:cs="宋体" w:eastAsia="宋体" w:hint="default"/>
                <w:sz w:val="18"/>
                <w:szCs w:val="18"/>
              </w:rPr>
            </w:pPr>
            <w:r>
              <w:rPr>
                <w:rFonts w:ascii="宋体" w:hAnsi="宋体" w:cs="宋体" w:eastAsia="宋体" w:hint="default"/>
                <w:sz w:val="18"/>
                <w:szCs w:val="18"/>
              </w:rPr>
              <w:t>在线途游</w:t>
            </w:r>
          </w:p>
          <w:p>
            <w:pPr>
              <w:pStyle w:val="TableParagraph"/>
              <w:spacing w:line="319" w:lineRule="auto" w:before="75"/>
              <w:ind w:left="22" w:right="108"/>
              <w:jc w:val="both"/>
              <w:rPr>
                <w:rFonts w:ascii="宋体" w:hAnsi="宋体" w:cs="宋体" w:eastAsia="宋体" w:hint="default"/>
                <w:sz w:val="18"/>
                <w:szCs w:val="18"/>
              </w:rPr>
            </w:pPr>
            <w:r>
              <w:rPr>
                <w:rFonts w:ascii="宋体" w:hAnsi="宋体" w:cs="宋体" w:eastAsia="宋体" w:hint="default"/>
                <w:sz w:val="18"/>
                <w:szCs w:val="18"/>
              </w:rPr>
              <w:t>（北京） 科技有限 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35,040,000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35,040,000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3.61%</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8"/>
              <w:jc w:val="both"/>
              <w:rPr>
                <w:rFonts w:ascii="宋体" w:hAnsi="宋体" w:cs="宋体" w:eastAsia="宋体" w:hint="default"/>
                <w:sz w:val="18"/>
                <w:szCs w:val="18"/>
              </w:rPr>
            </w:pPr>
            <w:r>
              <w:rPr>
                <w:rFonts w:ascii="宋体" w:hAnsi="宋体" w:cs="宋体" w:eastAsia="宋体" w:hint="default"/>
                <w:sz w:val="18"/>
                <w:szCs w:val="18"/>
              </w:rPr>
              <w:t>宁波辰海 灵璧股权 投资合伙 企业（有 限合伙）</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64,000,000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36,000,000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7,992,696.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92,007,303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.56</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25.88%</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8"/>
              <w:jc w:val="both"/>
              <w:rPr>
                <w:rFonts w:ascii="宋体" w:hAnsi="宋体" w:cs="宋体" w:eastAsia="宋体" w:hint="default"/>
                <w:sz w:val="18"/>
                <w:szCs w:val="18"/>
              </w:rPr>
            </w:pPr>
            <w:r>
              <w:rPr>
                <w:rFonts w:ascii="宋体" w:hAnsi="宋体" w:cs="宋体" w:eastAsia="宋体" w:hint="default"/>
                <w:sz w:val="18"/>
                <w:szCs w:val="18"/>
              </w:rPr>
              <w:t>北京厘米 库信息科 技有限公 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3.85%</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40"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both"/>
              <w:rPr>
                <w:rFonts w:ascii="宋体" w:hAnsi="宋体" w:cs="宋体" w:eastAsia="宋体" w:hint="default"/>
                <w:sz w:val="18"/>
                <w:szCs w:val="18"/>
              </w:rPr>
            </w:pPr>
            <w:r>
              <w:rPr>
                <w:rFonts w:ascii="宋体" w:hAnsi="宋体" w:cs="宋体" w:eastAsia="宋体" w:hint="default"/>
                <w:sz w:val="18"/>
                <w:szCs w:val="18"/>
              </w:rPr>
              <w:t>快看世界</w:t>
            </w:r>
          </w:p>
          <w:p>
            <w:pPr>
              <w:pStyle w:val="TableParagraph"/>
              <w:spacing w:line="319" w:lineRule="auto" w:before="75"/>
              <w:ind w:left="22" w:right="108"/>
              <w:jc w:val="both"/>
              <w:rPr>
                <w:rFonts w:ascii="宋体" w:hAnsi="宋体" w:cs="宋体" w:eastAsia="宋体" w:hint="default"/>
                <w:sz w:val="18"/>
                <w:szCs w:val="18"/>
              </w:rPr>
            </w:pPr>
            <w:r>
              <w:rPr>
                <w:rFonts w:ascii="宋体" w:hAnsi="宋体" w:cs="宋体" w:eastAsia="宋体" w:hint="default"/>
                <w:sz w:val="18"/>
                <w:szCs w:val="18"/>
              </w:rPr>
              <w:t>（北京） 科技有限 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17,589,474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17,589,474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4.11%</w:t>
            </w:r>
          </w:p>
        </w:tc>
        <w:tc>
          <w:tcPr>
            <w:tcW w:w="87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863"/>
        <w:gridCol w:w="870"/>
        <w:gridCol w:w="870"/>
        <w:gridCol w:w="870"/>
        <w:gridCol w:w="870"/>
        <w:gridCol w:w="870"/>
        <w:gridCol w:w="870"/>
        <w:gridCol w:w="870"/>
        <w:gridCol w:w="870"/>
        <w:gridCol w:w="870"/>
        <w:gridCol w:w="870"/>
      </w:tblGrid>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杭州雷讯 网络技术 股份有限 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1.24%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26" w:right="0"/>
              <w:jc w:val="left"/>
              <w:rPr>
                <w:rFonts w:ascii="Times New Roman" w:hAnsi="Times New Roman" w:cs="Times New Roman" w:eastAsia="Times New Roman" w:hint="default"/>
                <w:sz w:val="18"/>
                <w:szCs w:val="18"/>
              </w:rPr>
            </w:pPr>
            <w:r>
              <w:rPr>
                <w:rFonts w:ascii="Times New Roman"/>
                <w:sz w:val="18"/>
              </w:rPr>
              <w:t>347,826.10</w:t>
            </w: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62"/>
              <w:jc w:val="left"/>
              <w:rPr>
                <w:rFonts w:ascii="Times New Roman" w:hAnsi="Times New Roman" w:cs="Times New Roman" w:eastAsia="Times New Roman" w:hint="default"/>
                <w:sz w:val="18"/>
                <w:szCs w:val="18"/>
              </w:rPr>
            </w:pPr>
            <w:r>
              <w:rPr>
                <w:rFonts w:ascii="Times New Roman"/>
                <w:sz w:val="18"/>
              </w:rPr>
              <w:t>Kunlun</w:t>
            </w:r>
            <w:r>
              <w:rPr>
                <w:rFonts w:ascii="Times New Roman"/>
                <w:spacing w:val="-10"/>
                <w:sz w:val="18"/>
              </w:rPr>
              <w:t> </w:t>
            </w:r>
            <w:r>
              <w:rPr>
                <w:rFonts w:ascii="Times New Roman"/>
                <w:sz w:val="18"/>
              </w:rPr>
              <w:t>AI</w:t>
            </w:r>
            <w:r>
              <w:rPr>
                <w:rFonts w:ascii="Times New Roman"/>
                <w:w w:val="99"/>
                <w:sz w:val="18"/>
              </w:rPr>
              <w:t> </w:t>
            </w:r>
            <w:r>
              <w:rPr>
                <w:rFonts w:ascii="Times New Roman"/>
                <w:sz w:val="18"/>
              </w:rPr>
              <w:t>INC</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19,585,200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19,585,200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有米科技 股份有限 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856,323.93</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856,323.93</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0.12%</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北京企额 宝资产管 理有限公 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16" w:right="0"/>
              <w:jc w:val="left"/>
              <w:rPr>
                <w:rFonts w:ascii="Times New Roman" w:hAnsi="Times New Roman" w:cs="Times New Roman" w:eastAsia="Times New Roman" w:hint="default"/>
                <w:sz w:val="18"/>
                <w:szCs w:val="18"/>
              </w:rPr>
            </w:pPr>
            <w:r>
              <w:rPr>
                <w:rFonts w:ascii="Times New Roman"/>
                <w:sz w:val="18"/>
              </w:rPr>
              <w:t>20,000.00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1,020,000.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08"/>
              <w:jc w:val="left"/>
              <w:rPr>
                <w:rFonts w:ascii="宋体" w:hAnsi="宋体" w:cs="宋体" w:eastAsia="宋体" w:hint="default"/>
                <w:sz w:val="18"/>
                <w:szCs w:val="18"/>
              </w:rPr>
            </w:pPr>
            <w:r>
              <w:rPr>
                <w:rFonts w:ascii="宋体" w:hAnsi="宋体" w:cs="宋体" w:eastAsia="宋体" w:hint="default"/>
                <w:sz w:val="18"/>
                <w:szCs w:val="18"/>
              </w:rPr>
              <w:t>上海峰瑞 投资中心</w:t>
            </w:r>
          </w:p>
          <w:p>
            <w:pPr>
              <w:pStyle w:val="TableParagraph"/>
              <w:spacing w:line="319" w:lineRule="auto" w:before="19"/>
              <w:ind w:left="22" w:right="108"/>
              <w:jc w:val="left"/>
              <w:rPr>
                <w:rFonts w:ascii="宋体" w:hAnsi="宋体" w:cs="宋体" w:eastAsia="宋体" w:hint="default"/>
                <w:sz w:val="18"/>
                <w:szCs w:val="18"/>
              </w:rPr>
            </w:pPr>
            <w:r>
              <w:rPr>
                <w:rFonts w:ascii="宋体" w:hAnsi="宋体" w:cs="宋体" w:eastAsia="宋体" w:hint="default"/>
                <w:sz w:val="18"/>
                <w:szCs w:val="18"/>
              </w:rPr>
              <w:t>（有限合 伙）</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40,000,000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40,000,000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qudian</w:t>
            </w:r>
            <w:r>
              <w:rPr>
                <w:rFonts w:ascii="Times New Roman"/>
                <w:spacing w:val="-1"/>
                <w:sz w:val="18"/>
              </w:rPr>
              <w:t> </w:t>
            </w:r>
            <w:r>
              <w:rPr>
                <w:rFonts w:ascii="Times New Roman"/>
                <w:sz w:val="18"/>
              </w:rPr>
              <w:t>inc</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486,307,18</w:t>
            </w:r>
          </w:p>
          <w:p>
            <w:pPr>
              <w:pStyle w:val="TableParagraph"/>
              <w:spacing w:line="240" w:lineRule="auto" w:before="106"/>
              <w:ind w:left="521" w:right="0"/>
              <w:jc w:val="left"/>
              <w:rPr>
                <w:rFonts w:ascii="Times New Roman" w:hAnsi="Times New Roman" w:cs="Times New Roman" w:eastAsia="Times New Roman" w:hint="default"/>
                <w:sz w:val="18"/>
                <w:szCs w:val="18"/>
              </w:rPr>
            </w:pPr>
            <w:r>
              <w:rPr>
                <w:rFonts w:ascii="Times New Roman"/>
                <w:sz w:val="18"/>
              </w:rPr>
              <w:t>8.54</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486,307,18</w:t>
            </w:r>
          </w:p>
          <w:p>
            <w:pPr>
              <w:pStyle w:val="TableParagraph"/>
              <w:spacing w:line="240" w:lineRule="auto" w:before="106"/>
              <w:ind w:left="521" w:right="0"/>
              <w:jc w:val="left"/>
              <w:rPr>
                <w:rFonts w:ascii="Times New Roman" w:hAnsi="Times New Roman" w:cs="Times New Roman" w:eastAsia="Times New Roman" w:hint="default"/>
                <w:sz w:val="18"/>
                <w:szCs w:val="18"/>
              </w:rPr>
            </w:pPr>
            <w:r>
              <w:rPr>
                <w:rFonts w:ascii="Times New Roman"/>
                <w:sz w:val="18"/>
              </w:rPr>
              <w:t>8.54</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北京快乐 时代科技 发展有限 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180,000,00</w:t>
            </w:r>
          </w:p>
          <w:p>
            <w:pPr>
              <w:pStyle w:val="TableParagraph"/>
              <w:spacing w:line="240" w:lineRule="auto" w:before="106"/>
              <w:ind w:left="521"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180,000,00</w:t>
            </w:r>
          </w:p>
          <w:p>
            <w:pPr>
              <w:pStyle w:val="TableParagraph"/>
              <w:spacing w:line="240" w:lineRule="auto" w:before="106"/>
              <w:ind w:left="522"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19.21%</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北京蜜莱 坞网络科 技有限公 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52,582,442</w:t>
            </w:r>
          </w:p>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pacing w:val="-3"/>
                <w:sz w:val="18"/>
              </w:rPr>
              <w:t>.11</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52,582,442</w:t>
            </w:r>
          </w:p>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pacing w:val="-3"/>
                <w:sz w:val="18"/>
              </w:rPr>
              <w:t>.11</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10.23%</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32"/>
              <w:jc w:val="left"/>
              <w:rPr>
                <w:rFonts w:ascii="Times New Roman" w:hAnsi="Times New Roman" w:cs="Times New Roman" w:eastAsia="Times New Roman" w:hint="default"/>
                <w:sz w:val="18"/>
                <w:szCs w:val="18"/>
              </w:rPr>
            </w:pPr>
            <w:r>
              <w:rPr>
                <w:rFonts w:ascii="Times New Roman"/>
                <w:sz w:val="18"/>
              </w:rPr>
              <w:t>Source</w:t>
            </w:r>
            <w:r>
              <w:rPr>
                <w:rFonts w:ascii="Times New Roman"/>
                <w:w w:val="99"/>
                <w:sz w:val="18"/>
              </w:rPr>
              <w:t> </w:t>
            </w:r>
            <w:r>
              <w:rPr>
                <w:rFonts w:ascii="Times New Roman"/>
                <w:sz w:val="18"/>
              </w:rPr>
              <w:t>Code</w:t>
            </w:r>
            <w:r>
              <w:rPr>
                <w:rFonts w:ascii="Times New Roman"/>
                <w:spacing w:val="-1"/>
                <w:sz w:val="18"/>
              </w:rPr>
              <w:t> </w:t>
            </w:r>
            <w:r>
              <w:rPr>
                <w:rFonts w:ascii="Times New Roman"/>
                <w:sz w:val="18"/>
              </w:rPr>
              <w:t>Fund</w:t>
            </w:r>
            <w:r>
              <w:rPr>
                <w:rFonts w:ascii="Times New Roman"/>
                <w:w w:val="99"/>
                <w:sz w:val="18"/>
              </w:rPr>
              <w:t> </w:t>
            </w:r>
            <w:r>
              <w:rPr>
                <w:rFonts w:ascii="Times New Roman"/>
                <w:sz w:val="18"/>
              </w:rPr>
              <w:t>I</w:t>
            </w:r>
            <w:r>
              <w:rPr>
                <w:rFonts w:ascii="Times New Roman"/>
                <w:spacing w:val="2"/>
                <w:sz w:val="18"/>
              </w:rPr>
              <w:t> </w:t>
            </w:r>
            <w:r>
              <w:rPr>
                <w:rFonts w:ascii="Times New Roman"/>
                <w:spacing w:val="-6"/>
                <w:sz w:val="18"/>
              </w:rPr>
              <w:t>L.P.</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24,709,584</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.66</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24,709,584</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.66</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4.17%</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21"/>
              <w:jc w:val="both"/>
              <w:rPr>
                <w:rFonts w:ascii="Times New Roman" w:hAnsi="Times New Roman" w:cs="Times New Roman" w:eastAsia="Times New Roman" w:hint="default"/>
                <w:sz w:val="18"/>
                <w:szCs w:val="18"/>
              </w:rPr>
            </w:pPr>
            <w:r>
              <w:rPr>
                <w:rFonts w:ascii="Times New Roman"/>
                <w:sz w:val="18"/>
              </w:rPr>
              <w:t>daesung</w:t>
            </w:r>
            <w:r>
              <w:rPr>
                <w:rFonts w:ascii="Times New Roman"/>
                <w:spacing w:val="-1"/>
                <w:sz w:val="18"/>
              </w:rPr>
              <w:t> </w:t>
            </w:r>
            <w:r>
              <w:rPr>
                <w:rFonts w:ascii="Times New Roman"/>
                <w:sz w:val="18"/>
              </w:rPr>
              <w:t>ct</w:t>
            </w:r>
            <w:r>
              <w:rPr>
                <w:rFonts w:ascii="Times New Roman"/>
                <w:sz w:val="18"/>
              </w:rPr>
              <w:t> investment partnershi</w:t>
            </w:r>
          </w:p>
          <w:p>
            <w:pPr>
              <w:pStyle w:val="TableParagraph"/>
              <w:spacing w:line="213" w:lineRule="exact"/>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p</w:t>
            </w:r>
            <w:r>
              <w:rPr>
                <w:rFonts w:ascii="宋体" w:hAnsi="宋体" w:cs="宋体" w:eastAsia="宋体" w:hint="default"/>
                <w:sz w:val="18"/>
                <w:szCs w:val="18"/>
              </w:rPr>
              <w:t>（大成基</w:t>
            </w:r>
          </w:p>
          <w:p>
            <w:pPr>
              <w:pStyle w:val="TableParagraph"/>
              <w:spacing w:line="240" w:lineRule="auto" w:before="64"/>
              <w:ind w:left="22" w:right="0"/>
              <w:jc w:val="both"/>
              <w:rPr>
                <w:rFonts w:ascii="宋体" w:hAnsi="宋体" w:cs="宋体" w:eastAsia="宋体" w:hint="default"/>
                <w:sz w:val="18"/>
                <w:szCs w:val="18"/>
              </w:rPr>
            </w:pPr>
            <w:r>
              <w:rPr>
                <w:rFonts w:ascii="宋体" w:hAnsi="宋体" w:cs="宋体" w:eastAsia="宋体" w:hint="default"/>
                <w:sz w:val="18"/>
                <w:szCs w:val="18"/>
              </w:rPr>
              <w:t>金）</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11,940,828</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.87</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2,120,289.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9,820,539.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75</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10.30%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24"/>
              <w:jc w:val="left"/>
              <w:rPr>
                <w:rFonts w:ascii="Times New Roman" w:hAnsi="Times New Roman" w:cs="Times New Roman" w:eastAsia="Times New Roman" w:hint="default"/>
                <w:sz w:val="18"/>
                <w:szCs w:val="18"/>
              </w:rPr>
            </w:pPr>
            <w:r>
              <w:rPr>
                <w:rFonts w:ascii="Times New Roman"/>
                <w:sz w:val="18"/>
              </w:rPr>
              <w:t>dada</w:t>
            </w:r>
            <w:r>
              <w:rPr>
                <w:rFonts w:ascii="Times New Roman"/>
                <w:spacing w:val="-1"/>
                <w:sz w:val="18"/>
              </w:rPr>
              <w:t> </w:t>
            </w:r>
            <w:r>
              <w:rPr>
                <w:rFonts w:ascii="Times New Roman"/>
                <w:sz w:val="18"/>
              </w:rPr>
              <w:t>nexus</w:t>
            </w:r>
            <w:r>
              <w:rPr>
                <w:rFonts w:ascii="Times New Roman"/>
                <w:sz w:val="18"/>
              </w:rPr>
              <w:t> limited</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112,395,87</w:t>
            </w:r>
          </w:p>
          <w:p>
            <w:pPr>
              <w:pStyle w:val="TableParagraph"/>
              <w:spacing w:line="240" w:lineRule="auto" w:before="106"/>
              <w:ind w:left="521" w:right="0"/>
              <w:jc w:val="left"/>
              <w:rPr>
                <w:rFonts w:ascii="Times New Roman" w:hAnsi="Times New Roman" w:cs="Times New Roman" w:eastAsia="Times New Roman" w:hint="default"/>
                <w:sz w:val="18"/>
                <w:szCs w:val="18"/>
              </w:rPr>
            </w:pPr>
            <w:r>
              <w:rPr>
                <w:rFonts w:ascii="Times New Roman"/>
                <w:sz w:val="18"/>
              </w:rPr>
              <w:t>3.58</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112,395,87</w:t>
            </w:r>
          </w:p>
          <w:p>
            <w:pPr>
              <w:pStyle w:val="TableParagraph"/>
              <w:spacing w:line="240" w:lineRule="auto" w:before="106"/>
              <w:ind w:left="522" w:right="0"/>
              <w:jc w:val="left"/>
              <w:rPr>
                <w:rFonts w:ascii="Times New Roman" w:hAnsi="Times New Roman" w:cs="Times New Roman" w:eastAsia="Times New Roman" w:hint="default"/>
                <w:sz w:val="18"/>
                <w:szCs w:val="18"/>
              </w:rPr>
            </w:pPr>
            <w:r>
              <w:rPr>
                <w:rFonts w:ascii="Times New Roman"/>
                <w:sz w:val="18"/>
              </w:rPr>
              <w:t>3.58</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1.38%</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23"/>
              <w:jc w:val="left"/>
              <w:rPr>
                <w:rFonts w:ascii="Times New Roman" w:hAnsi="Times New Roman" w:cs="Times New Roman" w:eastAsia="Times New Roman" w:hint="default"/>
                <w:sz w:val="18"/>
                <w:szCs w:val="18"/>
              </w:rPr>
            </w:pPr>
            <w:r>
              <w:rPr>
                <w:rFonts w:ascii="Times New Roman"/>
                <w:sz w:val="18"/>
              </w:rPr>
              <w:t>source</w:t>
            </w:r>
            <w:r>
              <w:rPr>
                <w:rFonts w:ascii="Times New Roman"/>
                <w:w w:val="99"/>
                <w:sz w:val="18"/>
              </w:rPr>
              <w:t> </w:t>
            </w:r>
            <w:r>
              <w:rPr>
                <w:rFonts w:ascii="Times New Roman"/>
                <w:sz w:val="18"/>
              </w:rPr>
              <w:t>code ssj</w:t>
            </w:r>
            <w:r>
              <w:rPr>
                <w:rFonts w:ascii="Times New Roman"/>
                <w:sz w:val="18"/>
              </w:rPr>
              <w:t> linkage</w:t>
            </w:r>
            <w:r>
              <w:rPr>
                <w:rFonts w:ascii="Times New Roman"/>
                <w:spacing w:val="-2"/>
                <w:sz w:val="18"/>
              </w:rPr>
              <w:t> </w:t>
            </w:r>
            <w:r>
              <w:rPr>
                <w:rFonts w:ascii="Times New Roman"/>
                <w:sz w:val="18"/>
              </w:rPr>
              <w:t>l.p.</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17,901,923</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.79</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17,901,923</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.79</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24.31%</w:t>
            </w:r>
          </w:p>
        </w:tc>
        <w:tc>
          <w:tcPr>
            <w:tcW w:w="87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863"/>
        <w:gridCol w:w="870"/>
        <w:gridCol w:w="870"/>
        <w:gridCol w:w="870"/>
        <w:gridCol w:w="870"/>
        <w:gridCol w:w="870"/>
        <w:gridCol w:w="870"/>
        <w:gridCol w:w="870"/>
        <w:gridCol w:w="870"/>
        <w:gridCol w:w="870"/>
        <w:gridCol w:w="870"/>
      </w:tblGrid>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118"/>
              <w:jc w:val="left"/>
              <w:rPr>
                <w:rFonts w:ascii="Times New Roman" w:hAnsi="Times New Roman" w:cs="Times New Roman" w:eastAsia="Times New Roman" w:hint="default"/>
                <w:sz w:val="18"/>
                <w:szCs w:val="18"/>
              </w:rPr>
            </w:pPr>
            <w:r>
              <w:rPr>
                <w:rFonts w:ascii="Times New Roman"/>
                <w:sz w:val="18"/>
              </w:rPr>
              <w:t>brv aster</w:t>
            </w:r>
            <w:r>
              <w:rPr>
                <w:rFonts w:ascii="Times New Roman"/>
                <w:w w:val="99"/>
                <w:sz w:val="18"/>
              </w:rPr>
              <w:t> </w:t>
            </w:r>
            <w:r>
              <w:rPr>
                <w:rFonts w:ascii="Times New Roman"/>
                <w:sz w:val="18"/>
              </w:rPr>
              <w:t>fund</w:t>
            </w:r>
            <w:r>
              <w:rPr>
                <w:rFonts w:ascii="Times New Roman"/>
                <w:spacing w:val="-1"/>
                <w:sz w:val="18"/>
              </w:rPr>
              <w:t> </w:t>
            </w:r>
            <w:r>
              <w:rPr>
                <w:rFonts w:ascii="Times New Roman"/>
                <w:sz w:val="18"/>
              </w:rPr>
              <w:t>I,l.p.</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15,667,098</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.64</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15,667,098</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.64</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2.50%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24"/>
              <w:jc w:val="left"/>
              <w:rPr>
                <w:rFonts w:ascii="Times New Roman" w:hAnsi="Times New Roman" w:cs="Times New Roman" w:eastAsia="Times New Roman" w:hint="default"/>
                <w:sz w:val="18"/>
                <w:szCs w:val="18"/>
              </w:rPr>
            </w:pPr>
            <w:r>
              <w:rPr>
                <w:rFonts w:ascii="Times New Roman"/>
                <w:sz w:val="18"/>
              </w:rPr>
              <w:t>everalbum, inc</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1,984,520.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19</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1,984,520.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19</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0.72%</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woobo</w:t>
            </w:r>
            <w:r>
              <w:rPr>
                <w:rFonts w:ascii="Times New Roman"/>
                <w:spacing w:val="-1"/>
                <w:sz w:val="18"/>
              </w:rPr>
              <w:t> </w:t>
            </w:r>
            <w:r>
              <w:rPr>
                <w:rFonts w:ascii="Times New Roman"/>
                <w:sz w:val="18"/>
              </w:rPr>
              <w:t>inc</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5,250,880.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5,250,880.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株式会社</w:t>
            </w:r>
          </w:p>
          <w:p>
            <w:pPr>
              <w:pStyle w:val="TableParagraph"/>
              <w:spacing w:line="240" w:lineRule="auto" w:before="117"/>
              <w:ind w:left="22" w:right="0"/>
              <w:jc w:val="left"/>
              <w:rPr>
                <w:rFonts w:ascii="Times New Roman" w:hAnsi="Times New Roman" w:cs="Times New Roman" w:eastAsia="Times New Roman" w:hint="default"/>
                <w:sz w:val="18"/>
                <w:szCs w:val="18"/>
              </w:rPr>
            </w:pPr>
            <w:r>
              <w:rPr>
                <w:rFonts w:ascii="Times New Roman"/>
                <w:sz w:val="18"/>
              </w:rPr>
              <w:t>knetp</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39,006,461</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39,006,461</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112"/>
              <w:jc w:val="left"/>
              <w:rPr>
                <w:rFonts w:ascii="Times New Roman" w:hAnsi="Times New Roman" w:cs="Times New Roman" w:eastAsia="Times New Roman" w:hint="default"/>
                <w:sz w:val="18"/>
                <w:szCs w:val="18"/>
              </w:rPr>
            </w:pPr>
            <w:r>
              <w:rPr>
                <w:rFonts w:ascii="Times New Roman"/>
                <w:sz w:val="18"/>
              </w:rPr>
              <w:t>source</w:t>
            </w:r>
            <w:r>
              <w:rPr>
                <w:rFonts w:ascii="Times New Roman"/>
                <w:w w:val="99"/>
                <w:sz w:val="18"/>
              </w:rPr>
              <w:t> </w:t>
            </w:r>
            <w:r>
              <w:rPr>
                <w:rFonts w:ascii="Times New Roman"/>
                <w:sz w:val="18"/>
              </w:rPr>
              <w:t>code fund</w:t>
            </w:r>
            <w:r>
              <w:rPr>
                <w:rFonts w:ascii="Times New Roman"/>
                <w:w w:val="99"/>
                <w:sz w:val="18"/>
              </w:rPr>
              <w:t> </w:t>
            </w:r>
            <w:r>
              <w:rPr>
                <w:rFonts w:ascii="Times New Roman"/>
                <w:sz w:val="18"/>
              </w:rPr>
              <w:t>II</w:t>
            </w:r>
            <w:r>
              <w:rPr>
                <w:rFonts w:ascii="Times New Roman"/>
                <w:spacing w:val="-2"/>
                <w:sz w:val="18"/>
              </w:rPr>
              <w:t> </w:t>
            </w:r>
            <w:r>
              <w:rPr>
                <w:rFonts w:ascii="Times New Roman"/>
                <w:sz w:val="18"/>
              </w:rPr>
              <w:t>l.p.</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31,134,545</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31,134,545</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3.16%</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北京福瑞 车美信息 技术有限 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68,813,400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93,813,400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14.60%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29"/>
              <w:jc w:val="left"/>
              <w:rPr>
                <w:rFonts w:ascii="Times New Roman" w:hAnsi="Times New Roman" w:cs="Times New Roman" w:eastAsia="Times New Roman" w:hint="default"/>
                <w:sz w:val="18"/>
                <w:szCs w:val="18"/>
              </w:rPr>
            </w:pPr>
            <w:r>
              <w:rPr>
                <w:rFonts w:ascii="Times New Roman"/>
                <w:sz w:val="18"/>
              </w:rPr>
              <w:t>source</w:t>
            </w:r>
            <w:r>
              <w:rPr>
                <w:rFonts w:ascii="Times New Roman"/>
                <w:w w:val="99"/>
                <w:sz w:val="18"/>
              </w:rPr>
              <w:t> </w:t>
            </w:r>
            <w:r>
              <w:rPr>
                <w:rFonts w:ascii="Times New Roman"/>
                <w:sz w:val="18"/>
              </w:rPr>
              <w:t>code fund </w:t>
            </w:r>
            <w:r>
              <w:rPr>
                <w:rFonts w:ascii="Times New Roman"/>
                <w:sz w:val="18"/>
              </w:rPr>
              <w:t>i</w:t>
            </w:r>
            <w:r>
              <w:rPr>
                <w:rFonts w:ascii="Times New Roman"/>
                <w:w w:val="99"/>
                <w:sz w:val="18"/>
              </w:rPr>
              <w:t> </w:t>
            </w:r>
            <w:r>
              <w:rPr>
                <w:rFonts w:ascii="Times New Roman"/>
                <w:sz w:val="18"/>
              </w:rPr>
              <w:t>annex</w:t>
            </w:r>
            <w:r>
              <w:rPr>
                <w:rFonts w:ascii="Times New Roman"/>
                <w:spacing w:val="-4"/>
                <w:sz w:val="18"/>
              </w:rPr>
              <w:t> </w:t>
            </w:r>
            <w:r>
              <w:rPr>
                <w:rFonts w:ascii="Times New Roman"/>
                <w:sz w:val="18"/>
              </w:rPr>
              <w:t>l.p.</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18,692,641</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.39</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18,692,641</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.39</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8.45%</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yinker inc</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198,935,89</w:t>
            </w:r>
          </w:p>
          <w:p>
            <w:pPr>
              <w:pStyle w:val="TableParagraph"/>
              <w:spacing w:line="240" w:lineRule="auto" w:before="106"/>
              <w:ind w:left="521" w:right="0"/>
              <w:jc w:val="left"/>
              <w:rPr>
                <w:rFonts w:ascii="Times New Roman" w:hAnsi="Times New Roman" w:cs="Times New Roman" w:eastAsia="Times New Roman" w:hint="default"/>
                <w:sz w:val="18"/>
                <w:szCs w:val="18"/>
              </w:rPr>
            </w:pPr>
            <w:r>
              <w:rPr>
                <w:rFonts w:ascii="Times New Roman"/>
                <w:sz w:val="18"/>
              </w:rPr>
              <w:t>5.08</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198,935,89</w:t>
            </w:r>
          </w:p>
          <w:p>
            <w:pPr>
              <w:pStyle w:val="TableParagraph"/>
              <w:spacing w:line="240" w:lineRule="auto" w:before="106"/>
              <w:ind w:left="522" w:right="0"/>
              <w:jc w:val="left"/>
              <w:rPr>
                <w:rFonts w:ascii="Times New Roman" w:hAnsi="Times New Roman" w:cs="Times New Roman" w:eastAsia="Times New Roman" w:hint="default"/>
                <w:sz w:val="18"/>
                <w:szCs w:val="18"/>
              </w:rPr>
            </w:pPr>
            <w:r>
              <w:rPr>
                <w:rFonts w:ascii="Times New Roman"/>
                <w:sz w:val="18"/>
              </w:rPr>
              <w:t>5.08</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舟谱数据 技术南京 有限公司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杭州捕翼 网络科技 有限公司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36,500,000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36,500,000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5.29%</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重庆奥菲 科网络科 技有限公 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10.00%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杭州如涵 控股股份 有限公司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50,028,888</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.52</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50,028,888</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.52</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4.98%</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成都趣睡 科技有限 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2.94%</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174"/>
              <w:jc w:val="left"/>
              <w:rPr>
                <w:rFonts w:ascii="Times New Roman" w:hAnsi="Times New Roman" w:cs="Times New Roman" w:eastAsia="Times New Roman" w:hint="default"/>
                <w:sz w:val="18"/>
                <w:szCs w:val="18"/>
              </w:rPr>
            </w:pPr>
            <w:r>
              <w:rPr>
                <w:rFonts w:ascii="Times New Roman"/>
                <w:sz w:val="18"/>
              </w:rPr>
              <w:t>gx</w:t>
            </w:r>
            <w:r>
              <w:rPr>
                <w:rFonts w:ascii="Times New Roman"/>
                <w:spacing w:val="-1"/>
                <w:sz w:val="18"/>
              </w:rPr>
              <w:t> </w:t>
            </w:r>
            <w:r>
              <w:rPr>
                <w:rFonts w:ascii="Times New Roman"/>
                <w:sz w:val="18"/>
              </w:rPr>
              <w:t>music</w:t>
            </w:r>
            <w:r>
              <w:rPr>
                <w:rFonts w:ascii="Times New Roman"/>
                <w:sz w:val="18"/>
              </w:rPr>
              <w:t> limited</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133,362,00</w:t>
            </w:r>
          </w:p>
          <w:p>
            <w:pPr>
              <w:pStyle w:val="TableParagraph"/>
              <w:spacing w:line="240" w:lineRule="auto" w:before="106"/>
              <w:ind w:left="521"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133,362,00</w:t>
            </w:r>
          </w:p>
          <w:p>
            <w:pPr>
              <w:pStyle w:val="TableParagraph"/>
              <w:spacing w:line="240" w:lineRule="auto" w:before="106"/>
              <w:ind w:left="521"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1,819,556,</w:t>
            </w:r>
          </w:p>
          <w:p>
            <w:pPr>
              <w:pStyle w:val="TableParagraph"/>
              <w:spacing w:line="240" w:lineRule="auto" w:before="106"/>
              <w:ind w:left="341" w:right="0"/>
              <w:jc w:val="left"/>
              <w:rPr>
                <w:rFonts w:ascii="Times New Roman" w:hAnsi="Times New Roman" w:cs="Times New Roman" w:eastAsia="Times New Roman" w:hint="default"/>
                <w:sz w:val="18"/>
                <w:szCs w:val="18"/>
              </w:rPr>
            </w:pPr>
            <w:r>
              <w:rPr>
                <w:rFonts w:ascii="Times New Roman"/>
                <w:sz w:val="18"/>
              </w:rPr>
              <w:t>191.56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61,020,000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729,278,14</w:t>
            </w:r>
          </w:p>
          <w:p>
            <w:pPr>
              <w:pStyle w:val="TableParagraph"/>
              <w:spacing w:line="240" w:lineRule="auto" w:before="106"/>
              <w:ind w:left="521" w:right="0"/>
              <w:jc w:val="left"/>
              <w:rPr>
                <w:rFonts w:ascii="Times New Roman" w:hAnsi="Times New Roman" w:cs="Times New Roman" w:eastAsia="Times New Roman" w:hint="default"/>
                <w:sz w:val="18"/>
                <w:szCs w:val="18"/>
              </w:rPr>
            </w:pPr>
            <w:r>
              <w:rPr>
                <w:rFonts w:ascii="Times New Roman"/>
                <w:sz w:val="18"/>
              </w:rPr>
              <w:t>6.73</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1,151,298,</w:t>
            </w:r>
          </w:p>
          <w:p>
            <w:pPr>
              <w:pStyle w:val="TableParagraph"/>
              <w:spacing w:line="240" w:lineRule="auto" w:before="106"/>
              <w:ind w:left="342" w:right="0"/>
              <w:jc w:val="left"/>
              <w:rPr>
                <w:rFonts w:ascii="Times New Roman" w:hAnsi="Times New Roman" w:cs="Times New Roman" w:eastAsia="Times New Roman" w:hint="default"/>
                <w:sz w:val="18"/>
                <w:szCs w:val="18"/>
              </w:rPr>
            </w:pPr>
            <w:r>
              <w:rPr>
                <w:rFonts w:ascii="Times New Roman"/>
                <w:sz w:val="18"/>
              </w:rPr>
              <w:t>044.83</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347,826.10</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2"/>
        <w:rPr>
          <w:rFonts w:ascii="Times New Roman" w:hAnsi="Times New Roman" w:cs="Times New Roman" w:eastAsia="Times New Roman" w:hint="default"/>
          <w:sz w:val="28"/>
          <w:szCs w:val="28"/>
        </w:rPr>
      </w:pPr>
    </w:p>
    <w:p>
      <w:pPr>
        <w:pStyle w:val="Heading6"/>
        <w:spacing w:line="240" w:lineRule="auto" w:before="35"/>
        <w:ind w:left="1133" w:right="998"/>
        <w:jc w:val="left"/>
        <w:rPr>
          <w:b w:val="0"/>
          <w:bCs w:val="0"/>
        </w:rPr>
      </w:pPr>
      <w:bookmarkStart w:name="（4）报告期内可供出售金融资产减值的变动情况" w:id="285"/>
      <w:bookmarkEnd w:id="285"/>
      <w:r>
        <w:rPr>
          <w:b w:val="0"/>
          <w:bCs w:val="0"/>
        </w:rPr>
      </w:r>
      <w:r>
        <w:rPr/>
        <w:t>（</w:t>
      </w:r>
      <w:r>
        <w:rPr>
          <w:rFonts w:ascii="Times New Roman" w:hAnsi="Times New Roman" w:cs="Times New Roman" w:eastAsia="Times New Roman" w:hint="default"/>
        </w:rPr>
        <w:t>4</w:t>
      </w:r>
      <w:r>
        <w:rPr/>
        <w:t>）报告期内可供出售金融资产减值的变动情况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914"/>
        <w:gridCol w:w="1914"/>
        <w:gridCol w:w="1925"/>
        <w:gridCol w:w="1903"/>
        <w:gridCol w:w="1903"/>
      </w:tblGrid>
      <w:tr>
        <w:trPr>
          <w:trHeight w:val="40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1"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25" w:type="dxa"/>
            <w:tcBorders>
              <w:top w:val="single" w:sz="4" w:space="0" w:color="000000"/>
              <w:left w:val="single" w:sz="4" w:space="0" w:color="000000"/>
              <w:bottom w:val="single" w:sz="4" w:space="0" w:color="000000"/>
              <w:right w:val="single" w:sz="9" w:space="0" w:color="E0FFFF"/>
            </w:tcBorders>
            <w:shd w:val="clear" w:color="auto" w:fill="D2D2D2"/>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03"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5）可供出售权益工具期末公允价值严重下跌或非暂时性下跌但未计提减值准备的相关说" w:id="286"/>
      <w:bookmarkEnd w:id="286"/>
      <w:r>
        <w:rPr>
          <w:b w:val="0"/>
          <w:bCs w:val="0"/>
        </w:rPr>
      </w:r>
      <w:r>
        <w:rPr/>
        <w:t>（</w:t>
      </w:r>
      <w:r>
        <w:rPr>
          <w:rFonts w:ascii="Times New Roman" w:hAnsi="Times New Roman" w:cs="Times New Roman" w:eastAsia="Times New Roman" w:hint="default"/>
        </w:rPr>
        <w:t>5</w:t>
      </w:r>
      <w:r>
        <w:rPr/>
        <w:t>）可供出售权益工具期末公允价值严重下跌或非暂时性下跌但未计提减值准备的相关说明</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08" w:right="48" w:hanging="360"/>
              <w:jc w:val="left"/>
              <w:rPr>
                <w:rFonts w:ascii="宋体" w:hAnsi="宋体" w:cs="宋体" w:eastAsia="宋体" w:hint="default"/>
                <w:sz w:val="18"/>
                <w:szCs w:val="18"/>
              </w:rPr>
            </w:pPr>
            <w:r>
              <w:rPr>
                <w:rFonts w:ascii="宋体" w:hAnsi="宋体" w:cs="宋体" w:eastAsia="宋体" w:hint="default"/>
                <w:sz w:val="18"/>
                <w:szCs w:val="18"/>
              </w:rPr>
              <w:t>可供出售权益工 具项目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8" w:right="0"/>
              <w:jc w:val="left"/>
              <w:rPr>
                <w:rFonts w:ascii="宋体" w:hAnsi="宋体" w:cs="宋体" w:eastAsia="宋体" w:hint="default"/>
                <w:sz w:val="18"/>
                <w:szCs w:val="18"/>
              </w:rPr>
            </w:pPr>
            <w:r>
              <w:rPr>
                <w:rFonts w:ascii="宋体" w:hAnsi="宋体" w:cs="宋体" w:eastAsia="宋体" w:hint="default"/>
                <w:sz w:val="18"/>
                <w:szCs w:val="18"/>
              </w:rPr>
              <w:t>期末公允价值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7" w:right="47"/>
              <w:jc w:val="left"/>
              <w:rPr>
                <w:rFonts w:ascii="宋体" w:hAnsi="宋体" w:cs="宋体" w:eastAsia="宋体" w:hint="default"/>
                <w:sz w:val="18"/>
                <w:szCs w:val="18"/>
              </w:rPr>
            </w:pPr>
            <w:r>
              <w:rPr>
                <w:rFonts w:ascii="宋体" w:hAnsi="宋体" w:cs="宋体" w:eastAsia="宋体" w:hint="default"/>
                <w:sz w:val="18"/>
                <w:szCs w:val="18"/>
              </w:rPr>
              <w:t>公允价值相对于 成本的下跌幅度</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持续下跌时间</w:t>
            </w:r>
          </w:p>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（个月）</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 w:right="0"/>
              <w:jc w:val="left"/>
              <w:rPr>
                <w:rFonts w:ascii="宋体" w:hAnsi="宋体" w:cs="宋体" w:eastAsia="宋体" w:hint="default"/>
                <w:sz w:val="18"/>
                <w:szCs w:val="18"/>
              </w:rPr>
            </w:pPr>
            <w:r>
              <w:rPr>
                <w:rFonts w:ascii="宋体" w:hAnsi="宋体" w:cs="宋体" w:eastAsia="宋体" w:hint="default"/>
                <w:sz w:val="18"/>
                <w:szCs w:val="18"/>
              </w:rPr>
              <w:t>已计提减值金额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 w:right="0"/>
              <w:jc w:val="left"/>
              <w:rPr>
                <w:rFonts w:ascii="宋体" w:hAnsi="宋体" w:cs="宋体" w:eastAsia="宋体" w:hint="default"/>
                <w:sz w:val="18"/>
                <w:szCs w:val="18"/>
              </w:rPr>
            </w:pPr>
            <w:r>
              <w:rPr>
                <w:rFonts w:ascii="宋体" w:hAnsi="宋体" w:cs="宋体" w:eastAsia="宋体" w:hint="default"/>
                <w:sz w:val="18"/>
                <w:szCs w:val="18"/>
              </w:rPr>
              <w:t>未计提减值原因</w:t>
            </w:r>
          </w:p>
        </w:tc>
      </w:tr>
    </w:tbl>
    <w:p>
      <w:pPr>
        <w:spacing w:before="51"/>
        <w:ind w:left="1134" w:right="0" w:firstLine="0"/>
        <w:jc w:val="both"/>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56" w:lineRule="auto" w:before="90"/>
        <w:ind w:right="1131"/>
        <w:jc w:val="both"/>
      </w:pPr>
      <w:r>
        <w:rPr/>
        <w:t>说明：本年可供出售金融资产减少</w:t>
      </w:r>
      <w:r>
        <w:rPr>
          <w:rFonts w:ascii="Times New Roman" w:hAnsi="Times New Roman" w:cs="Times New Roman" w:eastAsia="Times New Roman" w:hint="default"/>
        </w:rPr>
        <w:t>729,278,146.73</w:t>
      </w:r>
      <w:r>
        <w:rPr/>
        <w:t>元，其中</w:t>
      </w:r>
      <w:r>
        <w:rPr>
          <w:rFonts w:ascii="Times New Roman" w:hAnsi="Times New Roman" w:cs="Times New Roman" w:eastAsia="Times New Roman" w:hint="default"/>
        </w:rPr>
        <w:t>Kunlun</w:t>
      </w:r>
      <w:r>
        <w:rPr>
          <w:rFonts w:ascii="Times New Roman" w:hAnsi="Times New Roman" w:cs="Times New Roman" w:eastAsia="Times New Roman" w:hint="default"/>
          <w:spacing w:val="-39"/>
        </w:rPr>
        <w:t> </w:t>
      </w:r>
      <w:r>
        <w:rPr>
          <w:rFonts w:ascii="Times New Roman" w:hAnsi="Times New Roman" w:cs="Times New Roman" w:eastAsia="Times New Roman" w:hint="default"/>
        </w:rPr>
        <w:t>AI</w:t>
      </w:r>
      <w:r>
        <w:rPr>
          <w:rFonts w:ascii="Times New Roman" w:hAnsi="Times New Roman" w:cs="Times New Roman" w:eastAsia="Times New Roman" w:hint="default"/>
          <w:spacing w:val="-39"/>
        </w:rPr>
        <w:t> </w:t>
      </w:r>
      <w:r>
        <w:rPr>
          <w:rFonts w:ascii="Times New Roman" w:hAnsi="Times New Roman" w:cs="Times New Roman" w:eastAsia="Times New Roman" w:hint="default"/>
        </w:rPr>
        <w:t>INC</w:t>
      </w:r>
      <w:r>
        <w:rPr/>
        <w:t>减少</w:t>
      </w:r>
      <w:r>
        <w:rPr>
          <w:rFonts w:ascii="Times New Roman" w:hAnsi="Times New Roman" w:cs="Times New Roman" w:eastAsia="Times New Roman" w:hint="default"/>
        </w:rPr>
        <w:t>19,585,200.00</w:t>
      </w:r>
      <w:r>
        <w:rPr/>
        <w:t>元、株式会减少 </w:t>
      </w:r>
      <w:r>
        <w:rPr>
          <w:rFonts w:ascii="Times New Roman" w:hAnsi="Times New Roman" w:cs="Times New Roman" w:eastAsia="Times New Roman" w:hint="default"/>
        </w:rPr>
        <w:t>knetp</w:t>
      </w:r>
      <w:r>
        <w:rPr>
          <w:rFonts w:ascii="Times New Roman" w:hAnsi="Times New Roman" w:cs="Times New Roman" w:eastAsia="Times New Roman" w:hint="default"/>
          <w:spacing w:val="24"/>
        </w:rPr>
        <w:t> </w:t>
      </w:r>
      <w:r>
        <w:rPr>
          <w:rFonts w:ascii="Times New Roman" w:hAnsi="Times New Roman" w:cs="Times New Roman" w:eastAsia="Times New Roman" w:hint="default"/>
          <w:spacing w:val="-2"/>
        </w:rPr>
        <w:t>39,006,461.00</w:t>
      </w:r>
      <w:r>
        <w:rPr>
          <w:spacing w:val="-2"/>
        </w:rPr>
        <w:t>元为被投资单位经营不善、不再具有可持续经营能力决定解散注销；其余减少为股权处</w:t>
      </w:r>
      <w:r>
        <w:rPr>
          <w:spacing w:val="-98"/>
        </w:rPr>
        <w:t> </w:t>
      </w:r>
      <w:r>
        <w:rPr>
          <w:spacing w:val="-98"/>
        </w:rPr>
      </w:r>
      <w:r>
        <w:rPr/>
        <w:t>置或投资成本收回减少，相关损益情况详见本附注五（三十七）投资收益。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62"/>
        <w:ind w:left="1133" w:right="0"/>
        <w:jc w:val="both"/>
        <w:rPr>
          <w:b w:val="0"/>
          <w:bCs w:val="0"/>
        </w:rPr>
      </w:pPr>
      <w:bookmarkStart w:name="15、持有至到期投资" w:id="287"/>
      <w:bookmarkEnd w:id="287"/>
      <w:r>
        <w:rPr>
          <w:b w:val="0"/>
          <w:bCs w:val="0"/>
        </w:rPr>
      </w:r>
      <w:r>
        <w:rPr>
          <w:rFonts w:ascii="Times New Roman" w:hAnsi="Times New Roman" w:cs="Times New Roman" w:eastAsia="Times New Roman" w:hint="default"/>
        </w:rPr>
        <w:t>15</w:t>
      </w:r>
      <w:r>
        <w:rPr/>
        <w:t>、持有至到期投资</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0"/>
        <w:jc w:val="both"/>
        <w:rPr>
          <w:b w:val="0"/>
          <w:bCs w:val="0"/>
        </w:rPr>
      </w:pPr>
      <w:bookmarkStart w:name="（1）持有至到期投资情况" w:id="288"/>
      <w:bookmarkEnd w:id="288"/>
      <w:r>
        <w:rPr>
          <w:b w:val="0"/>
          <w:bCs w:val="0"/>
        </w:rPr>
      </w:r>
      <w:r>
        <w:rPr/>
        <w:t>（</w:t>
      </w:r>
      <w:r>
        <w:rPr>
          <w:rFonts w:ascii="Times New Roman" w:hAnsi="Times New Roman" w:cs="Times New Roman" w:eastAsia="Times New Roman" w:hint="default"/>
        </w:rPr>
        <w:t>1</w:t>
      </w:r>
      <w:r>
        <w:rPr/>
        <w:t>）持有至到期投资情况</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2）期末重要的持有至到期投资" w:id="289"/>
      <w:bookmarkEnd w:id="289"/>
      <w:r>
        <w:rPr>
          <w:b w:val="0"/>
          <w:bCs w:val="0"/>
        </w:rPr>
      </w:r>
      <w:r>
        <w:rPr/>
        <w:t>（</w:t>
      </w:r>
      <w:r>
        <w:rPr>
          <w:rFonts w:ascii="Times New Roman" w:hAnsi="Times New Roman" w:cs="Times New Roman" w:eastAsia="Times New Roman" w:hint="default"/>
        </w:rPr>
        <w:t>2</w:t>
      </w:r>
      <w:r>
        <w:rPr/>
        <w:t>）期末重要的持有至到期投资</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912"/>
        <w:gridCol w:w="1917"/>
        <w:gridCol w:w="1914"/>
        <w:gridCol w:w="1914"/>
        <w:gridCol w:w="1903"/>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0" w:right="0"/>
              <w:jc w:val="left"/>
              <w:rPr>
                <w:rFonts w:ascii="宋体" w:hAnsi="宋体" w:cs="宋体" w:eastAsia="宋体" w:hint="default"/>
                <w:sz w:val="18"/>
                <w:szCs w:val="18"/>
              </w:rPr>
            </w:pPr>
            <w:r>
              <w:rPr>
                <w:rFonts w:ascii="宋体" w:hAnsi="宋体" w:cs="宋体" w:eastAsia="宋体" w:hint="default"/>
                <w:sz w:val="18"/>
                <w:szCs w:val="18"/>
              </w:rPr>
              <w:t>债券项目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面值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到期日</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3）本期重分类的持有至到期投资" w:id="290"/>
      <w:bookmarkEnd w:id="290"/>
      <w:r>
        <w:rPr>
          <w:b w:val="0"/>
          <w:bCs w:val="0"/>
        </w:rPr>
      </w:r>
      <w:r>
        <w:rPr/>
        <w:t>（</w:t>
      </w:r>
      <w:r>
        <w:rPr>
          <w:rFonts w:ascii="Times New Roman" w:hAnsi="Times New Roman" w:cs="Times New Roman" w:eastAsia="Times New Roman" w:hint="default"/>
        </w:rPr>
        <w:t>3</w:t>
      </w:r>
      <w:r>
        <w:rPr/>
        <w:t>）本期重分类的持有至到期投资</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6"/>
        <w:spacing w:line="240" w:lineRule="auto"/>
        <w:ind w:right="998"/>
        <w:jc w:val="left"/>
        <w:rPr>
          <w:b w:val="0"/>
          <w:bCs w:val="0"/>
        </w:rPr>
      </w:pPr>
      <w:bookmarkStart w:name="16、长期应收款" w:id="291"/>
      <w:bookmarkEnd w:id="291"/>
      <w:r>
        <w:rPr>
          <w:b w:val="0"/>
          <w:bCs w:val="0"/>
        </w:rPr>
      </w:r>
      <w:r>
        <w:rPr>
          <w:rFonts w:ascii="Times New Roman" w:hAnsi="Times New Roman" w:cs="Times New Roman" w:eastAsia="Times New Roman" w:hint="default"/>
        </w:rPr>
        <w:t>16</w:t>
      </w:r>
      <w:r>
        <w:rPr/>
        <w:t>、长期应收款</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right="998"/>
        <w:jc w:val="left"/>
        <w:rPr>
          <w:b w:val="0"/>
          <w:bCs w:val="0"/>
        </w:rPr>
      </w:pPr>
      <w:bookmarkStart w:name="（1）长期应收款情况" w:id="292"/>
      <w:bookmarkEnd w:id="292"/>
      <w:r>
        <w:rPr>
          <w:b w:val="0"/>
          <w:bCs w:val="0"/>
        </w:rPr>
      </w:r>
      <w:r>
        <w:rPr/>
        <w:t>（</w:t>
      </w:r>
      <w:r>
        <w:rPr>
          <w:rFonts w:ascii="Times New Roman" w:hAnsi="Times New Roman" w:cs="Times New Roman" w:eastAsia="Times New Roman" w:hint="default"/>
        </w:rPr>
        <w:t>1</w:t>
      </w:r>
      <w:r>
        <w:rPr/>
        <w:t>）长期应收款情况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403"/>
        <w:gridCol w:w="1168"/>
        <w:gridCol w:w="1167"/>
        <w:gridCol w:w="1168"/>
        <w:gridCol w:w="1166"/>
        <w:gridCol w:w="1169"/>
        <w:gridCol w:w="1164"/>
        <w:gridCol w:w="1165"/>
      </w:tblGrid>
      <w:tr>
        <w:trPr>
          <w:trHeight w:val="402" w:hRule="exact"/>
        </w:trPr>
        <w:tc>
          <w:tcPr>
            <w:tcW w:w="14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0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1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28" w:right="0"/>
              <w:jc w:val="left"/>
              <w:rPr>
                <w:rFonts w:ascii="宋体" w:hAnsi="宋体" w:cs="宋体" w:eastAsia="宋体" w:hint="default"/>
                <w:sz w:val="18"/>
                <w:szCs w:val="18"/>
              </w:rPr>
            </w:pPr>
            <w:r>
              <w:rPr>
                <w:rFonts w:ascii="宋体" w:hAnsi="宋体" w:cs="宋体" w:eastAsia="宋体" w:hint="default"/>
                <w:sz w:val="18"/>
                <w:szCs w:val="18"/>
              </w:rPr>
              <w:t>折现率区间</w:t>
            </w:r>
          </w:p>
        </w:tc>
      </w:tr>
      <w:tr>
        <w:trPr>
          <w:trHeight w:val="402" w:hRule="exact"/>
        </w:trPr>
        <w:tc>
          <w:tcPr>
            <w:tcW w:w="1403" w:type="dxa"/>
            <w:vMerge/>
            <w:tcBorders>
              <w:left w:val="single" w:sz="4" w:space="0" w:color="000000"/>
              <w:bottom w:val="single" w:sz="4" w:space="0" w:color="000000"/>
              <w:right w:val="single" w:sz="4" w:space="0" w:color="000000"/>
            </w:tcBorders>
            <w:shd w:val="clear" w:color="auto" w:fill="D2D2D2"/>
          </w:tcPr>
          <w:p>
            <w:pPr/>
          </w:p>
        </w:tc>
        <w:tc>
          <w:tcPr>
            <w:tcW w:w="1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5"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87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2）因金融资产转移而终止确认的长期应收款" w:id="293"/>
      <w:bookmarkEnd w:id="293"/>
      <w:r>
        <w:rPr>
          <w:b w:val="0"/>
          <w:bCs w:val="0"/>
        </w:rPr>
      </w:r>
      <w:r>
        <w:rPr/>
        <w:t>（</w:t>
      </w:r>
      <w:r>
        <w:rPr>
          <w:rFonts w:ascii="Times New Roman" w:hAnsi="Times New Roman" w:cs="Times New Roman" w:eastAsia="Times New Roman" w:hint="default"/>
        </w:rPr>
        <w:t>2</w:t>
      </w:r>
      <w:r>
        <w:rPr/>
        <w:t>）因金融资产转移而终止确认的长期应收款</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3）转移长期应收款且继续涉入形成的资产、负债金额" w:id="294"/>
      <w:bookmarkEnd w:id="294"/>
      <w:r>
        <w:rPr>
          <w:b w:val="0"/>
          <w:bCs w:val="0"/>
        </w:rPr>
      </w:r>
      <w:r>
        <w:rPr/>
        <w:t>（</w:t>
      </w:r>
      <w:r>
        <w:rPr>
          <w:rFonts w:ascii="Times New Roman" w:hAnsi="Times New Roman" w:cs="Times New Roman" w:eastAsia="Times New Roman" w:hint="default"/>
        </w:rPr>
        <w:t>3</w:t>
      </w:r>
      <w:r>
        <w:rPr/>
        <w:t>）转移长期应收款且继续涉入形成的资产、负债金额</w:t>
      </w:r>
      <w:r>
        <w:rPr>
          <w:b w:val="0"/>
          <w:bCs w:val="0"/>
        </w:rPr>
      </w:r>
    </w:p>
    <w:p>
      <w:pPr>
        <w:spacing w:line="240" w:lineRule="auto" w:before="8"/>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17、长期股权投资" w:id="295"/>
      <w:bookmarkEnd w:id="295"/>
      <w:r>
        <w:rPr>
          <w:b w:val="0"/>
          <w:bCs w:val="0"/>
        </w:rPr>
      </w:r>
      <w:r>
        <w:rPr>
          <w:rFonts w:ascii="Times New Roman" w:hAnsi="Times New Roman" w:cs="Times New Roman" w:eastAsia="Times New Roman" w:hint="default"/>
        </w:rPr>
        <w:t>17</w:t>
      </w:r>
      <w:r>
        <w:rPr/>
        <w:t>、长期股权投资</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9" w:lineRule="auto"/>
              <w:ind w:left="302" w:right="33"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9"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6"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31"/>
              <w:jc w:val="righ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32"/>
              <w:jc w:val="righ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3" w:right="33"/>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3" w:right="3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3" w:right="33"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北京信达 天下科技 有限公司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12,598,09</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2.48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12,598,09</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2.48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广州酷麦 信息科技 有限公司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9,194,520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.76</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-632,646.</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8,561,874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.36</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北京艺动 网络科技 有限公司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5,540,283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-591,304.</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4,948,979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.57</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81"/>
              <w:jc w:val="both"/>
              <w:rPr>
                <w:rFonts w:ascii="Times New Roman" w:hAnsi="Times New Roman" w:cs="Times New Roman" w:eastAsia="Times New Roman" w:hint="default"/>
                <w:sz w:val="18"/>
                <w:szCs w:val="18"/>
              </w:rPr>
            </w:pPr>
            <w:r>
              <w:rPr>
                <w:rFonts w:ascii="Times New Roman"/>
                <w:sz w:val="18"/>
              </w:rPr>
              <w:t>KunhooS</w:t>
            </w:r>
            <w:r>
              <w:rPr>
                <w:rFonts w:ascii="Times New Roman"/>
                <w:w w:val="99"/>
                <w:sz w:val="18"/>
              </w:rPr>
              <w:t> </w:t>
            </w:r>
            <w:r>
              <w:rPr>
                <w:rFonts w:ascii="Times New Roman"/>
                <w:sz w:val="18"/>
              </w:rPr>
              <w:t>oftwareL</w:t>
            </w:r>
            <w:r>
              <w:rPr>
                <w:rFonts w:ascii="Times New Roman"/>
                <w:w w:val="99"/>
                <w:sz w:val="18"/>
              </w:rPr>
              <w:t> </w:t>
            </w:r>
            <w:r>
              <w:rPr>
                <w:rFonts w:ascii="Times New Roman"/>
                <w:sz w:val="18"/>
              </w:rPr>
              <w:t>LC</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center"/>
              <w:rPr>
                <w:rFonts w:ascii="Times New Roman" w:hAnsi="Times New Roman" w:cs="Times New Roman" w:eastAsia="Times New Roman" w:hint="default"/>
                <w:sz w:val="18"/>
                <w:szCs w:val="18"/>
              </w:rPr>
            </w:pPr>
            <w:r>
              <w:rPr>
                <w:rFonts w:ascii="Times New Roman"/>
                <w:sz w:val="18"/>
              </w:rPr>
              <w:t>1,285,794</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,075.66</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9,163,745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7,683,459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 w:right="0"/>
              <w:jc w:val="center"/>
              <w:rPr>
                <w:rFonts w:ascii="Times New Roman" w:hAnsi="Times New Roman" w:cs="Times New Roman" w:eastAsia="Times New Roman" w:hint="default"/>
                <w:sz w:val="18"/>
                <w:szCs w:val="18"/>
              </w:rPr>
            </w:pPr>
            <w:r>
              <w:rPr>
                <w:rFonts w:ascii="Times New Roman"/>
                <w:sz w:val="18"/>
              </w:rPr>
              <w:t>1,302,641</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,280.98</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both"/>
              <w:rPr>
                <w:rFonts w:ascii="宋体" w:hAnsi="宋体" w:cs="宋体" w:eastAsia="宋体" w:hint="default"/>
                <w:sz w:val="18"/>
                <w:szCs w:val="18"/>
              </w:rPr>
            </w:pPr>
            <w:r>
              <w:rPr>
                <w:rFonts w:ascii="宋体" w:hAnsi="宋体" w:cs="宋体" w:eastAsia="宋体" w:hint="default"/>
                <w:sz w:val="18"/>
                <w:szCs w:val="18"/>
              </w:rPr>
              <w:t>知春畅想</w:t>
            </w:r>
          </w:p>
          <w:p>
            <w:pPr>
              <w:pStyle w:val="TableParagraph"/>
              <w:spacing w:line="319" w:lineRule="auto" w:before="75"/>
              <w:ind w:left="22" w:right="41"/>
              <w:jc w:val="both"/>
              <w:rPr>
                <w:rFonts w:ascii="宋体" w:hAnsi="宋体" w:cs="宋体" w:eastAsia="宋体" w:hint="default"/>
                <w:sz w:val="18"/>
                <w:szCs w:val="18"/>
              </w:rPr>
            </w:pPr>
            <w:r>
              <w:rPr>
                <w:rFonts w:ascii="宋体" w:hAnsi="宋体" w:cs="宋体" w:eastAsia="宋体" w:hint="default"/>
                <w:sz w:val="18"/>
                <w:szCs w:val="18"/>
              </w:rPr>
              <w:t>（北京） 科技有限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14,190,08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5.88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13,554,80</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6.92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-635,278.</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北京徒子 文化有限 公司</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14,000,00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-577,541.</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21</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13,422,45</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8.79</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71"/>
              <w:jc w:val="left"/>
              <w:rPr>
                <w:rFonts w:ascii="Times New Roman" w:hAnsi="Times New Roman" w:cs="Times New Roman" w:eastAsia="Times New Roman" w:hint="default"/>
                <w:sz w:val="18"/>
                <w:szCs w:val="18"/>
              </w:rPr>
            </w:pPr>
            <w:r>
              <w:rPr>
                <w:rFonts w:ascii="Times New Roman"/>
                <w:sz w:val="18"/>
              </w:rPr>
              <w:t>Pandand</w:t>
            </w:r>
            <w:r>
              <w:rPr>
                <w:rFonts w:ascii="Times New Roman"/>
                <w:w w:val="99"/>
                <w:sz w:val="18"/>
              </w:rPr>
              <w:t> </w:t>
            </w:r>
            <w:r>
              <w:rPr>
                <w:rFonts w:ascii="Times New Roman"/>
                <w:sz w:val="18"/>
              </w:rPr>
              <w:t>mobileltd</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68,645.60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-68,645.6</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浙江太梦 科技有限 公司</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-81,094.9</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2,018,905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.02</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5" w:right="0"/>
              <w:jc w:val="left"/>
              <w:rPr>
                <w:rFonts w:ascii="Times New Roman" w:hAnsi="Times New Roman" w:cs="Times New Roman" w:eastAsia="Times New Roman" w:hint="default"/>
                <w:sz w:val="18"/>
                <w:szCs w:val="18"/>
              </w:rPr>
            </w:pPr>
            <w:r>
              <w:rPr>
                <w:rFonts w:ascii="Times New Roman"/>
                <w:sz w:val="18"/>
              </w:rPr>
              <w:t>1,327,317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16,168,64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26,152,89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4" w:right="0"/>
              <w:jc w:val="left"/>
              <w:rPr>
                <w:rFonts w:ascii="Times New Roman" w:hAnsi="Times New Roman" w:cs="Times New Roman" w:eastAsia="Times New Roman" w:hint="default"/>
                <w:sz w:val="18"/>
                <w:szCs w:val="18"/>
              </w:rPr>
            </w:pPr>
            <w:r>
              <w:rPr>
                <w:rFonts w:ascii="Times New Roman"/>
                <w:sz w:val="18"/>
              </w:rPr>
              <w:t>6,577,234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4" w:right="0"/>
              <w:jc w:val="left"/>
              <w:rPr>
                <w:rFonts w:ascii="Times New Roman" w:hAnsi="Times New Roman" w:cs="Times New Roman" w:eastAsia="Times New Roman" w:hint="default"/>
                <w:sz w:val="18"/>
                <w:szCs w:val="18"/>
              </w:rPr>
            </w:pPr>
            <w:r>
              <w:rPr>
                <w:rFonts w:ascii="Times New Roman"/>
                <w:sz w:val="18"/>
              </w:rPr>
              <w:t>7,683,459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4" w:right="0"/>
              <w:jc w:val="left"/>
              <w:rPr>
                <w:rFonts w:ascii="Times New Roman" w:hAnsi="Times New Roman" w:cs="Times New Roman" w:eastAsia="Times New Roman" w:hint="default"/>
                <w:sz w:val="18"/>
                <w:szCs w:val="18"/>
              </w:rPr>
            </w:pPr>
            <w:r>
              <w:rPr>
                <w:rFonts w:ascii="Times New Roman"/>
                <w:sz w:val="18"/>
              </w:rPr>
              <w:t>1,331,593</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362"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5" w:right="0"/>
              <w:jc w:val="left"/>
              <w:rPr>
                <w:rFonts w:ascii="Times New Roman" w:hAnsi="Times New Roman" w:cs="Times New Roman" w:eastAsia="Times New Roman" w:hint="default"/>
                <w:sz w:val="18"/>
                <w:szCs w:val="18"/>
              </w:rPr>
            </w:pPr>
            <w:r>
              <w:rPr>
                <w:rFonts w:ascii="Times New Roman"/>
                <w:sz w:val="18"/>
              </w:rPr>
              <w:t>,058.53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50" w:right="0"/>
              <w:jc w:val="left"/>
              <w:rPr>
                <w:rFonts w:ascii="Times New Roman" w:hAnsi="Times New Roman" w:cs="Times New Roman" w:eastAsia="Times New Roman" w:hint="default"/>
                <w:sz w:val="18"/>
                <w:szCs w:val="18"/>
              </w:rPr>
            </w:pPr>
            <w:r>
              <w:rPr>
                <w:rFonts w:ascii="Times New Roman"/>
                <w:sz w:val="18"/>
              </w:rPr>
              <w:t>5.60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9" w:right="0"/>
              <w:jc w:val="left"/>
              <w:rPr>
                <w:rFonts w:ascii="Times New Roman" w:hAnsi="Times New Roman" w:cs="Times New Roman" w:eastAsia="Times New Roman" w:hint="default"/>
                <w:sz w:val="18"/>
                <w:szCs w:val="18"/>
              </w:rPr>
            </w:pPr>
            <w:r>
              <w:rPr>
                <w:rFonts w:ascii="Times New Roman"/>
                <w:sz w:val="18"/>
              </w:rPr>
              <w:t>9.40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z w:val="18"/>
              </w:rPr>
              <w:t>.20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z w:val="18"/>
              </w:rPr>
              <w:t>.79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4" w:right="0"/>
              <w:jc w:val="left"/>
              <w:rPr>
                <w:rFonts w:ascii="Times New Roman" w:hAnsi="Times New Roman" w:cs="Times New Roman" w:eastAsia="Times New Roman" w:hint="default"/>
                <w:sz w:val="18"/>
                <w:szCs w:val="18"/>
              </w:rPr>
            </w:pPr>
            <w:r>
              <w:rPr>
                <w:rFonts w:ascii="Times New Roman"/>
                <w:sz w:val="18"/>
              </w:rPr>
              <w:t>,498.72</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center"/>
              <w:rPr>
                <w:rFonts w:ascii="Times New Roman" w:hAnsi="Times New Roman" w:cs="Times New Roman" w:eastAsia="Times New Roman" w:hint="default"/>
                <w:sz w:val="18"/>
                <w:szCs w:val="18"/>
              </w:rPr>
            </w:pPr>
            <w:r>
              <w:rPr>
                <w:rFonts w:ascii="Times New Roman"/>
                <w:sz w:val="18"/>
              </w:rPr>
              <w:t>1,327,317</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,058.53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16,168,64</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5.60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26,152,89</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9.40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6,577,234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7,683,459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1,331,593</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,498.72</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before="51"/>
        <w:ind w:left="1134" w:right="0" w:firstLine="0"/>
        <w:jc w:val="both"/>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56" w:lineRule="auto" w:before="91"/>
        <w:ind w:left="1134" w:right="1128"/>
        <w:jc w:val="both"/>
      </w:pPr>
      <w:r>
        <w:rPr/>
        <w:t>本期长期股权投资减少投资</w:t>
      </w:r>
      <w:r>
        <w:rPr>
          <w:rFonts w:ascii="Times New Roman" w:hAnsi="Times New Roman" w:cs="Times New Roman" w:eastAsia="Times New Roman" w:hint="default"/>
        </w:rPr>
        <w:t>26,152,899.40</w:t>
      </w:r>
      <w:r>
        <w:rPr/>
        <w:t>元，其中北京信达天下科技有限公司减少</w:t>
      </w:r>
      <w:r>
        <w:rPr>
          <w:rFonts w:ascii="Times New Roman" w:hAnsi="Times New Roman" w:cs="Times New Roman" w:eastAsia="Times New Roman" w:hint="default"/>
        </w:rPr>
        <w:t>12,598,092.48</w:t>
      </w:r>
      <w:r>
        <w:rPr/>
        <w:t>元，为本</w:t>
      </w:r>
      <w:r>
        <w:rPr>
          <w:spacing w:val="-29"/>
        </w:rPr>
        <w:t> </w:t>
      </w:r>
      <w:r>
        <w:rPr/>
        <w:t>期处置减少；知春畅想（北京）科技有限公司减少</w:t>
      </w:r>
      <w:r>
        <w:rPr>
          <w:rFonts w:ascii="Times New Roman" w:hAnsi="Times New Roman" w:cs="Times New Roman" w:eastAsia="Times New Roman" w:hint="default"/>
        </w:rPr>
        <w:t>13,554,806.92</w:t>
      </w:r>
      <w:r>
        <w:rPr/>
        <w:t>元，为公司经营不善、不在具有持续经营</w:t>
      </w:r>
      <w:r>
        <w:rPr>
          <w:spacing w:val="-80"/>
        </w:rPr>
        <w:t> </w:t>
      </w:r>
      <w:r>
        <w:rPr>
          <w:spacing w:val="-80"/>
        </w:rPr>
      </w:r>
      <w:r>
        <w:rPr/>
        <w:t>能力决定注销解散，相关损益情况详见本附注五（三十七）投资收益。</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pStyle w:val="Heading6"/>
        <w:spacing w:line="240" w:lineRule="auto"/>
        <w:ind w:right="0"/>
        <w:jc w:val="both"/>
        <w:rPr>
          <w:b w:val="0"/>
          <w:bCs w:val="0"/>
        </w:rPr>
      </w:pPr>
      <w:bookmarkStart w:name="18、投资性房地产" w:id="296"/>
      <w:bookmarkEnd w:id="296"/>
      <w:r>
        <w:rPr>
          <w:b w:val="0"/>
          <w:bCs w:val="0"/>
        </w:rPr>
      </w:r>
      <w:r>
        <w:rPr>
          <w:rFonts w:ascii="Times New Roman" w:hAnsi="Times New Roman" w:cs="Times New Roman" w:eastAsia="Times New Roman" w:hint="default"/>
        </w:rPr>
        <w:t>18</w:t>
      </w:r>
      <w:r>
        <w:rPr/>
        <w:t>、投资性房地产</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0"/>
        <w:jc w:val="both"/>
        <w:rPr>
          <w:b w:val="0"/>
          <w:bCs w:val="0"/>
        </w:rPr>
      </w:pPr>
      <w:bookmarkStart w:name="（1）采用成本计量模式的投资性房地产" w:id="297"/>
      <w:bookmarkEnd w:id="297"/>
      <w:r>
        <w:rPr>
          <w:b w:val="0"/>
          <w:bCs w:val="0"/>
        </w:rPr>
      </w: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6"/>
        <w:spacing w:line="240" w:lineRule="auto"/>
        <w:ind w:left="1133" w:right="0"/>
        <w:jc w:val="both"/>
        <w:rPr>
          <w:b w:val="0"/>
          <w:bCs w:val="0"/>
        </w:rPr>
      </w:pPr>
      <w:bookmarkStart w:name="（2）采用公允价值计量模式的投资性房地产" w:id="298"/>
      <w:bookmarkEnd w:id="298"/>
      <w:r>
        <w:rPr>
          <w:b w:val="0"/>
          <w:bCs w:val="0"/>
        </w:rPr>
      </w:r>
      <w:r>
        <w:rPr/>
        <w:t>（</w:t>
      </w:r>
      <w:r>
        <w:rPr>
          <w:rFonts w:ascii="Times New Roman" w:hAnsi="Times New Roman" w:cs="Times New Roman" w:eastAsia="Times New Roman" w:hint="default"/>
        </w:rPr>
        <w:t>2</w:t>
      </w:r>
      <w:r>
        <w:rPr/>
        <w:t>）采用公允价值计量模式的投资性房地产</w:t>
      </w:r>
      <w:r>
        <w:rPr>
          <w:b w:val="0"/>
          <w:bCs w:val="0"/>
        </w:rPr>
      </w:r>
    </w:p>
    <w:p>
      <w:pPr>
        <w:spacing w:line="240" w:lineRule="auto" w:before="9"/>
        <w:rPr>
          <w:rFonts w:ascii="宋体" w:hAnsi="宋体" w:cs="宋体" w:eastAsia="宋体" w:hint="default"/>
          <w:b/>
          <w:bCs/>
          <w:sz w:val="26"/>
          <w:szCs w:val="26"/>
        </w:rPr>
      </w:pPr>
    </w:p>
    <w:p>
      <w:pPr>
        <w:spacing w:before="0"/>
        <w:ind w:left="113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6"/>
        <w:spacing w:line="240" w:lineRule="auto"/>
        <w:ind w:left="1133" w:right="0"/>
        <w:jc w:val="both"/>
        <w:rPr>
          <w:b w:val="0"/>
          <w:bCs w:val="0"/>
        </w:rPr>
      </w:pPr>
      <w:bookmarkStart w:name="（3）未办妥产权证书的投资性房地产情况" w:id="299"/>
      <w:bookmarkEnd w:id="299"/>
      <w:r>
        <w:rPr>
          <w:b w:val="0"/>
          <w:bCs w:val="0"/>
        </w:rPr>
      </w:r>
      <w:r>
        <w:rPr/>
        <w:t>（</w:t>
      </w:r>
      <w:r>
        <w:rPr>
          <w:rFonts w:ascii="Times New Roman" w:hAnsi="Times New Roman" w:cs="Times New Roman" w:eastAsia="Times New Roman" w:hint="default"/>
        </w:rPr>
        <w:t>3</w:t>
      </w:r>
      <w:r>
        <w:rPr/>
        <w:t>）未办妥产权证书的投资性房地产情况</w:t>
      </w:r>
      <w:r>
        <w:rPr>
          <w:b w:val="0"/>
          <w:bCs w:val="0"/>
        </w:rPr>
      </w:r>
    </w:p>
    <w:p>
      <w:pPr>
        <w:spacing w:line="240" w:lineRule="auto" w:before="9"/>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1"/>
        <w:gridCol w:w="318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未办妥产权证书原因</w:t>
            </w:r>
          </w:p>
        </w:tc>
      </w:tr>
    </w:tbl>
    <w:p>
      <w:pPr>
        <w:spacing w:before="52"/>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19、固定资产" w:id="300"/>
      <w:bookmarkEnd w:id="300"/>
      <w:r>
        <w:rPr>
          <w:b w:val="0"/>
          <w:bCs w:val="0"/>
        </w:rPr>
      </w:r>
      <w:r>
        <w:rPr>
          <w:rFonts w:ascii="Times New Roman" w:hAnsi="Times New Roman" w:cs="Times New Roman" w:eastAsia="Times New Roman" w:hint="default"/>
        </w:rPr>
        <w:t>19</w:t>
      </w:r>
      <w:r>
        <w:rPr/>
        <w:t>、固定资产</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right="998"/>
        <w:jc w:val="left"/>
        <w:rPr>
          <w:b w:val="0"/>
          <w:bCs w:val="0"/>
        </w:rPr>
      </w:pPr>
      <w:bookmarkStart w:name="（1）固定资产情况" w:id="301"/>
      <w:bookmarkEnd w:id="301"/>
      <w:r>
        <w:rPr>
          <w:b w:val="0"/>
          <w:bCs w:val="0"/>
        </w:rPr>
      </w:r>
      <w:r>
        <w:rPr/>
        <w:t>（</w:t>
      </w:r>
      <w:r>
        <w:rPr>
          <w:rFonts w:ascii="Times New Roman" w:hAnsi="Times New Roman" w:cs="Times New Roman" w:eastAsia="Times New Roman" w:hint="default"/>
        </w:rPr>
        <w:t>1</w:t>
      </w:r>
      <w:r>
        <w:rPr/>
        <w:t>）固定资产情况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367"/>
        <w:gridCol w:w="1367"/>
        <w:gridCol w:w="1368"/>
        <w:gridCol w:w="1367"/>
        <w:gridCol w:w="1367"/>
        <w:gridCol w:w="1367"/>
        <w:gridCol w:w="1367"/>
      </w:tblGrid>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2"/>
              <w:ind w:left="587" w:right="47" w:hanging="540"/>
              <w:jc w:val="left"/>
              <w:rPr>
                <w:rFonts w:ascii="宋体" w:hAnsi="宋体" w:cs="宋体" w:eastAsia="宋体" w:hint="default"/>
                <w:sz w:val="18"/>
                <w:szCs w:val="18"/>
              </w:rPr>
            </w:pPr>
            <w:r>
              <w:rPr>
                <w:rFonts w:ascii="宋体" w:hAnsi="宋体" w:cs="宋体" w:eastAsia="宋体" w:hint="default"/>
                <w:sz w:val="18"/>
                <w:szCs w:val="18"/>
              </w:rPr>
              <w:t>计算机及办公设 备</w:t>
            </w:r>
          </w:p>
        </w:tc>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09" w:right="0"/>
              <w:jc w:val="left"/>
              <w:rPr>
                <w:rFonts w:ascii="宋体" w:hAnsi="宋体" w:cs="宋体" w:eastAsia="宋体" w:hint="default"/>
                <w:sz w:val="18"/>
                <w:szCs w:val="18"/>
              </w:rPr>
            </w:pPr>
            <w:r>
              <w:rPr>
                <w:rFonts w:ascii="宋体" w:hAnsi="宋体" w:cs="宋体" w:eastAsia="宋体" w:hint="default"/>
                <w:sz w:val="18"/>
                <w:szCs w:val="18"/>
              </w:rPr>
              <w:t>服务器</w:t>
            </w:r>
          </w:p>
        </w:tc>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办公家具</w:t>
            </w:r>
          </w:p>
        </w:tc>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16,242,609.32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41,992,148.04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12,338,170.61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89" w:right="0"/>
              <w:jc w:val="left"/>
              <w:rPr>
                <w:rFonts w:ascii="Times New Roman" w:hAnsi="Times New Roman" w:cs="Times New Roman" w:eastAsia="Times New Roman" w:hint="default"/>
                <w:sz w:val="18"/>
                <w:szCs w:val="18"/>
              </w:rPr>
            </w:pPr>
            <w:r>
              <w:rPr>
                <w:rFonts w:ascii="Times New Roman"/>
                <w:sz w:val="18"/>
              </w:rPr>
              <w:t>8,837,127.36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90" w:right="0"/>
              <w:jc w:val="left"/>
              <w:rPr>
                <w:rFonts w:ascii="Times New Roman" w:hAnsi="Times New Roman" w:cs="Times New Roman" w:eastAsia="Times New Roman" w:hint="default"/>
                <w:sz w:val="18"/>
                <w:szCs w:val="18"/>
              </w:rPr>
            </w:pPr>
            <w:r>
              <w:rPr>
                <w:rFonts w:ascii="Times New Roman"/>
                <w:sz w:val="18"/>
              </w:rPr>
              <w:t>1,678,900.00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81,088,955.33</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2" w:right="117"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8,931,989.33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608,379.08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1,353,188.41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89" w:right="0"/>
              <w:jc w:val="left"/>
              <w:rPr>
                <w:rFonts w:ascii="Times New Roman" w:hAnsi="Times New Roman" w:cs="Times New Roman" w:eastAsia="Times New Roman" w:hint="default"/>
                <w:sz w:val="18"/>
                <w:szCs w:val="18"/>
              </w:rPr>
            </w:pPr>
            <w:r>
              <w:rPr>
                <w:rFonts w:ascii="Times New Roman"/>
                <w:sz w:val="18"/>
              </w:rPr>
              <w:t>1,593,470.09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12,487,026.91</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6,079,137.22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608,379.08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1,353,188.41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89" w:right="0"/>
              <w:jc w:val="left"/>
              <w:rPr>
                <w:rFonts w:ascii="Times New Roman" w:hAnsi="Times New Roman" w:cs="Times New Roman" w:eastAsia="Times New Roman" w:hint="default"/>
                <w:sz w:val="18"/>
                <w:szCs w:val="18"/>
              </w:rPr>
            </w:pPr>
            <w:r>
              <w:rPr>
                <w:rFonts w:ascii="Times New Roman"/>
                <w:sz w:val="18"/>
              </w:rPr>
              <w:t>1,593,470.09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9,634,174.80</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22" w:right="22"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）在建工</w:t>
            </w:r>
            <w:r>
              <w:rPr>
                <w:rFonts w:ascii="宋体" w:hAnsi="宋体" w:cs="宋体" w:eastAsia="宋体" w:hint="default"/>
                <w:sz w:val="18"/>
                <w:szCs w:val="18"/>
              </w:rPr>
              <w:t> 程转入</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2" w:right="22"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）企业合</w:t>
            </w:r>
            <w:r>
              <w:rPr>
                <w:rFonts w:ascii="宋体" w:hAnsi="宋体" w:cs="宋体" w:eastAsia="宋体" w:hint="default"/>
                <w:sz w:val="18"/>
                <w:szCs w:val="18"/>
              </w:rPr>
              <w:t> 并增加</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2,852,852.11</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2,852,852.11</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623,422.94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1,219,595.07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550,929.24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3,795,665.85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1,678,900.00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7,868,513.10</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623,422.94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1,219,595.07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550,929.24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3,795,665.85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1,678,900.00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7,868,513.10</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24,551,175.71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41,380,932.05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13,140,429.78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6,634,931.60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85,707,469.14</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11,012,209.03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36,270,717.16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5,166,084.85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2,032,799.40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431,937.01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54,913,747.45</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4,052,510.86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3,554,433.34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1,583,234.30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936,946.91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13,290.18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10,140,415.59</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2"/>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3,703,071.79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3,554,433.34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1,583,234.30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936,946.91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13,290.18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9,790,976.52</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65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）合</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并增加</w:t>
            </w:r>
          </w:p>
        </w:tc>
        <w:tc>
          <w:tcPr>
            <w:tcW w:w="1378" w:type="dxa"/>
            <w:tcBorders>
              <w:top w:val="single" w:sz="4" w:space="0" w:color="000000"/>
              <w:left w:val="single" w:sz="13" w:space="0" w:color="E0FFFF"/>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349,439.07</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349,439.07</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384,184.99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845,994.00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175,717.04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649,467.10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445,227.19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2,500,590.32</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384,184.99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845,994.00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175,717.04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649,467.10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445,227.19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2,500,590.32</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14,680,534.90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38,979,156.50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6,573,602.11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2,320,279.21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62,553,572.72</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164,874.75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60,501.81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225,376.56</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2"/>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23,068.55</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23,068.55</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23,068.55</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23,068.55</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141,806.20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60,501.81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202,308.01</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 值</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9,728,834.61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2,341,273.74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6,566,827.67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4,314,652.39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22,951,588.41</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 值</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5,065,525.54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5,660,929.07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7,172,085.76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6,804,327.96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1,246,962.99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25,949,831.32</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2"/>
        <w:rPr>
          <w:rFonts w:ascii="Times New Roman" w:hAnsi="Times New Roman" w:cs="Times New Roman" w:eastAsia="Times New Roman" w:hint="default"/>
          <w:sz w:val="28"/>
          <w:szCs w:val="28"/>
        </w:rPr>
      </w:pPr>
    </w:p>
    <w:p>
      <w:pPr>
        <w:pStyle w:val="Heading6"/>
        <w:spacing w:line="240" w:lineRule="auto" w:before="35"/>
        <w:ind w:left="1133" w:right="998"/>
        <w:jc w:val="left"/>
        <w:rPr>
          <w:b w:val="0"/>
          <w:bCs w:val="0"/>
        </w:rPr>
      </w:pPr>
      <w:bookmarkStart w:name="（2）暂时闲置的固定资产情况" w:id="302"/>
      <w:bookmarkEnd w:id="302"/>
      <w:r>
        <w:rPr>
          <w:b w:val="0"/>
          <w:bCs w:val="0"/>
        </w:rPr>
      </w:r>
      <w:r>
        <w:rPr/>
        <w:t>（</w:t>
      </w:r>
      <w:r>
        <w:rPr>
          <w:rFonts w:ascii="Times New Roman" w:hAnsi="Times New Roman" w:cs="Times New Roman" w:eastAsia="Times New Roman" w:hint="default"/>
        </w:rPr>
        <w:t>2</w:t>
      </w:r>
      <w:r>
        <w:rPr/>
        <w:t>）暂时闲置的固定资产情况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2"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备注</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3）通过融资租赁租入的固定资产情况" w:id="303"/>
      <w:bookmarkEnd w:id="303"/>
      <w:r>
        <w:rPr>
          <w:b w:val="0"/>
          <w:bCs w:val="0"/>
        </w:rPr>
      </w:r>
      <w:r>
        <w:rPr/>
        <w:t>（</w:t>
      </w:r>
      <w:r>
        <w:rPr>
          <w:rFonts w:ascii="Times New Roman" w:hAnsi="Times New Roman" w:cs="Times New Roman" w:eastAsia="Times New Roman" w:hint="default"/>
        </w:rPr>
        <w:t>3</w:t>
      </w:r>
      <w:r>
        <w:rPr/>
        <w:t>）通过融资租赁租入的固定资产情况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912"/>
        <w:gridCol w:w="1917"/>
        <w:gridCol w:w="1914"/>
        <w:gridCol w:w="1914"/>
        <w:gridCol w:w="1903"/>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4）通过经营租赁租出的固定资产" w:id="304"/>
      <w:bookmarkEnd w:id="304"/>
      <w:r>
        <w:rPr>
          <w:b w:val="0"/>
          <w:bCs w:val="0"/>
        </w:rPr>
      </w:r>
      <w:r>
        <w:rPr/>
        <w:t>（</w:t>
      </w:r>
      <w:r>
        <w:rPr>
          <w:rFonts w:ascii="Times New Roman" w:hAnsi="Times New Roman" w:cs="Times New Roman" w:eastAsia="Times New Roman" w:hint="default"/>
        </w:rPr>
        <w:t>4</w:t>
      </w:r>
      <w:r>
        <w:rPr/>
        <w:t>）通过经营租赁租出的固定资产</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期末账面价值</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5）未办妥产权证书的固定资产情况" w:id="305"/>
      <w:bookmarkEnd w:id="305"/>
      <w:r>
        <w:rPr>
          <w:b w:val="0"/>
          <w:bCs w:val="0"/>
        </w:rPr>
      </w:r>
      <w:r>
        <w:rPr/>
        <w:t>（</w:t>
      </w:r>
      <w:r>
        <w:rPr>
          <w:rFonts w:ascii="Times New Roman" w:hAnsi="Times New Roman" w:cs="Times New Roman" w:eastAsia="Times New Roman" w:hint="default"/>
        </w:rPr>
        <w:t>5</w:t>
      </w:r>
      <w:r>
        <w:rPr/>
        <w:t>）未办妥产权证书的固定资产情况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9"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bl>
    <w:p>
      <w:pPr>
        <w:spacing w:line="357" w:lineRule="auto" w:before="51"/>
        <w:ind w:left="1133" w:right="10033"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2"/>
        <w:rPr>
          <w:rFonts w:ascii="宋体" w:hAnsi="宋体" w:cs="宋体" w:eastAsia="宋体" w:hint="default"/>
          <w:sz w:val="20"/>
          <w:szCs w:val="20"/>
        </w:rPr>
      </w:pPr>
    </w:p>
    <w:p>
      <w:pPr>
        <w:pStyle w:val="Heading6"/>
        <w:spacing w:line="240" w:lineRule="auto"/>
        <w:ind w:right="998"/>
        <w:jc w:val="left"/>
        <w:rPr>
          <w:b w:val="0"/>
          <w:bCs w:val="0"/>
        </w:rPr>
      </w:pPr>
      <w:bookmarkStart w:name="20、在建工程" w:id="306"/>
      <w:bookmarkEnd w:id="306"/>
      <w:r>
        <w:rPr>
          <w:b w:val="0"/>
          <w:bCs w:val="0"/>
        </w:rPr>
      </w:r>
      <w:r>
        <w:rPr>
          <w:rFonts w:ascii="Times New Roman" w:hAnsi="Times New Roman" w:cs="Times New Roman" w:eastAsia="Times New Roman" w:hint="default"/>
        </w:rPr>
        <w:t>20</w:t>
      </w:r>
      <w:r>
        <w:rPr/>
        <w:t>、在建工程</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在建工程情况" w:id="307"/>
      <w:bookmarkEnd w:id="307"/>
      <w:r>
        <w:rPr>
          <w:b w:val="0"/>
          <w:bCs w:val="0"/>
        </w:rPr>
      </w:r>
      <w:r>
        <w:rPr/>
        <w:t>（</w:t>
      </w:r>
      <w:r>
        <w:rPr>
          <w:rFonts w:ascii="Times New Roman" w:hAnsi="Times New Roman" w:cs="Times New Roman" w:eastAsia="Times New Roman" w:hint="default"/>
        </w:rPr>
        <w:t>1</w:t>
      </w:r>
      <w:r>
        <w:rPr/>
        <w:t>）在建工程情况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2）重要在建工程项目本期变动情况" w:id="308"/>
      <w:bookmarkEnd w:id="308"/>
      <w:r>
        <w:rPr>
          <w:b w:val="0"/>
          <w:bCs w:val="0"/>
        </w:rPr>
      </w:r>
      <w:r>
        <w:rPr/>
        <w:t>（</w:t>
      </w:r>
      <w:r>
        <w:rPr>
          <w:rFonts w:ascii="Times New Roman" w:hAnsi="Times New Roman" w:cs="Times New Roman" w:eastAsia="Times New Roman" w:hint="default"/>
        </w:rPr>
        <w:t>2</w:t>
      </w:r>
      <w:r>
        <w:rPr/>
        <w:t>）重要在建工程项目本期变动情况</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732"/>
        <w:gridCol w:w="736"/>
        <w:gridCol w:w="737"/>
        <w:gridCol w:w="736"/>
        <w:gridCol w:w="736"/>
        <w:gridCol w:w="737"/>
        <w:gridCol w:w="736"/>
        <w:gridCol w:w="736"/>
        <w:gridCol w:w="737"/>
        <w:gridCol w:w="736"/>
        <w:gridCol w:w="736"/>
        <w:gridCol w:w="737"/>
        <w:gridCol w:w="736"/>
      </w:tblGrid>
      <w:tr>
        <w:trPr>
          <w:trHeight w:val="1338"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70" w:right="90" w:hanging="180"/>
              <w:jc w:val="left"/>
              <w:rPr>
                <w:rFonts w:ascii="宋体" w:hAnsi="宋体" w:cs="宋体" w:eastAsia="宋体" w:hint="default"/>
                <w:sz w:val="18"/>
                <w:szCs w:val="18"/>
              </w:rPr>
            </w:pPr>
            <w:r>
              <w:rPr>
                <w:rFonts w:ascii="宋体" w:hAnsi="宋体" w:cs="宋体" w:eastAsia="宋体" w:hint="default"/>
                <w:sz w:val="18"/>
                <w:szCs w:val="18"/>
              </w:rPr>
              <w:t>项目名 称</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73" w:right="91"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92" w:right="91"/>
              <w:jc w:val="left"/>
              <w:rPr>
                <w:rFonts w:ascii="宋体" w:hAnsi="宋体" w:cs="宋体" w:eastAsia="宋体" w:hint="default"/>
                <w:sz w:val="18"/>
                <w:szCs w:val="18"/>
              </w:rPr>
            </w:pPr>
            <w:r>
              <w:rPr>
                <w:rFonts w:ascii="宋体" w:hAnsi="宋体" w:cs="宋体" w:eastAsia="宋体" w:hint="default"/>
                <w:sz w:val="18"/>
                <w:szCs w:val="18"/>
              </w:rPr>
              <w:t>本期增 加金额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92" w:right="91"/>
              <w:jc w:val="center"/>
              <w:rPr>
                <w:rFonts w:ascii="宋体" w:hAnsi="宋体" w:cs="宋体" w:eastAsia="宋体" w:hint="default"/>
                <w:sz w:val="18"/>
                <w:szCs w:val="18"/>
              </w:rPr>
            </w:pPr>
            <w:r>
              <w:rPr>
                <w:rFonts w:ascii="宋体" w:hAnsi="宋体" w:cs="宋体" w:eastAsia="宋体" w:hint="default"/>
                <w:sz w:val="18"/>
                <w:szCs w:val="18"/>
              </w:rPr>
              <w:t>本期转 入固定 资产金 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93" w:right="91"/>
              <w:jc w:val="both"/>
              <w:rPr>
                <w:rFonts w:ascii="宋体" w:hAnsi="宋体" w:cs="宋体" w:eastAsia="宋体" w:hint="default"/>
                <w:sz w:val="18"/>
                <w:szCs w:val="18"/>
              </w:rPr>
            </w:pPr>
            <w:r>
              <w:rPr>
                <w:rFonts w:ascii="宋体" w:hAnsi="宋体" w:cs="宋体" w:eastAsia="宋体" w:hint="default"/>
                <w:sz w:val="18"/>
                <w:szCs w:val="18"/>
              </w:rPr>
              <w:t>本期其 他减少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72" w:right="91"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92" w:right="91"/>
              <w:jc w:val="both"/>
              <w:rPr>
                <w:rFonts w:ascii="宋体" w:hAnsi="宋体" w:cs="宋体" w:eastAsia="宋体" w:hint="default"/>
                <w:sz w:val="18"/>
                <w:szCs w:val="18"/>
              </w:rPr>
            </w:pPr>
            <w:r>
              <w:rPr>
                <w:rFonts w:ascii="宋体" w:hAnsi="宋体" w:cs="宋体" w:eastAsia="宋体" w:hint="default"/>
                <w:sz w:val="18"/>
                <w:szCs w:val="18"/>
              </w:rPr>
              <w:t>工程累 计投入 占预算 比例</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73" w:right="91" w:hanging="180"/>
              <w:jc w:val="left"/>
              <w:rPr>
                <w:rFonts w:ascii="宋体" w:hAnsi="宋体" w:cs="宋体" w:eastAsia="宋体" w:hint="default"/>
                <w:sz w:val="18"/>
                <w:szCs w:val="18"/>
              </w:rPr>
            </w:pPr>
            <w:r>
              <w:rPr>
                <w:rFonts w:ascii="宋体" w:hAnsi="宋体" w:cs="宋体" w:eastAsia="宋体" w:hint="default"/>
                <w:sz w:val="18"/>
                <w:szCs w:val="18"/>
              </w:rPr>
              <w:t>工程进 度</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92" w:right="93"/>
              <w:jc w:val="both"/>
              <w:rPr>
                <w:rFonts w:ascii="宋体" w:hAnsi="宋体" w:cs="宋体" w:eastAsia="宋体" w:hint="default"/>
                <w:sz w:val="18"/>
                <w:szCs w:val="18"/>
              </w:rPr>
            </w:pPr>
            <w:r>
              <w:rPr>
                <w:rFonts w:ascii="宋体" w:hAnsi="宋体" w:cs="宋体" w:eastAsia="宋体" w:hint="default"/>
                <w:sz w:val="18"/>
                <w:szCs w:val="18"/>
              </w:rPr>
              <w:t>利息资 本化累 计金额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0"/>
              <w:jc w:val="center"/>
              <w:rPr>
                <w:rFonts w:ascii="宋体" w:hAnsi="宋体" w:cs="宋体" w:eastAsia="宋体" w:hint="default"/>
                <w:sz w:val="18"/>
                <w:szCs w:val="18"/>
              </w:rPr>
            </w:pPr>
            <w:r>
              <w:rPr>
                <w:rFonts w:ascii="宋体" w:hAnsi="宋体" w:cs="宋体" w:eastAsia="宋体" w:hint="default"/>
                <w:spacing w:val="-10"/>
                <w:sz w:val="18"/>
                <w:szCs w:val="18"/>
              </w:rPr>
              <w:t>其中：本</w:t>
            </w:r>
            <w:r>
              <w:rPr>
                <w:rFonts w:ascii="宋体" w:hAnsi="宋体" w:cs="宋体" w:eastAsia="宋体" w:hint="default"/>
                <w:sz w:val="18"/>
                <w:szCs w:val="18"/>
              </w:rPr>
              <w:t> 期利息 资本化 金额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93" w:right="91"/>
              <w:jc w:val="both"/>
              <w:rPr>
                <w:rFonts w:ascii="宋体" w:hAnsi="宋体" w:cs="宋体" w:eastAsia="宋体" w:hint="default"/>
                <w:sz w:val="18"/>
                <w:szCs w:val="18"/>
              </w:rPr>
            </w:pPr>
            <w:r>
              <w:rPr>
                <w:rFonts w:ascii="宋体" w:hAnsi="宋体" w:cs="宋体" w:eastAsia="宋体" w:hint="default"/>
                <w:sz w:val="18"/>
                <w:szCs w:val="18"/>
              </w:rPr>
              <w:t>本期利 息资本 化率</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72" w:right="91" w:hanging="180"/>
              <w:jc w:val="left"/>
              <w:rPr>
                <w:rFonts w:ascii="宋体" w:hAnsi="宋体" w:cs="宋体" w:eastAsia="宋体" w:hint="default"/>
                <w:sz w:val="18"/>
                <w:szCs w:val="18"/>
              </w:rPr>
            </w:pPr>
            <w:r>
              <w:rPr>
                <w:rFonts w:ascii="宋体" w:hAnsi="宋体" w:cs="宋体" w:eastAsia="宋体" w:hint="default"/>
                <w:sz w:val="18"/>
                <w:szCs w:val="18"/>
              </w:rPr>
              <w:t>资金来 源</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3）本期计提在建工程减值准备情况" w:id="309"/>
      <w:bookmarkEnd w:id="309"/>
      <w:r>
        <w:rPr>
          <w:b w:val="0"/>
          <w:bCs w:val="0"/>
        </w:rPr>
      </w:r>
      <w:r>
        <w:rPr/>
        <w:t>（</w:t>
      </w:r>
      <w:r>
        <w:rPr>
          <w:rFonts w:ascii="Times New Roman" w:hAnsi="Times New Roman" w:cs="Times New Roman" w:eastAsia="Times New Roman" w:hint="default"/>
        </w:rPr>
        <w:t>3</w:t>
      </w:r>
      <w:r>
        <w:rPr/>
        <w:t>）本期计提在建工程减值准备情况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3189"/>
        <w:gridCol w:w="3191"/>
        <w:gridCol w:w="3179"/>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本期计提金额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计提原因</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21、工程物资" w:id="310"/>
      <w:bookmarkEnd w:id="310"/>
      <w:r>
        <w:rPr>
          <w:b w:val="0"/>
          <w:bCs w:val="0"/>
        </w:rPr>
      </w:r>
      <w:r>
        <w:rPr>
          <w:rFonts w:ascii="Times New Roman" w:hAnsi="Times New Roman" w:cs="Times New Roman" w:eastAsia="Times New Roman" w:hint="default"/>
        </w:rPr>
        <w:t>21</w:t>
      </w:r>
      <w:r>
        <w:rPr/>
        <w:t>、工程物资</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9"/>
        <w:gridCol w:w="3191"/>
        <w:gridCol w:w="3179"/>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22、固定资产清理" w:id="311"/>
      <w:bookmarkEnd w:id="311"/>
      <w:r>
        <w:rPr>
          <w:b w:val="0"/>
          <w:bCs w:val="0"/>
        </w:rPr>
      </w:r>
      <w:r>
        <w:rPr>
          <w:rFonts w:ascii="Times New Roman" w:hAnsi="Times New Roman" w:cs="Times New Roman" w:eastAsia="Times New Roman" w:hint="default"/>
        </w:rPr>
        <w:t>22</w:t>
      </w:r>
      <w:r>
        <w:rPr/>
        <w:t>、固定资产清理</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9"/>
        <w:gridCol w:w="3191"/>
        <w:gridCol w:w="3179"/>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23、生产性生物资产" w:id="312"/>
      <w:bookmarkEnd w:id="312"/>
      <w:r>
        <w:rPr>
          <w:b w:val="0"/>
          <w:bCs w:val="0"/>
        </w:rPr>
      </w:r>
      <w:r>
        <w:rPr>
          <w:rFonts w:ascii="Times New Roman" w:hAnsi="Times New Roman" w:cs="Times New Roman" w:eastAsia="Times New Roman" w:hint="default"/>
        </w:rPr>
        <w:t>23</w:t>
      </w:r>
      <w:r>
        <w:rPr/>
        <w:t>、生产性生物资产</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left="1133" w:right="998"/>
        <w:jc w:val="left"/>
        <w:rPr>
          <w:b w:val="0"/>
          <w:bCs w:val="0"/>
        </w:rPr>
      </w:pPr>
      <w:bookmarkStart w:name="（1）采用成本计量模式的生产性生物资产" w:id="313"/>
      <w:bookmarkEnd w:id="313"/>
      <w:r>
        <w:rPr>
          <w:b w:val="0"/>
          <w:bCs w:val="0"/>
        </w:rPr>
      </w:r>
      <w:r>
        <w:rPr/>
        <w:t>（</w:t>
      </w:r>
      <w:r>
        <w:rPr>
          <w:rFonts w:ascii="Times New Roman" w:hAnsi="Times New Roman" w:cs="Times New Roman" w:eastAsia="Times New Roman" w:hint="default"/>
        </w:rPr>
        <w:t>1</w:t>
      </w:r>
      <w:r>
        <w:rPr/>
        <w:t>）采用成本计量模式的生产性生物资产</w:t>
      </w:r>
      <w:r>
        <w:rPr>
          <w:b w:val="0"/>
          <w:bCs w:val="0"/>
        </w:rPr>
      </w:r>
    </w:p>
    <w:p>
      <w:pPr>
        <w:spacing w:line="240" w:lineRule="auto" w:before="8"/>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6"/>
        <w:spacing w:line="240" w:lineRule="auto"/>
        <w:ind w:left="1133" w:right="998"/>
        <w:jc w:val="left"/>
        <w:rPr>
          <w:b w:val="0"/>
          <w:bCs w:val="0"/>
        </w:rPr>
      </w:pPr>
      <w:bookmarkStart w:name="（2）采用公允价值计量模式的生产性生物资产" w:id="314"/>
      <w:bookmarkEnd w:id="314"/>
      <w:r>
        <w:rPr>
          <w:b w:val="0"/>
          <w:bCs w:val="0"/>
        </w:rPr>
      </w:r>
      <w:r>
        <w:rPr/>
        <w:t>（</w:t>
      </w:r>
      <w:r>
        <w:rPr>
          <w:rFonts w:ascii="Times New Roman" w:hAnsi="Times New Roman" w:cs="Times New Roman" w:eastAsia="Times New Roman" w:hint="default"/>
        </w:rPr>
        <w:t>2</w:t>
      </w:r>
      <w:r>
        <w:rPr/>
        <w:t>）采用公允价值计量模式的生产性生物资产</w:t>
      </w:r>
      <w:r>
        <w:rPr>
          <w:b w:val="0"/>
          <w:bCs w:val="0"/>
        </w:rPr>
      </w:r>
    </w:p>
    <w:p>
      <w:pPr>
        <w:spacing w:line="240" w:lineRule="auto" w:before="9"/>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6"/>
        <w:spacing w:line="240" w:lineRule="auto"/>
        <w:ind w:left="1133" w:right="998"/>
        <w:jc w:val="left"/>
        <w:rPr>
          <w:b w:val="0"/>
          <w:bCs w:val="0"/>
        </w:rPr>
      </w:pPr>
      <w:bookmarkStart w:name="24、油气资产" w:id="315"/>
      <w:bookmarkEnd w:id="315"/>
      <w:r>
        <w:rPr>
          <w:b w:val="0"/>
          <w:bCs w:val="0"/>
        </w:rPr>
      </w:r>
      <w:r>
        <w:rPr>
          <w:rFonts w:ascii="Times New Roman" w:hAnsi="Times New Roman" w:cs="Times New Roman" w:eastAsia="Times New Roman" w:hint="default"/>
        </w:rPr>
        <w:t>24</w:t>
      </w:r>
      <w:r>
        <w:rPr/>
        <w:t>、油气资产</w:t>
      </w:r>
      <w:r>
        <w:rPr>
          <w:b w:val="0"/>
          <w:bCs w:val="0"/>
        </w:rPr>
      </w:r>
    </w:p>
    <w:p>
      <w:pPr>
        <w:spacing w:line="240" w:lineRule="auto" w:before="9"/>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6"/>
        <w:spacing w:line="240" w:lineRule="auto"/>
        <w:ind w:left="1133" w:right="998"/>
        <w:jc w:val="left"/>
        <w:rPr>
          <w:b w:val="0"/>
          <w:bCs w:val="0"/>
        </w:rPr>
      </w:pPr>
      <w:bookmarkStart w:name="25、无形资产" w:id="316"/>
      <w:bookmarkEnd w:id="316"/>
      <w:r>
        <w:rPr>
          <w:b w:val="0"/>
          <w:bCs w:val="0"/>
        </w:rPr>
      </w:r>
      <w:r>
        <w:rPr>
          <w:rFonts w:ascii="Times New Roman" w:hAnsi="Times New Roman" w:cs="Times New Roman" w:eastAsia="Times New Roman" w:hint="default"/>
        </w:rPr>
        <w:t>25</w:t>
      </w:r>
      <w:r>
        <w:rPr/>
        <w:t>、无形资产</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right="998"/>
        <w:jc w:val="left"/>
        <w:rPr>
          <w:b w:val="0"/>
          <w:bCs w:val="0"/>
        </w:rPr>
      </w:pPr>
      <w:bookmarkStart w:name="（1）无形资产情况" w:id="317"/>
      <w:bookmarkEnd w:id="317"/>
      <w:r>
        <w:rPr>
          <w:b w:val="0"/>
          <w:bCs w:val="0"/>
        </w:rPr>
      </w:r>
      <w:r>
        <w:rPr/>
        <w:t>（</w:t>
      </w:r>
      <w:r>
        <w:rPr>
          <w:rFonts w:ascii="Times New Roman" w:hAnsi="Times New Roman" w:cs="Times New Roman" w:eastAsia="Times New Roman" w:hint="default"/>
        </w:rPr>
        <w:t>1</w:t>
      </w:r>
      <w:r>
        <w:rPr/>
        <w:t>）无形资产情况</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上市公司从事互联网游戏业务》的披露要求</w:t>
      </w:r>
    </w:p>
    <w:p>
      <w:pPr>
        <w:spacing w:before="103"/>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040"/>
        <w:gridCol w:w="1075"/>
        <w:gridCol w:w="1063"/>
        <w:gridCol w:w="1062"/>
        <w:gridCol w:w="1063"/>
        <w:gridCol w:w="1063"/>
        <w:gridCol w:w="1064"/>
        <w:gridCol w:w="1063"/>
        <w:gridCol w:w="1063"/>
      </w:tblGrid>
      <w:tr>
        <w:trPr>
          <w:trHeight w:val="402" w:hRule="exact"/>
        </w:trPr>
        <w:tc>
          <w:tcPr>
            <w:tcW w:w="1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0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7"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5"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063" w:type="dxa"/>
            <w:tcBorders>
              <w:top w:val="single" w:sz="4" w:space="0" w:color="000000"/>
              <w:left w:val="single" w:sz="13" w:space="0" w:color="D2D2D2"/>
              <w:bottom w:val="single" w:sz="4" w:space="0" w:color="000000"/>
              <w:right w:val="single" w:sz="4" w:space="0" w:color="000000"/>
            </w:tcBorders>
            <w:shd w:val="clear" w:color="auto" w:fill="E0FFFF"/>
          </w:tcPr>
          <w:p>
            <w:pPr>
              <w:pStyle w:val="TableParagraph"/>
              <w:spacing w:line="240" w:lineRule="auto" w:before="52"/>
              <w:ind w:right="9"/>
              <w:jc w:val="center"/>
              <w:rPr>
                <w:rFonts w:ascii="宋体" w:hAnsi="宋体" w:cs="宋体" w:eastAsia="宋体" w:hint="default"/>
                <w:sz w:val="18"/>
                <w:szCs w:val="18"/>
              </w:rPr>
            </w:pPr>
            <w:r>
              <w:rPr>
                <w:rFonts w:ascii="宋体" w:hAnsi="宋体" w:cs="宋体" w:eastAsia="宋体" w:hint="default"/>
                <w:sz w:val="18"/>
                <w:szCs w:val="18"/>
              </w:rPr>
              <w:t>电脑软件</w:t>
            </w:r>
          </w:p>
        </w:tc>
        <w:tc>
          <w:tcPr>
            <w:tcW w:w="1063"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2"/>
              <w:ind w:left="255" w:right="0"/>
              <w:jc w:val="left"/>
              <w:rPr>
                <w:rFonts w:ascii="宋体" w:hAnsi="宋体" w:cs="宋体" w:eastAsia="宋体" w:hint="default"/>
                <w:sz w:val="18"/>
                <w:szCs w:val="18"/>
              </w:rPr>
            </w:pPr>
            <w:r>
              <w:rPr>
                <w:rFonts w:ascii="宋体" w:hAnsi="宋体" w:cs="宋体" w:eastAsia="宋体" w:hint="default"/>
                <w:sz w:val="18"/>
                <w:szCs w:val="18"/>
              </w:rPr>
              <w:t>著作权</w:t>
            </w:r>
          </w:p>
        </w:tc>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开发工具</w:t>
            </w:r>
          </w:p>
        </w:tc>
        <w:tc>
          <w:tcPr>
            <w:tcW w:w="1063"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2"/>
              <w:ind w:left="255" w:right="0"/>
              <w:jc w:val="left"/>
              <w:rPr>
                <w:rFonts w:ascii="宋体" w:hAnsi="宋体" w:cs="宋体" w:eastAsia="宋体" w:hint="default"/>
                <w:sz w:val="18"/>
                <w:szCs w:val="18"/>
              </w:rPr>
            </w:pPr>
            <w:r>
              <w:rPr>
                <w:rFonts w:ascii="宋体" w:hAnsi="宋体" w:cs="宋体" w:eastAsia="宋体" w:hint="default"/>
                <w:sz w:val="18"/>
                <w:szCs w:val="18"/>
              </w:rPr>
              <w:t>商标权</w:t>
            </w:r>
          </w:p>
        </w:tc>
        <w:tc>
          <w:tcPr>
            <w:tcW w:w="1063" w:type="dxa"/>
            <w:tcBorders>
              <w:top w:val="single" w:sz="4" w:space="0" w:color="000000"/>
              <w:left w:val="single" w:sz="13" w:space="0" w:color="E0FFFF"/>
              <w:bottom w:val="single" w:sz="4" w:space="0" w:color="000000"/>
              <w:right w:val="single" w:sz="4" w:space="0" w:color="000000"/>
            </w:tcBorders>
            <w:shd w:val="clear" w:color="auto" w:fill="D2D2D2"/>
          </w:tcPr>
          <w:p>
            <w:pPr>
              <w:pStyle w:val="TableParagraph"/>
              <w:spacing w:line="240" w:lineRule="auto" w:before="52"/>
              <w:ind w:right="12"/>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一</w:t>
            </w:r>
            <w:r>
              <w:rPr>
                <w:rFonts w:ascii="宋体" w:hAnsi="宋体" w:cs="宋体" w:eastAsia="宋体" w:hint="default"/>
                <w:spacing w:val="-74"/>
                <w:sz w:val="18"/>
                <w:szCs w:val="18"/>
              </w:rPr>
              <w:t>、</w:t>
            </w:r>
            <w:r>
              <w:rPr>
                <w:rFonts w:ascii="宋体" w:hAnsi="宋体" w:cs="宋体" w:eastAsia="宋体" w:hint="default"/>
                <w:sz w:val="18"/>
                <w:szCs w:val="18"/>
              </w:rPr>
              <w:t>账面原值</w:t>
            </w:r>
          </w:p>
        </w:tc>
        <w:tc>
          <w:tcPr>
            <w:tcW w:w="1075" w:type="dxa"/>
            <w:tcBorders>
              <w:top w:val="single" w:sz="4" w:space="0" w:color="000000"/>
              <w:left w:val="single" w:sz="13" w:space="0" w:color="D2D2D2"/>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1" w:right="161"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 余额</w:t>
            </w:r>
          </w:p>
        </w:tc>
        <w:tc>
          <w:tcPr>
            <w:tcW w:w="1075" w:type="dxa"/>
            <w:tcBorders>
              <w:top w:val="single" w:sz="4" w:space="0" w:color="000000"/>
              <w:left w:val="single" w:sz="13" w:space="0" w:color="D2D2D2"/>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416,098.53</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19,694,327.7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8,000,000.00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1,251,160.22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28,690,900.0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58,052,486.5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r>
      <w:tr>
        <w:trPr>
          <w:trHeight w:val="715" w:hRule="exact"/>
        </w:trPr>
        <w:tc>
          <w:tcPr>
            <w:tcW w:w="1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161"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 增加金额</w:t>
            </w:r>
          </w:p>
        </w:tc>
        <w:tc>
          <w:tcPr>
            <w:tcW w:w="1075" w:type="dxa"/>
            <w:tcBorders>
              <w:top w:val="single" w:sz="4" w:space="0" w:color="000000"/>
              <w:left w:val="single" w:sz="13" w:space="0" w:color="D2D2D2"/>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2,442,867.17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128,000.00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2,570,867.17</w:t>
            </w:r>
          </w:p>
        </w:tc>
      </w:tr>
    </w:tbl>
    <w:p>
      <w:pPr>
        <w:spacing w:after="0" w:line="240" w:lineRule="auto"/>
        <w:jc w:val="center"/>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1064"/>
        <w:gridCol w:w="1063"/>
        <w:gridCol w:w="1063"/>
        <w:gridCol w:w="1062"/>
        <w:gridCol w:w="1063"/>
        <w:gridCol w:w="1063"/>
        <w:gridCol w:w="1064"/>
        <w:gridCol w:w="1063"/>
        <w:gridCol w:w="1063"/>
      </w:tblGrid>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购置</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1,428,768.86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128,000.00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1,556,768.86</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38" w:firstLine="54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 内部研发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38" w:firstLine="54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 企业合并增 加</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1,014,098.31</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1,014,098.31</w:t>
            </w:r>
          </w:p>
        </w:tc>
      </w:tr>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7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 少金额</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24,160.94</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81,964.42</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106,125.36</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处置</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7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 余额</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391,937.59</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22,137,194.9</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8,128,000.00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1,169,195.80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28,690,900.0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60,517,228.3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w:t>
            </w:r>
          </w:p>
        </w:tc>
      </w:tr>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
              <w:jc w:val="right"/>
              <w:rPr>
                <w:rFonts w:ascii="宋体" w:hAnsi="宋体" w:cs="宋体" w:eastAsia="宋体" w:hint="default"/>
                <w:sz w:val="18"/>
                <w:szCs w:val="18"/>
              </w:rPr>
            </w:pPr>
            <w:r>
              <w:rPr>
                <w:rFonts w:ascii="宋体" w:hAnsi="宋体" w:cs="宋体" w:eastAsia="宋体" w:hint="default"/>
                <w:sz w:val="18"/>
                <w:szCs w:val="18"/>
              </w:rPr>
              <w:t>二</w:t>
            </w:r>
            <w:r>
              <w:rPr>
                <w:rFonts w:ascii="宋体" w:hAnsi="宋体" w:cs="宋体" w:eastAsia="宋体" w:hint="default"/>
                <w:spacing w:val="-74"/>
                <w:sz w:val="18"/>
                <w:szCs w:val="18"/>
              </w:rPr>
              <w:t>、</w:t>
            </w:r>
            <w:r>
              <w:rPr>
                <w:rFonts w:ascii="宋体" w:hAnsi="宋体" w:cs="宋体" w:eastAsia="宋体" w:hint="default"/>
                <w:sz w:val="18"/>
                <w:szCs w:val="18"/>
              </w:rPr>
              <w:t>累计摊销</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7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 余额</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59,255.30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11,843,553.8</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6,400,000.00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1,251,160.22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2,151,817.50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21,705,786.9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7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 增加金额</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26,087.67</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3,082,671.52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1,608,033.35</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2,869,090.00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7,585,882.54</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计提</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26,087.67</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3,058,823.43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1,608,033.35</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2,869,090.00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7,562,034.45</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02" w:lineRule="auto" w:before="51"/>
              <w:ind w:left="22" w:right="3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）合并增 加</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23,848.09</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23,848.09</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7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 减少金额</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290.36</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81,964.42</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82,254.78</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处置</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7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 余额</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85,052.61</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14,926,225.4</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8,008,033.35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1,169,195.80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5,020,907.50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29,209,414.6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
              <w:jc w:val="right"/>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74"/>
                <w:sz w:val="18"/>
                <w:szCs w:val="18"/>
              </w:rPr>
              <w:t>、</w:t>
            </w:r>
            <w:r>
              <w:rPr>
                <w:rFonts w:ascii="宋体" w:hAnsi="宋体" w:cs="宋体" w:eastAsia="宋体" w:hint="default"/>
                <w:sz w:val="18"/>
                <w:szCs w:val="18"/>
              </w:rPr>
              <w:t>减值准备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7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 余额</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7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 增加金额</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计提</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1064"/>
        <w:gridCol w:w="1063"/>
        <w:gridCol w:w="1063"/>
        <w:gridCol w:w="1062"/>
        <w:gridCol w:w="1063"/>
        <w:gridCol w:w="1063"/>
        <w:gridCol w:w="1064"/>
        <w:gridCol w:w="1063"/>
        <w:gridCol w:w="1063"/>
      </w:tblGrid>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7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 减少金额</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7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 余额</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w:t>
            </w:r>
            <w:r>
              <w:rPr>
                <w:rFonts w:ascii="宋体" w:hAnsi="宋体" w:cs="宋体" w:eastAsia="宋体" w:hint="default"/>
                <w:spacing w:val="-74"/>
                <w:sz w:val="18"/>
                <w:szCs w:val="18"/>
              </w:rPr>
              <w:t>、</w:t>
            </w:r>
            <w:r>
              <w:rPr>
                <w:rFonts w:ascii="宋体" w:hAnsi="宋体" w:cs="宋体" w:eastAsia="宋体" w:hint="default"/>
                <w:sz w:val="18"/>
                <w:szCs w:val="18"/>
              </w:rPr>
              <w:t>账面价值</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7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 账面价值</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306,884.98</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7,210,969.53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119,966.65</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23,669,992.5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31,307,813.6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7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 账面价值</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356,843.23</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7,850,773.88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1,600,000.00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26,539,082.5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36,346,699.6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本期末通过公司内部研发形成的无形资产占无形资产余额的比例。</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2）未办妥产权证书的土地使用权情况" w:id="318"/>
      <w:bookmarkEnd w:id="318"/>
      <w:r>
        <w:rPr>
          <w:b w:val="0"/>
          <w:bCs w:val="0"/>
        </w:rPr>
      </w:r>
      <w:r>
        <w:rPr/>
        <w:t>（</w:t>
      </w:r>
      <w:r>
        <w:rPr>
          <w:rFonts w:ascii="Times New Roman" w:hAnsi="Times New Roman" w:cs="Times New Roman" w:eastAsia="Times New Roman" w:hint="default"/>
        </w:rPr>
        <w:t>2</w:t>
      </w:r>
      <w:r>
        <w:rPr/>
        <w:t>）未办妥产权证书的土地使用权情况</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9"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bl>
    <w:p>
      <w:pPr>
        <w:spacing w:line="357" w:lineRule="auto" w:before="51"/>
        <w:ind w:left="1133" w:right="9853"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26"/>
          <w:szCs w:val="26"/>
        </w:rPr>
      </w:pPr>
    </w:p>
    <w:p>
      <w:pPr>
        <w:pStyle w:val="Heading6"/>
        <w:spacing w:line="240" w:lineRule="auto"/>
        <w:ind w:right="998"/>
        <w:jc w:val="left"/>
        <w:rPr>
          <w:b w:val="0"/>
          <w:bCs w:val="0"/>
        </w:rPr>
      </w:pPr>
      <w:bookmarkStart w:name="26、开发支出" w:id="319"/>
      <w:bookmarkEnd w:id="319"/>
      <w:r>
        <w:rPr>
          <w:b w:val="0"/>
          <w:bCs w:val="0"/>
        </w:rPr>
      </w:r>
      <w:r>
        <w:rPr>
          <w:rFonts w:ascii="Times New Roman" w:hAnsi="Times New Roman" w:cs="Times New Roman" w:eastAsia="Times New Roman" w:hint="default"/>
        </w:rPr>
        <w:t>26</w:t>
      </w:r>
      <w:r>
        <w:rPr/>
        <w:t>、开发支出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064"/>
        <w:gridCol w:w="1063"/>
        <w:gridCol w:w="3189"/>
        <w:gridCol w:w="3190"/>
        <w:gridCol w:w="1063"/>
      </w:tblGrid>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5"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48"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48"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before="52"/>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27、商誉" w:id="320"/>
      <w:bookmarkEnd w:id="320"/>
      <w:r>
        <w:rPr>
          <w:b w:val="0"/>
          <w:bCs w:val="0"/>
        </w:rPr>
      </w:r>
      <w:r>
        <w:rPr>
          <w:rFonts w:ascii="Times New Roman" w:hAnsi="Times New Roman" w:cs="Times New Roman" w:eastAsia="Times New Roman" w:hint="default"/>
        </w:rPr>
        <w:t>27</w:t>
      </w:r>
      <w:r>
        <w:rPr/>
        <w:t>、商誉</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right="998"/>
        <w:jc w:val="left"/>
        <w:rPr>
          <w:b w:val="0"/>
          <w:bCs w:val="0"/>
        </w:rPr>
      </w:pPr>
      <w:bookmarkStart w:name="（1）商誉账面原值" w:id="321"/>
      <w:bookmarkEnd w:id="321"/>
      <w:r>
        <w:rPr>
          <w:b w:val="0"/>
          <w:bCs w:val="0"/>
        </w:rPr>
      </w:r>
      <w:r>
        <w:rPr/>
        <w:t>（</w:t>
      </w:r>
      <w:r>
        <w:rPr>
          <w:rFonts w:ascii="Times New Roman" w:hAnsi="Times New Roman" w:cs="Times New Roman" w:eastAsia="Times New Roman" w:hint="default"/>
        </w:rPr>
        <w:t>1</w:t>
      </w:r>
      <w:r>
        <w:rPr/>
        <w:t>）商誉账面原值</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367"/>
        <w:gridCol w:w="1367"/>
        <w:gridCol w:w="1368"/>
        <w:gridCol w:w="1367"/>
        <w:gridCol w:w="1367"/>
        <w:gridCol w:w="1367"/>
        <w:gridCol w:w="1367"/>
      </w:tblGrid>
      <w:tr>
        <w:trPr>
          <w:trHeight w:val="1026"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8" w:right="47"/>
              <w:jc w:val="center"/>
              <w:rPr>
                <w:rFonts w:ascii="宋体" w:hAnsi="宋体" w:cs="宋体" w:eastAsia="宋体" w:hint="default"/>
                <w:sz w:val="18"/>
                <w:szCs w:val="18"/>
              </w:rPr>
            </w:pPr>
            <w:r>
              <w:rPr>
                <w:rFonts w:ascii="宋体" w:hAnsi="宋体" w:cs="宋体" w:eastAsia="宋体" w:hint="default"/>
                <w:sz w:val="18"/>
                <w:szCs w:val="18"/>
              </w:rPr>
              <w:t>被投资单位名称 或形成商誉的事 项</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Grindr</w:t>
            </w:r>
            <w:r>
              <w:rPr>
                <w:rFonts w:ascii="Times New Roman"/>
                <w:spacing w:val="-1"/>
                <w:sz w:val="18"/>
              </w:rPr>
              <w:t> </w:t>
            </w:r>
            <w:r>
              <w:rPr>
                <w:rFonts w:ascii="Times New Roman"/>
                <w:sz w:val="18"/>
              </w:rPr>
              <w:t>LLC</w:t>
            </w:r>
          </w:p>
        </w:tc>
        <w:tc>
          <w:tcPr>
            <w:tcW w:w="1367" w:type="dxa"/>
            <w:tcBorders>
              <w:top w:val="single" w:sz="4" w:space="0" w:color="000000"/>
              <w:left w:val="single" w:sz="13" w:space="0" w:color="E0FFFF"/>
              <w:bottom w:val="single" w:sz="4" w:space="0" w:color="000000"/>
              <w:right w:val="single" w:sz="4" w:space="0" w:color="000000"/>
            </w:tcBorders>
          </w:tcPr>
          <w:p>
            <w:pPr>
              <w:pStyle w:val="TableParagraph"/>
              <w:spacing w:line="240" w:lineRule="auto" w:before="91"/>
              <w:ind w:left="198" w:right="0"/>
              <w:jc w:val="left"/>
              <w:rPr>
                <w:rFonts w:ascii="Times New Roman" w:hAnsi="Times New Roman" w:cs="Times New Roman" w:eastAsia="Times New Roman" w:hint="default"/>
                <w:sz w:val="18"/>
                <w:szCs w:val="18"/>
              </w:rPr>
            </w:pPr>
            <w:r>
              <w:rPr>
                <w:rFonts w:ascii="Times New Roman"/>
                <w:sz w:val="18"/>
              </w:rPr>
              <w:t>578,535,838.14</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578,535,838.14</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北京闲徕互娱网 络科技有限公司</w:t>
            </w:r>
          </w:p>
        </w:tc>
        <w:tc>
          <w:tcPr>
            <w:tcW w:w="1367"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1" w:right="0"/>
              <w:jc w:val="left"/>
              <w:rPr>
                <w:rFonts w:ascii="Times New Roman" w:hAnsi="Times New Roman" w:cs="Times New Roman" w:eastAsia="Times New Roman" w:hint="default"/>
                <w:sz w:val="18"/>
                <w:szCs w:val="18"/>
              </w:rPr>
            </w:pPr>
            <w:r>
              <w:rPr>
                <w:rFonts w:ascii="Times New Roman"/>
                <w:sz w:val="18"/>
              </w:rPr>
              <w:t>956,342,651.76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956,342,651.76</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9" w:lineRule="auto" w:before="51"/>
              <w:ind w:left="22" w:right="61"/>
              <w:jc w:val="left"/>
              <w:rPr>
                <w:rFonts w:ascii="宋体" w:hAnsi="宋体" w:cs="宋体" w:eastAsia="宋体" w:hint="default"/>
                <w:sz w:val="18"/>
                <w:szCs w:val="18"/>
              </w:rPr>
            </w:pPr>
            <w:r>
              <w:rPr>
                <w:rFonts w:ascii="宋体" w:hAnsi="宋体" w:cs="宋体" w:eastAsia="宋体" w:hint="default"/>
                <w:sz w:val="18"/>
                <w:szCs w:val="18"/>
              </w:rPr>
              <w:t>成都杰蛙科技有 限公司</w:t>
            </w: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8,386,495.24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8,386,495.24</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10" w:right="0"/>
              <w:jc w:val="left"/>
              <w:rPr>
                <w:rFonts w:ascii="Times New Roman" w:hAnsi="Times New Roman" w:cs="Times New Roman" w:eastAsia="Times New Roman" w:hint="default"/>
                <w:sz w:val="18"/>
                <w:szCs w:val="18"/>
              </w:rPr>
            </w:pPr>
            <w:r>
              <w:rPr>
                <w:rFonts w:ascii="Times New Roman"/>
                <w:sz w:val="18"/>
              </w:rPr>
              <w:t>578,535,838.14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964,729,147.00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1,543,264,985.14</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2）商誉减值准备" w:id="322"/>
      <w:bookmarkEnd w:id="322"/>
      <w:r>
        <w:rPr>
          <w:b w:val="0"/>
          <w:bCs w:val="0"/>
        </w:rPr>
      </w:r>
      <w:r>
        <w:rPr/>
        <w:t>（</w:t>
      </w:r>
      <w:r>
        <w:rPr>
          <w:rFonts w:ascii="Times New Roman" w:hAnsi="Times New Roman" w:cs="Times New Roman" w:eastAsia="Times New Roman" w:hint="default"/>
        </w:rPr>
        <w:t>2</w:t>
      </w:r>
      <w:r>
        <w:rPr/>
        <w:t>）商誉减值准备</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367"/>
        <w:gridCol w:w="1367"/>
        <w:gridCol w:w="1368"/>
        <w:gridCol w:w="1367"/>
        <w:gridCol w:w="1367"/>
        <w:gridCol w:w="1367"/>
        <w:gridCol w:w="1367"/>
      </w:tblGrid>
      <w:tr>
        <w:trPr>
          <w:trHeight w:val="1026"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8" w:right="47"/>
              <w:jc w:val="center"/>
              <w:rPr>
                <w:rFonts w:ascii="宋体" w:hAnsi="宋体" w:cs="宋体" w:eastAsia="宋体" w:hint="default"/>
                <w:sz w:val="18"/>
                <w:szCs w:val="18"/>
              </w:rPr>
            </w:pPr>
            <w:r>
              <w:rPr>
                <w:rFonts w:ascii="宋体" w:hAnsi="宋体" w:cs="宋体" w:eastAsia="宋体" w:hint="default"/>
                <w:sz w:val="18"/>
                <w:szCs w:val="18"/>
              </w:rPr>
              <w:t>被投资单位名称 或形成商誉的事 项</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成都杰蛙科技有 限公司</w:t>
            </w:r>
          </w:p>
        </w:tc>
        <w:tc>
          <w:tcPr>
            <w:tcW w:w="1367"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8,386,495.24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8,386,495.24</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8,386,495.24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8,386,495.24</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说明商誉减值测试过程、参数及商誉减值损失的确认方法：</w:t>
      </w:r>
    </w:p>
    <w:p>
      <w:pPr>
        <w:pStyle w:val="BodyText"/>
        <w:spacing w:line="266" w:lineRule="auto" w:before="90"/>
        <w:ind w:left="2409" w:right="1059"/>
        <w:jc w:val="left"/>
      </w:pPr>
      <w:r>
        <w:rPr/>
        <w:t>商誉减值测试过程、参数及商誉减值损失的确认方法： 公司期末对上述被投资单位商誉进行减值测试，将</w:t>
      </w:r>
      <w:r>
        <w:rPr>
          <w:rFonts w:ascii="Times New Roman" w:hAnsi="Times New Roman" w:cs="Times New Roman" w:eastAsia="Times New Roman" w:hint="default"/>
        </w:rPr>
        <w:t>Grindr</w:t>
      </w:r>
      <w:r>
        <w:rPr>
          <w:rFonts w:ascii="Times New Roman" w:hAnsi="Times New Roman" w:cs="Times New Roman" w:eastAsia="Times New Roman" w:hint="default"/>
          <w:spacing w:val="-1"/>
        </w:rPr>
        <w:t> </w:t>
      </w:r>
      <w:r>
        <w:rPr>
          <w:rFonts w:ascii="Times New Roman" w:hAnsi="Times New Roman" w:cs="Times New Roman" w:eastAsia="Times New Roman" w:hint="default"/>
        </w:rPr>
        <w:t>LLC</w:t>
      </w:r>
      <w:r>
        <w:rPr/>
        <w:t>、北京闲徕互娱网络科技有限 公司、成都杰蛙科技有限公司分别作为资产组，首先将商誉分摊至其对应的资产组，结合相 关资产组历史的业绩增长情况、行业的发展趋势等，预计各资产组未来</w:t>
      </w:r>
      <w:r>
        <w:rPr>
          <w:rFonts w:ascii="Times New Roman" w:hAnsi="Times New Roman" w:cs="Times New Roman" w:eastAsia="Times New Roman" w:hint="default"/>
        </w:rPr>
        <w:t>5</w:t>
      </w:r>
      <w:r>
        <w:rPr/>
        <w:t>年内现金流量，并 </w:t>
      </w:r>
      <w:r>
        <w:rPr>
          <w:spacing w:val="-1"/>
          <w:w w:val="99"/>
        </w:rPr>
        <w:t>假设北京闲徕和</w:t>
      </w:r>
      <w:r>
        <w:rPr>
          <w:rFonts w:ascii="Times New Roman" w:hAnsi="Times New Roman" w:cs="Times New Roman" w:eastAsia="Times New Roman" w:hint="default"/>
          <w:spacing w:val="-1"/>
          <w:w w:val="99"/>
        </w:rPr>
        <w:t>Grindr</w:t>
      </w:r>
      <w:r>
        <w:rPr>
          <w:rFonts w:ascii="Times New Roman" w:hAnsi="Times New Roman" w:cs="Times New Roman" w:eastAsia="Times New Roman" w:hint="default"/>
          <w:w w:val="99"/>
        </w:rPr>
        <w:t> </w:t>
      </w:r>
      <w:r>
        <w:rPr>
          <w:rFonts w:ascii="Times New Roman" w:hAnsi="Times New Roman" w:cs="Times New Roman" w:eastAsia="Times New Roman" w:hint="default"/>
          <w:spacing w:val="-3"/>
        </w:rPr>
        <w:t>LLC</w:t>
      </w:r>
      <w:r>
        <w:rPr>
          <w:spacing w:val="-3"/>
        </w:rPr>
        <w:t>资产组其后年度保持预测期第</w:t>
      </w:r>
      <w:r>
        <w:rPr>
          <w:rFonts w:ascii="Times New Roman" w:hAnsi="Times New Roman" w:cs="Times New Roman" w:eastAsia="Times New Roman" w:hint="default"/>
          <w:spacing w:val="-3"/>
        </w:rPr>
        <w:t>5</w:t>
      </w:r>
      <w:r>
        <w:rPr>
          <w:spacing w:val="-3"/>
        </w:rPr>
        <w:t>年的现金流量水平。现金流量中采</w:t>
      </w:r>
      <w:r>
        <w:rPr>
          <w:spacing w:val="-102"/>
        </w:rPr>
        <w:t> </w:t>
      </w:r>
      <w:r>
        <w:rPr>
          <w:spacing w:val="-102"/>
        </w:rPr>
      </w:r>
      <w:r>
        <w:rPr/>
        <w:t>用的关键数据包括预计收入、营业成本及其他相关费用，系公司管理层根据各公司历史经验</w:t>
      </w:r>
      <w:r>
        <w:rPr/>
        <w:t> 及对市场发展的预测确定上述关键数据。公司采用合理的折现率作为计算未来现金流量现值 的税前折现率，采用的折现率已考虑了公司的资本成本、市场预期报酬率等因素，反映了各 资产组的特定风险。</w:t>
      </w:r>
      <w:r>
        <w:rPr>
          <w:rFonts w:ascii="Times New Roman" w:hAnsi="Times New Roman" w:cs="Times New Roman" w:eastAsia="Times New Roman" w:hint="default"/>
        </w:rPr>
        <w:t>Grindr</w:t>
      </w:r>
      <w:r>
        <w:rPr>
          <w:rFonts w:ascii="Times New Roman" w:hAnsi="Times New Roman" w:cs="Times New Roman" w:eastAsia="Times New Roman" w:hint="default"/>
          <w:spacing w:val="-15"/>
        </w:rPr>
        <w:t> </w:t>
      </w:r>
      <w:r>
        <w:rPr>
          <w:rFonts w:ascii="Times New Roman" w:hAnsi="Times New Roman" w:cs="Times New Roman" w:eastAsia="Times New Roman" w:hint="default"/>
        </w:rPr>
        <w:t>LLC</w:t>
      </w:r>
      <w:r>
        <w:rPr/>
        <w:t>资产组采用的折现率为</w:t>
      </w:r>
      <w:r>
        <w:rPr>
          <w:rFonts w:ascii="Times New Roman" w:hAnsi="Times New Roman" w:cs="Times New Roman" w:eastAsia="Times New Roman" w:hint="default"/>
        </w:rPr>
        <w:t>12.04%</w:t>
      </w:r>
      <w:r>
        <w:rPr/>
        <w:t>，北京闲徕互娱资产组采用的 折现率为</w:t>
      </w:r>
      <w:r>
        <w:rPr>
          <w:rFonts w:ascii="Times New Roman" w:hAnsi="Times New Roman" w:cs="Times New Roman" w:eastAsia="Times New Roman" w:hint="default"/>
        </w:rPr>
        <w:t>13.80%</w:t>
      </w:r>
      <w:r>
        <w:rPr/>
        <w:t>。根据各资产组的税前折现率，对预计的各资产组未来现金流量进行折现， 以计算包含商誉的资产组的可回收金额，并据以确定是否需计提商誉减值准备。 经测算</w:t>
      </w:r>
      <w:r>
        <w:rPr>
          <w:rFonts w:ascii="Times New Roman" w:hAnsi="Times New Roman" w:cs="Times New Roman" w:eastAsia="Times New Roman" w:hint="default"/>
        </w:rPr>
        <w:t>Grindr</w:t>
      </w:r>
      <w:r>
        <w:rPr>
          <w:rFonts w:ascii="Times New Roman" w:hAnsi="Times New Roman" w:cs="Times New Roman" w:eastAsia="Times New Roman" w:hint="default"/>
          <w:spacing w:val="-2"/>
        </w:rPr>
        <w:t> </w:t>
      </w:r>
      <w:r>
        <w:rPr>
          <w:rFonts w:ascii="Times New Roman" w:hAnsi="Times New Roman" w:cs="Times New Roman" w:eastAsia="Times New Roman" w:hint="default"/>
        </w:rPr>
        <w:t>LLC</w:t>
      </w:r>
      <w:r>
        <w:rPr/>
        <w:t>、北京闲徕互娱网络科技有限公司相关资产组可收回金额高于其投资账面 价值，不计提减值；成都杰蛙科技有限公司连续亏损且不再具有可持续经营能力，商誉出现 减值迹象，对其进行全额计提了减值。</w:t>
      </w:r>
    </w:p>
    <w:p>
      <w:pPr>
        <w:spacing w:line="240" w:lineRule="auto" w:before="13"/>
        <w:rPr>
          <w:rFonts w:ascii="宋体" w:hAnsi="宋体" w:cs="宋体" w:eastAsia="宋体" w:hint="default"/>
          <w:sz w:val="29"/>
          <w:szCs w:val="29"/>
        </w:rPr>
      </w:pPr>
    </w:p>
    <w:p>
      <w:pPr>
        <w:spacing w:line="357" w:lineRule="auto" w:before="0"/>
        <w:ind w:left="1134" w:right="10032"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2"/>
        <w:rPr>
          <w:rFonts w:ascii="宋体" w:hAnsi="宋体" w:cs="宋体" w:eastAsia="宋体" w:hint="default"/>
          <w:sz w:val="20"/>
          <w:szCs w:val="20"/>
        </w:rPr>
      </w:pPr>
    </w:p>
    <w:p>
      <w:pPr>
        <w:pStyle w:val="Heading6"/>
        <w:spacing w:line="240" w:lineRule="auto"/>
        <w:ind w:right="998"/>
        <w:jc w:val="left"/>
        <w:rPr>
          <w:b w:val="0"/>
          <w:bCs w:val="0"/>
        </w:rPr>
      </w:pPr>
      <w:bookmarkStart w:name="28、长期待摊费用" w:id="323"/>
      <w:bookmarkEnd w:id="323"/>
      <w:r>
        <w:rPr>
          <w:b w:val="0"/>
          <w:bCs w:val="0"/>
        </w:rPr>
      </w:r>
      <w:r>
        <w:rPr>
          <w:rFonts w:ascii="Times New Roman" w:hAnsi="Times New Roman" w:cs="Times New Roman" w:eastAsia="Times New Roman" w:hint="default"/>
        </w:rPr>
        <w:t>28</w:t>
      </w:r>
      <w:r>
        <w:rPr/>
        <w:t>、长期待摊费用</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1"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2"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办公室装修费</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16,209,923.70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7,496,836.65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1,894,514.24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21,812,246.11</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游戏授权金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51,823,200.97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2,184,466.03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31,612,174.45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19,466,463.20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2,929,029.35</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咨询服务费</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6,041,000.00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1,090,666.71</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4,950,333.29</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68,033,124.67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15,722,302.68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34,597,355.40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19,466,463.20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29,691,608.75</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BodyText"/>
        <w:spacing w:line="256" w:lineRule="auto" w:before="35"/>
        <w:ind w:right="998"/>
        <w:jc w:val="left"/>
      </w:pPr>
      <w:r>
        <w:rPr>
          <w:spacing w:val="-1"/>
        </w:rPr>
        <w:t>游戏授权金其他减少金额</w:t>
      </w:r>
      <w:r>
        <w:rPr>
          <w:rFonts w:ascii="Times New Roman" w:hAnsi="Times New Roman" w:cs="Times New Roman" w:eastAsia="Times New Roman" w:hint="default"/>
          <w:spacing w:val="-1"/>
        </w:rPr>
        <w:t>19,466,463.20</w:t>
      </w:r>
      <w:r>
        <w:rPr>
          <w:spacing w:val="-1"/>
        </w:rPr>
        <w:t>元，其中本年对游戏授权金计提减值准备</w:t>
      </w:r>
      <w:r>
        <w:rPr>
          <w:rFonts w:ascii="Times New Roman" w:hAnsi="Times New Roman" w:cs="Times New Roman" w:eastAsia="Times New Roman" w:hint="default"/>
          <w:spacing w:val="-1"/>
        </w:rPr>
        <w:t>8,957,246.56</w:t>
      </w:r>
      <w:r>
        <w:rPr>
          <w:spacing w:val="-1"/>
        </w:rPr>
        <w:t>元，游戏下线</w:t>
      </w:r>
      <w:r>
        <w:rPr>
          <w:spacing w:val="-72"/>
        </w:rPr>
        <w:t> </w:t>
      </w:r>
      <w:r>
        <w:rPr>
          <w:spacing w:val="-72"/>
        </w:rPr>
      </w:r>
      <w:r>
        <w:rPr/>
        <w:t>转成本</w:t>
      </w:r>
      <w:r>
        <w:rPr>
          <w:rFonts w:ascii="Times New Roman" w:hAnsi="Times New Roman" w:cs="Times New Roman" w:eastAsia="Times New Roman" w:hint="default"/>
        </w:rPr>
        <w:t>10,509,216.64</w:t>
      </w:r>
      <w:r>
        <w:rPr/>
        <w:t>元。</w:t>
      </w: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25"/>
          <w:szCs w:val="25"/>
        </w:rPr>
      </w:pPr>
    </w:p>
    <w:p>
      <w:pPr>
        <w:pStyle w:val="Heading6"/>
        <w:spacing w:line="240" w:lineRule="auto"/>
        <w:ind w:left="1133" w:right="998"/>
        <w:jc w:val="left"/>
        <w:rPr>
          <w:b w:val="0"/>
          <w:bCs w:val="0"/>
        </w:rPr>
      </w:pPr>
      <w:bookmarkStart w:name="29、递延所得税资产/递延所得税负债" w:id="324"/>
      <w:bookmarkEnd w:id="324"/>
      <w:r>
        <w:rPr>
          <w:b w:val="0"/>
          <w:bCs w:val="0"/>
        </w:rPr>
      </w:r>
      <w:r>
        <w:rPr>
          <w:rFonts w:ascii="Times New Roman" w:hAnsi="Times New Roman" w:cs="Times New Roman" w:eastAsia="Times New Roman" w:hint="default"/>
        </w:rPr>
        <w:t>29</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未经抵销的递延所得税资产" w:id="325"/>
      <w:bookmarkEnd w:id="325"/>
      <w:r>
        <w:rPr>
          <w:b w:val="0"/>
          <w:bCs w:val="0"/>
        </w:rPr>
      </w: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206" w:hRule="exact"/>
        </w:trPr>
        <w:tc>
          <w:tcPr>
            <w:tcW w:w="18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8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42"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889" w:type="dxa"/>
            <w:vMerge/>
            <w:tcBorders>
              <w:left w:val="single" w:sz="4" w:space="0" w:color="000000"/>
              <w:bottom w:val="nil" w:sz="6" w:space="0" w:color="auto"/>
              <w:right w:val="single" w:sz="4" w:space="0" w:color="000000"/>
            </w:tcBorders>
            <w:shd w:val="clear" w:color="auto" w:fill="D2D2D2"/>
          </w:tcPr>
          <w:p>
            <w:pPr/>
          </w:p>
        </w:tc>
        <w:tc>
          <w:tcPr>
            <w:tcW w:w="19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45"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205" w:hRule="exact"/>
        </w:trPr>
        <w:tc>
          <w:tcPr>
            <w:tcW w:w="18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8"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14,352,566.10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2,520,274.64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19,891,455.04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3,899,704.25</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2,952,774.36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738,193.59</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14,352,566.10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2,520,274.64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22,844,229.40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4,637,897.84</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2）未经抵销的递延所得税负债" w:id="326"/>
      <w:bookmarkEnd w:id="326"/>
      <w:r>
        <w:rPr>
          <w:b w:val="0"/>
          <w:bCs w:val="0"/>
        </w:rPr>
      </w: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912"/>
        <w:gridCol w:w="1917"/>
        <w:gridCol w:w="1914"/>
        <w:gridCol w:w="1914"/>
        <w:gridCol w:w="1903"/>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1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3"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3）以抵销后净额列示的递延所得税资产或负债" w:id="327"/>
      <w:bookmarkEnd w:id="327"/>
      <w:r>
        <w:rPr>
          <w:b w:val="0"/>
          <w:bCs w:val="0"/>
        </w:rPr>
      </w: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924"/>
        <w:gridCol w:w="1905"/>
        <w:gridCol w:w="1914"/>
        <w:gridCol w:w="1914"/>
        <w:gridCol w:w="1903"/>
      </w:tblGrid>
      <w:tr>
        <w:trPr>
          <w:trHeight w:val="161" w:hRule="exact"/>
        </w:trPr>
        <w:tc>
          <w:tcPr>
            <w:tcW w:w="1924" w:type="dxa"/>
            <w:tcBorders>
              <w:top w:val="single" w:sz="4" w:space="0" w:color="000000"/>
              <w:left w:val="single" w:sz="4" w:space="0" w:color="000000"/>
              <w:bottom w:val="nil" w:sz="6" w:space="0" w:color="auto"/>
              <w:right w:val="single" w:sz="4" w:space="0" w:color="000000"/>
            </w:tcBorders>
            <w:shd w:val="clear" w:color="auto" w:fill="D2D2D2"/>
          </w:tcPr>
          <w:p>
            <w:pPr/>
          </w:p>
        </w:tc>
        <w:tc>
          <w:tcPr>
            <w:tcW w:w="1905"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401"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期末互抵金额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321" w:right="50"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或负债期末余额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411"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期初互抵金额</w:t>
            </w:r>
          </w:p>
        </w:tc>
        <w:tc>
          <w:tcPr>
            <w:tcW w:w="1903"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321" w:right="39"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或负债期初余额</w:t>
            </w:r>
          </w:p>
        </w:tc>
      </w:tr>
      <w:tr>
        <w:trPr>
          <w:trHeight w:val="392" w:hRule="exact"/>
        </w:trPr>
        <w:tc>
          <w:tcPr>
            <w:tcW w:w="192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1905"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03" w:type="dxa"/>
            <w:vMerge/>
            <w:tcBorders>
              <w:left w:val="single" w:sz="4" w:space="0" w:color="000000"/>
              <w:right w:val="single" w:sz="4" w:space="0" w:color="000000"/>
            </w:tcBorders>
            <w:shd w:val="clear" w:color="auto" w:fill="D2D2D2"/>
          </w:tcPr>
          <w:p>
            <w:pPr/>
          </w:p>
        </w:tc>
      </w:tr>
      <w:tr>
        <w:trPr>
          <w:trHeight w:val="161" w:hRule="exact"/>
        </w:trPr>
        <w:tc>
          <w:tcPr>
            <w:tcW w:w="1924" w:type="dxa"/>
            <w:tcBorders>
              <w:top w:val="nil" w:sz="6" w:space="0" w:color="auto"/>
              <w:left w:val="single" w:sz="4" w:space="0" w:color="000000"/>
              <w:bottom w:val="single" w:sz="4" w:space="0" w:color="000000"/>
              <w:right w:val="single" w:sz="4" w:space="0" w:color="000000"/>
            </w:tcBorders>
            <w:shd w:val="clear" w:color="auto" w:fill="D2D2D2"/>
          </w:tcPr>
          <w:p>
            <w:pPr/>
          </w:p>
        </w:tc>
        <w:tc>
          <w:tcPr>
            <w:tcW w:w="1905"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0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05"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36" w:right="0"/>
              <w:jc w:val="left"/>
              <w:rPr>
                <w:rFonts w:ascii="Times New Roman" w:hAnsi="Times New Roman" w:cs="Times New Roman" w:eastAsia="Times New Roman" w:hint="default"/>
                <w:sz w:val="18"/>
                <w:szCs w:val="18"/>
              </w:rPr>
            </w:pPr>
            <w:r>
              <w:rPr>
                <w:rFonts w:ascii="Times New Roman"/>
                <w:sz w:val="18"/>
              </w:rPr>
              <w:t>2,520,274.64</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36" w:right="0"/>
              <w:jc w:val="left"/>
              <w:rPr>
                <w:rFonts w:ascii="Times New Roman" w:hAnsi="Times New Roman" w:cs="Times New Roman" w:eastAsia="Times New Roman" w:hint="default"/>
                <w:sz w:val="18"/>
                <w:szCs w:val="18"/>
              </w:rPr>
            </w:pPr>
            <w:r>
              <w:rPr>
                <w:rFonts w:ascii="Times New Roman"/>
                <w:sz w:val="18"/>
              </w:rPr>
              <w:t>4,637,897.84</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4）未确认递延所得税资产明细" w:id="328"/>
      <w:bookmarkEnd w:id="328"/>
      <w:r>
        <w:rPr>
          <w:b w:val="0"/>
          <w:bCs w:val="0"/>
        </w:rPr>
      </w:r>
      <w:r>
        <w:rPr/>
        <w:t>（</w:t>
      </w:r>
      <w:r>
        <w:rPr>
          <w:rFonts w:ascii="Times New Roman" w:hAnsi="Times New Roman" w:cs="Times New Roman" w:eastAsia="Times New Roman" w:hint="default"/>
        </w:rPr>
        <w:t>4</w:t>
      </w:r>
      <w:r>
        <w:rPr/>
        <w:t>）未确认递延所得税资产明细</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1,490,294.94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21,158,059.34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10,671,546.70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14,551,311.63</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12,161,841.64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35,709,370.97</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5）未确认递延所得税资产的可抵扣亏损将于以下年度到期" w:id="329"/>
      <w:bookmarkEnd w:id="329"/>
      <w:r>
        <w:rPr>
          <w:b w:val="0"/>
          <w:bCs w:val="0"/>
        </w:rPr>
      </w:r>
      <w:r>
        <w:rPr/>
        <w:t>（</w:t>
      </w:r>
      <w:r>
        <w:rPr>
          <w:rFonts w:ascii="Times New Roman" w:hAnsi="Times New Roman" w:cs="Times New Roman" w:eastAsia="Times New Roman" w:hint="default"/>
        </w:rPr>
        <w:t>5</w:t>
      </w:r>
      <w:r>
        <w:rPr/>
        <w:t>）未确认递延所得税资产的可抵扣亏损将于以下年度到期</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390"/>
        <w:gridCol w:w="2396"/>
        <w:gridCol w:w="2392"/>
        <w:gridCol w:w="2392"/>
      </w:tblGrid>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备注</w:t>
            </w:r>
          </w:p>
        </w:tc>
      </w:tr>
    </w:tbl>
    <w:p>
      <w:pPr>
        <w:spacing w:after="0" w:line="240" w:lineRule="auto"/>
        <w:jc w:val="center"/>
        <w:rPr>
          <w:rFonts w:ascii="宋体" w:hAnsi="宋体" w:cs="宋体" w:eastAsia="宋体"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2390"/>
        <w:gridCol w:w="2396"/>
        <w:gridCol w:w="2392"/>
        <w:gridCol w:w="2392"/>
      </w:tblGrid>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2017</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4,241,331.79</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2018</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897,781.44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897,781.44</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2019</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2020</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2021</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9,412,198.40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9,412,198.40</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2022</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361,566.86</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10,671,546.70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14,551,311.63</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877" w:footer="979" w:top="1060" w:bottom="1160" w:left="0" w:right="0"/>
        </w:sectPr>
      </w:pPr>
    </w:p>
    <w:p>
      <w:pPr>
        <w:spacing w:before="51"/>
        <w:ind w:left="1134" w:right="-2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8"/>
          <w:szCs w:val="28"/>
        </w:rPr>
      </w:pPr>
      <w:r>
        <w:rPr/>
        <w:br w:type="column"/>
      </w:r>
      <w:r>
        <w:rPr>
          <w:rFonts w:ascii="宋体"/>
          <w:sz w:val="28"/>
        </w:rPr>
      </w:r>
    </w:p>
    <w:p>
      <w:pPr>
        <w:pStyle w:val="BodyText"/>
        <w:spacing w:line="273" w:lineRule="auto"/>
        <w:ind w:left="335" w:right="1117"/>
        <w:jc w:val="left"/>
      </w:pPr>
      <w:r>
        <w:rPr/>
        <w:t>期末未确认递延所得税资产的可抵扣暂时性差异主要是部分公司未来能否取得用于抵扣可 </w:t>
      </w:r>
      <w:r>
        <w:rPr>
          <w:spacing w:val="-1"/>
        </w:rPr>
        <w:t>抵扣暂时性差异的应纳税所得额存在较大的不确定性，本公司未就这部分公司可抵扣暂时性</w:t>
      </w:r>
      <w:r>
        <w:rPr/>
        <w:t> 差异确认递延所得税资产。</w:t>
      </w:r>
    </w:p>
    <w:p>
      <w:pPr>
        <w:spacing w:after="0" w:line="273" w:lineRule="auto"/>
        <w:jc w:val="left"/>
        <w:sectPr>
          <w:type w:val="continuous"/>
          <w:pgSz w:w="11910" w:h="16840"/>
          <w:pgMar w:top="1060" w:bottom="1160" w:left="0" w:right="0"/>
          <w:cols w:num="2" w:equalWidth="0">
            <w:col w:w="2035" w:space="40"/>
            <w:col w:w="9835"/>
          </w:cols>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30、其他非流动资产" w:id="330"/>
      <w:bookmarkEnd w:id="330"/>
      <w:r>
        <w:rPr>
          <w:b w:val="0"/>
          <w:bCs w:val="0"/>
        </w:rPr>
      </w:r>
      <w:r>
        <w:rPr>
          <w:rFonts w:ascii="Times New Roman" w:hAnsi="Times New Roman" w:cs="Times New Roman" w:eastAsia="Times New Roman" w:hint="default"/>
        </w:rPr>
        <w:t>30</w:t>
      </w:r>
      <w:r>
        <w:rPr/>
        <w:t>、其他非流动资产</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预付投资款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269,439,886.31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297,186,449.50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应收股权回购款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93,411,449.50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预付游戏授权金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29,721,068.68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50,485,591.84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392,572,404.49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347,672,041.34</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64" w:lineRule="auto" w:before="89"/>
        <w:ind w:left="1133" w:right="1117" w:firstLine="0"/>
        <w:jc w:val="left"/>
        <w:rPr>
          <w:rFonts w:ascii="宋体" w:hAnsi="宋体" w:cs="宋体" w:eastAsia="宋体" w:hint="default"/>
          <w:sz w:val="18"/>
          <w:szCs w:val="18"/>
        </w:rPr>
      </w:pP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2016</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11</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4</w:t>
      </w:r>
      <w:r>
        <w:rPr>
          <w:rFonts w:ascii="宋体" w:hAnsi="宋体" w:cs="宋体" w:eastAsia="宋体" w:hint="default"/>
          <w:spacing w:val="-1"/>
          <w:sz w:val="21"/>
          <w:szCs w:val="21"/>
        </w:rPr>
        <w:t>日本公司及其他投资人与被投资单位及其创始股东签订协议，本公司及其他投资人将持有</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Times New Roman" w:hAnsi="Times New Roman" w:cs="Times New Roman" w:eastAsia="Times New Roman" w:hint="default"/>
          <w:sz w:val="21"/>
          <w:szCs w:val="21"/>
        </w:rPr>
        <w:t>yimi inc. </w:t>
      </w:r>
      <w:r>
        <w:rPr>
          <w:rFonts w:ascii="宋体" w:hAnsi="宋体" w:cs="宋体" w:eastAsia="宋体" w:hint="default"/>
          <w:sz w:val="21"/>
          <w:szCs w:val="21"/>
        </w:rPr>
        <w:t>的股权进行转让，由创始股东焦岳受让公司持有的</w:t>
      </w:r>
      <w:r>
        <w:rPr>
          <w:rFonts w:ascii="Times New Roman" w:hAnsi="Times New Roman" w:cs="Times New Roman" w:eastAsia="Times New Roman" w:hint="default"/>
          <w:sz w:val="21"/>
          <w:szCs w:val="21"/>
        </w:rPr>
        <w:t>yimi</w:t>
      </w:r>
      <w:r>
        <w:rPr>
          <w:rFonts w:ascii="Times New Roman" w:hAnsi="Times New Roman" w:cs="Times New Roman" w:eastAsia="Times New Roman" w:hint="default"/>
          <w:spacing w:val="-26"/>
          <w:sz w:val="21"/>
          <w:szCs w:val="21"/>
        </w:rPr>
        <w:t> </w:t>
      </w:r>
      <w:r>
        <w:rPr>
          <w:rFonts w:ascii="Times New Roman" w:hAnsi="Times New Roman" w:cs="Times New Roman" w:eastAsia="Times New Roman" w:hint="default"/>
          <w:sz w:val="21"/>
          <w:szCs w:val="21"/>
        </w:rPr>
        <w:t>inc.</w:t>
      </w:r>
      <w:r>
        <w:rPr>
          <w:rFonts w:ascii="宋体" w:hAnsi="宋体" w:cs="宋体" w:eastAsia="宋体" w:hint="default"/>
          <w:sz w:val="21"/>
          <w:szCs w:val="21"/>
        </w:rPr>
        <w:t>股权，股权转让对价由焦岳处置其持 有的深圳百果园实业发展有限公司（以下简称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百果园</w:t>
      </w:r>
      <w:r>
        <w:rPr>
          <w:rFonts w:ascii="Times New Roman" w:hAnsi="Times New Roman" w:cs="Times New Roman" w:eastAsia="Times New Roman" w:hint="default"/>
          <w:sz w:val="21"/>
          <w:szCs w:val="21"/>
        </w:rPr>
        <w:t>”</w:t>
      </w:r>
      <w:r>
        <w:rPr>
          <w:rFonts w:ascii="宋体" w:hAnsi="宋体" w:cs="宋体" w:eastAsia="宋体" w:hint="default"/>
          <w:sz w:val="21"/>
          <w:szCs w:val="21"/>
        </w:rPr>
        <w:t>）的股权获得的现金进行支付，根据约定焦岳应于 </w:t>
      </w:r>
      <w:r>
        <w:rPr>
          <w:rFonts w:ascii="Times New Roman" w:hAnsi="Times New Roman" w:cs="Times New Roman" w:eastAsia="Times New Roman" w:hint="default"/>
          <w:sz w:val="21"/>
          <w:szCs w:val="21"/>
        </w:rPr>
        <w:t>2019</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前分批将百果园的股份处置完毕。公司原对</w:t>
      </w:r>
      <w:r>
        <w:rPr>
          <w:rFonts w:ascii="Times New Roman" w:hAnsi="Times New Roman" w:cs="Times New Roman" w:eastAsia="Times New Roman" w:hint="default"/>
          <w:sz w:val="21"/>
          <w:szCs w:val="21"/>
        </w:rPr>
        <w:t>yimi inc.</w:t>
      </w:r>
      <w:r>
        <w:rPr>
          <w:rFonts w:ascii="宋体" w:hAnsi="宋体" w:cs="宋体" w:eastAsia="宋体" w:hint="default"/>
          <w:sz w:val="21"/>
          <w:szCs w:val="21"/>
        </w:rPr>
        <w:t>的投资款为</w:t>
      </w:r>
      <w:r>
        <w:rPr>
          <w:rFonts w:ascii="Times New Roman" w:hAnsi="Times New Roman" w:cs="Times New Roman" w:eastAsia="Times New Roman" w:hint="default"/>
          <w:sz w:val="21"/>
          <w:szCs w:val="21"/>
        </w:rPr>
        <w:t>93,411,449.50</w:t>
      </w:r>
      <w:r>
        <w:rPr>
          <w:rFonts w:ascii="宋体" w:hAnsi="宋体" w:cs="宋体" w:eastAsia="宋体" w:hint="default"/>
          <w:sz w:val="21"/>
          <w:szCs w:val="21"/>
        </w:rPr>
        <w:t>元。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21</w:t>
      </w:r>
      <w:r>
        <w:rPr>
          <w:rFonts w:ascii="宋体" w:hAnsi="宋体" w:cs="宋体" w:eastAsia="宋体" w:hint="default"/>
          <w:sz w:val="18"/>
          <w:szCs w:val="18"/>
        </w:rPr>
        <w:t>日，公司全资子公司</w:t>
      </w:r>
      <w:r>
        <w:rPr>
          <w:rFonts w:ascii="Times New Roman" w:hAnsi="Times New Roman" w:cs="Times New Roman" w:eastAsia="Times New Roman" w:hint="default"/>
          <w:sz w:val="18"/>
          <w:szCs w:val="18"/>
        </w:rPr>
        <w:t>KL Grindr Holdings,Inc.</w:t>
      </w:r>
      <w:r>
        <w:rPr>
          <w:rFonts w:ascii="宋体" w:hAnsi="宋体" w:cs="宋体" w:eastAsia="宋体" w:hint="default"/>
          <w:sz w:val="18"/>
          <w:szCs w:val="18"/>
        </w:rPr>
        <w:t>与</w:t>
      </w:r>
      <w:r>
        <w:rPr>
          <w:rFonts w:ascii="Times New Roman" w:hAnsi="Times New Roman" w:cs="Times New Roman" w:eastAsia="Times New Roman" w:hint="default"/>
          <w:sz w:val="18"/>
          <w:szCs w:val="18"/>
        </w:rPr>
        <w:t>Grindr LLC</w:t>
      </w:r>
      <w:r>
        <w:rPr>
          <w:rFonts w:ascii="宋体" w:hAnsi="宋体" w:cs="宋体" w:eastAsia="宋体" w:hint="default"/>
          <w:sz w:val="18"/>
          <w:szCs w:val="18"/>
        </w:rPr>
        <w:t>股东</w:t>
      </w:r>
      <w:r>
        <w:rPr>
          <w:rFonts w:ascii="Times New Roman" w:hAnsi="Times New Roman" w:cs="Times New Roman" w:eastAsia="Times New Roman" w:hint="default"/>
          <w:sz w:val="18"/>
          <w:szCs w:val="18"/>
        </w:rPr>
        <w:t>Grindr Holding</w:t>
      </w:r>
      <w:r>
        <w:rPr>
          <w:rFonts w:ascii="Times New Roman" w:hAnsi="Times New Roman" w:cs="Times New Roman" w:eastAsia="Times New Roman" w:hint="default"/>
          <w:spacing w:val="-8"/>
          <w:sz w:val="18"/>
          <w:szCs w:val="18"/>
        </w:rPr>
        <w:t> </w:t>
      </w:r>
      <w:r>
        <w:rPr>
          <w:rFonts w:ascii="Times New Roman" w:hAnsi="Times New Roman" w:cs="Times New Roman" w:eastAsia="Times New Roman" w:hint="default"/>
          <w:sz w:val="18"/>
          <w:szCs w:val="18"/>
        </w:rPr>
        <w:t>Company</w:t>
      </w:r>
      <w:r>
        <w:rPr>
          <w:rFonts w:ascii="宋体" w:hAnsi="宋体" w:cs="宋体" w:eastAsia="宋体" w:hint="default"/>
          <w:sz w:val="18"/>
          <w:szCs w:val="18"/>
        </w:rPr>
        <w:t>签订收购协议，收购</w:t>
      </w:r>
    </w:p>
    <w:p>
      <w:pPr>
        <w:spacing w:line="295" w:lineRule="auto" w:before="43"/>
        <w:ind w:left="1133" w:right="1119" w:firstLine="0"/>
        <w:jc w:val="left"/>
        <w:rPr>
          <w:rFonts w:ascii="宋体" w:hAnsi="宋体" w:cs="宋体" w:eastAsia="宋体" w:hint="default"/>
          <w:sz w:val="21"/>
          <w:szCs w:val="21"/>
        </w:rPr>
      </w:pPr>
      <w:r>
        <w:rPr>
          <w:rFonts w:ascii="宋体" w:hAnsi="宋体" w:cs="宋体" w:eastAsia="宋体" w:hint="default"/>
          <w:sz w:val="18"/>
          <w:szCs w:val="18"/>
        </w:rPr>
        <w:t>其持有的</w:t>
      </w:r>
      <w:r>
        <w:rPr>
          <w:rFonts w:ascii="Times New Roman" w:hAnsi="Times New Roman" w:cs="Times New Roman" w:eastAsia="Times New Roman" w:hint="default"/>
          <w:sz w:val="18"/>
          <w:szCs w:val="18"/>
        </w:rPr>
        <w:t>Grindr</w:t>
      </w:r>
      <w:r>
        <w:rPr>
          <w:rFonts w:ascii="Times New Roman" w:hAnsi="Times New Roman" w:cs="Times New Roman" w:eastAsia="Times New Roman" w:hint="default"/>
          <w:spacing w:val="-21"/>
          <w:sz w:val="18"/>
          <w:szCs w:val="18"/>
        </w:rPr>
        <w:t> </w:t>
      </w:r>
      <w:r>
        <w:rPr>
          <w:rFonts w:ascii="Times New Roman" w:hAnsi="Times New Roman" w:cs="Times New Roman" w:eastAsia="Times New Roman" w:hint="default"/>
          <w:sz w:val="18"/>
          <w:szCs w:val="18"/>
        </w:rPr>
        <w:t>LLC38.47%</w:t>
      </w:r>
      <w:r>
        <w:rPr>
          <w:rFonts w:ascii="宋体" w:hAnsi="宋体" w:cs="宋体" w:eastAsia="宋体" w:hint="default"/>
          <w:sz w:val="18"/>
          <w:szCs w:val="18"/>
        </w:rPr>
        <w:t>股权，收购价格为</w:t>
      </w:r>
      <w:r>
        <w:rPr>
          <w:rFonts w:ascii="Times New Roman" w:hAnsi="Times New Roman" w:cs="Times New Roman" w:eastAsia="Times New Roman" w:hint="default"/>
          <w:sz w:val="18"/>
          <w:szCs w:val="18"/>
        </w:rPr>
        <w:t>1.52</w:t>
      </w:r>
      <w:r>
        <w:rPr>
          <w:rFonts w:ascii="宋体" w:hAnsi="宋体" w:cs="宋体" w:eastAsia="宋体" w:hint="default"/>
          <w:sz w:val="18"/>
          <w:szCs w:val="18"/>
        </w:rPr>
        <w:t>亿美元，当月预付</w:t>
      </w:r>
      <w:r>
        <w:rPr>
          <w:rFonts w:ascii="Times New Roman" w:hAnsi="Times New Roman" w:cs="Times New Roman" w:eastAsia="Times New Roman" w:hint="default"/>
          <w:sz w:val="18"/>
          <w:szCs w:val="18"/>
        </w:rPr>
        <w:t>15,200,000.00</w:t>
      </w:r>
      <w:r>
        <w:rPr>
          <w:rFonts w:ascii="宋体" w:hAnsi="宋体" w:cs="宋体" w:eastAsia="宋体" w:hint="default"/>
          <w:sz w:val="18"/>
          <w:szCs w:val="18"/>
        </w:rPr>
        <w:t>美元（折合人民币</w:t>
      </w:r>
      <w:r>
        <w:rPr>
          <w:rFonts w:ascii="Times New Roman" w:hAnsi="Times New Roman" w:cs="Times New Roman" w:eastAsia="Times New Roman" w:hint="default"/>
          <w:sz w:val="18"/>
          <w:szCs w:val="18"/>
        </w:rPr>
        <w:t>104,322,160.00</w:t>
      </w:r>
      <w:r>
        <w:rPr>
          <w:rFonts w:ascii="宋体" w:hAnsi="宋体" w:cs="宋体" w:eastAsia="宋体" w:hint="default"/>
          <w:sz w:val="18"/>
          <w:szCs w:val="18"/>
        </w:rPr>
        <w:t>元），截 止资产负债表日，尚未完股权成交割手续。 </w:t>
      </w: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2017</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21</w:t>
      </w:r>
      <w:r>
        <w:rPr>
          <w:rFonts w:ascii="宋体" w:hAnsi="宋体" w:cs="宋体" w:eastAsia="宋体" w:hint="default"/>
          <w:sz w:val="21"/>
          <w:szCs w:val="21"/>
        </w:rPr>
        <w:t>日，公司签订北京世相科技文化有限公司投资协议，根据协议规定公司向其增加投资</w:t>
      </w:r>
    </w:p>
    <w:p>
      <w:pPr>
        <w:pStyle w:val="BodyText"/>
        <w:spacing w:line="259" w:lineRule="exact"/>
        <w:ind w:left="1134" w:right="998"/>
        <w:jc w:val="left"/>
      </w:pPr>
      <w:r>
        <w:rPr>
          <w:rFonts w:ascii="Times New Roman" w:hAnsi="Times New Roman" w:cs="Times New Roman" w:eastAsia="Times New Roman" w:hint="default"/>
        </w:rPr>
        <w:t>50,000,000.00</w:t>
      </w:r>
      <w:r>
        <w:rPr/>
        <w:t>元，认购其</w:t>
      </w:r>
      <w:r>
        <w:rPr>
          <w:rFonts w:ascii="Times New Roman" w:hAnsi="Times New Roman" w:cs="Times New Roman" w:eastAsia="Times New Roman" w:hint="default"/>
        </w:rPr>
        <w:t>7.05%</w:t>
      </w:r>
      <w:r>
        <w:rPr/>
        <w:t>的股权，截止资产负债表日，公司已支付投资款</w:t>
      </w:r>
      <w:r>
        <w:rPr>
          <w:rFonts w:ascii="Times New Roman" w:hAnsi="Times New Roman" w:cs="Times New Roman" w:eastAsia="Times New Roman" w:hint="default"/>
        </w:rPr>
        <w:t>20,000,000.00</w:t>
      </w:r>
      <w:r>
        <w:rPr/>
        <w:t>元，尚未完成</w:t>
      </w:r>
    </w:p>
    <w:p>
      <w:pPr>
        <w:pStyle w:val="BodyText"/>
        <w:spacing w:line="240" w:lineRule="auto" w:before="21"/>
        <w:ind w:left="1134" w:right="998"/>
        <w:jc w:val="left"/>
      </w:pPr>
      <w:r>
        <w:rPr/>
        <w:t>交割手续。</w:t>
      </w:r>
    </w:p>
    <w:p>
      <w:pPr>
        <w:pStyle w:val="BodyText"/>
        <w:spacing w:line="256" w:lineRule="auto" w:before="37"/>
        <w:ind w:left="1134" w:right="1130"/>
        <w:jc w:val="both"/>
      </w:pPr>
      <w:r>
        <w:rPr>
          <w:rFonts w:ascii="Times New Roman" w:hAnsi="Times New Roman" w:cs="Times New Roman" w:eastAsia="Times New Roman" w:hint="default"/>
          <w:spacing w:val="-3"/>
        </w:rPr>
        <w:t>4</w:t>
      </w:r>
      <w:r>
        <w:rPr>
          <w:spacing w:val="-3"/>
        </w:rPr>
        <w:t>、</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9</w:t>
      </w:r>
      <w:r>
        <w:rPr>
          <w:spacing w:val="-3"/>
        </w:rPr>
        <w:t>月</w:t>
      </w:r>
      <w:r>
        <w:rPr>
          <w:rFonts w:ascii="Times New Roman" w:hAnsi="Times New Roman" w:cs="Times New Roman" w:eastAsia="Times New Roman" w:hint="default"/>
          <w:spacing w:val="-3"/>
        </w:rPr>
        <w:t>28</w:t>
      </w:r>
      <w:r>
        <w:rPr>
          <w:spacing w:val="-3"/>
        </w:rPr>
        <w:t>日，公司签订</w:t>
      </w:r>
      <w:r>
        <w:rPr>
          <w:rFonts w:ascii="Times New Roman" w:hAnsi="Times New Roman" w:cs="Times New Roman" w:eastAsia="Times New Roman" w:hint="default"/>
          <w:spacing w:val="-3"/>
        </w:rPr>
        <w:t>cam</w:t>
      </w:r>
      <w:r>
        <w:rPr>
          <w:rFonts w:ascii="Times New Roman" w:hAnsi="Times New Roman" w:cs="Times New Roman" w:eastAsia="Times New Roman" w:hint="default"/>
          <w:spacing w:val="-24"/>
        </w:rPr>
        <w:t> </w:t>
      </w:r>
      <w:r>
        <w:rPr>
          <w:rFonts w:ascii="Times New Roman" w:hAnsi="Times New Roman" w:cs="Times New Roman" w:eastAsia="Times New Roman" w:hint="default"/>
        </w:rPr>
        <w:t>med</w:t>
      </w:r>
      <w:r>
        <w:rPr>
          <w:rFonts w:ascii="Times New Roman" w:hAnsi="Times New Roman" w:cs="Times New Roman" w:eastAsia="Times New Roman" w:hint="default"/>
          <w:spacing w:val="-24"/>
        </w:rPr>
        <w:t> </w:t>
      </w:r>
      <w:r>
        <w:rPr>
          <w:rFonts w:ascii="Times New Roman" w:hAnsi="Times New Roman" w:cs="Times New Roman" w:eastAsia="Times New Roman" w:hint="default"/>
        </w:rPr>
        <w:t>llc</w:t>
      </w:r>
      <w:r>
        <w:rPr/>
        <w:t>投资协议，根据协议规定公司向其增加投资</w:t>
      </w:r>
      <w:r>
        <w:rPr>
          <w:rFonts w:ascii="Times New Roman" w:hAnsi="Times New Roman" w:cs="Times New Roman" w:eastAsia="Times New Roman" w:hint="default"/>
        </w:rPr>
        <w:t>300,000.00</w:t>
      </w:r>
      <w:r>
        <w:rPr/>
        <w:t>美元，认购 </w:t>
      </w:r>
      <w:r>
        <w:rPr>
          <w:spacing w:val="-2"/>
        </w:rPr>
        <w:t>其</w:t>
      </w:r>
      <w:r>
        <w:rPr>
          <w:rFonts w:ascii="Times New Roman" w:hAnsi="Times New Roman" w:cs="Times New Roman" w:eastAsia="Times New Roman" w:hint="default"/>
          <w:spacing w:val="-2"/>
        </w:rPr>
        <w:t>5.56%</w:t>
      </w:r>
      <w:r>
        <w:rPr>
          <w:spacing w:val="-2"/>
        </w:rPr>
        <w:t>的股权，截止资产负债表日，公司已支付投资款</w:t>
      </w:r>
      <w:r>
        <w:rPr>
          <w:rFonts w:ascii="Times New Roman" w:hAnsi="Times New Roman" w:cs="Times New Roman" w:eastAsia="Times New Roman" w:hint="default"/>
          <w:spacing w:val="-2"/>
        </w:rPr>
        <w:t>300,000.00</w:t>
      </w:r>
      <w:r>
        <w:rPr>
          <w:spacing w:val="-2"/>
        </w:rPr>
        <w:t>美元（折合人民币</w:t>
      </w:r>
      <w:r>
        <w:rPr>
          <w:rFonts w:ascii="Times New Roman" w:hAnsi="Times New Roman" w:cs="Times New Roman" w:eastAsia="Times New Roman" w:hint="default"/>
          <w:spacing w:val="-2"/>
        </w:rPr>
        <w:t>1,988,549.95</w:t>
      </w:r>
      <w:r>
        <w:rPr>
          <w:spacing w:val="-2"/>
        </w:rPr>
        <w:t>元），尚</w:t>
      </w:r>
      <w:r>
        <w:rPr>
          <w:spacing w:val="-84"/>
        </w:rPr>
        <w:t> </w:t>
      </w:r>
      <w:r>
        <w:rPr>
          <w:spacing w:val="-84"/>
        </w:rPr>
      </w:r>
      <w:r>
        <w:rPr/>
        <w:t>未完成交割手续。</w:t>
      </w:r>
    </w:p>
    <w:p>
      <w:pPr>
        <w:pStyle w:val="BodyText"/>
        <w:spacing w:line="261" w:lineRule="auto" w:before="22"/>
        <w:ind w:left="1134" w:right="1012"/>
        <w:jc w:val="left"/>
      </w:pPr>
      <w:r>
        <w:rPr>
          <w:rFonts w:ascii="Times New Roman" w:hAnsi="Times New Roman" w:cs="Times New Roman" w:eastAsia="Times New Roman" w:hint="default"/>
          <w:spacing w:val="-4"/>
        </w:rPr>
        <w:t>5</w:t>
      </w:r>
      <w:r>
        <w:rPr>
          <w:spacing w:val="-4"/>
        </w:rPr>
        <w:t>、</w:t>
      </w:r>
      <w:r>
        <w:rPr>
          <w:rFonts w:ascii="Times New Roman" w:hAnsi="Times New Roman" w:cs="Times New Roman" w:eastAsia="Times New Roman" w:hint="default"/>
          <w:spacing w:val="-4"/>
        </w:rPr>
        <w:t>2017</w:t>
      </w:r>
      <w:r>
        <w:rPr>
          <w:spacing w:val="-4"/>
        </w:rPr>
        <w:t>年</w:t>
      </w:r>
      <w:r>
        <w:rPr>
          <w:rFonts w:ascii="Times New Roman" w:hAnsi="Times New Roman" w:cs="Times New Roman" w:eastAsia="Times New Roman" w:hint="default"/>
          <w:spacing w:val="-4"/>
        </w:rPr>
        <w:t>11</w:t>
      </w:r>
      <w:r>
        <w:rPr>
          <w:spacing w:val="-4"/>
        </w:rPr>
        <w:t>月</w:t>
      </w:r>
      <w:r>
        <w:rPr>
          <w:rFonts w:ascii="Times New Roman" w:hAnsi="Times New Roman" w:cs="Times New Roman" w:eastAsia="Times New Roman" w:hint="default"/>
          <w:spacing w:val="-4"/>
        </w:rPr>
        <w:t>20</w:t>
      </w:r>
      <w:r>
        <w:rPr>
          <w:spacing w:val="-4"/>
        </w:rPr>
        <w:t>日，公司签订</w:t>
      </w:r>
      <w:r>
        <w:rPr>
          <w:rFonts w:ascii="Times New Roman" w:hAnsi="Times New Roman" w:cs="Times New Roman" w:eastAsia="Times New Roman" w:hint="default"/>
          <w:spacing w:val="-4"/>
        </w:rPr>
        <w:t>kunlun</w:t>
      </w:r>
      <w:r>
        <w:rPr>
          <w:rFonts w:ascii="Times New Roman" w:hAnsi="Times New Roman" w:cs="Times New Roman" w:eastAsia="Times New Roman" w:hint="default"/>
          <w:spacing w:val="-22"/>
        </w:rPr>
        <w:t> </w:t>
      </w:r>
      <w:r>
        <w:rPr>
          <w:rFonts w:ascii="Times New Roman" w:hAnsi="Times New Roman" w:cs="Times New Roman" w:eastAsia="Times New Roman" w:hint="default"/>
        </w:rPr>
        <w:t>capital</w:t>
      </w:r>
      <w:r>
        <w:rPr/>
        <w:t>投资协议，根据协议规定公司向其增加投资</w:t>
      </w:r>
      <w:r>
        <w:rPr>
          <w:rFonts w:ascii="Times New Roman" w:hAnsi="Times New Roman" w:cs="Times New Roman" w:eastAsia="Times New Roman" w:hint="default"/>
        </w:rPr>
        <w:t>50,000,000.00</w:t>
      </w:r>
      <w:r>
        <w:rPr/>
        <w:t>美元， </w:t>
      </w:r>
      <w:r>
        <w:rPr>
          <w:spacing w:val="-4"/>
        </w:rPr>
        <w:t>认购其</w:t>
      </w:r>
      <w:r>
        <w:rPr>
          <w:rFonts w:ascii="Times New Roman" w:hAnsi="Times New Roman" w:cs="Times New Roman" w:eastAsia="Times New Roman" w:hint="default"/>
          <w:spacing w:val="-4"/>
        </w:rPr>
        <w:t>10.00%</w:t>
      </w:r>
      <w:r>
        <w:rPr>
          <w:spacing w:val="-4"/>
        </w:rPr>
        <w:t>的股权，截止资产负债表日，公司已支付投资款</w:t>
      </w:r>
      <w:r>
        <w:rPr>
          <w:rFonts w:ascii="Times New Roman" w:hAnsi="Times New Roman" w:cs="Times New Roman" w:eastAsia="Times New Roman" w:hint="default"/>
          <w:spacing w:val="-4"/>
        </w:rPr>
        <w:t>20,150,000.00</w:t>
      </w:r>
      <w:r>
        <w:rPr>
          <w:spacing w:val="-4"/>
        </w:rPr>
        <w:t>美元（折合人民币</w:t>
      </w:r>
      <w:r>
        <w:rPr>
          <w:rFonts w:ascii="Times New Roman" w:hAnsi="Times New Roman" w:cs="Times New Roman" w:eastAsia="Times New Roman" w:hint="default"/>
          <w:spacing w:val="-4"/>
        </w:rPr>
        <w:t>133,529,176.36</w:t>
      </w:r>
      <w:r>
        <w:rPr>
          <w:rFonts w:ascii="Times New Roman" w:hAnsi="Times New Roman" w:cs="Times New Roman" w:eastAsia="Times New Roman" w:hint="default"/>
          <w:spacing w:val="-47"/>
        </w:rPr>
        <w:t> </w:t>
      </w:r>
      <w:r>
        <w:rPr>
          <w:rFonts w:ascii="Times New Roman" w:hAnsi="Times New Roman" w:cs="Times New Roman" w:eastAsia="Times New Roman" w:hint="default"/>
          <w:spacing w:val="-47"/>
        </w:rPr>
      </w:r>
      <w:r>
        <w:rPr/>
        <w:t>元），尚未完成交割手续。 </w:t>
      </w:r>
      <w:r>
        <w:rPr>
          <w:rFonts w:ascii="Times New Roman" w:hAnsi="Times New Roman" w:cs="Times New Roman" w:eastAsia="Times New Roman" w:hint="default"/>
        </w:rPr>
        <w:t>6</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16</w:t>
      </w:r>
      <w:r>
        <w:rPr/>
        <w:t>日，公司签订兜趣（北京）科技有限公司投资协议，根据协议规定公司向其增加投资</w:t>
      </w:r>
    </w:p>
    <w:p>
      <w:pPr>
        <w:pStyle w:val="BodyText"/>
        <w:spacing w:line="240" w:lineRule="auto"/>
        <w:ind w:left="1134" w:right="998"/>
        <w:jc w:val="left"/>
      </w:pPr>
      <w:r>
        <w:rPr>
          <w:rFonts w:ascii="Times New Roman" w:hAnsi="Times New Roman" w:cs="Times New Roman" w:eastAsia="Times New Roman" w:hint="default"/>
        </w:rPr>
        <w:t>3,600,000.00</w:t>
      </w:r>
      <w:r>
        <w:rPr/>
        <w:t>元，认购其</w:t>
      </w:r>
      <w:r>
        <w:rPr>
          <w:rFonts w:ascii="Times New Roman" w:hAnsi="Times New Roman" w:cs="Times New Roman" w:eastAsia="Times New Roman" w:hint="default"/>
        </w:rPr>
        <w:t>5.00%</w:t>
      </w:r>
      <w:r>
        <w:rPr/>
        <w:t>的股权，截止资产负债表日，公司已支付投资款</w:t>
      </w:r>
      <w:r>
        <w:rPr>
          <w:rFonts w:ascii="Times New Roman" w:hAnsi="Times New Roman" w:cs="Times New Roman" w:eastAsia="Times New Roman" w:hint="default"/>
        </w:rPr>
        <w:t>3,600,000.00</w:t>
      </w:r>
      <w:r>
        <w:rPr>
          <w:rFonts w:ascii="Times New Roman" w:hAnsi="Times New Roman" w:cs="Times New Roman" w:eastAsia="Times New Roman" w:hint="default"/>
          <w:spacing w:val="25"/>
        </w:rPr>
        <w:t> </w:t>
      </w:r>
      <w:r>
        <w:rPr/>
        <w:t>元，尚未完成</w:t>
      </w:r>
    </w:p>
    <w:p>
      <w:pPr>
        <w:spacing w:after="0" w:line="240" w:lineRule="auto"/>
        <w:jc w:val="left"/>
        <w:sectPr>
          <w:type w:val="continuous"/>
          <w:pgSz w:w="11910" w:h="16840"/>
          <w:pgMar w:top="1060" w:bottom="1160" w:left="0" w:right="0"/>
        </w:sectPr>
      </w:pPr>
    </w:p>
    <w:p>
      <w:pPr>
        <w:spacing w:line="240" w:lineRule="auto" w:before="9"/>
        <w:rPr>
          <w:rFonts w:ascii="宋体" w:hAnsi="宋体" w:cs="宋体" w:eastAsia="宋体" w:hint="default"/>
          <w:sz w:val="24"/>
          <w:szCs w:val="24"/>
        </w:rPr>
      </w:pPr>
    </w:p>
    <w:p>
      <w:pPr>
        <w:pStyle w:val="BodyText"/>
        <w:spacing w:line="261" w:lineRule="auto" w:before="35"/>
        <w:ind w:right="998"/>
        <w:jc w:val="left"/>
      </w:pPr>
      <w:r>
        <w:rPr/>
        <w:t>交割手续。 </w:t>
      </w:r>
      <w:r>
        <w:rPr>
          <w:rFonts w:ascii="Times New Roman" w:hAnsi="Times New Roman" w:cs="Times New Roman" w:eastAsia="Times New Roman" w:hint="default"/>
        </w:rPr>
        <w:t>7</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16</w:t>
      </w:r>
      <w:r>
        <w:rPr/>
        <w:t>日，公司签订西藏源代码股权投资合伙企业（有限合伙）投资协议，根据协议规定公司 </w:t>
      </w:r>
      <w:r>
        <w:rPr>
          <w:spacing w:val="-3"/>
        </w:rPr>
        <w:t>向其增加投资</w:t>
      </w:r>
      <w:r>
        <w:rPr>
          <w:rFonts w:ascii="Times New Roman" w:hAnsi="Times New Roman" w:cs="Times New Roman" w:eastAsia="Times New Roman" w:hint="default"/>
          <w:spacing w:val="-3"/>
        </w:rPr>
        <w:t>6,000,000.00</w:t>
      </w:r>
      <w:r>
        <w:rPr>
          <w:spacing w:val="-3"/>
        </w:rPr>
        <w:t>元，认购其</w:t>
      </w:r>
      <w:r>
        <w:rPr>
          <w:rFonts w:ascii="Times New Roman" w:hAnsi="Times New Roman" w:cs="Times New Roman" w:eastAsia="Times New Roman" w:hint="default"/>
          <w:spacing w:val="-3"/>
        </w:rPr>
        <w:t>4.17%</w:t>
      </w:r>
      <w:r>
        <w:rPr>
          <w:spacing w:val="-3"/>
        </w:rPr>
        <w:t>的股权，截止资产负债表日，公司已支付投资款</w:t>
      </w:r>
      <w:r>
        <w:rPr>
          <w:rFonts w:ascii="Times New Roman" w:hAnsi="Times New Roman" w:cs="Times New Roman" w:eastAsia="Times New Roman" w:hint="default"/>
          <w:spacing w:val="-3"/>
        </w:rPr>
        <w:t>6,000,000.00</w:t>
      </w:r>
      <w:r>
        <w:rPr>
          <w:spacing w:val="-3"/>
        </w:rPr>
        <w:t>元，</w:t>
      </w:r>
      <w:r>
        <w:rPr>
          <w:spacing w:val="-68"/>
        </w:rPr>
        <w:t> </w:t>
      </w:r>
      <w:r>
        <w:rPr/>
        <w:t>尚未完成交割手续。</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8"/>
          <w:szCs w:val="28"/>
        </w:rPr>
      </w:pPr>
    </w:p>
    <w:p>
      <w:pPr>
        <w:pStyle w:val="Heading6"/>
        <w:spacing w:line="240" w:lineRule="auto"/>
        <w:ind w:left="1133" w:right="998"/>
        <w:jc w:val="left"/>
        <w:rPr>
          <w:b w:val="0"/>
          <w:bCs w:val="0"/>
        </w:rPr>
      </w:pPr>
      <w:bookmarkStart w:name="31、短期借款" w:id="331"/>
      <w:bookmarkEnd w:id="331"/>
      <w:r>
        <w:rPr>
          <w:b w:val="0"/>
          <w:bCs w:val="0"/>
        </w:rPr>
      </w:r>
      <w:r>
        <w:rPr>
          <w:rFonts w:ascii="Times New Roman" w:hAnsi="Times New Roman" w:cs="Times New Roman" w:eastAsia="Times New Roman" w:hint="default"/>
        </w:rPr>
        <w:t>31</w:t>
      </w:r>
      <w:r>
        <w:rPr/>
        <w:t>、短期借款</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短期借款分类" w:id="332"/>
      <w:bookmarkEnd w:id="332"/>
      <w:r>
        <w:rPr>
          <w:b w:val="0"/>
          <w:bCs w:val="0"/>
        </w:rPr>
      </w:r>
      <w:r>
        <w:rPr/>
        <w:t>（</w:t>
      </w:r>
      <w:r>
        <w:rPr>
          <w:rFonts w:ascii="Times New Roman" w:hAnsi="Times New Roman" w:cs="Times New Roman" w:eastAsia="Times New Roman" w:hint="default"/>
        </w:rPr>
        <w:t>1</w:t>
      </w:r>
      <w:r>
        <w:rPr/>
        <w:t>）短期借款分类</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901,507,076.67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792,902,879.96</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242,860,000.00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190,000,000.00</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1,144,367,076.67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982,902,879.96</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短期借款分类的说明：</w:t>
      </w:r>
    </w:p>
    <w:p>
      <w:pPr>
        <w:pStyle w:val="BodyText"/>
        <w:spacing w:line="240" w:lineRule="auto" w:before="89"/>
        <w:ind w:left="1134" w:right="998"/>
        <w:jc w:val="left"/>
      </w:pPr>
      <w:r>
        <w:rPr/>
        <w:t>短期借款分类的说明：</w:t>
      </w:r>
    </w:p>
    <w:p>
      <w:pPr>
        <w:pStyle w:val="BodyText"/>
        <w:spacing w:line="240" w:lineRule="auto" w:before="37"/>
        <w:ind w:left="1134" w:right="998"/>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17</w:t>
      </w:r>
      <w:r>
        <w:rPr/>
        <w:t>日北京昆仑万维科技股份有限公司与北京民生银行股份有限公司北京分行基于公授信字第</w:t>
      </w:r>
    </w:p>
    <w:p>
      <w:pPr>
        <w:pStyle w:val="BodyText"/>
        <w:spacing w:line="256" w:lineRule="auto" w:before="21"/>
        <w:ind w:right="1023"/>
        <w:jc w:val="left"/>
      </w:pPr>
      <w:r>
        <w:rPr>
          <w:rFonts w:ascii="Times New Roman" w:hAnsi="Times New Roman" w:cs="Times New Roman" w:eastAsia="Times New Roman" w:hint="default"/>
        </w:rPr>
        <w:t>1700000091482</w:t>
      </w:r>
      <w:r>
        <w:rPr/>
        <w:t>号的《综合授信合同》签订了公借贷字第</w:t>
      </w:r>
      <w:r>
        <w:rPr>
          <w:rFonts w:ascii="Times New Roman" w:hAnsi="Times New Roman" w:cs="Times New Roman" w:eastAsia="Times New Roman" w:hint="default"/>
        </w:rPr>
        <w:t>ZX17000000032279</w:t>
      </w:r>
      <w:r>
        <w:rPr/>
        <w:t>号流动资金贷款借款合同，借 款金额为</w:t>
      </w:r>
      <w:r>
        <w:rPr>
          <w:rFonts w:ascii="Times New Roman" w:hAnsi="Times New Roman" w:cs="Times New Roman" w:eastAsia="Times New Roman" w:hint="default"/>
        </w:rPr>
        <w:t>7,000.00</w:t>
      </w:r>
      <w:r>
        <w:rPr/>
        <w:t>万元，借款期限自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08</w:t>
      </w:r>
      <w:r>
        <w:rPr/>
        <w:t>月</w:t>
      </w:r>
      <w:r>
        <w:rPr>
          <w:rFonts w:ascii="Times New Roman" w:hAnsi="Times New Roman" w:cs="Times New Roman" w:eastAsia="Times New Roman" w:hint="default"/>
        </w:rPr>
        <w:t>17</w:t>
      </w:r>
      <w:r>
        <w:rPr/>
        <w:t>日至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02</w:t>
      </w:r>
      <w:r>
        <w:rPr/>
        <w:t>月</w:t>
      </w:r>
      <w:r>
        <w:rPr>
          <w:rFonts w:ascii="Times New Roman" w:hAnsi="Times New Roman" w:cs="Times New Roman" w:eastAsia="Times New Roman" w:hint="default"/>
        </w:rPr>
        <w:t>17</w:t>
      </w:r>
      <w:r>
        <w:rPr/>
        <w:t>日，执行年利率</w:t>
      </w:r>
      <w:r>
        <w:rPr>
          <w:rFonts w:ascii="Times New Roman" w:hAnsi="Times New Roman" w:cs="Times New Roman" w:eastAsia="Times New Roman" w:hint="default"/>
        </w:rPr>
        <w:t>5.22%</w:t>
      </w:r>
      <w:r>
        <w:rPr/>
        <w:t>。 </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10</w:t>
      </w:r>
      <w:r>
        <w:rPr/>
        <w:t>日北京昆仑万维科技股份有限公司与南京银行股份有限公司北京分行基于编号为 </w:t>
      </w:r>
      <w:r>
        <w:rPr>
          <w:rFonts w:ascii="Times New Roman" w:hAnsi="Times New Roman" w:cs="Times New Roman" w:eastAsia="Times New Roman" w:hint="default"/>
        </w:rPr>
        <w:t>A04062001708070005</w:t>
      </w:r>
      <w:r>
        <w:rPr/>
        <w:t>的《最高债权额合同》签订了编号为</w:t>
      </w:r>
      <w:r>
        <w:rPr>
          <w:rFonts w:ascii="Times New Roman" w:hAnsi="Times New Roman" w:cs="Times New Roman" w:eastAsia="Times New Roman" w:hint="default"/>
        </w:rPr>
        <w:t>Ba1062001708040005</w:t>
      </w:r>
      <w:r>
        <w:rPr/>
        <w:t>人民币流动资金借款合同， 借款金额为</w:t>
      </w:r>
      <w:r>
        <w:rPr>
          <w:rFonts w:ascii="Times New Roman" w:hAnsi="Times New Roman" w:cs="Times New Roman" w:eastAsia="Times New Roman" w:hint="default"/>
        </w:rPr>
        <w:t>2,400.00</w:t>
      </w:r>
      <w:r>
        <w:rPr/>
        <w:t>万元，借款期限自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08</w:t>
      </w:r>
      <w:r>
        <w:rPr/>
        <w:t>月</w:t>
      </w:r>
      <w:r>
        <w:rPr>
          <w:rFonts w:ascii="Times New Roman" w:hAnsi="Times New Roman" w:cs="Times New Roman" w:eastAsia="Times New Roman" w:hint="default"/>
        </w:rPr>
        <w:t>11</w:t>
      </w:r>
      <w:r>
        <w:rPr/>
        <w:t>日至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08</w:t>
      </w:r>
      <w:r>
        <w:rPr/>
        <w:t>月</w:t>
      </w:r>
      <w:r>
        <w:rPr>
          <w:rFonts w:ascii="Times New Roman" w:hAnsi="Times New Roman" w:cs="Times New Roman" w:eastAsia="Times New Roman" w:hint="default"/>
        </w:rPr>
        <w:t>11</w:t>
      </w:r>
      <w:r>
        <w:rPr/>
        <w:t>日，执行年利率</w:t>
      </w:r>
      <w:r>
        <w:rPr>
          <w:rFonts w:ascii="Times New Roman" w:hAnsi="Times New Roman" w:cs="Times New Roman" w:eastAsia="Times New Roman" w:hint="default"/>
        </w:rPr>
        <w:t>5.22%</w:t>
      </w:r>
      <w:r>
        <w:rPr/>
        <w:t>。 </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08</w:t>
      </w:r>
      <w:r>
        <w:rPr/>
        <w:t>日北京昆仑万维科技股份有限公司与南京银行股份有限公司北京分行基于编号为 </w:t>
      </w:r>
      <w:r>
        <w:rPr>
          <w:rFonts w:ascii="Times New Roman" w:hAnsi="Times New Roman" w:cs="Times New Roman" w:eastAsia="Times New Roman" w:hint="default"/>
        </w:rPr>
        <w:t>A04062001708070005</w:t>
      </w:r>
      <w:r>
        <w:rPr/>
        <w:t>的《最高债权额合同》签订了编号为</w:t>
      </w:r>
      <w:r>
        <w:rPr>
          <w:rFonts w:ascii="Times New Roman" w:hAnsi="Times New Roman" w:cs="Times New Roman" w:eastAsia="Times New Roman" w:hint="default"/>
        </w:rPr>
        <w:t>Ba1004161712070021</w:t>
      </w:r>
      <w:r>
        <w:rPr/>
        <w:t>人民币流动资金借款合同， 借款金额为</w:t>
      </w:r>
      <w:r>
        <w:rPr>
          <w:rFonts w:ascii="Times New Roman" w:hAnsi="Times New Roman" w:cs="Times New Roman" w:eastAsia="Times New Roman" w:hint="default"/>
        </w:rPr>
        <w:t>1,686.00</w:t>
      </w:r>
      <w:r>
        <w:rPr/>
        <w:t>万元，借款期限自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08</w:t>
      </w:r>
      <w:r>
        <w:rPr/>
        <w:t>日至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08</w:t>
      </w:r>
      <w:r>
        <w:rPr/>
        <w:t>日，执行年利率</w:t>
      </w:r>
      <w:r>
        <w:rPr>
          <w:rFonts w:ascii="Times New Roman" w:hAnsi="Times New Roman" w:cs="Times New Roman" w:eastAsia="Times New Roman" w:hint="default"/>
        </w:rPr>
        <w:t>5.655%</w:t>
      </w:r>
      <w:r>
        <w:rPr/>
        <w:t>。 </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29</w:t>
      </w:r>
      <w:r>
        <w:rPr/>
        <w:t>日北京昆仑万维科技股份有限公司与江苏银行股份有限公司北京中关村支行基于编号为</w:t>
      </w:r>
    </w:p>
    <w:p>
      <w:pPr>
        <w:pStyle w:val="BodyText"/>
        <w:spacing w:line="240" w:lineRule="auto" w:before="5"/>
        <w:ind w:left="1134" w:right="0"/>
        <w:jc w:val="left"/>
      </w:pPr>
      <w:r>
        <w:rPr>
          <w:rFonts w:ascii="Times New Roman" w:hAnsi="Times New Roman" w:cs="Times New Roman" w:eastAsia="Times New Roman" w:hint="default"/>
        </w:rPr>
        <w:t>323017CF011</w:t>
      </w:r>
      <w:r>
        <w:rPr/>
        <w:t>的《最高额综合授信合同》签订了编号为</w:t>
      </w:r>
      <w:r>
        <w:rPr>
          <w:rFonts w:ascii="Times New Roman" w:hAnsi="Times New Roman" w:cs="Times New Roman" w:eastAsia="Times New Roman" w:hint="default"/>
        </w:rPr>
        <w:t>323017CF011-001JK</w:t>
      </w:r>
      <w:r>
        <w:rPr/>
        <w:t>流动资金借款合同，借款金额为</w:t>
      </w:r>
    </w:p>
    <w:p>
      <w:pPr>
        <w:pStyle w:val="BodyText"/>
        <w:spacing w:line="259" w:lineRule="auto" w:before="21"/>
        <w:ind w:right="1026"/>
        <w:jc w:val="left"/>
      </w:pPr>
      <w:r>
        <w:rPr>
          <w:rFonts w:ascii="Times New Roman" w:hAnsi="Times New Roman" w:cs="Times New Roman" w:eastAsia="Times New Roman" w:hint="default"/>
        </w:rPr>
        <w:t>34,000.00</w:t>
      </w:r>
      <w:r>
        <w:rPr/>
        <w:t>万元，借款期限自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29</w:t>
      </w:r>
      <w:r>
        <w:rPr/>
        <w:t>日至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29</w:t>
      </w:r>
      <w:r>
        <w:rPr/>
        <w:t>日，执行年利率</w:t>
      </w:r>
      <w:r>
        <w:rPr>
          <w:rFonts w:ascii="Times New Roman" w:hAnsi="Times New Roman" w:cs="Times New Roman" w:eastAsia="Times New Roman" w:hint="default"/>
        </w:rPr>
        <w:t>5.22%</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25</w:t>
      </w:r>
      <w:r>
        <w:rPr/>
        <w:t>日签订了编 号为</w:t>
      </w:r>
      <w:r>
        <w:rPr>
          <w:rFonts w:ascii="Times New Roman" w:hAnsi="Times New Roman" w:cs="Times New Roman" w:eastAsia="Times New Roman" w:hint="default"/>
        </w:rPr>
        <w:t>323017CF011-001BZ</w:t>
      </w:r>
      <w:r>
        <w:rPr/>
        <w:t>的《最高额个人连带责任保证书》，周亚辉作为保证人。 </w:t>
      </w:r>
      <w:r>
        <w:rPr>
          <w:rFonts w:ascii="Times New Roman" w:hAnsi="Times New Roman" w:cs="Times New Roman" w:eastAsia="Times New Roman" w:hint="default"/>
        </w:rPr>
        <w:t>5</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27</w:t>
      </w:r>
      <w:r>
        <w:rPr/>
        <w:t>日北京昆仑万维科技股份有限公司与北京银行股份有限公司阜城支行基于编号为</w:t>
      </w:r>
      <w:r>
        <w:rPr>
          <w:rFonts w:ascii="Times New Roman" w:hAnsi="Times New Roman" w:cs="Times New Roman" w:eastAsia="Times New Roman" w:hint="default"/>
        </w:rPr>
        <w:t>0421422 </w:t>
      </w:r>
      <w:r>
        <w:rPr>
          <w:spacing w:val="-2"/>
        </w:rPr>
        <w:t>的《综合授信合同》签订了编号为</w:t>
      </w:r>
      <w:r>
        <w:rPr>
          <w:rFonts w:ascii="Times New Roman" w:hAnsi="Times New Roman" w:cs="Times New Roman" w:eastAsia="Times New Roman" w:hint="default"/>
          <w:spacing w:val="-2"/>
        </w:rPr>
        <w:t>0421438</w:t>
      </w:r>
      <w:r>
        <w:rPr>
          <w:spacing w:val="-2"/>
        </w:rPr>
        <w:t>号流动资金借款合同，借款金额为</w:t>
      </w:r>
      <w:r>
        <w:rPr>
          <w:rFonts w:ascii="Times New Roman" w:hAnsi="Times New Roman" w:cs="Times New Roman" w:eastAsia="Times New Roman" w:hint="default"/>
          <w:spacing w:val="-2"/>
        </w:rPr>
        <w:t>500.00</w:t>
      </w:r>
      <w:r>
        <w:rPr>
          <w:spacing w:val="-2"/>
        </w:rPr>
        <w:t>万元，借款期限自</w:t>
      </w:r>
      <w:r>
        <w:rPr>
          <w:rFonts w:ascii="Times New Roman" w:hAnsi="Times New Roman" w:cs="Times New Roman" w:eastAsia="Times New Roman" w:hint="default"/>
          <w:spacing w:val="-2"/>
        </w:rPr>
        <w:t>2017</w:t>
      </w:r>
      <w:r>
        <w:rPr>
          <w:rFonts w:ascii="Times New Roman" w:hAnsi="Times New Roman" w:cs="Times New Roman" w:eastAsia="Times New Roman" w:hint="default"/>
          <w:spacing w:val="-23"/>
        </w:rPr>
        <w:t> </w:t>
      </w:r>
      <w:r>
        <w:rPr>
          <w:rFonts w:ascii="Times New Roman" w:hAnsi="Times New Roman" w:cs="Times New Roman" w:eastAsia="Times New Roman" w:hint="default"/>
          <w:spacing w:val="-23"/>
        </w:rPr>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28</w:t>
      </w:r>
      <w:r>
        <w:rPr/>
        <w:t>日至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27</w:t>
      </w:r>
      <w:r>
        <w:rPr/>
        <w:t>日，执行年利率</w:t>
      </w:r>
      <w:r>
        <w:rPr>
          <w:rFonts w:ascii="Times New Roman" w:hAnsi="Times New Roman" w:cs="Times New Roman" w:eastAsia="Times New Roman" w:hint="default"/>
        </w:rPr>
        <w:t>5.0025%</w:t>
      </w:r>
      <w:r>
        <w:rPr/>
        <w:t>。 </w:t>
      </w:r>
      <w:r>
        <w:rPr>
          <w:rFonts w:ascii="Times New Roman" w:hAnsi="Times New Roman" w:cs="Times New Roman" w:eastAsia="Times New Roman" w:hint="default"/>
        </w:rPr>
        <w:t>6</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16</w:t>
      </w:r>
      <w:r>
        <w:rPr/>
        <w:t>日北京昆仑万维科技股份有限公司与平安银行股份有限公司北京分行基于编号为平银电子 信息产业综字</w:t>
      </w:r>
      <w:r>
        <w:rPr>
          <w:rFonts w:ascii="Times New Roman" w:hAnsi="Times New Roman" w:cs="Times New Roman" w:eastAsia="Times New Roman" w:hint="default"/>
        </w:rPr>
        <w:t>20170428</w:t>
      </w:r>
      <w:r>
        <w:rPr/>
        <w:t>第</w:t>
      </w:r>
      <w:r>
        <w:rPr>
          <w:rFonts w:ascii="Times New Roman" w:hAnsi="Times New Roman" w:cs="Times New Roman" w:eastAsia="Times New Roman" w:hint="default"/>
        </w:rPr>
        <w:t>001</w:t>
      </w:r>
      <w:r>
        <w:rPr/>
        <w:t>的《综合授信额度合同》签订了编号为平银电子信息产业贷字</w:t>
      </w:r>
      <w:r>
        <w:rPr>
          <w:rFonts w:ascii="Times New Roman" w:hAnsi="Times New Roman" w:cs="Times New Roman" w:eastAsia="Times New Roman" w:hint="default"/>
        </w:rPr>
        <w:t>20170428</w:t>
      </w:r>
      <w:r>
        <w:rPr/>
        <w:t>第</w:t>
      </w:r>
      <w:r>
        <w:rPr>
          <w:rFonts w:ascii="Times New Roman" w:hAnsi="Times New Roman" w:cs="Times New Roman" w:eastAsia="Times New Roman" w:hint="default"/>
        </w:rPr>
        <w:t>001 </w:t>
      </w:r>
      <w:r>
        <w:rPr>
          <w:spacing w:val="-1"/>
        </w:rPr>
        <w:t>号贷款合同，借款金额为</w:t>
      </w:r>
      <w:r>
        <w:rPr>
          <w:rFonts w:ascii="Times New Roman" w:hAnsi="Times New Roman" w:cs="Times New Roman" w:eastAsia="Times New Roman" w:hint="default"/>
          <w:spacing w:val="-1"/>
        </w:rPr>
        <w:t>5,000.00</w:t>
      </w:r>
      <w:r>
        <w:rPr>
          <w:spacing w:val="-1"/>
        </w:rPr>
        <w:t>万元，借款期限自</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16</w:t>
      </w:r>
      <w:r>
        <w:rPr>
          <w:spacing w:val="-1"/>
        </w:rPr>
        <w:t>日至</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15</w:t>
      </w:r>
      <w:r>
        <w:rPr>
          <w:spacing w:val="-1"/>
        </w:rPr>
        <w:t>日，执行年利率</w:t>
      </w:r>
      <w:r>
        <w:rPr>
          <w:rFonts w:ascii="Times New Roman" w:hAnsi="Times New Roman" w:cs="Times New Roman" w:eastAsia="Times New Roman" w:hint="default"/>
          <w:spacing w:val="-1"/>
        </w:rPr>
        <w:t>4.785%</w:t>
      </w:r>
      <w:r>
        <w:rPr>
          <w:spacing w:val="-1"/>
        </w:rPr>
        <w:t>。</w:t>
      </w:r>
      <w:r>
        <w:rPr>
          <w:spacing w:val="-95"/>
        </w:rPr>
        <w:t> </w:t>
      </w:r>
      <w:r>
        <w:rPr/>
        <w:t>同时签订了编号为平银电子信息产业额保字</w:t>
      </w:r>
      <w:r>
        <w:rPr>
          <w:rFonts w:ascii="Times New Roman" w:hAnsi="Times New Roman" w:cs="Times New Roman" w:eastAsia="Times New Roman" w:hint="default"/>
        </w:rPr>
        <w:t>20170428</w:t>
      </w:r>
      <w:r>
        <w:rPr/>
        <w:t>第</w:t>
      </w:r>
      <w:r>
        <w:rPr>
          <w:rFonts w:ascii="Times New Roman" w:hAnsi="Times New Roman" w:cs="Times New Roman" w:eastAsia="Times New Roman" w:hint="default"/>
        </w:rPr>
        <w:t>001</w:t>
      </w:r>
      <w:r>
        <w:rPr/>
        <w:t>号《最高额保证担保合同》，周亚辉作为保证 人提供担保。 </w:t>
      </w:r>
      <w:r>
        <w:rPr>
          <w:rFonts w:ascii="Times New Roman" w:hAnsi="Times New Roman" w:cs="Times New Roman" w:eastAsia="Times New Roman" w:hint="default"/>
        </w:rPr>
        <w:t>7</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30</w:t>
      </w:r>
      <w:r>
        <w:rPr/>
        <w:t>日北京昆仑万维科技股份有限公司与杭州银行股份有限公司科技支行签订了编号为</w:t>
      </w:r>
    </w:p>
    <w:p>
      <w:pPr>
        <w:pStyle w:val="BodyText"/>
        <w:spacing w:line="256" w:lineRule="auto" w:before="3"/>
        <w:ind w:right="1058"/>
        <w:jc w:val="left"/>
      </w:pPr>
      <w:r>
        <w:rPr>
          <w:rFonts w:ascii="Times New Roman" w:hAnsi="Times New Roman" w:cs="Times New Roman" w:eastAsia="Times New Roman" w:hint="default"/>
        </w:rPr>
        <w:t>103C110201700179</w:t>
      </w:r>
      <w:r>
        <w:rPr/>
        <w:t>号贷款合同，借款金额为</w:t>
      </w:r>
      <w:r>
        <w:rPr>
          <w:rFonts w:ascii="Times New Roman" w:hAnsi="Times New Roman" w:cs="Times New Roman" w:eastAsia="Times New Roman" w:hint="default"/>
        </w:rPr>
        <w:t>10,000.00</w:t>
      </w:r>
      <w:r>
        <w:rPr/>
        <w:t>万元，借款期限自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30</w:t>
      </w:r>
      <w:r>
        <w:rPr/>
        <w:t>日至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29</w:t>
      </w:r>
      <w:r>
        <w:rPr/>
        <w:t>日，</w:t>
      </w:r>
      <w:r>
        <w:rPr>
          <w:spacing w:val="1"/>
        </w:rPr>
        <w:t> </w:t>
      </w:r>
      <w:r>
        <w:rPr/>
        <w:t>执行年利率</w:t>
      </w:r>
      <w:r>
        <w:rPr>
          <w:rFonts w:ascii="Times New Roman" w:hAnsi="Times New Roman" w:cs="Times New Roman" w:eastAsia="Times New Roman" w:hint="default"/>
        </w:rPr>
        <w:t>4.785%</w:t>
      </w:r>
      <w:r>
        <w:rPr/>
        <w:t>。 </w:t>
      </w:r>
      <w:r>
        <w:rPr>
          <w:rFonts w:ascii="Times New Roman" w:hAnsi="Times New Roman" w:cs="Times New Roman" w:eastAsia="Times New Roman" w:hint="default"/>
        </w:rPr>
        <w:t>8</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30</w:t>
      </w:r>
      <w:r>
        <w:rPr/>
        <w:t>日北京昆仑万维科技股份有限公司与华夏银行股份有限公司北京知春支行基于编号为 </w:t>
      </w:r>
      <w:r>
        <w:rPr>
          <w:rFonts w:ascii="Times New Roman" w:hAnsi="Times New Roman" w:cs="Times New Roman" w:eastAsia="Times New Roman" w:hint="default"/>
        </w:rPr>
        <w:t>yyB26</w:t>
      </w:r>
      <w:r>
        <w:rPr/>
        <w:t>（融资）</w:t>
      </w:r>
      <w:r>
        <w:rPr>
          <w:rFonts w:ascii="Times New Roman" w:hAnsi="Times New Roman" w:cs="Times New Roman" w:eastAsia="Times New Roman" w:hint="default"/>
        </w:rPr>
        <w:t>20170031</w:t>
      </w:r>
      <w:r>
        <w:rPr/>
        <w:t>的《最高额融资合同》签订了编号为</w:t>
      </w:r>
      <w:r>
        <w:rPr>
          <w:rFonts w:ascii="Times New Roman" w:hAnsi="Times New Roman" w:cs="Times New Roman" w:eastAsia="Times New Roman" w:hint="default"/>
        </w:rPr>
        <w:t>yyB2610120170040</w:t>
      </w:r>
      <w:r>
        <w:rPr/>
        <w:t>流动资金借款合同，借款</w:t>
      </w:r>
    </w:p>
    <w:p>
      <w:pPr>
        <w:spacing w:after="0" w:line="256" w:lineRule="auto"/>
        <w:jc w:val="left"/>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BodyText"/>
        <w:spacing w:line="256" w:lineRule="auto" w:before="35"/>
        <w:ind w:right="1129"/>
        <w:jc w:val="left"/>
      </w:pPr>
      <w:r>
        <w:rPr/>
        <w:t>金额为</w:t>
      </w:r>
      <w:r>
        <w:rPr>
          <w:rFonts w:ascii="Times New Roman" w:hAnsi="Times New Roman" w:cs="Times New Roman" w:eastAsia="Times New Roman" w:hint="default"/>
        </w:rPr>
        <w:t>4088.46443</w:t>
      </w:r>
      <w:r>
        <w:rPr/>
        <w:t>万元，借款期限自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8</w:t>
      </w:r>
      <w:r>
        <w:rPr/>
        <w:t>日至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24</w:t>
      </w:r>
      <w:r>
        <w:rPr/>
        <w:t>日，执行年利率</w:t>
      </w:r>
      <w:r>
        <w:rPr>
          <w:rFonts w:ascii="Times New Roman" w:hAnsi="Times New Roman" w:cs="Times New Roman" w:eastAsia="Times New Roman" w:hint="default"/>
        </w:rPr>
        <w:t>5.22%</w:t>
      </w:r>
      <w:r>
        <w:rPr/>
        <w:t>。同时签订了编 号为</w:t>
      </w:r>
      <w:r>
        <w:rPr>
          <w:rFonts w:ascii="Times New Roman" w:hAnsi="Times New Roman" w:cs="Times New Roman" w:eastAsia="Times New Roman" w:hint="default"/>
        </w:rPr>
        <w:t>yyB26</w:t>
      </w:r>
      <w:r>
        <w:rPr/>
        <w:t>（高保）</w:t>
      </w:r>
      <w:r>
        <w:rPr>
          <w:rFonts w:ascii="Times New Roman" w:hAnsi="Times New Roman" w:cs="Times New Roman" w:eastAsia="Times New Roman" w:hint="default"/>
        </w:rPr>
        <w:t>20170036</w:t>
      </w:r>
      <w:r>
        <w:rPr/>
        <w:t>《个人最高额保证合同》，周亚辉作为保证人。 </w:t>
      </w:r>
      <w:r>
        <w:rPr>
          <w:rFonts w:ascii="Times New Roman" w:hAnsi="Times New Roman" w:cs="Times New Roman" w:eastAsia="Times New Roman" w:hint="default"/>
        </w:rPr>
        <w:t>9</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14</w:t>
      </w:r>
      <w:r>
        <w:rPr/>
        <w:t>日北京昆仑万维科技股份有限公司与华夏银行股份有限公司北京知春支行基于编号为 </w:t>
      </w:r>
      <w:r>
        <w:rPr>
          <w:rFonts w:ascii="Times New Roman" w:hAnsi="Times New Roman" w:cs="Times New Roman" w:eastAsia="Times New Roman" w:hint="default"/>
          <w:spacing w:val="-2"/>
        </w:rPr>
        <w:t>yyB26</w:t>
      </w:r>
      <w:r>
        <w:rPr>
          <w:spacing w:val="-2"/>
        </w:rPr>
        <w:t>（融资）</w:t>
      </w:r>
      <w:r>
        <w:rPr>
          <w:rFonts w:ascii="Times New Roman" w:hAnsi="Times New Roman" w:cs="Times New Roman" w:eastAsia="Times New Roman" w:hint="default"/>
          <w:spacing w:val="-2"/>
        </w:rPr>
        <w:t>20170031</w:t>
      </w:r>
      <w:r>
        <w:rPr>
          <w:spacing w:val="-2"/>
        </w:rPr>
        <w:t>的《最高额融资合同》签订了编号为</w:t>
      </w:r>
      <w:r>
        <w:rPr>
          <w:rFonts w:ascii="Times New Roman" w:hAnsi="Times New Roman" w:cs="Times New Roman" w:eastAsia="Times New Roman" w:hint="default"/>
          <w:spacing w:val="-2"/>
        </w:rPr>
        <w:t>yyB261012017044</w:t>
      </w:r>
      <w:r>
        <w:rPr>
          <w:spacing w:val="-2"/>
        </w:rPr>
        <w:t>流动资金借款合同，借款金</w:t>
      </w:r>
      <w:r>
        <w:rPr>
          <w:spacing w:val="-83"/>
        </w:rPr>
        <w:t> </w:t>
      </w:r>
      <w:r>
        <w:rPr>
          <w:spacing w:val="-83"/>
        </w:rPr>
      </w:r>
      <w:r>
        <w:rPr>
          <w:spacing w:val="-2"/>
        </w:rPr>
        <w:t>额为</w:t>
      </w:r>
      <w:r>
        <w:rPr>
          <w:rFonts w:ascii="Times New Roman" w:hAnsi="Times New Roman" w:cs="Times New Roman" w:eastAsia="Times New Roman" w:hint="default"/>
          <w:spacing w:val="-2"/>
        </w:rPr>
        <w:t>1618.60407</w:t>
      </w:r>
      <w:r>
        <w:rPr>
          <w:spacing w:val="-2"/>
        </w:rPr>
        <w:t>万元，借款期限自</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19</w:t>
      </w:r>
      <w:r>
        <w:rPr>
          <w:spacing w:val="-2"/>
        </w:rPr>
        <w:t>日至</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24</w:t>
      </w:r>
      <w:r>
        <w:rPr>
          <w:spacing w:val="-2"/>
        </w:rPr>
        <w:t>日，执行年利率</w:t>
      </w:r>
      <w:r>
        <w:rPr>
          <w:rFonts w:ascii="Times New Roman" w:hAnsi="Times New Roman" w:cs="Times New Roman" w:eastAsia="Times New Roman" w:hint="default"/>
          <w:spacing w:val="-2"/>
        </w:rPr>
        <w:t>5.22%</w:t>
      </w:r>
      <w:r>
        <w:rPr>
          <w:spacing w:val="-2"/>
        </w:rPr>
        <w:t>。同时签订了编号</w:t>
      </w:r>
      <w:r>
        <w:rPr>
          <w:spacing w:val="-85"/>
        </w:rPr>
        <w:t> </w:t>
      </w:r>
      <w:r>
        <w:rPr>
          <w:spacing w:val="-85"/>
        </w:rPr>
      </w:r>
      <w:r>
        <w:rPr/>
        <w:t>为</w:t>
      </w:r>
      <w:r>
        <w:rPr>
          <w:rFonts w:ascii="Times New Roman" w:hAnsi="Times New Roman" w:cs="Times New Roman" w:eastAsia="Times New Roman" w:hint="default"/>
        </w:rPr>
        <w:t>yyB26</w:t>
      </w:r>
      <w:r>
        <w:rPr/>
        <w:t>（高保）</w:t>
      </w:r>
      <w:r>
        <w:rPr>
          <w:rFonts w:ascii="Times New Roman" w:hAnsi="Times New Roman" w:cs="Times New Roman" w:eastAsia="Times New Roman" w:hint="default"/>
        </w:rPr>
        <w:t>20170036</w:t>
      </w:r>
      <w:r>
        <w:rPr/>
        <w:t>《个人最高额保证合同》，周亚辉作为保证人。 </w:t>
      </w:r>
      <w:r>
        <w:rPr>
          <w:rFonts w:ascii="Times New Roman" w:hAnsi="Times New Roman" w:cs="Times New Roman" w:eastAsia="Times New Roman" w:hint="default"/>
        </w:rPr>
        <w:t>10</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20</w:t>
      </w:r>
      <w:r>
        <w:rPr/>
        <w:t>日北京昆仑万维科技股份有限公司与兴业银行股份有限公司北京中关村支行基于编号为 </w:t>
      </w:r>
      <w:r>
        <w:rPr>
          <w:spacing w:val="-7"/>
        </w:rPr>
        <w:t>兴银京关（</w:t>
      </w:r>
      <w:r>
        <w:rPr>
          <w:rFonts w:ascii="Times New Roman" w:hAnsi="Times New Roman" w:cs="Times New Roman" w:eastAsia="Times New Roman" w:hint="default"/>
          <w:spacing w:val="-7"/>
        </w:rPr>
        <w:t>2017</w:t>
      </w:r>
      <w:r>
        <w:rPr>
          <w:spacing w:val="-7"/>
        </w:rPr>
        <w:t>）基授字第</w:t>
      </w:r>
      <w:r>
        <w:rPr>
          <w:rFonts w:ascii="Times New Roman" w:hAnsi="Times New Roman" w:cs="Times New Roman" w:eastAsia="Times New Roman" w:hint="default"/>
          <w:spacing w:val="-7"/>
        </w:rPr>
        <w:t>201702</w:t>
      </w:r>
      <w:r>
        <w:rPr>
          <w:spacing w:val="-7"/>
        </w:rPr>
        <w:t>的《基本额度授信合同》签订了编号为兴银京关（</w:t>
      </w:r>
      <w:r>
        <w:rPr>
          <w:rFonts w:ascii="Times New Roman" w:hAnsi="Times New Roman" w:cs="Times New Roman" w:eastAsia="Times New Roman" w:hint="default"/>
          <w:spacing w:val="-7"/>
        </w:rPr>
        <w:t>2017</w:t>
      </w:r>
      <w:r>
        <w:rPr>
          <w:spacing w:val="-7"/>
        </w:rPr>
        <w:t>）短期字第</w:t>
      </w:r>
      <w:r>
        <w:rPr>
          <w:rFonts w:ascii="Times New Roman" w:hAnsi="Times New Roman" w:cs="Times New Roman" w:eastAsia="Times New Roman" w:hint="default"/>
          <w:spacing w:val="-7"/>
        </w:rPr>
        <w:t>201702-1</w:t>
      </w:r>
      <w:r>
        <w:rPr>
          <w:rFonts w:ascii="Times New Roman" w:hAnsi="Times New Roman" w:cs="Times New Roman" w:eastAsia="Times New Roman" w:hint="default"/>
        </w:rPr>
        <w:t> </w:t>
      </w:r>
      <w:r>
        <w:rPr/>
        <w:t>贷款合同，借款金额为</w:t>
      </w:r>
      <w:r>
        <w:rPr>
          <w:rFonts w:ascii="Times New Roman" w:hAnsi="Times New Roman" w:cs="Times New Roman" w:eastAsia="Times New Roman" w:hint="default"/>
        </w:rPr>
        <w:t>2700.00</w:t>
      </w:r>
      <w:r>
        <w:rPr/>
        <w:t>万元，借款期限自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20</w:t>
      </w:r>
      <w:r>
        <w:rPr/>
        <w:t>日至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19</w:t>
      </w:r>
      <w:r>
        <w:rPr/>
        <w:t>日，执行年利率</w:t>
      </w:r>
      <w:r>
        <w:rPr>
          <w:rFonts w:ascii="Times New Roman" w:hAnsi="Times New Roman" w:cs="Times New Roman" w:eastAsia="Times New Roman" w:hint="default"/>
        </w:rPr>
        <w:t>4.5675%</w:t>
      </w:r>
      <w:r>
        <w:rPr/>
        <w:t>。 </w:t>
      </w:r>
      <w:r>
        <w:rPr>
          <w:rFonts w:ascii="Times New Roman" w:hAnsi="Times New Roman" w:cs="Times New Roman" w:eastAsia="Times New Roman" w:hint="default"/>
          <w:spacing w:val="-1"/>
        </w:rPr>
        <w:t>11</w:t>
      </w:r>
      <w:r>
        <w:rPr>
          <w:spacing w:val="-1"/>
        </w:rPr>
        <w:t>、</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27</w:t>
      </w:r>
      <w:r>
        <w:rPr>
          <w:spacing w:val="-1"/>
        </w:rPr>
        <w:t>昆仑集团有限公司与中信银行股份有限公司上海分行签订了编号为（</w:t>
      </w:r>
      <w:r>
        <w:rPr>
          <w:rFonts w:ascii="Times New Roman" w:hAnsi="Times New Roman" w:cs="Times New Roman" w:eastAsia="Times New Roman" w:hint="default"/>
          <w:spacing w:val="-1"/>
        </w:rPr>
        <w:t>2017</w:t>
      </w:r>
      <w:r>
        <w:rPr>
          <w:spacing w:val="-1"/>
        </w:rPr>
        <w:t>）信银贷字第</w:t>
      </w:r>
    </w:p>
    <w:p>
      <w:pPr>
        <w:pStyle w:val="BodyText"/>
        <w:spacing w:line="256" w:lineRule="auto" w:before="5"/>
        <w:ind w:right="998"/>
        <w:jc w:val="left"/>
      </w:pPr>
      <w:r>
        <w:rPr>
          <w:rFonts w:ascii="Times New Roman" w:hAnsi="Times New Roman" w:cs="Times New Roman" w:eastAsia="Times New Roman" w:hint="default"/>
          <w:spacing w:val="-1"/>
        </w:rPr>
        <w:t>731621170004</w:t>
      </w:r>
      <w:r>
        <w:rPr>
          <w:spacing w:val="-1"/>
        </w:rPr>
        <w:t>的外币流动资金贷款合同，借款金额为</w:t>
      </w:r>
      <w:r>
        <w:rPr>
          <w:rFonts w:ascii="Times New Roman" w:hAnsi="Times New Roman" w:cs="Times New Roman" w:eastAsia="Times New Roman" w:hint="default"/>
          <w:spacing w:val="-1"/>
        </w:rPr>
        <w:t>1500.00</w:t>
      </w:r>
      <w:r>
        <w:rPr>
          <w:spacing w:val="-1"/>
        </w:rPr>
        <w:t>万美元（折合人民币</w:t>
      </w:r>
      <w:r>
        <w:rPr>
          <w:rFonts w:ascii="Times New Roman" w:hAnsi="Times New Roman" w:cs="Times New Roman" w:eastAsia="Times New Roman" w:hint="default"/>
          <w:spacing w:val="-1"/>
        </w:rPr>
        <w:t>98,012,997.03</w:t>
      </w:r>
      <w:r>
        <w:rPr>
          <w:spacing w:val="-1"/>
        </w:rPr>
        <w:t>元），借款</w:t>
      </w:r>
      <w:r>
        <w:rPr>
          <w:spacing w:val="-73"/>
        </w:rPr>
        <w:t> </w:t>
      </w:r>
      <w:r>
        <w:rPr>
          <w:spacing w:val="-73"/>
        </w:rPr>
      </w:r>
      <w:r>
        <w:rPr/>
        <w:t>期限自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27</w:t>
      </w:r>
      <w:r>
        <w:rPr/>
        <w:t>日至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27</w:t>
      </w:r>
      <w:r>
        <w:rPr/>
        <w:t>日，执行年利率</w:t>
      </w:r>
      <w:r>
        <w:rPr>
          <w:rFonts w:ascii="Times New Roman" w:hAnsi="Times New Roman" w:cs="Times New Roman" w:eastAsia="Times New Roman" w:hint="default"/>
        </w:rPr>
        <w:t>3.46192%</w:t>
      </w:r>
      <w:r>
        <w:rPr/>
        <w:t>。同时签订了编号为</w:t>
      </w:r>
      <w:r>
        <w:rPr>
          <w:rFonts w:ascii="Times New Roman" w:hAnsi="Times New Roman" w:cs="Times New Roman" w:eastAsia="Times New Roman" w:hint="default"/>
        </w:rPr>
        <w:t>2016</w:t>
      </w:r>
      <w:r>
        <w:rPr/>
        <w:t>沪银最保字第 </w:t>
      </w:r>
      <w:r>
        <w:rPr>
          <w:rFonts w:ascii="Times New Roman" w:hAnsi="Times New Roman" w:cs="Times New Roman" w:eastAsia="Times New Roman" w:hint="default"/>
        </w:rPr>
        <w:t>7316211163002</w:t>
      </w:r>
      <w:r>
        <w:rPr/>
        <w:t>号《最高额保证合同》，北京昆仑万维科技股份有限公司作为保证人提供担保。</w:t>
      </w:r>
    </w:p>
    <w:p>
      <w:pPr>
        <w:pStyle w:val="BodyText"/>
        <w:spacing w:line="256" w:lineRule="auto" w:before="5"/>
        <w:ind w:right="998"/>
        <w:jc w:val="left"/>
      </w:pPr>
      <w:r>
        <w:rPr>
          <w:rFonts w:ascii="Times New Roman" w:hAnsi="Times New Roman" w:cs="Times New Roman" w:eastAsia="Times New Roman" w:hint="default"/>
          <w:spacing w:val="-1"/>
        </w:rPr>
        <w:t>12</w:t>
      </w:r>
      <w:r>
        <w:rPr>
          <w:spacing w:val="-1"/>
        </w:rPr>
        <w:t>、</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10</w:t>
      </w:r>
      <w:r>
        <w:rPr>
          <w:spacing w:val="-1"/>
        </w:rPr>
        <w:t>月</w:t>
      </w:r>
      <w:r>
        <w:rPr>
          <w:rFonts w:ascii="Times New Roman" w:hAnsi="Times New Roman" w:cs="Times New Roman" w:eastAsia="Times New Roman" w:hint="default"/>
          <w:spacing w:val="-1"/>
        </w:rPr>
        <w:t>14</w:t>
      </w:r>
      <w:r>
        <w:rPr>
          <w:spacing w:val="-1"/>
        </w:rPr>
        <w:t>日昆仑集团与香港上海汇丰银行有限公司签订可编号为</w:t>
      </w:r>
      <w:r>
        <w:rPr>
          <w:rFonts w:ascii="Times New Roman" w:hAnsi="Times New Roman" w:cs="Times New Roman" w:eastAsia="Times New Roman" w:hint="default"/>
          <w:spacing w:val="-1"/>
        </w:rPr>
        <w:t>CARM171019</w:t>
      </w:r>
      <w:r>
        <w:rPr>
          <w:spacing w:val="-1"/>
        </w:rPr>
        <w:t>的授信合同，借款</w:t>
      </w:r>
      <w:r>
        <w:rPr>
          <w:spacing w:val="-69"/>
        </w:rPr>
        <w:t> </w:t>
      </w:r>
      <w:r>
        <w:rPr>
          <w:spacing w:val="-69"/>
        </w:rPr>
      </w:r>
      <w:r>
        <w:rPr/>
        <w:t>金额为</w:t>
      </w:r>
      <w:r>
        <w:rPr>
          <w:rFonts w:ascii="Times New Roman" w:hAnsi="Times New Roman" w:cs="Times New Roman" w:eastAsia="Times New Roman" w:hint="default"/>
        </w:rPr>
        <w:t>500.00</w:t>
      </w:r>
      <w:r>
        <w:rPr/>
        <w:t>万美元（折合人民币</w:t>
      </w:r>
      <w:r>
        <w:rPr>
          <w:rFonts w:ascii="Times New Roman" w:hAnsi="Times New Roman" w:cs="Times New Roman" w:eastAsia="Times New Roman" w:hint="default"/>
        </w:rPr>
        <w:t>32,670,999.01</w:t>
      </w:r>
      <w:r>
        <w:rPr/>
        <w:t>元），借款期限</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25</w:t>
      </w:r>
      <w:r>
        <w:rPr/>
        <w:t>日至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24</w:t>
      </w:r>
      <w:r>
        <w:rPr/>
        <w:t>日，执行年 利率为</w:t>
      </w:r>
      <w:r>
        <w:rPr>
          <w:rFonts w:ascii="Times New Roman" w:hAnsi="Times New Roman" w:cs="Times New Roman" w:eastAsia="Times New Roman" w:hint="default"/>
        </w:rPr>
        <w:t>3.50%</w:t>
      </w:r>
      <w:r>
        <w:rPr/>
        <w:t>，同时签订《担保合同》约定北京昆仑万维科技股份有限公司提供担保。 </w:t>
      </w:r>
      <w:r>
        <w:rPr>
          <w:rFonts w:ascii="Times New Roman" w:hAnsi="Times New Roman" w:cs="Times New Roman" w:eastAsia="Times New Roman" w:hint="default"/>
        </w:rPr>
        <w:t>13</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20</w:t>
      </w:r>
      <w:r>
        <w:rPr/>
        <w:t>日昆仑集团有限公司与汇丰银行（中国）有限公司北京分行签订了</w:t>
      </w:r>
    </w:p>
    <w:p>
      <w:pPr>
        <w:pStyle w:val="BodyText"/>
        <w:spacing w:line="240" w:lineRule="auto" w:before="5"/>
        <w:ind w:left="1134" w:right="0"/>
        <w:jc w:val="left"/>
      </w:pPr>
      <w:r>
        <w:rPr>
          <w:rFonts w:ascii="Times New Roman" w:hAnsi="Times New Roman" w:cs="Times New Roman" w:eastAsia="Times New Roman" w:hint="default"/>
        </w:rPr>
        <w:t>CN11006105456-170727-KGL</w:t>
      </w:r>
      <w:r>
        <w:rPr/>
        <w:t>号的银行授信函，</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03</w:t>
      </w:r>
      <w:r>
        <w:rPr/>
        <w:t>日进行了提款申请，借款金额为</w:t>
      </w:r>
      <w:r>
        <w:rPr>
          <w:rFonts w:ascii="Times New Roman" w:hAnsi="Times New Roman" w:cs="Times New Roman" w:eastAsia="Times New Roman" w:hint="default"/>
        </w:rPr>
        <w:t>750.00</w:t>
      </w:r>
      <w:r>
        <w:rPr/>
        <w:t>万美元</w:t>
      </w:r>
    </w:p>
    <w:p>
      <w:pPr>
        <w:pStyle w:val="BodyText"/>
        <w:spacing w:line="264" w:lineRule="auto" w:before="21"/>
        <w:ind w:right="998"/>
        <w:jc w:val="left"/>
      </w:pPr>
      <w:r>
        <w:rPr>
          <w:spacing w:val="-2"/>
        </w:rPr>
        <w:t>（折合人民币</w:t>
      </w:r>
      <w:r>
        <w:rPr>
          <w:rFonts w:ascii="Times New Roman" w:hAnsi="Times New Roman" w:cs="Times New Roman" w:eastAsia="Times New Roman" w:hint="default"/>
          <w:spacing w:val="-2"/>
        </w:rPr>
        <w:t>49,233,168.05</w:t>
      </w:r>
      <w:r>
        <w:rPr>
          <w:spacing w:val="-2"/>
        </w:rPr>
        <w:t>元），借款期限自</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3</w:t>
      </w:r>
      <w:r>
        <w:rPr>
          <w:spacing w:val="-2"/>
        </w:rPr>
        <w:t>日至</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3</w:t>
      </w:r>
      <w:r>
        <w:rPr>
          <w:spacing w:val="-2"/>
        </w:rPr>
        <w:t>日，执行年利率</w:t>
      </w:r>
      <w:r>
        <w:rPr>
          <w:rFonts w:ascii="Times New Roman" w:hAnsi="Times New Roman" w:cs="Times New Roman" w:eastAsia="Times New Roman" w:hint="default"/>
          <w:spacing w:val="-2"/>
        </w:rPr>
        <w:t>3.1%</w:t>
      </w:r>
      <w:r>
        <w:rPr>
          <w:spacing w:val="-2"/>
        </w:rPr>
        <w:t>。同时约定</w:t>
      </w:r>
      <w:r>
        <w:rPr>
          <w:spacing w:val="-82"/>
        </w:rPr>
        <w:t> </w:t>
      </w:r>
      <w:r>
        <w:rPr>
          <w:spacing w:val="-82"/>
        </w:rPr>
      </w:r>
      <w:r>
        <w:rPr/>
        <w:t>北京昆仑万维科技股份有限公司作为保证人提供担保。 </w:t>
      </w:r>
      <w:r>
        <w:rPr>
          <w:rFonts w:ascii="Times New Roman" w:hAnsi="Times New Roman" w:cs="Times New Roman" w:eastAsia="Times New Roman" w:hint="default"/>
        </w:rPr>
        <w:t>14</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20</w:t>
      </w:r>
      <w:r>
        <w:rPr/>
        <w:t>日昆仑集团有限公司与汇丰银行（中国）有限公司北京分行签订了</w:t>
      </w:r>
    </w:p>
    <w:p>
      <w:pPr>
        <w:pStyle w:val="BodyText"/>
        <w:spacing w:line="289" w:lineRule="exact"/>
        <w:ind w:left="1134" w:right="998"/>
        <w:jc w:val="left"/>
      </w:pPr>
      <w:r>
        <w:rPr>
          <w:rFonts w:ascii="Times New Roman" w:hAnsi="Times New Roman" w:cs="Times New Roman" w:eastAsia="Times New Roman" w:hint="default"/>
        </w:rPr>
        <w:t>CN11006105456-170727-KGL</w:t>
      </w:r>
      <w:r>
        <w:rPr/>
        <w:t>号的银行授信函，</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2</w:t>
      </w:r>
      <w:r>
        <w:rPr/>
        <w:t>日进行了提款申请，借款金额为</w:t>
      </w:r>
      <w:r>
        <w:rPr>
          <w:rFonts w:ascii="Times New Roman" w:hAnsi="Times New Roman" w:cs="Times New Roman" w:eastAsia="Times New Roman" w:hint="default"/>
        </w:rPr>
        <w:t>450.00</w:t>
      </w:r>
      <w:r>
        <w:rPr/>
        <w:t>万美元</w:t>
      </w:r>
    </w:p>
    <w:p>
      <w:pPr>
        <w:pStyle w:val="BodyText"/>
        <w:spacing w:line="264" w:lineRule="auto" w:before="21"/>
        <w:ind w:right="998"/>
        <w:jc w:val="left"/>
      </w:pPr>
      <w:r>
        <w:rPr>
          <w:spacing w:val="-2"/>
        </w:rPr>
        <w:t>（折合人民币</w:t>
      </w:r>
      <w:r>
        <w:rPr>
          <w:rFonts w:ascii="Times New Roman" w:hAnsi="Times New Roman" w:cs="Times New Roman" w:eastAsia="Times New Roman" w:hint="default"/>
          <w:spacing w:val="-2"/>
        </w:rPr>
        <w:t>29,175,908.83</w:t>
      </w:r>
      <w:r>
        <w:rPr>
          <w:spacing w:val="-2"/>
        </w:rPr>
        <w:t>元），借款期限自</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22</w:t>
      </w:r>
      <w:r>
        <w:rPr>
          <w:spacing w:val="-2"/>
        </w:rPr>
        <w:t>日至</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23</w:t>
      </w:r>
      <w:r>
        <w:rPr>
          <w:spacing w:val="-2"/>
        </w:rPr>
        <w:t>日，执行年利率</w:t>
      </w:r>
      <w:r>
        <w:rPr>
          <w:rFonts w:ascii="Times New Roman" w:hAnsi="Times New Roman" w:cs="Times New Roman" w:eastAsia="Times New Roman" w:hint="default"/>
          <w:spacing w:val="-2"/>
        </w:rPr>
        <w:t>2.5%</w:t>
      </w:r>
      <w:r>
        <w:rPr>
          <w:spacing w:val="-2"/>
        </w:rPr>
        <w:t>。同时约</w:t>
      </w:r>
      <w:r>
        <w:rPr>
          <w:spacing w:val="-84"/>
        </w:rPr>
        <w:t> </w:t>
      </w:r>
      <w:r>
        <w:rPr>
          <w:spacing w:val="-84"/>
        </w:rPr>
      </w:r>
      <w:r>
        <w:rPr/>
        <w:t>定北京昆仑万维科技股份有限公司作为保证人。 </w:t>
      </w:r>
      <w:r>
        <w:rPr>
          <w:rFonts w:ascii="Times New Roman" w:hAnsi="Times New Roman" w:cs="Times New Roman" w:eastAsia="Times New Roman" w:hint="default"/>
        </w:rPr>
        <w:t>15</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20</w:t>
      </w:r>
      <w:r>
        <w:rPr/>
        <w:t>日昆仑集团有限公司与汇丰银行（中国）有限公司北京分行签订了</w:t>
      </w:r>
    </w:p>
    <w:p>
      <w:pPr>
        <w:pStyle w:val="BodyText"/>
        <w:spacing w:line="261" w:lineRule="auto"/>
        <w:ind w:right="1128"/>
        <w:jc w:val="left"/>
      </w:pPr>
      <w:r>
        <w:rPr>
          <w:rFonts w:ascii="Times New Roman" w:hAnsi="Times New Roman" w:cs="Times New Roman" w:eastAsia="Times New Roman" w:hint="default"/>
        </w:rPr>
        <w:t>CN11006105456-170727-KGL</w:t>
      </w:r>
      <w:r>
        <w:rPr/>
        <w:t>号的银行授信函，</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27</w:t>
      </w:r>
      <w:r>
        <w:rPr/>
        <w:t>日进行了提款申请，借款金额为</w:t>
      </w:r>
      <w:r>
        <w:rPr>
          <w:rFonts w:ascii="Times New Roman" w:hAnsi="Times New Roman" w:cs="Times New Roman" w:eastAsia="Times New Roman" w:hint="default"/>
        </w:rPr>
        <w:t>10,000.00</w:t>
      </w:r>
      <w:r>
        <w:rPr/>
        <w:t>万</w:t>
      </w:r>
      <w:r>
        <w:rPr>
          <w:w w:val="99"/>
        </w:rPr>
        <w:t> </w:t>
      </w:r>
      <w:r>
        <w:rPr>
          <w:spacing w:val="-2"/>
        </w:rPr>
        <w:t>美元（折合人民币</w:t>
      </w:r>
      <w:r>
        <w:rPr>
          <w:rFonts w:ascii="Times New Roman" w:hAnsi="Times New Roman" w:cs="Times New Roman" w:eastAsia="Times New Roman" w:hint="default"/>
          <w:spacing w:val="-2"/>
        </w:rPr>
        <w:t>65,343,318.76</w:t>
      </w:r>
      <w:r>
        <w:rPr>
          <w:spacing w:val="-2"/>
        </w:rPr>
        <w:t>元），借款期限自</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28</w:t>
      </w:r>
      <w:r>
        <w:rPr>
          <w:spacing w:val="-2"/>
        </w:rPr>
        <w:t>日至</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28</w:t>
      </w:r>
      <w:r>
        <w:rPr>
          <w:spacing w:val="-2"/>
        </w:rPr>
        <w:t>日，执行年利率</w:t>
      </w:r>
      <w:r>
        <w:rPr>
          <w:rFonts w:ascii="Times New Roman" w:hAnsi="Times New Roman" w:cs="Times New Roman" w:eastAsia="Times New Roman" w:hint="default"/>
          <w:spacing w:val="-2"/>
        </w:rPr>
        <w:t>3.1%</w:t>
      </w:r>
      <w:r>
        <w:rPr>
          <w:spacing w:val="-2"/>
        </w:rPr>
        <w:t>。同</w:t>
      </w:r>
      <w:r>
        <w:rPr>
          <w:spacing w:val="-99"/>
        </w:rPr>
        <w:t> </w:t>
      </w:r>
      <w:r>
        <w:rPr/>
        <w:t>时约定北京昆仑万维科技股份有限公司作为保证人。</w:t>
      </w:r>
      <w:r>
        <w:rPr>
          <w:w w:val="99"/>
        </w:rPr>
        <w:t> </w:t>
      </w:r>
      <w:r>
        <w:rPr>
          <w:rFonts w:ascii="Times New Roman" w:hAnsi="Times New Roman" w:cs="Times New Roman" w:eastAsia="Times New Roman" w:hint="default"/>
        </w:rPr>
        <w:t>16</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17</w:t>
      </w:r>
      <w:r>
        <w:rPr/>
        <w:t>日北京昆仑在线网络科技有限公司与平安银行股份有限公司北京分行基于编号为平银电</w:t>
      </w:r>
      <w:r>
        <w:rPr>
          <w:w w:val="99"/>
        </w:rPr>
        <w:t> </w:t>
      </w:r>
      <w:r>
        <w:rPr>
          <w:spacing w:val="-1"/>
        </w:rPr>
        <w:t>子信息产业综字</w:t>
      </w:r>
      <w:r>
        <w:rPr>
          <w:rFonts w:ascii="Times New Roman" w:hAnsi="Times New Roman" w:cs="Times New Roman" w:eastAsia="Times New Roman" w:hint="default"/>
          <w:spacing w:val="-1"/>
        </w:rPr>
        <w:t>20170428</w:t>
      </w:r>
      <w:r>
        <w:rPr>
          <w:spacing w:val="-1"/>
        </w:rPr>
        <w:t>第</w:t>
      </w:r>
      <w:r>
        <w:rPr>
          <w:rFonts w:ascii="Times New Roman" w:hAnsi="Times New Roman" w:cs="Times New Roman" w:eastAsia="Times New Roman" w:hint="default"/>
          <w:spacing w:val="-1"/>
        </w:rPr>
        <w:t>001</w:t>
      </w:r>
      <w:r>
        <w:rPr>
          <w:spacing w:val="-1"/>
        </w:rPr>
        <w:t>的《综合授信额度合同》签订了平银电子信息产业贷字</w:t>
      </w:r>
      <w:r>
        <w:rPr>
          <w:rFonts w:ascii="Times New Roman" w:hAnsi="Times New Roman" w:cs="Times New Roman" w:eastAsia="Times New Roman" w:hint="default"/>
          <w:spacing w:val="-1"/>
        </w:rPr>
        <w:t>20170809</w:t>
      </w:r>
      <w:r>
        <w:rPr>
          <w:spacing w:val="-1"/>
        </w:rPr>
        <w:t>第</w:t>
      </w:r>
      <w:r>
        <w:rPr>
          <w:rFonts w:ascii="Times New Roman" w:hAnsi="Times New Roman" w:cs="Times New Roman" w:eastAsia="Times New Roman" w:hint="default"/>
          <w:spacing w:val="-1"/>
        </w:rPr>
        <w:t>001</w:t>
      </w:r>
      <w:r>
        <w:rPr>
          <w:spacing w:val="-1"/>
        </w:rPr>
        <w:t>号贷</w:t>
      </w:r>
      <w:r>
        <w:rPr>
          <w:spacing w:val="-73"/>
        </w:rPr>
        <w:t> </w:t>
      </w:r>
      <w:r>
        <w:rPr/>
        <w:t>款合同，借款金额为</w:t>
      </w:r>
      <w:r>
        <w:rPr>
          <w:rFonts w:ascii="Times New Roman" w:hAnsi="Times New Roman" w:cs="Times New Roman" w:eastAsia="Times New Roman" w:hint="default"/>
        </w:rPr>
        <w:t>15000.00</w:t>
      </w:r>
      <w:r>
        <w:rPr/>
        <w:t>万元，借款期限为</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18</w:t>
      </w:r>
      <w:r>
        <w:rPr/>
        <w:t>日至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18</w:t>
      </w:r>
      <w:r>
        <w:rPr/>
        <w:t>日，执行年利率为</w:t>
      </w:r>
      <w:r>
        <w:rPr>
          <w:rFonts w:ascii="Times New Roman" w:hAnsi="Times New Roman" w:cs="Times New Roman" w:eastAsia="Times New Roman" w:hint="default"/>
        </w:rPr>
        <w:t>5.655%</w:t>
      </w:r>
      <w:r>
        <w:rPr/>
        <w:t>。</w:t>
      </w:r>
      <w:r>
        <w:rPr>
          <w:w w:val="99"/>
        </w:rPr>
        <w:t> </w:t>
      </w:r>
      <w:r>
        <w:rPr/>
        <w:t>同时签订了编号为平银电子信息产业额保字</w:t>
      </w:r>
      <w:r>
        <w:rPr>
          <w:rFonts w:ascii="Times New Roman" w:hAnsi="Times New Roman" w:cs="Times New Roman" w:eastAsia="Times New Roman" w:hint="default"/>
        </w:rPr>
        <w:t>20170428</w:t>
      </w:r>
      <w:r>
        <w:rPr/>
        <w:t>第</w:t>
      </w:r>
      <w:r>
        <w:rPr>
          <w:rFonts w:ascii="Times New Roman" w:hAnsi="Times New Roman" w:cs="Times New Roman" w:eastAsia="Times New Roman" w:hint="default"/>
        </w:rPr>
        <w:t>001</w:t>
      </w:r>
      <w:r>
        <w:rPr/>
        <w:t>号《最高额保证担保合同》，周亚辉作为保证</w:t>
      </w:r>
      <w:r>
        <w:rPr>
          <w:w w:val="99"/>
        </w:rPr>
        <w:t> </w:t>
      </w:r>
      <w:r>
        <w:rPr/>
        <w:t>人提供担保。</w:t>
      </w:r>
      <w:r>
        <w:rPr>
          <w:w w:val="99"/>
        </w:rPr>
        <w:t> </w:t>
      </w:r>
      <w:r>
        <w:rPr>
          <w:rFonts w:ascii="Times New Roman" w:hAnsi="Times New Roman" w:cs="Times New Roman" w:eastAsia="Times New Roman" w:hint="default"/>
          <w:spacing w:val="-1"/>
        </w:rPr>
        <w:t>17</w:t>
      </w:r>
      <w:r>
        <w:rPr>
          <w:spacing w:val="-1"/>
        </w:rPr>
        <w:t>、</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25</w:t>
      </w:r>
      <w:r>
        <w:rPr>
          <w:spacing w:val="-1"/>
        </w:rPr>
        <w:t>日北京昆仑在线网络科技有限公司与北京银行股份有限公司阜城支行基于编号为</w:t>
      </w:r>
      <w:r>
        <w:rPr>
          <w:rFonts w:ascii="Times New Roman" w:hAnsi="Times New Roman" w:cs="Times New Roman" w:eastAsia="Times New Roman" w:hint="default"/>
          <w:spacing w:val="-1"/>
        </w:rPr>
        <w:t>0421422</w:t>
      </w:r>
      <w:r>
        <w:rPr>
          <w:rFonts w:ascii="Times New Roman" w:hAnsi="Times New Roman" w:cs="Times New Roman" w:eastAsia="Times New Roman" w:hint="default"/>
          <w:spacing w:val="-27"/>
        </w:rPr>
        <w:t> </w:t>
      </w:r>
      <w:r>
        <w:rPr/>
        <w:t>的《综合授信合同》签订了合同编号为</w:t>
      </w:r>
      <w:r>
        <w:rPr>
          <w:rFonts w:ascii="Times New Roman" w:hAnsi="Times New Roman" w:cs="Times New Roman" w:eastAsia="Times New Roman" w:hint="default"/>
        </w:rPr>
        <w:t>0426476</w:t>
      </w:r>
      <w:r>
        <w:rPr/>
        <w:t>的借款合同，借款金额为</w:t>
      </w:r>
      <w:r>
        <w:rPr>
          <w:rFonts w:ascii="Times New Roman" w:hAnsi="Times New Roman" w:cs="Times New Roman" w:eastAsia="Times New Roman" w:hint="default"/>
        </w:rPr>
        <w:t>2,000.00</w:t>
      </w:r>
      <w:r>
        <w:rPr/>
        <w:t>万元，借款期限</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rFonts w:ascii="Times New Roman" w:hAnsi="Times New Roman" w:cs="Times New Roman" w:eastAsia="Times New Roman" w:hint="default"/>
          <w:w w:val="99"/>
        </w:rPr>
        <w:t> </w:t>
      </w:r>
      <w:r>
        <w:rPr>
          <w:spacing w:val="-1"/>
        </w:rPr>
        <w:t>月</w:t>
      </w:r>
      <w:r>
        <w:rPr>
          <w:rFonts w:ascii="Times New Roman" w:hAnsi="Times New Roman" w:cs="Times New Roman" w:eastAsia="Times New Roman" w:hint="default"/>
          <w:spacing w:val="-1"/>
        </w:rPr>
        <w:t>2</w:t>
      </w:r>
      <w:r>
        <w:rPr>
          <w:spacing w:val="-1"/>
        </w:rPr>
        <w:t>日至</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8</w:t>
      </w:r>
      <w:r>
        <w:rPr>
          <w:spacing w:val="-1"/>
        </w:rPr>
        <w:t>日，执行年利率为</w:t>
      </w:r>
      <w:r>
        <w:rPr>
          <w:rFonts w:ascii="Times New Roman" w:hAnsi="Times New Roman" w:cs="Times New Roman" w:eastAsia="Times New Roman" w:hint="default"/>
          <w:spacing w:val="-1"/>
        </w:rPr>
        <w:t>5.0025%</w:t>
      </w:r>
      <w:r>
        <w:rPr>
          <w:spacing w:val="-1"/>
        </w:rPr>
        <w:t>，《综合授信合同》中同时约定北京昆仑万维科技股份有限</w:t>
      </w:r>
      <w:r>
        <w:rPr>
          <w:spacing w:val="-97"/>
        </w:rPr>
        <w:t> </w:t>
      </w:r>
      <w:r>
        <w:rPr>
          <w:spacing w:val="-97"/>
        </w:rPr>
      </w:r>
      <w:r>
        <w:rPr/>
        <w:t>公司为保证人。</w:t>
      </w:r>
      <w:r>
        <w:rPr>
          <w:w w:val="99"/>
        </w:rPr>
        <w:t> </w:t>
      </w:r>
      <w:r>
        <w:rPr>
          <w:rFonts w:ascii="Times New Roman" w:hAnsi="Times New Roman" w:cs="Times New Roman" w:eastAsia="Times New Roman" w:hint="default"/>
          <w:spacing w:val="-1"/>
        </w:rPr>
        <w:t>18</w:t>
      </w:r>
      <w:r>
        <w:rPr>
          <w:spacing w:val="-1"/>
        </w:rPr>
        <w:t>、</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27</w:t>
      </w:r>
      <w:r>
        <w:rPr>
          <w:spacing w:val="-1"/>
        </w:rPr>
        <w:t>日北京昆仑在线网络科技有限公司与北京银行股份有限公司阜城支行基于编号为</w:t>
      </w:r>
      <w:r>
        <w:rPr>
          <w:rFonts w:ascii="Times New Roman" w:hAnsi="Times New Roman" w:cs="Times New Roman" w:eastAsia="Times New Roman" w:hint="default"/>
          <w:spacing w:val="-1"/>
        </w:rPr>
        <w:t>0421422</w:t>
      </w:r>
      <w:r>
        <w:rPr>
          <w:rFonts w:ascii="Times New Roman" w:hAnsi="Times New Roman" w:cs="Times New Roman" w:eastAsia="Times New Roman" w:hint="default"/>
          <w:spacing w:val="-27"/>
        </w:rPr>
        <w:t> </w:t>
      </w:r>
      <w:r>
        <w:rPr/>
        <w:t>的《综合授信合同》签订了合同编号为</w:t>
      </w:r>
      <w:r>
        <w:rPr>
          <w:rFonts w:ascii="Times New Roman" w:hAnsi="Times New Roman" w:cs="Times New Roman" w:eastAsia="Times New Roman" w:hint="default"/>
        </w:rPr>
        <w:t>0421473</w:t>
      </w:r>
      <w:r>
        <w:rPr/>
        <w:t>的借款合同，借款金额为</w:t>
      </w:r>
      <w:r>
        <w:rPr>
          <w:rFonts w:ascii="Times New Roman" w:hAnsi="Times New Roman" w:cs="Times New Roman" w:eastAsia="Times New Roman" w:hint="default"/>
        </w:rPr>
        <w:t>500.00</w:t>
      </w:r>
      <w:r>
        <w:rPr/>
        <w:t>万元，借款期限</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w w:val="99"/>
        </w:rPr>
        <w:t> </w:t>
      </w:r>
      <w:r>
        <w:rPr>
          <w:rFonts w:ascii="Times New Roman" w:hAnsi="Times New Roman" w:cs="Times New Roman" w:eastAsia="Times New Roman" w:hint="default"/>
          <w:spacing w:val="-1"/>
        </w:rPr>
        <w:t>28</w:t>
      </w:r>
      <w:r>
        <w:rPr>
          <w:spacing w:val="-1"/>
        </w:rPr>
        <w:t>日至</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27</w:t>
      </w:r>
      <w:r>
        <w:rPr>
          <w:spacing w:val="-1"/>
        </w:rPr>
        <w:t>日，执行年利率为为</w:t>
      </w:r>
      <w:r>
        <w:rPr>
          <w:rFonts w:ascii="Times New Roman" w:hAnsi="Times New Roman" w:cs="Times New Roman" w:eastAsia="Times New Roman" w:hint="default"/>
          <w:spacing w:val="-1"/>
        </w:rPr>
        <w:t>5.0025%</w:t>
      </w:r>
      <w:r>
        <w:rPr>
          <w:spacing w:val="-1"/>
        </w:rPr>
        <w:t>，《综合授信合同》中同时约定北京昆仑万维科技股份有</w:t>
      </w:r>
      <w:r>
        <w:rPr>
          <w:spacing w:val="-95"/>
        </w:rPr>
        <w:t> </w:t>
      </w:r>
      <w:r>
        <w:rPr>
          <w:spacing w:val="-95"/>
        </w:rPr>
      </w:r>
      <w:r>
        <w:rPr/>
        <w:t>限公司为保证人。</w:t>
      </w:r>
      <w:r>
        <w:rPr>
          <w:w w:val="99"/>
        </w:rPr>
        <w:t> </w:t>
      </w:r>
      <w:r>
        <w:rPr>
          <w:rFonts w:ascii="Times New Roman" w:hAnsi="Times New Roman" w:cs="Times New Roman" w:eastAsia="Times New Roman" w:hint="default"/>
          <w:spacing w:val="-1"/>
        </w:rPr>
        <w:t>19</w:t>
      </w:r>
      <w:r>
        <w:rPr>
          <w:spacing w:val="-1"/>
        </w:rPr>
        <w:t>、</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27</w:t>
      </w:r>
      <w:r>
        <w:rPr>
          <w:spacing w:val="-1"/>
        </w:rPr>
        <w:t>日北京昆仑乐享网络技术有限公司与北京银行股份有限公司阜城支行基于编号为</w:t>
      </w:r>
      <w:r>
        <w:rPr>
          <w:rFonts w:ascii="Times New Roman" w:hAnsi="Times New Roman" w:cs="Times New Roman" w:eastAsia="Times New Roman" w:hint="default"/>
          <w:spacing w:val="-1"/>
        </w:rPr>
        <w:t>0421422</w:t>
      </w:r>
      <w:r>
        <w:rPr>
          <w:rFonts w:ascii="Times New Roman" w:hAnsi="Times New Roman" w:cs="Times New Roman" w:eastAsia="Times New Roman" w:hint="default"/>
          <w:spacing w:val="-27"/>
        </w:rPr>
        <w:t> </w:t>
      </w:r>
      <w:r>
        <w:rPr/>
        <w:t>的《综合授信合同》签订了合同编号为</w:t>
      </w:r>
      <w:r>
        <w:rPr>
          <w:rFonts w:ascii="Times New Roman" w:hAnsi="Times New Roman" w:cs="Times New Roman" w:eastAsia="Times New Roman" w:hint="default"/>
        </w:rPr>
        <w:t>0421475</w:t>
      </w:r>
      <w:r>
        <w:rPr/>
        <w:t>的借款合同，借款金额为</w:t>
      </w:r>
      <w:r>
        <w:rPr>
          <w:rFonts w:ascii="Times New Roman" w:hAnsi="Times New Roman" w:cs="Times New Roman" w:eastAsia="Times New Roman" w:hint="default"/>
        </w:rPr>
        <w:t>500.00</w:t>
      </w:r>
      <w:r>
        <w:rPr/>
        <w:t>万元，借款期限</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w w:val="99"/>
        </w:rPr>
        <w:t> </w:t>
      </w:r>
      <w:r>
        <w:rPr>
          <w:rFonts w:ascii="Times New Roman" w:hAnsi="Times New Roman" w:cs="Times New Roman" w:eastAsia="Times New Roman" w:hint="default"/>
          <w:spacing w:val="-1"/>
        </w:rPr>
        <w:t>28</w:t>
      </w:r>
      <w:r>
        <w:rPr>
          <w:spacing w:val="-1"/>
        </w:rPr>
        <w:t>日至</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27</w:t>
      </w:r>
      <w:r>
        <w:rPr>
          <w:spacing w:val="-1"/>
        </w:rPr>
        <w:t>日，执行年利率为为</w:t>
      </w:r>
      <w:r>
        <w:rPr>
          <w:rFonts w:ascii="Times New Roman" w:hAnsi="Times New Roman" w:cs="Times New Roman" w:eastAsia="Times New Roman" w:hint="default"/>
          <w:spacing w:val="-1"/>
        </w:rPr>
        <w:t>5.0025%</w:t>
      </w:r>
      <w:r>
        <w:rPr>
          <w:spacing w:val="-1"/>
        </w:rPr>
        <w:t>，《综合授信合同》中同时约定北京昆仑万维科技股份有</w:t>
      </w:r>
    </w:p>
    <w:p>
      <w:pPr>
        <w:spacing w:after="0" w:line="261" w:lineRule="auto"/>
        <w:jc w:val="left"/>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BodyText"/>
        <w:spacing w:line="240" w:lineRule="auto" w:before="35"/>
        <w:ind w:right="998"/>
        <w:jc w:val="left"/>
      </w:pPr>
      <w:r>
        <w:rPr/>
        <w:t>限公司为保证人。</w:t>
      </w:r>
    </w:p>
    <w:p>
      <w:pPr>
        <w:spacing w:line="240" w:lineRule="auto" w:before="11"/>
        <w:rPr>
          <w:rFonts w:ascii="宋体" w:hAnsi="宋体" w:cs="宋体" w:eastAsia="宋体" w:hint="default"/>
          <w:sz w:val="25"/>
          <w:szCs w:val="25"/>
        </w:rPr>
      </w:pPr>
    </w:p>
    <w:p>
      <w:pPr>
        <w:pStyle w:val="Heading6"/>
        <w:spacing w:line="240" w:lineRule="auto"/>
        <w:ind w:left="1133" w:right="998"/>
        <w:jc w:val="left"/>
        <w:rPr>
          <w:b w:val="0"/>
          <w:bCs w:val="0"/>
        </w:rPr>
      </w:pPr>
      <w:bookmarkStart w:name="（2）已逾期未偿还的短期借款情况" w:id="333"/>
      <w:bookmarkEnd w:id="333"/>
      <w:r>
        <w:rPr>
          <w:b w:val="0"/>
          <w:bCs w:val="0"/>
        </w:rPr>
      </w:r>
      <w:r>
        <w:rPr/>
        <w:t>（</w:t>
      </w:r>
      <w:r>
        <w:rPr>
          <w:rFonts w:ascii="Times New Roman" w:hAnsi="Times New Roman" w:cs="Times New Roman" w:eastAsia="Times New Roman" w:hint="default"/>
        </w:rPr>
        <w:t>2</w:t>
      </w:r>
      <w:r>
        <w:rPr/>
        <w:t>）已逾期未偿还的短期借款情况</w:t>
      </w:r>
      <w:r>
        <w:rPr>
          <w:b w:val="0"/>
          <w:bCs w:val="0"/>
        </w:rPr>
      </w:r>
    </w:p>
    <w:p>
      <w:pPr>
        <w:spacing w:line="240" w:lineRule="auto" w:before="3"/>
        <w:rPr>
          <w:rFonts w:ascii="宋体" w:hAnsi="宋体" w:cs="宋体" w:eastAsia="宋体" w:hint="default"/>
          <w:b/>
          <w:bCs/>
          <w:sz w:val="23"/>
          <w:szCs w:val="23"/>
        </w:rPr>
      </w:pPr>
    </w:p>
    <w:p>
      <w:pPr>
        <w:spacing w:before="44"/>
        <w:ind w:left="1133" w:right="998" w:firstLine="0"/>
        <w:jc w:val="left"/>
        <w:rPr>
          <w:rFonts w:ascii="宋体" w:hAnsi="宋体" w:cs="宋体" w:eastAsia="宋体" w:hint="default"/>
          <w:sz w:val="18"/>
          <w:szCs w:val="18"/>
        </w:rPr>
      </w:pPr>
      <w:r>
        <w:rPr>
          <w:rFonts w:ascii="宋体" w:hAnsi="宋体" w:cs="宋体" w:eastAsia="宋体" w:hint="default"/>
          <w:sz w:val="18"/>
          <w:szCs w:val="18"/>
        </w:rPr>
        <w:t>本期末已逾期未偿还的短期借款总额为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元，其中重要的已逾期未偿还的短期借款情况如下：</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912"/>
        <w:gridCol w:w="1917"/>
        <w:gridCol w:w="1914"/>
        <w:gridCol w:w="1914"/>
        <w:gridCol w:w="1903"/>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0"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借款利率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逾期利率</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32、以公允价值计量且其变动计入当期损益的金融负债" w:id="334"/>
      <w:bookmarkEnd w:id="334"/>
      <w:r>
        <w:rPr>
          <w:b w:val="0"/>
          <w:bCs w:val="0"/>
        </w:rPr>
      </w:r>
      <w:r>
        <w:rPr>
          <w:rFonts w:ascii="Times New Roman" w:hAnsi="Times New Roman" w:cs="Times New Roman" w:eastAsia="Times New Roman" w:hint="default"/>
        </w:rPr>
        <w:t>32</w:t>
      </w:r>
      <w:r>
        <w:rPr/>
        <w:t>、以公允价值计量且其变动计入当期损益的金融负债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33、衍生金融负债" w:id="335"/>
      <w:bookmarkEnd w:id="335"/>
      <w:r>
        <w:rPr>
          <w:b w:val="0"/>
          <w:bCs w:val="0"/>
        </w:rPr>
      </w:r>
      <w:r>
        <w:rPr>
          <w:rFonts w:ascii="Times New Roman" w:hAnsi="Times New Roman" w:cs="Times New Roman" w:eastAsia="Times New Roman" w:hint="default"/>
        </w:rPr>
        <w:t>33</w:t>
      </w:r>
      <w:r>
        <w:rPr/>
        <w:t>、衍生金融负债</w:t>
      </w:r>
      <w:r>
        <w:rPr>
          <w:b w:val="0"/>
          <w:bCs w:val="0"/>
        </w:rPr>
      </w:r>
    </w:p>
    <w:p>
      <w:pPr>
        <w:spacing w:line="240" w:lineRule="auto" w:before="9"/>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6"/>
        <w:spacing w:line="240" w:lineRule="auto"/>
        <w:ind w:left="1133" w:right="998"/>
        <w:jc w:val="left"/>
        <w:rPr>
          <w:b w:val="0"/>
          <w:bCs w:val="0"/>
        </w:rPr>
      </w:pPr>
      <w:bookmarkStart w:name="34、应付票据" w:id="336"/>
      <w:bookmarkEnd w:id="336"/>
      <w:r>
        <w:rPr>
          <w:b w:val="0"/>
          <w:bCs w:val="0"/>
        </w:rPr>
      </w:r>
      <w:r>
        <w:rPr>
          <w:rFonts w:ascii="Times New Roman" w:hAnsi="Times New Roman" w:cs="Times New Roman" w:eastAsia="Times New Roman" w:hint="default"/>
        </w:rPr>
        <w:t>34</w:t>
      </w:r>
      <w:r>
        <w:rPr/>
        <w:t>、应付票据</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本期末已到期未支付的应付票据总额为元。</w:t>
      </w:r>
    </w:p>
    <w:p>
      <w:pPr>
        <w:spacing w:line="240" w:lineRule="auto" w:before="11"/>
        <w:rPr>
          <w:rFonts w:ascii="宋体" w:hAnsi="宋体" w:cs="宋体" w:eastAsia="宋体" w:hint="default"/>
          <w:sz w:val="26"/>
          <w:szCs w:val="26"/>
        </w:rPr>
      </w:pPr>
    </w:p>
    <w:p>
      <w:pPr>
        <w:pStyle w:val="Heading6"/>
        <w:spacing w:line="240" w:lineRule="auto"/>
        <w:ind w:right="998"/>
        <w:jc w:val="left"/>
        <w:rPr>
          <w:b w:val="0"/>
          <w:bCs w:val="0"/>
        </w:rPr>
      </w:pPr>
      <w:bookmarkStart w:name="35、应付账款" w:id="337"/>
      <w:bookmarkEnd w:id="337"/>
      <w:r>
        <w:rPr>
          <w:b w:val="0"/>
          <w:bCs w:val="0"/>
        </w:rPr>
      </w:r>
      <w:r>
        <w:rPr>
          <w:rFonts w:ascii="Times New Roman" w:hAnsi="Times New Roman" w:cs="Times New Roman" w:eastAsia="Times New Roman" w:hint="default"/>
        </w:rPr>
        <w:t>35</w:t>
      </w:r>
      <w:r>
        <w:rPr/>
        <w:t>、应付账款</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right="998"/>
        <w:jc w:val="left"/>
        <w:rPr>
          <w:b w:val="0"/>
          <w:bCs w:val="0"/>
        </w:rPr>
      </w:pPr>
      <w:bookmarkStart w:name="（1）应付账款列示" w:id="338"/>
      <w:bookmarkEnd w:id="338"/>
      <w:r>
        <w:rPr>
          <w:b w:val="0"/>
          <w:bCs w:val="0"/>
        </w:rPr>
      </w:r>
      <w:r>
        <w:rPr/>
        <w:t>（</w:t>
      </w:r>
      <w:r>
        <w:rPr>
          <w:rFonts w:ascii="Times New Roman" w:hAnsi="Times New Roman" w:cs="Times New Roman" w:eastAsia="Times New Roman" w:hint="default"/>
        </w:rPr>
        <w:t>1</w:t>
      </w:r>
      <w:r>
        <w:rPr/>
        <w:t>）应付账款列示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游戏授权金及分成款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151,439,366.44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260,362,367.96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市场推广款项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67,577,083.77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47,634,239.78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带宽、外包等款项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23,168,517.53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42,483,499.91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242,184,967.74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350,480,107.65</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2）账龄超过1年的重要应付账款" w:id="339"/>
      <w:bookmarkEnd w:id="339"/>
      <w:r>
        <w:rPr>
          <w:b w:val="0"/>
          <w:bCs w:val="0"/>
        </w:rPr>
      </w:r>
      <w:r>
        <w:rPr/>
        <w:t>（</w:t>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年的重要应付账款</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36、预收款项" w:id="340"/>
      <w:bookmarkEnd w:id="340"/>
      <w:r>
        <w:rPr>
          <w:b w:val="0"/>
          <w:bCs w:val="0"/>
        </w:rPr>
      </w:r>
      <w:r>
        <w:rPr>
          <w:rFonts w:ascii="Times New Roman" w:hAnsi="Times New Roman" w:cs="Times New Roman" w:eastAsia="Times New Roman" w:hint="default"/>
        </w:rPr>
        <w:t>36</w:t>
      </w:r>
      <w:r>
        <w:rPr/>
        <w:t>、预收款项</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right="998"/>
        <w:jc w:val="left"/>
        <w:rPr>
          <w:b w:val="0"/>
          <w:bCs w:val="0"/>
        </w:rPr>
      </w:pPr>
      <w:bookmarkStart w:name="（1）预收款项列示" w:id="341"/>
      <w:bookmarkEnd w:id="341"/>
      <w:r>
        <w:rPr>
          <w:b w:val="0"/>
          <w:bCs w:val="0"/>
        </w:rPr>
      </w:r>
      <w:r>
        <w:rPr/>
        <w:t>（</w:t>
      </w:r>
      <w:r>
        <w:rPr>
          <w:rFonts w:ascii="Times New Roman" w:hAnsi="Times New Roman" w:cs="Times New Roman" w:eastAsia="Times New Roman" w:hint="default"/>
        </w:rPr>
        <w:t>1</w:t>
      </w:r>
      <w:r>
        <w:rPr/>
        <w:t>）预收款项列示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预收游戏储值币款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338,277,601.82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205,203,082.70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点卡款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839,790.00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956,265.30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互联网产品款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41,042,818.54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45,204,994.63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房屋租金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2,609,586.00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2,954,486.70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广告费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4,438,247.27</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387,208,043.63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254,318,829.33</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2）账龄超过1年的重要预收款项" w:id="342"/>
      <w:bookmarkEnd w:id="342"/>
      <w:r>
        <w:rPr>
          <w:b w:val="0"/>
          <w:bCs w:val="0"/>
        </w:rPr>
      </w:r>
      <w:r>
        <w:rPr/>
        <w:t>（</w:t>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年的重要预收款项</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3）期末建造合同形成的已结算未完工项目情况" w:id="343"/>
      <w:bookmarkEnd w:id="343"/>
      <w:r>
        <w:rPr>
          <w:b w:val="0"/>
          <w:bCs w:val="0"/>
        </w:rPr>
      </w:r>
      <w:r>
        <w:rPr/>
        <w:t>（</w:t>
      </w:r>
      <w:r>
        <w:rPr>
          <w:rFonts w:ascii="Times New Roman" w:hAnsi="Times New Roman" w:cs="Times New Roman" w:eastAsia="Times New Roman" w:hint="default"/>
        </w:rPr>
        <w:t>3</w:t>
      </w:r>
      <w:r>
        <w:rPr/>
        <w:t>）期末建造合同形成的已结算未完工项目情况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37、应付职工薪酬" w:id="344"/>
      <w:bookmarkEnd w:id="344"/>
      <w:r>
        <w:rPr>
          <w:b w:val="0"/>
          <w:bCs w:val="0"/>
        </w:rPr>
      </w:r>
      <w:r>
        <w:rPr>
          <w:rFonts w:ascii="Times New Roman" w:hAnsi="Times New Roman" w:cs="Times New Roman" w:eastAsia="Times New Roman" w:hint="default"/>
        </w:rPr>
        <w:t>37</w:t>
      </w:r>
      <w:r>
        <w:rPr/>
        <w:t>、应付职工薪酬</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right="998"/>
        <w:jc w:val="left"/>
        <w:rPr>
          <w:b w:val="0"/>
          <w:bCs w:val="0"/>
        </w:rPr>
      </w:pPr>
      <w:bookmarkStart w:name="（1）应付职工薪酬列示" w:id="345"/>
      <w:bookmarkEnd w:id="345"/>
      <w:r>
        <w:rPr>
          <w:b w:val="0"/>
          <w:bCs w:val="0"/>
        </w:rPr>
      </w:r>
      <w:r>
        <w:rPr/>
        <w:t>（</w:t>
      </w:r>
      <w:r>
        <w:rPr>
          <w:rFonts w:ascii="Times New Roman" w:hAnsi="Times New Roman" w:cs="Times New Roman" w:eastAsia="Times New Roman" w:hint="default"/>
        </w:rPr>
        <w:t>1</w:t>
      </w:r>
      <w:r>
        <w:rPr/>
        <w:t>）应付职工薪酬列示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29,962,012.39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488,311,139.20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458,578,613.89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59,694,537.70</w:t>
            </w: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9"/>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 存计划</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1,524,622.73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34,038,191.66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32,493,177.07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3,069,637.32</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31,486,635.12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522,349,330.86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491,071,790.96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62,764,175.02</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2）短期薪酬列示" w:id="346"/>
      <w:bookmarkEnd w:id="346"/>
      <w:r>
        <w:rPr>
          <w:b w:val="0"/>
          <w:bCs w:val="0"/>
        </w:rPr>
      </w:r>
      <w:r>
        <w:rPr/>
        <w:t>（</w:t>
      </w:r>
      <w:r>
        <w:rPr>
          <w:rFonts w:ascii="Times New Roman" w:hAnsi="Times New Roman" w:cs="Times New Roman" w:eastAsia="Times New Roman" w:hint="default"/>
        </w:rPr>
        <w:t>2</w:t>
      </w:r>
      <w:r>
        <w:rPr/>
        <w:t>）短期薪酬列示</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912"/>
        <w:gridCol w:w="1917"/>
        <w:gridCol w:w="1914"/>
        <w:gridCol w:w="1914"/>
        <w:gridCol w:w="1903"/>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2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、工资、奖金、津贴和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补贴</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27,466,501.49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430,383,832.22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403,436,739.89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54,413,593.82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6,158.31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4,724,410.19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4,576,778.66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153,789.84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626,985.67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23,705,829.98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22,894,288.75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1,438,526.90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7"/>
              <w:jc w:val="right"/>
              <w:rPr>
                <w:rFonts w:ascii="宋体" w:hAnsi="宋体" w:cs="宋体" w:eastAsia="宋体" w:hint="default"/>
                <w:sz w:val="18"/>
                <w:szCs w:val="18"/>
              </w:rPr>
            </w:pPr>
            <w:r>
              <w:rPr>
                <w:rFonts w:ascii="宋体" w:hAnsi="宋体" w:cs="宋体" w:eastAsia="宋体" w:hint="default"/>
                <w:sz w:val="18"/>
                <w:szCs w:val="18"/>
              </w:rPr>
              <w:t>其中：医疗保险费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549,138.26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21,854,040.31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21,098,998.10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1,304,180.47</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7"/>
              <w:jc w:val="right"/>
              <w:rPr>
                <w:rFonts w:ascii="宋体" w:hAnsi="宋体" w:cs="宋体" w:eastAsia="宋体" w:hint="default"/>
                <w:sz w:val="18"/>
                <w:szCs w:val="18"/>
              </w:rPr>
            </w:pPr>
            <w:r>
              <w:rPr>
                <w:rFonts w:ascii="宋体" w:hAnsi="宋体" w:cs="宋体" w:eastAsia="宋体" w:hint="default"/>
                <w:sz w:val="18"/>
                <w:szCs w:val="18"/>
              </w:rPr>
              <w:t>工伤保险费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38,897.53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661,337.20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667,371.44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32,863.29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7"/>
              <w:jc w:val="right"/>
              <w:rPr>
                <w:rFonts w:ascii="宋体" w:hAnsi="宋体" w:cs="宋体" w:eastAsia="宋体" w:hint="default"/>
                <w:sz w:val="18"/>
                <w:szCs w:val="18"/>
              </w:rPr>
            </w:pPr>
            <w:r>
              <w:rPr>
                <w:rFonts w:ascii="宋体" w:hAnsi="宋体" w:cs="宋体" w:eastAsia="宋体" w:hint="default"/>
                <w:sz w:val="18"/>
                <w:szCs w:val="18"/>
              </w:rPr>
              <w:t>生育保险费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38,949.88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1,190,452.47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1,127,919.21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101,483.14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26,706.92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16,798,383.87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16,069,068.23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756,022.56</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21"/>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5</w:t>
            </w:r>
            <w:r>
              <w:rPr>
                <w:rFonts w:ascii="宋体" w:hAnsi="宋体" w:cs="宋体" w:eastAsia="宋体" w:hint="default"/>
                <w:spacing w:val="-4"/>
                <w:sz w:val="18"/>
                <w:szCs w:val="18"/>
              </w:rPr>
              <w:t>、工会经费和职工教育</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经费</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41,490.88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20,713.29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20,777.59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、短期带薪缺勤</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1,833,622.18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4,762,569.56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3,684,364.75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2,911,826.99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、其他短期薪酬</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2,037.82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7,894,622.50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7,896,660.32</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29,962,012.39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488,311,139.20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458,578,613.89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59,694,537.70</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3）设定提存计划列示" w:id="347"/>
      <w:bookmarkEnd w:id="347"/>
      <w:r>
        <w:rPr>
          <w:b w:val="0"/>
          <w:bCs w:val="0"/>
        </w:rPr>
      </w:r>
      <w:r>
        <w:rPr/>
        <w:t>（</w:t>
      </w:r>
      <w:r>
        <w:rPr>
          <w:rFonts w:ascii="Times New Roman" w:hAnsi="Times New Roman" w:cs="Times New Roman" w:eastAsia="Times New Roman" w:hint="default"/>
        </w:rPr>
        <w:t>3</w:t>
      </w:r>
      <w:r>
        <w:rPr/>
        <w:t>）设定提存计划列示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1,064,105.10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32,243,790.00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30,565,039.54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2,742,855.56</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460,517.63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1,622,980.66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1,756,716.53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326,781.76</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、企业年金缴费</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171,421.00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171,421.00</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1,524,622.73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34,038,191.66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32,493,177.07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3,069,637.32</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38、应交税费" w:id="348"/>
      <w:bookmarkEnd w:id="348"/>
      <w:r>
        <w:rPr>
          <w:b w:val="0"/>
          <w:bCs w:val="0"/>
        </w:rPr>
      </w:r>
      <w:r>
        <w:rPr>
          <w:rFonts w:ascii="Times New Roman" w:hAnsi="Times New Roman" w:cs="Times New Roman" w:eastAsia="Times New Roman" w:hint="default"/>
        </w:rPr>
        <w:t>38</w:t>
      </w:r>
      <w:r>
        <w:rPr/>
        <w:t>、应交税费</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5,643,466.21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3,502,861.09</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消费税</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46,224.74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5,475,579.27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21,375,114.88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3,048,423.85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1,419,425.51</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252,205.35</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205,285.13</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境外代扣代缴税金</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9,566,045.33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15,378,455.30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466,370.00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1,002,989.37</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居民税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2,381.88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2,135.62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住民税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10,418.40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3,742.31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残疾人保障金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542,711.63</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25,212,887.05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42,730,948.82</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39、应付利息" w:id="349"/>
      <w:bookmarkEnd w:id="349"/>
      <w:r>
        <w:rPr>
          <w:b w:val="0"/>
          <w:bCs w:val="0"/>
        </w:rPr>
      </w:r>
      <w:r>
        <w:rPr>
          <w:rFonts w:ascii="Times New Roman" w:hAnsi="Times New Roman" w:cs="Times New Roman" w:eastAsia="Times New Roman" w:hint="default"/>
        </w:rPr>
        <w:t>39</w:t>
      </w:r>
      <w:r>
        <w:rPr/>
        <w:t>、应付利息</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企业债券利息</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33,638,767.14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28,990,000.00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2,906,075.06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1,571,771.30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36,544,842.20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30,561,771.30</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重要的已逾期未支付的利息情况：</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借款单位</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逾期金额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逾期原因</w:t>
            </w:r>
          </w:p>
        </w:tc>
      </w:tr>
    </w:tbl>
    <w:p>
      <w:pPr>
        <w:spacing w:before="52"/>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40、应付股利" w:id="350"/>
      <w:bookmarkEnd w:id="350"/>
      <w:r>
        <w:rPr>
          <w:b w:val="0"/>
          <w:bCs w:val="0"/>
        </w:rPr>
      </w:r>
      <w:r>
        <w:rPr>
          <w:rFonts w:ascii="Times New Roman" w:hAnsi="Times New Roman" w:cs="Times New Roman" w:eastAsia="Times New Roman" w:hint="default"/>
        </w:rPr>
        <w:t>40</w:t>
      </w:r>
      <w:r>
        <w:rPr/>
        <w:t>、应付股利</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普通股股利</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8,911,620.10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45,502,167.45</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8,911,620.10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45,502,167.45</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其他说明，包括重要的超过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年未支付的应付股利，应披露未支付原因：</w:t>
      </w:r>
    </w:p>
    <w:p>
      <w:pPr>
        <w:spacing w:line="240" w:lineRule="auto" w:before="9"/>
        <w:rPr>
          <w:rFonts w:ascii="宋体" w:hAnsi="宋体" w:cs="宋体" w:eastAsia="宋体" w:hint="default"/>
          <w:sz w:val="25"/>
          <w:szCs w:val="25"/>
        </w:rPr>
      </w:pPr>
    </w:p>
    <w:p>
      <w:pPr>
        <w:pStyle w:val="Heading6"/>
        <w:spacing w:line="240" w:lineRule="auto"/>
        <w:ind w:left="1133" w:right="998"/>
        <w:jc w:val="left"/>
        <w:rPr>
          <w:b w:val="0"/>
          <w:bCs w:val="0"/>
        </w:rPr>
      </w:pPr>
      <w:bookmarkStart w:name="41、其他应付款" w:id="351"/>
      <w:bookmarkEnd w:id="351"/>
      <w:r>
        <w:rPr>
          <w:b w:val="0"/>
          <w:bCs w:val="0"/>
        </w:rPr>
      </w:r>
      <w:r>
        <w:rPr>
          <w:rFonts w:ascii="Times New Roman" w:hAnsi="Times New Roman" w:cs="Times New Roman" w:eastAsia="Times New Roman" w:hint="default"/>
        </w:rPr>
        <w:t>41</w:t>
      </w:r>
      <w:r>
        <w:rPr/>
        <w:t>、其他应付款</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right="998"/>
        <w:jc w:val="left"/>
        <w:rPr>
          <w:b w:val="0"/>
          <w:bCs w:val="0"/>
        </w:rPr>
      </w:pPr>
      <w:bookmarkStart w:name="（1）按款项性质列示其他应付款" w:id="352"/>
      <w:bookmarkEnd w:id="352"/>
      <w:r>
        <w:rPr>
          <w:b w:val="0"/>
          <w:bCs w:val="0"/>
        </w:rPr>
      </w:r>
      <w:r>
        <w:rPr/>
        <w:t>（</w:t>
      </w:r>
      <w:r>
        <w:rPr>
          <w:rFonts w:ascii="Times New Roman" w:hAnsi="Times New Roman" w:cs="Times New Roman" w:eastAsia="Times New Roman" w:hint="default"/>
        </w:rPr>
        <w:t>1</w:t>
      </w:r>
      <w:r>
        <w:rPr/>
        <w:t>）按款项性质列示其他应付款</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中介机构费用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5,177,937.21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1,552,603.64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752,606.83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1,037,206.11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快递费、保洁费、餐费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1,215,351.83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1,026,442.36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限制性股票回购义务确认负债（注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126,631,336.59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258,951,660.27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借款（注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1,243,141.68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353,512,837.80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代收款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3,382,838.39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5,453,749.12</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4,953,508.26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17,320,567.09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3,762,127.84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6,188,679.95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147,118,848.63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645,043,746.34</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2）账龄超过1年的重要其他应付款" w:id="353"/>
      <w:bookmarkEnd w:id="353"/>
      <w:r>
        <w:rPr>
          <w:b w:val="0"/>
          <w:bCs w:val="0"/>
        </w:rPr>
      </w:r>
      <w:r>
        <w:rPr/>
        <w:t>（</w:t>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年的重要其他应付款</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56" w:lineRule="auto" w:before="90"/>
        <w:ind w:left="1209" w:right="1120"/>
        <w:jc w:val="left"/>
      </w:pPr>
      <w:r>
        <w:rPr/>
        <w:t>注</w:t>
      </w:r>
      <w:r>
        <w:rPr>
          <w:rFonts w:ascii="Times New Roman" w:hAnsi="Times New Roman" w:cs="Times New Roman" w:eastAsia="Times New Roman" w:hint="default"/>
        </w:rPr>
        <w:t>1</w:t>
      </w:r>
      <w:r>
        <w:rPr/>
        <w:t>：公司</w:t>
      </w:r>
      <w:r>
        <w:rPr>
          <w:rFonts w:ascii="Times New Roman" w:hAnsi="Times New Roman" w:cs="Times New Roman" w:eastAsia="Times New Roman" w:hint="default"/>
        </w:rPr>
        <w:t>2015</w:t>
      </w:r>
      <w:r>
        <w:rPr/>
        <w:t>年度实施限制性股票激励计划，按每股价格 </w:t>
      </w:r>
      <w:r>
        <w:rPr>
          <w:rFonts w:ascii="Times New Roman" w:hAnsi="Times New Roman" w:cs="Times New Roman" w:eastAsia="Times New Roman" w:hint="default"/>
        </w:rPr>
        <w:t>36.69</w:t>
      </w:r>
      <w:r>
        <w:rPr/>
        <w:t>元授予</w:t>
      </w:r>
      <w:r>
        <w:rPr>
          <w:rFonts w:ascii="Times New Roman" w:hAnsi="Times New Roman" w:cs="Times New Roman" w:eastAsia="Times New Roman" w:hint="default"/>
        </w:rPr>
        <w:t>46 </w:t>
      </w:r>
      <w:r>
        <w:rPr/>
        <w:t>名激励对象</w:t>
      </w:r>
      <w:r>
        <w:rPr>
          <w:rFonts w:ascii="Times New Roman" w:hAnsi="Times New Roman" w:cs="Times New Roman" w:eastAsia="Times New Roman" w:hint="default"/>
        </w:rPr>
        <w:t>723.10</w:t>
      </w:r>
      <w:r>
        <w:rPr>
          <w:rFonts w:ascii="Times New Roman" w:hAnsi="Times New Roman" w:cs="Times New Roman" w:eastAsia="Times New Roman" w:hint="default"/>
          <w:spacing w:val="2"/>
        </w:rPr>
        <w:t> </w:t>
      </w:r>
      <w:r>
        <w:rPr/>
        <w:t>万股限制性 </w:t>
      </w:r>
      <w:r>
        <w:rPr>
          <w:spacing w:val="-4"/>
        </w:rPr>
        <w:t>股票，实际认购款共计人民币</w:t>
      </w:r>
      <w:r>
        <w:rPr>
          <w:rFonts w:ascii="Times New Roman" w:hAnsi="Times New Roman" w:cs="Times New Roman" w:eastAsia="Times New Roman" w:hint="default"/>
          <w:spacing w:val="-4"/>
        </w:rPr>
        <w:t>265,305,390.00</w:t>
      </w:r>
      <w:r>
        <w:rPr>
          <w:spacing w:val="-4"/>
        </w:rPr>
        <w:t>元，增加库存股</w:t>
      </w:r>
      <w:r>
        <w:rPr>
          <w:rFonts w:ascii="Times New Roman" w:hAnsi="Times New Roman" w:cs="Times New Roman" w:eastAsia="Times New Roman" w:hint="default"/>
          <w:spacing w:val="-4"/>
        </w:rPr>
        <w:t>265,305,390.00</w:t>
      </w:r>
      <w:r>
        <w:rPr>
          <w:spacing w:val="-4"/>
        </w:rPr>
        <w:t>元，同时确认负债</w:t>
      </w:r>
      <w:r>
        <w:rPr>
          <w:rFonts w:ascii="Times New Roman" w:hAnsi="Times New Roman" w:cs="Times New Roman" w:eastAsia="Times New Roman" w:hint="default"/>
          <w:spacing w:val="-4"/>
        </w:rPr>
        <w:t>265,305,390.00</w:t>
      </w:r>
      <w:r>
        <w:rPr>
          <w:rFonts w:ascii="Times New Roman" w:hAnsi="Times New Roman" w:cs="Times New Roman" w:eastAsia="Times New Roman" w:hint="default"/>
          <w:spacing w:val="-37"/>
        </w:rPr>
        <w:t> </w:t>
      </w:r>
      <w:r>
        <w:rPr>
          <w:rFonts w:ascii="Times New Roman" w:hAnsi="Times New Roman" w:cs="Times New Roman" w:eastAsia="Times New Roman" w:hint="default"/>
          <w:spacing w:val="-37"/>
        </w:rPr>
      </w:r>
      <w:r>
        <w:rPr/>
        <w:t>元。本期因部分激励对象离职，回购授予股份</w:t>
      </w:r>
      <w:r>
        <w:rPr>
          <w:rFonts w:ascii="Times New Roman" w:hAnsi="Times New Roman" w:cs="Times New Roman" w:eastAsia="Times New Roman" w:hint="default"/>
        </w:rPr>
        <w:t>4,174,568.16</w:t>
      </w:r>
      <w:r>
        <w:rPr/>
        <w:t>元，因第一期业绩未达标限制性股票回购 </w:t>
      </w:r>
      <w:r>
        <w:rPr>
          <w:rFonts w:ascii="Times New Roman" w:hAnsi="Times New Roman" w:cs="Times New Roman" w:eastAsia="Times New Roman" w:hint="default"/>
        </w:rPr>
        <w:t>64,745,435.52</w:t>
      </w:r>
      <w:r>
        <w:rPr/>
        <w:t>元，限制性股票解锁</w:t>
      </w:r>
      <w:r>
        <w:rPr>
          <w:rFonts w:ascii="Times New Roman" w:hAnsi="Times New Roman" w:cs="Times New Roman" w:eastAsia="Times New Roman" w:hint="default"/>
        </w:rPr>
        <w:t>63,400,320.00</w:t>
      </w:r>
      <w:r>
        <w:rPr/>
        <w:t>元，同时减少已确认的负债和库存股</w:t>
      </w:r>
      <w:r>
        <w:rPr>
          <w:rFonts w:ascii="Times New Roman" w:hAnsi="Times New Roman" w:cs="Times New Roman" w:eastAsia="Times New Roman" w:hint="default"/>
        </w:rPr>
        <w:t>132,320,323.68</w:t>
      </w:r>
      <w:r>
        <w:rPr/>
        <w:t>元。 注</w:t>
      </w:r>
      <w:r>
        <w:rPr>
          <w:rFonts w:ascii="Times New Roman" w:hAnsi="Times New Roman" w:cs="Times New Roman" w:eastAsia="Times New Roman" w:hint="default"/>
        </w:rPr>
        <w:t>2</w:t>
      </w:r>
      <w:r>
        <w:rPr/>
        <w:t>：借款中</w:t>
      </w:r>
      <w:r>
        <w:rPr>
          <w:rFonts w:ascii="Times New Roman" w:hAnsi="Times New Roman" w:cs="Times New Roman" w:eastAsia="Times New Roman" w:hint="default"/>
        </w:rPr>
        <w:t>1,243,141.68  </w:t>
      </w:r>
      <w:r>
        <w:rPr/>
        <w:t>元为</w:t>
      </w:r>
      <w:r>
        <w:rPr>
          <w:rFonts w:ascii="Times New Roman" w:hAnsi="Times New Roman" w:cs="Times New Roman" w:eastAsia="Times New Roman" w:hint="default"/>
        </w:rPr>
        <w:t>Grindr</w:t>
      </w:r>
      <w:r>
        <w:rPr>
          <w:rFonts w:ascii="Times New Roman" w:hAnsi="Times New Roman" w:cs="Times New Roman" w:eastAsia="Times New Roman" w:hint="default"/>
          <w:spacing w:val="-25"/>
        </w:rPr>
        <w:t> </w:t>
      </w:r>
      <w:r>
        <w:rPr>
          <w:rFonts w:ascii="Times New Roman" w:hAnsi="Times New Roman" w:cs="Times New Roman" w:eastAsia="Times New Roman" w:hint="default"/>
        </w:rPr>
        <w:t>LLC</w:t>
      </w:r>
      <w:r>
        <w:rPr/>
        <w:t>应付的信用卡借款。</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25"/>
          <w:szCs w:val="25"/>
        </w:rPr>
      </w:pPr>
    </w:p>
    <w:p>
      <w:pPr>
        <w:pStyle w:val="Heading6"/>
        <w:spacing w:line="240" w:lineRule="auto"/>
        <w:ind w:right="998"/>
        <w:jc w:val="left"/>
        <w:rPr>
          <w:b w:val="0"/>
          <w:bCs w:val="0"/>
        </w:rPr>
      </w:pPr>
      <w:bookmarkStart w:name="42、持有待售的负债" w:id="354"/>
      <w:bookmarkEnd w:id="354"/>
      <w:r>
        <w:rPr>
          <w:b w:val="0"/>
          <w:bCs w:val="0"/>
        </w:rPr>
      </w:r>
      <w:r>
        <w:rPr>
          <w:rFonts w:ascii="Times New Roman" w:hAnsi="Times New Roman" w:cs="Times New Roman" w:eastAsia="Times New Roman" w:hint="default"/>
        </w:rPr>
        <w:t>42</w:t>
      </w:r>
      <w:r>
        <w:rPr/>
        <w:t>、持有待售的负债</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43、一年内到期的非流动负债" w:id="355"/>
      <w:bookmarkEnd w:id="355"/>
      <w:r>
        <w:rPr>
          <w:b w:val="0"/>
          <w:bCs w:val="0"/>
        </w:rPr>
      </w:r>
      <w:r>
        <w:rPr>
          <w:rFonts w:ascii="Times New Roman" w:hAnsi="Times New Roman" w:cs="Times New Roman" w:eastAsia="Times New Roman" w:hint="default"/>
        </w:rPr>
        <w:t>43</w:t>
      </w:r>
      <w:r>
        <w:rPr/>
        <w:t>、一年内到期的非流动负债</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44、其他流动负债" w:id="356"/>
      <w:bookmarkEnd w:id="356"/>
      <w:r>
        <w:rPr>
          <w:b w:val="0"/>
          <w:bCs w:val="0"/>
        </w:rPr>
      </w:r>
      <w:r>
        <w:rPr>
          <w:rFonts w:ascii="Times New Roman" w:hAnsi="Times New Roman" w:cs="Times New Roman" w:eastAsia="Times New Roman" w:hint="default"/>
        </w:rPr>
        <w:t>44</w:t>
      </w:r>
      <w:r>
        <w:rPr/>
        <w:t>、其他流动负债</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134" w:right="998" w:firstLine="0"/>
        <w:jc w:val="left"/>
        <w:rPr>
          <w:rFonts w:ascii="宋体" w:hAnsi="宋体" w:cs="宋体" w:eastAsia="宋体" w:hint="default"/>
          <w:sz w:val="18"/>
          <w:szCs w:val="18"/>
        </w:rPr>
      </w:pPr>
      <w:r>
        <w:rPr>
          <w:rFonts w:ascii="宋体" w:hAnsi="宋体" w:cs="宋体" w:eastAsia="宋体" w:hint="default"/>
          <w:sz w:val="18"/>
          <w:szCs w:val="18"/>
        </w:rPr>
        <w:t>短期应付债券的增减变动：</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798"/>
        <w:gridCol w:w="798"/>
        <w:gridCol w:w="798"/>
        <w:gridCol w:w="798"/>
        <w:gridCol w:w="798"/>
        <w:gridCol w:w="798"/>
        <w:gridCol w:w="798"/>
        <w:gridCol w:w="798"/>
        <w:gridCol w:w="798"/>
        <w:gridCol w:w="798"/>
        <w:gridCol w:w="798"/>
        <w:gridCol w:w="798"/>
      </w:tblGrid>
      <w:tr>
        <w:trPr>
          <w:trHeight w:val="714"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债券名称</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发行日期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债券期限</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发行金额</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本期发行</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3" w:right="32" w:hanging="90"/>
              <w:jc w:val="left"/>
              <w:rPr>
                <w:rFonts w:ascii="宋体" w:hAnsi="宋体" w:cs="宋体" w:eastAsia="宋体" w:hint="default"/>
                <w:sz w:val="18"/>
                <w:szCs w:val="18"/>
              </w:rPr>
            </w:pPr>
            <w:r>
              <w:rPr>
                <w:rFonts w:ascii="宋体" w:hAnsi="宋体" w:cs="宋体" w:eastAsia="宋体" w:hint="default"/>
                <w:sz w:val="18"/>
                <w:szCs w:val="18"/>
              </w:rPr>
              <w:t>按面值计 提利息</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03" w:right="33" w:hanging="270"/>
              <w:jc w:val="left"/>
              <w:rPr>
                <w:rFonts w:ascii="宋体" w:hAnsi="宋体" w:cs="宋体" w:eastAsia="宋体" w:hint="default"/>
                <w:sz w:val="18"/>
                <w:szCs w:val="18"/>
              </w:rPr>
            </w:pPr>
            <w:r>
              <w:rPr>
                <w:rFonts w:ascii="宋体" w:hAnsi="宋体" w:cs="宋体" w:eastAsia="宋体" w:hint="default"/>
                <w:sz w:val="18"/>
                <w:szCs w:val="18"/>
              </w:rPr>
              <w:t>溢折价摊 销</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本期偿还</w:t>
            </w:r>
          </w:p>
        </w:tc>
        <w:tc>
          <w:tcPr>
            <w:tcW w:w="79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9"/>
        <w:rPr>
          <w:rFonts w:ascii="宋体" w:hAnsi="宋体" w:cs="宋体" w:eastAsia="宋体" w:hint="default"/>
          <w:sz w:val="24"/>
          <w:szCs w:val="24"/>
        </w:rPr>
      </w:pPr>
      <w:r>
        <w:rPr/>
        <w:pict>
          <v:group style="position:absolute;margin-left:100.699997pt;margin-top:617.679993pt;width:43.35pt;height:54.6pt;mso-position-horizontal-relative:page;mso-position-vertical-relative:page;z-index:-1135384" coordorigin="2014,12354" coordsize="867,1092">
            <v:shape style="position:absolute;left:2014;top:12354;width:867;height:1092" coordorigin="2014,12354" coordsize="867,1092" path="m2014,13446l2880,13446,2880,12354,2014,12354,2014,13446xe" filled="true" fillcolor="#ffffff" stroked="false">
              <v:path arrowok="t"/>
              <v:fill type="solid"/>
            </v:shape>
            <w10:wrap type="none"/>
          </v:group>
        </w:pict>
      </w:r>
    </w:p>
    <w:p>
      <w:pPr>
        <w:pStyle w:val="Heading6"/>
        <w:spacing w:line="240" w:lineRule="auto" w:before="35"/>
        <w:ind w:left="1133" w:right="998"/>
        <w:jc w:val="left"/>
        <w:rPr>
          <w:b w:val="0"/>
          <w:bCs w:val="0"/>
        </w:rPr>
      </w:pPr>
      <w:bookmarkStart w:name="45、长期借款" w:id="357"/>
      <w:bookmarkEnd w:id="357"/>
      <w:r>
        <w:rPr>
          <w:b w:val="0"/>
          <w:bCs w:val="0"/>
        </w:rPr>
      </w:r>
      <w:r>
        <w:rPr>
          <w:rFonts w:ascii="Times New Roman" w:hAnsi="Times New Roman" w:cs="Times New Roman" w:eastAsia="Times New Roman" w:hint="default"/>
        </w:rPr>
        <w:t>45</w:t>
      </w:r>
      <w:r>
        <w:rPr/>
        <w:t>、长期借款</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right="998"/>
        <w:jc w:val="left"/>
        <w:rPr>
          <w:b w:val="0"/>
          <w:bCs w:val="0"/>
        </w:rPr>
      </w:pPr>
      <w:bookmarkStart w:name="（1）长期借款分类" w:id="358"/>
      <w:bookmarkEnd w:id="358"/>
      <w:r>
        <w:rPr>
          <w:b w:val="0"/>
          <w:bCs w:val="0"/>
        </w:rPr>
      </w:r>
      <w:r>
        <w:rPr/>
        <w:t>（</w:t>
      </w:r>
      <w:r>
        <w:rPr>
          <w:rFonts w:ascii="Times New Roman" w:hAnsi="Times New Roman" w:cs="Times New Roman" w:eastAsia="Times New Roman" w:hint="default"/>
        </w:rPr>
        <w:t>1</w:t>
      </w:r>
      <w:r>
        <w:rPr/>
        <w:t>）长期借款分类</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357" w:lineRule="auto" w:before="52"/>
        <w:ind w:left="1134" w:right="8592" w:firstLine="0"/>
        <w:jc w:val="left"/>
        <w:rPr>
          <w:rFonts w:ascii="宋体" w:hAnsi="宋体" w:cs="宋体" w:eastAsia="宋体" w:hint="default"/>
          <w:sz w:val="18"/>
          <w:szCs w:val="18"/>
        </w:rPr>
      </w:pPr>
      <w:r>
        <w:rPr>
          <w:rFonts w:ascii="宋体" w:hAnsi="宋体" w:cs="宋体" w:eastAsia="宋体" w:hint="default"/>
          <w:sz w:val="18"/>
          <w:szCs w:val="18"/>
        </w:rPr>
        <w:t>长期借款分类的说明： 其他说明，包括利率区间：</w:t>
      </w:r>
    </w:p>
    <w:p>
      <w:pPr>
        <w:spacing w:line="240" w:lineRule="auto" w:before="1"/>
        <w:rPr>
          <w:rFonts w:ascii="宋体" w:hAnsi="宋体" w:cs="宋体" w:eastAsia="宋体" w:hint="default"/>
          <w:sz w:val="20"/>
          <w:szCs w:val="20"/>
        </w:rPr>
      </w:pPr>
    </w:p>
    <w:p>
      <w:pPr>
        <w:pStyle w:val="Heading6"/>
        <w:spacing w:line="240" w:lineRule="auto"/>
        <w:ind w:right="998"/>
        <w:jc w:val="left"/>
        <w:rPr>
          <w:b w:val="0"/>
          <w:bCs w:val="0"/>
        </w:rPr>
      </w:pPr>
      <w:bookmarkStart w:name="46、应付债券" w:id="359"/>
      <w:bookmarkEnd w:id="359"/>
      <w:r>
        <w:rPr>
          <w:b w:val="0"/>
          <w:bCs w:val="0"/>
        </w:rPr>
      </w:r>
      <w:r>
        <w:rPr>
          <w:rFonts w:ascii="Times New Roman" w:hAnsi="Times New Roman" w:cs="Times New Roman" w:eastAsia="Times New Roman" w:hint="default"/>
        </w:rPr>
        <w:t>46</w:t>
      </w:r>
      <w:r>
        <w:rPr/>
        <w:t>、应付债券</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right="998"/>
        <w:jc w:val="left"/>
        <w:rPr>
          <w:b w:val="0"/>
          <w:bCs w:val="0"/>
        </w:rPr>
      </w:pPr>
      <w:bookmarkStart w:name="（1）应付债券" w:id="360"/>
      <w:bookmarkEnd w:id="360"/>
      <w:r>
        <w:rPr>
          <w:b w:val="0"/>
          <w:bCs w:val="0"/>
        </w:rPr>
      </w:r>
      <w:r>
        <w:rPr/>
        <w:t>（</w:t>
      </w:r>
      <w:r>
        <w:rPr>
          <w:rFonts w:ascii="Times New Roman" w:hAnsi="Times New Roman" w:cs="Times New Roman" w:eastAsia="Times New Roman" w:hint="default"/>
        </w:rPr>
        <w:t>1</w:t>
      </w:r>
      <w:r>
        <w:rPr/>
        <w:t>）应付债券</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026"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北京昆仑万维科技股份有限公司</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 面向合格投资者公开发行公司债券（第 一期）</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723,734,377.43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719,641,668.05</w:t>
            </w:r>
          </w:p>
        </w:tc>
      </w:tr>
      <w:tr>
        <w:trPr>
          <w:trHeight w:val="71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125"/>
              <w:jc w:val="left"/>
              <w:rPr>
                <w:rFonts w:ascii="宋体" w:hAnsi="宋体" w:cs="宋体" w:eastAsia="宋体" w:hint="default"/>
                <w:sz w:val="18"/>
                <w:szCs w:val="18"/>
              </w:rPr>
            </w:pPr>
            <w:r>
              <w:rPr>
                <w:rFonts w:ascii="宋体" w:hAnsi="宋体" w:cs="宋体" w:eastAsia="宋体" w:hint="default"/>
                <w:sz w:val="18"/>
                <w:szCs w:val="18"/>
              </w:rPr>
              <w:t>创新创业公司债券</w:t>
            </w:r>
            <w:r>
              <w:rPr>
                <w:rFonts w:ascii="Times New Roman" w:hAnsi="Times New Roman" w:cs="Times New Roman" w:eastAsia="Times New Roman" w:hint="default"/>
                <w:sz w:val="18"/>
                <w:szCs w:val="18"/>
              </w:rPr>
              <w:t>-</w:t>
            </w:r>
            <w:r>
              <w:rPr>
                <w:rFonts w:ascii="宋体" w:hAnsi="宋体" w:cs="宋体" w:eastAsia="宋体" w:hint="default"/>
                <w:sz w:val="18"/>
                <w:szCs w:val="18"/>
              </w:rPr>
              <w:t>昆仑万维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 一期</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239,043,384.38</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962,777,761.81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719,641,668.05</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2）应付债券的增减变动（不包括划分为金融负债的优先股、永续债等其他金融工具）" w:id="361"/>
      <w:bookmarkEnd w:id="361"/>
      <w:r>
        <w:rPr>
          <w:b w:val="0"/>
          <w:bCs w:val="0"/>
        </w:rPr>
      </w:r>
      <w:r>
        <w:rPr/>
        <w:t>（</w:t>
      </w:r>
      <w:r>
        <w:rPr>
          <w:rFonts w:ascii="Times New Roman" w:hAnsi="Times New Roman" w:cs="Times New Roman" w:eastAsia="Times New Roman" w:hint="default"/>
        </w:rPr>
        <w:t>2</w:t>
      </w:r>
      <w:r>
        <w:rPr/>
        <w:t>）应付债券的增减变动（不包括划分为金融负债的优先股、永续债等其他金融工具）</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8" w:type="dxa"/>
        <w:tblLayout w:type="fixed"/>
        <w:tblCellMar>
          <w:top w:w="0" w:type="dxa"/>
          <w:left w:w="0" w:type="dxa"/>
          <w:bottom w:w="0" w:type="dxa"/>
          <w:right w:w="0" w:type="dxa"/>
        </w:tblCellMar>
        <w:tblLook w:val="01E0"/>
      </w:tblPr>
      <w:tblGrid>
        <w:gridCol w:w="876"/>
        <w:gridCol w:w="876"/>
        <w:gridCol w:w="876"/>
        <w:gridCol w:w="877"/>
        <w:gridCol w:w="876"/>
        <w:gridCol w:w="876"/>
        <w:gridCol w:w="876"/>
        <w:gridCol w:w="878"/>
        <w:gridCol w:w="876"/>
        <w:gridCol w:w="876"/>
        <w:gridCol w:w="877"/>
      </w:tblGrid>
      <w:tr>
        <w:trPr>
          <w:trHeight w:val="714" w:hRule="exact"/>
        </w:trPr>
        <w:tc>
          <w:tcPr>
            <w:tcW w:w="8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2" w:right="0"/>
              <w:jc w:val="left"/>
              <w:rPr>
                <w:rFonts w:ascii="宋体" w:hAnsi="宋体" w:cs="宋体" w:eastAsia="宋体" w:hint="default"/>
                <w:sz w:val="18"/>
                <w:szCs w:val="18"/>
              </w:rPr>
            </w:pPr>
            <w:r>
              <w:rPr>
                <w:rFonts w:ascii="宋体" w:hAnsi="宋体" w:cs="宋体" w:eastAsia="宋体" w:hint="default"/>
                <w:sz w:val="18"/>
                <w:szCs w:val="18"/>
              </w:rPr>
              <w:t>债券名称</w:t>
            </w:r>
          </w:p>
        </w:tc>
        <w:tc>
          <w:tcPr>
            <w:tcW w:w="8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1"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8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72"/>
              <w:jc w:val="right"/>
              <w:rPr>
                <w:rFonts w:ascii="宋体" w:hAnsi="宋体" w:cs="宋体" w:eastAsia="宋体" w:hint="default"/>
                <w:sz w:val="18"/>
                <w:szCs w:val="18"/>
              </w:rPr>
            </w:pPr>
            <w:r>
              <w:rPr>
                <w:rFonts w:ascii="宋体" w:hAnsi="宋体" w:cs="宋体" w:eastAsia="宋体" w:hint="default"/>
                <w:sz w:val="18"/>
                <w:szCs w:val="18"/>
              </w:rPr>
              <w:t>发行日期</w:t>
            </w:r>
          </w:p>
        </w:tc>
        <w:tc>
          <w:tcPr>
            <w:tcW w:w="8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 w:right="0"/>
              <w:jc w:val="left"/>
              <w:rPr>
                <w:rFonts w:ascii="宋体" w:hAnsi="宋体" w:cs="宋体" w:eastAsia="宋体" w:hint="default"/>
                <w:sz w:val="18"/>
                <w:szCs w:val="18"/>
              </w:rPr>
            </w:pPr>
            <w:r>
              <w:rPr>
                <w:rFonts w:ascii="宋体" w:hAnsi="宋体" w:cs="宋体" w:eastAsia="宋体" w:hint="default"/>
                <w:sz w:val="18"/>
                <w:szCs w:val="18"/>
              </w:rPr>
              <w:t>债券期限</w:t>
            </w:r>
          </w:p>
        </w:tc>
        <w:tc>
          <w:tcPr>
            <w:tcW w:w="8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1" w:right="0"/>
              <w:jc w:val="left"/>
              <w:rPr>
                <w:rFonts w:ascii="宋体" w:hAnsi="宋体" w:cs="宋体" w:eastAsia="宋体" w:hint="default"/>
                <w:sz w:val="18"/>
                <w:szCs w:val="18"/>
              </w:rPr>
            </w:pPr>
            <w:r>
              <w:rPr>
                <w:rFonts w:ascii="宋体" w:hAnsi="宋体" w:cs="宋体" w:eastAsia="宋体" w:hint="default"/>
                <w:sz w:val="18"/>
                <w:szCs w:val="18"/>
              </w:rPr>
              <w:t>发行金额</w:t>
            </w:r>
          </w:p>
        </w:tc>
        <w:tc>
          <w:tcPr>
            <w:tcW w:w="8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8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1" w:right="0"/>
              <w:jc w:val="left"/>
              <w:rPr>
                <w:rFonts w:ascii="宋体" w:hAnsi="宋体" w:cs="宋体" w:eastAsia="宋体" w:hint="default"/>
                <w:sz w:val="18"/>
                <w:szCs w:val="18"/>
              </w:rPr>
            </w:pPr>
            <w:r>
              <w:rPr>
                <w:rFonts w:ascii="宋体" w:hAnsi="宋体" w:cs="宋体" w:eastAsia="宋体" w:hint="default"/>
                <w:sz w:val="18"/>
                <w:szCs w:val="18"/>
              </w:rPr>
              <w:t>本期发行</w:t>
            </w:r>
          </w:p>
        </w:tc>
        <w:tc>
          <w:tcPr>
            <w:tcW w:w="8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63" w:right="72" w:hanging="90"/>
              <w:jc w:val="left"/>
              <w:rPr>
                <w:rFonts w:ascii="宋体" w:hAnsi="宋体" w:cs="宋体" w:eastAsia="宋体" w:hint="default"/>
                <w:sz w:val="18"/>
                <w:szCs w:val="18"/>
              </w:rPr>
            </w:pPr>
            <w:r>
              <w:rPr>
                <w:rFonts w:ascii="宋体" w:hAnsi="宋体" w:cs="宋体" w:eastAsia="宋体" w:hint="default"/>
                <w:sz w:val="18"/>
                <w:szCs w:val="18"/>
              </w:rPr>
              <w:t>按面值计 提利息</w:t>
            </w:r>
          </w:p>
        </w:tc>
        <w:tc>
          <w:tcPr>
            <w:tcW w:w="8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341" w:right="72" w:hanging="270"/>
              <w:jc w:val="left"/>
              <w:rPr>
                <w:rFonts w:ascii="宋体" w:hAnsi="宋体" w:cs="宋体" w:eastAsia="宋体" w:hint="default"/>
                <w:sz w:val="18"/>
                <w:szCs w:val="18"/>
              </w:rPr>
            </w:pPr>
            <w:r>
              <w:rPr>
                <w:rFonts w:ascii="宋体" w:hAnsi="宋体" w:cs="宋体" w:eastAsia="宋体" w:hint="default"/>
                <w:sz w:val="18"/>
                <w:szCs w:val="18"/>
              </w:rPr>
              <w:t>溢折价摊 销</w:t>
            </w:r>
          </w:p>
        </w:tc>
        <w:tc>
          <w:tcPr>
            <w:tcW w:w="8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2" w:right="0"/>
              <w:jc w:val="left"/>
              <w:rPr>
                <w:rFonts w:ascii="宋体" w:hAnsi="宋体" w:cs="宋体" w:eastAsia="宋体" w:hint="default"/>
                <w:sz w:val="18"/>
                <w:szCs w:val="18"/>
              </w:rPr>
            </w:pPr>
            <w:r>
              <w:rPr>
                <w:rFonts w:ascii="宋体" w:hAnsi="宋体" w:cs="宋体" w:eastAsia="宋体" w:hint="default"/>
                <w:sz w:val="18"/>
                <w:szCs w:val="18"/>
              </w:rPr>
              <w:t>本期偿还</w:t>
            </w:r>
          </w:p>
        </w:tc>
        <w:tc>
          <w:tcPr>
            <w:tcW w:w="8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898" w:hRule="exact"/>
        </w:trPr>
        <w:tc>
          <w:tcPr>
            <w:tcW w:w="87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4" w:lineRule="auto" w:before="51"/>
              <w:ind w:left="22" w:right="77"/>
              <w:jc w:val="both"/>
              <w:rPr>
                <w:rFonts w:ascii="宋体" w:hAnsi="宋体" w:cs="宋体" w:eastAsia="宋体" w:hint="default"/>
                <w:sz w:val="18"/>
                <w:szCs w:val="18"/>
              </w:rPr>
            </w:pPr>
            <w:r>
              <w:rPr>
                <w:rFonts w:ascii="宋体" w:hAnsi="宋体" w:cs="宋体" w:eastAsia="宋体" w:hint="default"/>
                <w:sz w:val="18"/>
                <w:szCs w:val="18"/>
              </w:rPr>
              <w:t>北京昆仑 万维科技 股份有限 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年面向合 格投资者 公开发行 公司债券</w:t>
            </w:r>
          </w:p>
          <w:p>
            <w:pPr>
              <w:pStyle w:val="TableParagraph"/>
              <w:spacing w:line="240" w:lineRule="auto" w:before="22"/>
              <w:ind w:left="22" w:right="0"/>
              <w:jc w:val="both"/>
              <w:rPr>
                <w:rFonts w:ascii="宋体" w:hAnsi="宋体" w:cs="宋体" w:eastAsia="宋体" w:hint="default"/>
                <w:sz w:val="18"/>
                <w:szCs w:val="18"/>
              </w:rPr>
            </w:pPr>
            <w:r>
              <w:rPr>
                <w:rFonts w:ascii="宋体" w:hAnsi="宋体" w:cs="宋体" w:eastAsia="宋体" w:hint="default"/>
                <w:sz w:val="18"/>
                <w:szCs w:val="18"/>
              </w:rPr>
              <w:t>（第一期</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32" w:right="0"/>
              <w:jc w:val="left"/>
              <w:rPr>
                <w:rFonts w:ascii="Times New Roman" w:hAnsi="Times New Roman" w:cs="Times New Roman" w:eastAsia="Times New Roman" w:hint="default"/>
                <w:sz w:val="18"/>
                <w:szCs w:val="18"/>
              </w:rPr>
            </w:pPr>
            <w:r>
              <w:rPr>
                <w:rFonts w:ascii="Times New Roman"/>
                <w:sz w:val="18"/>
              </w:rPr>
              <w:t>730,000,00</w:t>
            </w:r>
          </w:p>
          <w:p>
            <w:pPr>
              <w:pStyle w:val="TableParagraph"/>
              <w:spacing w:line="240" w:lineRule="auto" w:before="105"/>
              <w:ind w:left="527"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left="-134" w:right="0"/>
              <w:jc w:val="left"/>
              <w:rPr>
                <w:rFonts w:ascii="宋体" w:hAnsi="宋体" w:cs="宋体" w:eastAsia="宋体" w:hint="default"/>
                <w:sz w:val="18"/>
                <w:szCs w:val="18"/>
              </w:rPr>
            </w:pPr>
            <w:r>
              <w:rPr>
                <w:rFonts w:ascii="宋体" w:hAnsi="宋体" w:cs="宋体" w:eastAsia="宋体" w:hint="default"/>
                <w:sz w:val="18"/>
                <w:szCs w:val="18"/>
              </w:rPr>
              <w:t>）</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right="110"/>
              <w:jc w:val="right"/>
              <w:rPr>
                <w:rFonts w:ascii="Times New Roman" w:hAnsi="Times New Roman" w:cs="Times New Roman" w:eastAsia="Times New Roman" w:hint="default"/>
                <w:sz w:val="18"/>
                <w:szCs w:val="18"/>
              </w:rPr>
            </w:pPr>
            <w:r>
              <w:rPr>
                <w:rFonts w:ascii="Times New Roman"/>
                <w:sz w:val="18"/>
              </w:rPr>
              <w:t>2016/5/23</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32" w:right="0"/>
              <w:jc w:val="left"/>
              <w:rPr>
                <w:rFonts w:ascii="Times New Roman" w:hAnsi="Times New Roman" w:cs="Times New Roman" w:eastAsia="Times New Roman" w:hint="default"/>
                <w:sz w:val="18"/>
                <w:szCs w:val="18"/>
              </w:rPr>
            </w:pPr>
            <w:r>
              <w:rPr>
                <w:rFonts w:ascii="Times New Roman"/>
                <w:sz w:val="18"/>
              </w:rPr>
              <w:t>730,000,00</w:t>
            </w:r>
          </w:p>
          <w:p>
            <w:pPr>
              <w:pStyle w:val="TableParagraph"/>
              <w:spacing w:line="240" w:lineRule="auto" w:before="105"/>
              <w:ind w:left="528" w:right="0"/>
              <w:jc w:val="left"/>
              <w:rPr>
                <w:rFonts w:ascii="Times New Roman" w:hAnsi="Times New Roman" w:cs="Times New Roman" w:eastAsia="Times New Roman" w:hint="default"/>
                <w:sz w:val="18"/>
                <w:szCs w:val="18"/>
              </w:rPr>
            </w:pPr>
            <w:r>
              <w:rPr>
                <w:rFonts w:ascii="Times New Roman"/>
                <w:sz w:val="18"/>
              </w:rPr>
              <w:t>0.00</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32" w:right="0"/>
              <w:jc w:val="left"/>
              <w:rPr>
                <w:rFonts w:ascii="Times New Roman" w:hAnsi="Times New Roman" w:cs="Times New Roman" w:eastAsia="Times New Roman" w:hint="default"/>
                <w:sz w:val="18"/>
                <w:szCs w:val="18"/>
              </w:rPr>
            </w:pPr>
            <w:r>
              <w:rPr>
                <w:rFonts w:ascii="Times New Roman"/>
                <w:sz w:val="18"/>
              </w:rPr>
              <w:t>719,641,66</w:t>
            </w:r>
          </w:p>
          <w:p>
            <w:pPr>
              <w:pStyle w:val="TableParagraph"/>
              <w:spacing w:line="240" w:lineRule="auto" w:before="105"/>
              <w:ind w:left="527" w:right="0"/>
              <w:jc w:val="left"/>
              <w:rPr>
                <w:rFonts w:ascii="Times New Roman" w:hAnsi="Times New Roman" w:cs="Times New Roman" w:eastAsia="Times New Roman" w:hint="default"/>
                <w:sz w:val="18"/>
                <w:szCs w:val="18"/>
              </w:rPr>
            </w:pPr>
            <w:r>
              <w:rPr>
                <w:rFonts w:ascii="Times New Roman"/>
                <w:sz w:val="18"/>
              </w:rPr>
              <w:t>8.05</w:t>
            </w:r>
          </w:p>
        </w:tc>
        <w:tc>
          <w:tcPr>
            <w:tcW w:w="876" w:type="dxa"/>
            <w:tcBorders>
              <w:top w:val="single" w:sz="4" w:space="0" w:color="000000"/>
              <w:left w:val="single" w:sz="4" w:space="0" w:color="000000"/>
              <w:bottom w:val="single" w:sz="4" w:space="0" w:color="000000"/>
              <w:right w:val="single" w:sz="4" w:space="0" w:color="000000"/>
            </w:tcBorders>
          </w:tcPr>
          <w:p>
            <w:pPr/>
          </w:p>
        </w:tc>
        <w:tc>
          <w:tcPr>
            <w:tcW w:w="878" w:type="dxa"/>
            <w:tcBorders>
              <w:top w:val="single" w:sz="4" w:space="0" w:color="000000"/>
              <w:left w:val="single" w:sz="4" w:space="0" w:color="000000"/>
              <w:bottom w:val="single" w:sz="4" w:space="0" w:color="000000"/>
              <w:right w:val="single" w:sz="4" w:space="0" w:color="000000"/>
            </w:tcBorders>
          </w:tcPr>
          <w:p>
            <w:pP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4,092,709.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38</w:t>
            </w:r>
          </w:p>
        </w:tc>
        <w:tc>
          <w:tcPr>
            <w:tcW w:w="876" w:type="dxa"/>
            <w:tcBorders>
              <w:top w:val="single" w:sz="4" w:space="0" w:color="000000"/>
              <w:left w:val="single" w:sz="4" w:space="0" w:color="000000"/>
              <w:bottom w:val="single" w:sz="4" w:space="0" w:color="000000"/>
              <w:right w:val="single" w:sz="4" w:space="0" w:color="000000"/>
            </w:tcBorders>
          </w:tcPr>
          <w:p>
            <w:pP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723,734,37</w:t>
            </w:r>
          </w:p>
          <w:p>
            <w:pPr>
              <w:pStyle w:val="TableParagraph"/>
              <w:spacing w:line="240" w:lineRule="auto" w:before="105"/>
              <w:ind w:left="529" w:right="0"/>
              <w:jc w:val="left"/>
              <w:rPr>
                <w:rFonts w:ascii="Times New Roman" w:hAnsi="Times New Roman" w:cs="Times New Roman" w:eastAsia="Times New Roman" w:hint="default"/>
                <w:sz w:val="18"/>
                <w:szCs w:val="18"/>
              </w:rPr>
            </w:pPr>
            <w:r>
              <w:rPr>
                <w:rFonts w:ascii="Times New Roman"/>
                <w:sz w:val="18"/>
              </w:rPr>
              <w:t>7.43</w:t>
            </w:r>
          </w:p>
        </w:tc>
      </w:tr>
      <w:tr>
        <w:trPr>
          <w:trHeight w:val="1650" w:hRule="exact"/>
        </w:trPr>
        <w:tc>
          <w:tcPr>
            <w:tcW w:w="87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09" w:lineRule="auto" w:before="51"/>
              <w:ind w:left="22" w:right="61"/>
              <w:jc w:val="left"/>
              <w:rPr>
                <w:rFonts w:ascii="宋体" w:hAnsi="宋体" w:cs="宋体" w:eastAsia="宋体" w:hint="default"/>
                <w:sz w:val="18"/>
                <w:szCs w:val="18"/>
              </w:rPr>
            </w:pPr>
            <w:r>
              <w:rPr>
                <w:rFonts w:ascii="宋体" w:hAnsi="宋体" w:cs="宋体" w:eastAsia="宋体" w:hint="default"/>
                <w:sz w:val="18"/>
                <w:szCs w:val="18"/>
              </w:rPr>
              <w:t>创新创业 公司债券</w:t>
            </w:r>
            <w:r>
              <w:rPr>
                <w:rFonts w:ascii="Times New Roman" w:hAnsi="Times New Roman" w:cs="Times New Roman" w:eastAsia="Times New Roman" w:hint="default"/>
                <w:sz w:val="18"/>
                <w:szCs w:val="18"/>
              </w:rPr>
              <w:t>- </w:t>
            </w:r>
            <w:r>
              <w:rPr>
                <w:rFonts w:ascii="宋体" w:hAnsi="宋体" w:cs="宋体" w:eastAsia="宋体" w:hint="default"/>
                <w:sz w:val="18"/>
                <w:szCs w:val="18"/>
              </w:rPr>
              <w:t>昆仑万维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 一期</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2" w:right="0"/>
              <w:jc w:val="left"/>
              <w:rPr>
                <w:rFonts w:ascii="Times New Roman" w:hAnsi="Times New Roman" w:cs="Times New Roman" w:eastAsia="Times New Roman" w:hint="default"/>
                <w:sz w:val="18"/>
                <w:szCs w:val="18"/>
              </w:rPr>
            </w:pPr>
            <w:r>
              <w:rPr>
                <w:rFonts w:ascii="Times New Roman"/>
                <w:sz w:val="18"/>
              </w:rPr>
              <w:t>240,000,00</w:t>
            </w:r>
          </w:p>
          <w:p>
            <w:pPr>
              <w:pStyle w:val="TableParagraph"/>
              <w:spacing w:line="240" w:lineRule="auto" w:before="105"/>
              <w:ind w:left="527" w:right="0"/>
              <w:jc w:val="left"/>
              <w:rPr>
                <w:rFonts w:ascii="Times New Roman" w:hAnsi="Times New Roman" w:cs="Times New Roman" w:eastAsia="Times New Roman" w:hint="default"/>
                <w:sz w:val="18"/>
                <w:szCs w:val="18"/>
              </w:rPr>
            </w:pPr>
            <w:r>
              <w:rPr>
                <w:rFonts w:ascii="Times New Roman"/>
                <w:sz w:val="18"/>
              </w:rPr>
              <w:t>0.00</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z w:val="18"/>
              </w:rPr>
              <w:t>2017/9/22</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2" w:right="0"/>
              <w:jc w:val="left"/>
              <w:rPr>
                <w:rFonts w:ascii="Times New Roman" w:hAnsi="Times New Roman" w:cs="Times New Roman" w:eastAsia="Times New Roman" w:hint="default"/>
                <w:sz w:val="18"/>
                <w:szCs w:val="18"/>
              </w:rPr>
            </w:pPr>
            <w:r>
              <w:rPr>
                <w:rFonts w:ascii="Times New Roman"/>
                <w:sz w:val="18"/>
              </w:rPr>
              <w:t>240,000,00</w:t>
            </w:r>
          </w:p>
          <w:p>
            <w:pPr>
              <w:pStyle w:val="TableParagraph"/>
              <w:spacing w:line="240" w:lineRule="auto" w:before="105"/>
              <w:ind w:left="528" w:right="0"/>
              <w:jc w:val="left"/>
              <w:rPr>
                <w:rFonts w:ascii="Times New Roman" w:hAnsi="Times New Roman" w:cs="Times New Roman" w:eastAsia="Times New Roman" w:hint="default"/>
                <w:sz w:val="18"/>
                <w:szCs w:val="18"/>
              </w:rPr>
            </w:pPr>
            <w:r>
              <w:rPr>
                <w:rFonts w:ascii="Times New Roman"/>
                <w:sz w:val="18"/>
              </w:rPr>
              <w:t>0.00</w:t>
            </w:r>
          </w:p>
        </w:tc>
        <w:tc>
          <w:tcPr>
            <w:tcW w:w="876" w:type="dxa"/>
            <w:tcBorders>
              <w:top w:val="single" w:sz="4" w:space="0" w:color="000000"/>
              <w:left w:val="single" w:sz="4" w:space="0" w:color="000000"/>
              <w:bottom w:val="single" w:sz="4" w:space="0" w:color="000000"/>
              <w:right w:val="single" w:sz="4" w:space="0" w:color="000000"/>
            </w:tcBorders>
          </w:tcPr>
          <w:p>
            <w:pP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2" w:right="0"/>
              <w:jc w:val="left"/>
              <w:rPr>
                <w:rFonts w:ascii="Times New Roman" w:hAnsi="Times New Roman" w:cs="Times New Roman" w:eastAsia="Times New Roman" w:hint="default"/>
                <w:sz w:val="18"/>
                <w:szCs w:val="18"/>
              </w:rPr>
            </w:pPr>
            <w:r>
              <w:rPr>
                <w:rFonts w:ascii="Times New Roman"/>
                <w:sz w:val="18"/>
              </w:rPr>
              <w:t>240,000,00</w:t>
            </w:r>
          </w:p>
          <w:p>
            <w:pPr>
              <w:pStyle w:val="TableParagraph"/>
              <w:spacing w:line="240" w:lineRule="auto" w:before="105"/>
              <w:ind w:left="527" w:right="0"/>
              <w:jc w:val="left"/>
              <w:rPr>
                <w:rFonts w:ascii="Times New Roman" w:hAnsi="Times New Roman" w:cs="Times New Roman" w:eastAsia="Times New Roman" w:hint="default"/>
                <w:sz w:val="18"/>
                <w:szCs w:val="18"/>
              </w:rPr>
            </w:pPr>
            <w:r>
              <w:rPr>
                <w:rFonts w:ascii="Times New Roman"/>
                <w:sz w:val="18"/>
              </w:rPr>
              <w:t>0.00</w:t>
            </w:r>
          </w:p>
        </w:tc>
        <w:tc>
          <w:tcPr>
            <w:tcW w:w="878" w:type="dxa"/>
            <w:tcBorders>
              <w:top w:val="single" w:sz="4" w:space="0" w:color="000000"/>
              <w:left w:val="single" w:sz="4" w:space="0" w:color="000000"/>
              <w:bottom w:val="single" w:sz="4" w:space="0" w:color="000000"/>
              <w:right w:val="single" w:sz="4" w:space="0" w:color="000000"/>
            </w:tcBorders>
          </w:tcPr>
          <w:p>
            <w:pP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-956,615.6</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876" w:type="dxa"/>
            <w:tcBorders>
              <w:top w:val="single" w:sz="4" w:space="0" w:color="000000"/>
              <w:left w:val="single" w:sz="4" w:space="0" w:color="000000"/>
              <w:bottom w:val="single" w:sz="4" w:space="0" w:color="000000"/>
              <w:right w:val="single" w:sz="4" w:space="0" w:color="000000"/>
            </w:tcBorders>
          </w:tcPr>
          <w:p>
            <w:pP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239,043,38</w:t>
            </w:r>
          </w:p>
          <w:p>
            <w:pPr>
              <w:pStyle w:val="TableParagraph"/>
              <w:spacing w:line="240" w:lineRule="auto" w:before="105"/>
              <w:ind w:left="529" w:right="0"/>
              <w:jc w:val="left"/>
              <w:rPr>
                <w:rFonts w:ascii="Times New Roman" w:hAnsi="Times New Roman" w:cs="Times New Roman" w:eastAsia="Times New Roman" w:hint="default"/>
                <w:sz w:val="18"/>
                <w:szCs w:val="18"/>
              </w:rPr>
            </w:pPr>
            <w:r>
              <w:rPr>
                <w:rFonts w:ascii="Times New Roman"/>
                <w:sz w:val="18"/>
              </w:rPr>
              <w:t>4.38</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8" w:type="dxa"/>
        <w:tblLayout w:type="fixed"/>
        <w:tblCellMar>
          <w:top w:w="0" w:type="dxa"/>
          <w:left w:w="0" w:type="dxa"/>
          <w:bottom w:w="0" w:type="dxa"/>
          <w:right w:w="0" w:type="dxa"/>
        </w:tblCellMar>
        <w:tblLook w:val="01E0"/>
      </w:tblPr>
      <w:tblGrid>
        <w:gridCol w:w="876"/>
        <w:gridCol w:w="876"/>
        <w:gridCol w:w="876"/>
        <w:gridCol w:w="877"/>
        <w:gridCol w:w="876"/>
        <w:gridCol w:w="876"/>
        <w:gridCol w:w="876"/>
        <w:gridCol w:w="878"/>
        <w:gridCol w:w="876"/>
        <w:gridCol w:w="876"/>
        <w:gridCol w:w="877"/>
      </w:tblGrid>
      <w:tr>
        <w:trPr>
          <w:trHeight w:val="714" w:hRule="exact"/>
        </w:trPr>
        <w:tc>
          <w:tcPr>
            <w:tcW w:w="8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8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8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2" w:right="0"/>
              <w:jc w:val="left"/>
              <w:rPr>
                <w:rFonts w:ascii="Times New Roman" w:hAnsi="Times New Roman" w:cs="Times New Roman" w:eastAsia="Times New Roman" w:hint="default"/>
                <w:sz w:val="18"/>
                <w:szCs w:val="18"/>
              </w:rPr>
            </w:pPr>
            <w:r>
              <w:rPr>
                <w:rFonts w:ascii="Times New Roman"/>
                <w:sz w:val="18"/>
              </w:rPr>
              <w:t>970,000,00</w:t>
            </w:r>
          </w:p>
          <w:p>
            <w:pPr>
              <w:pStyle w:val="TableParagraph"/>
              <w:spacing w:line="240" w:lineRule="auto" w:before="106"/>
              <w:ind w:left="528" w:right="0"/>
              <w:jc w:val="left"/>
              <w:rPr>
                <w:rFonts w:ascii="Times New Roman" w:hAnsi="Times New Roman" w:cs="Times New Roman" w:eastAsia="Times New Roman" w:hint="default"/>
                <w:sz w:val="18"/>
                <w:szCs w:val="18"/>
              </w:rPr>
            </w:pPr>
            <w:r>
              <w:rPr>
                <w:rFonts w:ascii="Times New Roman"/>
                <w:sz w:val="18"/>
              </w:rPr>
              <w:t>0.00</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2" w:right="0"/>
              <w:jc w:val="left"/>
              <w:rPr>
                <w:rFonts w:ascii="Times New Roman" w:hAnsi="Times New Roman" w:cs="Times New Roman" w:eastAsia="Times New Roman" w:hint="default"/>
                <w:sz w:val="18"/>
                <w:szCs w:val="18"/>
              </w:rPr>
            </w:pPr>
            <w:r>
              <w:rPr>
                <w:rFonts w:ascii="Times New Roman"/>
                <w:sz w:val="18"/>
              </w:rPr>
              <w:t>719,641,66</w:t>
            </w:r>
          </w:p>
          <w:p>
            <w:pPr>
              <w:pStyle w:val="TableParagraph"/>
              <w:spacing w:line="240" w:lineRule="auto" w:before="106"/>
              <w:ind w:left="527" w:right="0"/>
              <w:jc w:val="left"/>
              <w:rPr>
                <w:rFonts w:ascii="Times New Roman" w:hAnsi="Times New Roman" w:cs="Times New Roman" w:eastAsia="Times New Roman" w:hint="default"/>
                <w:sz w:val="18"/>
                <w:szCs w:val="18"/>
              </w:rPr>
            </w:pPr>
            <w:r>
              <w:rPr>
                <w:rFonts w:ascii="Times New Roman"/>
                <w:sz w:val="18"/>
              </w:rPr>
              <w:t>8.05</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2" w:right="0"/>
              <w:jc w:val="left"/>
              <w:rPr>
                <w:rFonts w:ascii="Times New Roman" w:hAnsi="Times New Roman" w:cs="Times New Roman" w:eastAsia="Times New Roman" w:hint="default"/>
                <w:sz w:val="18"/>
                <w:szCs w:val="18"/>
              </w:rPr>
            </w:pPr>
            <w:r>
              <w:rPr>
                <w:rFonts w:ascii="Times New Roman"/>
                <w:sz w:val="18"/>
              </w:rPr>
              <w:t>240,000,00</w:t>
            </w:r>
          </w:p>
          <w:p>
            <w:pPr>
              <w:pStyle w:val="TableParagraph"/>
              <w:spacing w:line="240" w:lineRule="auto" w:before="106"/>
              <w:ind w:left="527" w:right="0"/>
              <w:jc w:val="left"/>
              <w:rPr>
                <w:rFonts w:ascii="Times New Roman" w:hAnsi="Times New Roman" w:cs="Times New Roman" w:eastAsia="Times New Roman" w:hint="default"/>
                <w:sz w:val="18"/>
                <w:szCs w:val="18"/>
              </w:rPr>
            </w:pPr>
            <w:r>
              <w:rPr>
                <w:rFonts w:ascii="Times New Roman"/>
                <w:sz w:val="18"/>
              </w:rPr>
              <w:t>0.00</w:t>
            </w:r>
          </w:p>
        </w:tc>
        <w:tc>
          <w:tcPr>
            <w:tcW w:w="878" w:type="dxa"/>
            <w:tcBorders>
              <w:top w:val="single" w:sz="4" w:space="0" w:color="000000"/>
              <w:left w:val="single" w:sz="4" w:space="0" w:color="000000"/>
              <w:bottom w:val="single" w:sz="4" w:space="0" w:color="000000"/>
              <w:right w:val="single" w:sz="4" w:space="0" w:color="000000"/>
            </w:tcBorders>
          </w:tcPr>
          <w:p>
            <w:pP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3,136,093.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76</w:t>
            </w:r>
          </w:p>
        </w:tc>
        <w:tc>
          <w:tcPr>
            <w:tcW w:w="876" w:type="dxa"/>
            <w:tcBorders>
              <w:top w:val="single" w:sz="4" w:space="0" w:color="000000"/>
              <w:left w:val="single" w:sz="4" w:space="0" w:color="000000"/>
              <w:bottom w:val="single" w:sz="4" w:space="0" w:color="000000"/>
              <w:right w:val="single" w:sz="4" w:space="0" w:color="000000"/>
            </w:tcBorders>
          </w:tcPr>
          <w:p>
            <w:pP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962,777,76</w:t>
            </w:r>
          </w:p>
          <w:p>
            <w:pPr>
              <w:pStyle w:val="TableParagraph"/>
              <w:spacing w:line="240" w:lineRule="auto" w:before="106"/>
              <w:ind w:left="529" w:right="0"/>
              <w:jc w:val="left"/>
              <w:rPr>
                <w:rFonts w:ascii="Times New Roman" w:hAnsi="Times New Roman" w:cs="Times New Roman" w:eastAsia="Times New Roman" w:hint="default"/>
                <w:sz w:val="18"/>
                <w:szCs w:val="18"/>
              </w:rPr>
            </w:pPr>
            <w:r>
              <w:rPr>
                <w:rFonts w:ascii="Times New Roman"/>
                <w:sz w:val="18"/>
              </w:rPr>
              <w:t>1.81</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3）可转换公司债券的转股条件、转股时间说明" w:id="362"/>
      <w:bookmarkEnd w:id="362"/>
      <w:r>
        <w:rPr>
          <w:b w:val="0"/>
          <w:bCs w:val="0"/>
        </w:rPr>
      </w:r>
      <w:r>
        <w:rPr/>
        <w:t>（</w:t>
      </w:r>
      <w:r>
        <w:rPr>
          <w:rFonts w:ascii="Times New Roman" w:hAnsi="Times New Roman" w:cs="Times New Roman" w:eastAsia="Times New Roman" w:hint="default"/>
        </w:rPr>
        <w:t>3</w:t>
      </w:r>
      <w:r>
        <w:rPr/>
        <w:t>）可转换公司债券的转股条件、转股时间说明</w:t>
      </w:r>
      <w:r>
        <w:rPr>
          <w:b w:val="0"/>
          <w:bCs w:val="0"/>
        </w:rPr>
      </w:r>
    </w:p>
    <w:p>
      <w:pPr>
        <w:spacing w:line="240" w:lineRule="auto" w:before="9"/>
        <w:rPr>
          <w:rFonts w:ascii="宋体" w:hAnsi="宋体" w:cs="宋体" w:eastAsia="宋体" w:hint="default"/>
          <w:b/>
          <w:bCs/>
          <w:sz w:val="24"/>
          <w:szCs w:val="24"/>
        </w:rPr>
      </w:pPr>
    </w:p>
    <w:p>
      <w:pPr>
        <w:pStyle w:val="Heading6"/>
        <w:spacing w:line="240" w:lineRule="auto"/>
        <w:ind w:right="998"/>
        <w:jc w:val="left"/>
        <w:rPr>
          <w:b w:val="0"/>
          <w:bCs w:val="0"/>
        </w:rPr>
      </w:pPr>
      <w:bookmarkStart w:name="（4）划分为金融负债的其他金融工具说明" w:id="363"/>
      <w:bookmarkEnd w:id="363"/>
      <w:r>
        <w:rPr>
          <w:b w:val="0"/>
          <w:bCs w:val="0"/>
        </w:rPr>
      </w:r>
      <w:r>
        <w:rPr/>
        <w:t>（</w:t>
      </w:r>
      <w:r>
        <w:rPr>
          <w:rFonts w:ascii="Times New Roman" w:hAnsi="Times New Roman" w:cs="Times New Roman" w:eastAsia="Times New Roman" w:hint="default"/>
        </w:rPr>
        <w:t>4</w:t>
      </w:r>
      <w:r>
        <w:rPr/>
        <w:t>）划分为金融负债的其他金融工具说明</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979" w:top="1060" w:bottom="1160" w:left="0" w:right="0"/>
        </w:sectPr>
      </w:pPr>
    </w:p>
    <w:p>
      <w:pPr>
        <w:spacing w:line="360" w:lineRule="auto" w:before="44"/>
        <w:ind w:left="1134" w:right="-20" w:firstLine="0"/>
        <w:jc w:val="left"/>
        <w:rPr>
          <w:rFonts w:ascii="宋体" w:hAnsi="宋体" w:cs="宋体" w:eastAsia="宋体" w:hint="default"/>
          <w:sz w:val="18"/>
          <w:szCs w:val="18"/>
        </w:rPr>
      </w:pPr>
      <w:r>
        <w:rPr>
          <w:rFonts w:ascii="宋体" w:hAnsi="宋体" w:cs="宋体" w:eastAsia="宋体" w:hint="default"/>
          <w:sz w:val="18"/>
          <w:szCs w:val="18"/>
        </w:rPr>
        <w:t>期末发行在外的优先股、永续债等其他金融工具基本情况 期末发行在外的优先股、永续债等金融工具变动情况表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 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5635" w:space="3195"/>
            <w:col w:w="3080"/>
          </w:cols>
        </w:sectPr>
      </w:pP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066"/>
        <w:gridCol w:w="1067"/>
        <w:gridCol w:w="1063"/>
        <w:gridCol w:w="1062"/>
        <w:gridCol w:w="1063"/>
        <w:gridCol w:w="1062"/>
        <w:gridCol w:w="1062"/>
        <w:gridCol w:w="1062"/>
        <w:gridCol w:w="1051"/>
      </w:tblGrid>
      <w:tr>
        <w:trPr>
          <w:trHeight w:val="402" w:hRule="exact"/>
        </w:trPr>
        <w:tc>
          <w:tcPr>
            <w:tcW w:w="106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6"/>
              <w:ind w:left="166" w:right="77" w:hanging="90"/>
              <w:jc w:val="left"/>
              <w:rPr>
                <w:rFonts w:ascii="宋体" w:hAnsi="宋体" w:cs="宋体" w:eastAsia="宋体" w:hint="default"/>
                <w:sz w:val="18"/>
                <w:szCs w:val="18"/>
              </w:rPr>
            </w:pPr>
            <w:r>
              <w:rPr>
                <w:rFonts w:ascii="宋体" w:hAnsi="宋体" w:cs="宋体" w:eastAsia="宋体" w:hint="default"/>
                <w:sz w:val="18"/>
                <w:szCs w:val="18"/>
              </w:rPr>
              <w:t>发行在外的 金融工具</w:t>
            </w:r>
          </w:p>
        </w:tc>
        <w:tc>
          <w:tcPr>
            <w:tcW w:w="21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9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1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402" w:hRule="exact"/>
        </w:trPr>
        <w:tc>
          <w:tcPr>
            <w:tcW w:w="1066" w:type="dxa"/>
            <w:vMerge/>
            <w:tcBorders>
              <w:left w:val="single" w:sz="4" w:space="0" w:color="000000"/>
              <w:bottom w:val="single" w:sz="4" w:space="0" w:color="000000"/>
              <w:right w:val="single" w:sz="4" w:space="0" w:color="000000"/>
            </w:tcBorders>
            <w:shd w:val="clear" w:color="auto" w:fill="D2D2D2"/>
          </w:tcPr>
          <w:p>
            <w:pPr/>
          </w:p>
        </w:tc>
        <w:tc>
          <w:tcPr>
            <w:tcW w:w="1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7"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357" w:lineRule="auto" w:before="52"/>
        <w:ind w:left="1134" w:right="7512" w:firstLine="0"/>
        <w:jc w:val="left"/>
        <w:rPr>
          <w:rFonts w:ascii="宋体" w:hAnsi="宋体" w:cs="宋体" w:eastAsia="宋体" w:hint="default"/>
          <w:sz w:val="18"/>
          <w:szCs w:val="18"/>
        </w:rPr>
      </w:pPr>
      <w:r>
        <w:rPr>
          <w:rFonts w:ascii="宋体" w:hAnsi="宋体" w:cs="宋体" w:eastAsia="宋体" w:hint="default"/>
          <w:sz w:val="18"/>
          <w:szCs w:val="18"/>
        </w:rPr>
        <w:t>其他金融工具划分为金融负债的依据说明 其他说明</w:t>
      </w:r>
    </w:p>
    <w:p>
      <w:pPr>
        <w:pStyle w:val="BodyText"/>
        <w:spacing w:line="240" w:lineRule="auto" w:before="2"/>
        <w:ind w:left="1134" w:right="998"/>
        <w:jc w:val="left"/>
      </w:pPr>
      <w:r>
        <w:rPr/>
        <w:t>应付债券说明：</w:t>
      </w:r>
    </w:p>
    <w:p>
      <w:pPr>
        <w:pStyle w:val="BodyText"/>
        <w:spacing w:line="256" w:lineRule="auto" w:before="37"/>
        <w:ind w:right="998"/>
        <w:jc w:val="left"/>
      </w:pPr>
      <w:r>
        <w:rPr>
          <w:spacing w:val="-2"/>
        </w:rPr>
        <w:t>（</w:t>
      </w:r>
      <w:r>
        <w:rPr>
          <w:rFonts w:ascii="Times New Roman" w:hAnsi="Times New Roman" w:cs="Times New Roman" w:eastAsia="Times New Roman" w:hint="default"/>
          <w:spacing w:val="-2"/>
        </w:rPr>
        <w:t>1</w:t>
      </w:r>
      <w:r>
        <w:rPr>
          <w:spacing w:val="-2"/>
        </w:rPr>
        <w:t>）经中国证券监督管理委员会证监许可</w:t>
      </w:r>
      <w:r>
        <w:rPr>
          <w:rFonts w:ascii="Times New Roman" w:hAnsi="Times New Roman" w:cs="Times New Roman" w:eastAsia="Times New Roman" w:hint="default"/>
          <w:spacing w:val="-2"/>
        </w:rPr>
        <w:t>[2016]471</w:t>
      </w:r>
      <w:r>
        <w:rPr>
          <w:spacing w:val="-2"/>
        </w:rPr>
        <w:t>号文核准，公司于</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25</w:t>
      </w:r>
      <w:r>
        <w:rPr>
          <w:spacing w:val="-2"/>
        </w:rPr>
        <w:t>日面向合格投资者公开</w:t>
      </w:r>
      <w:r>
        <w:rPr>
          <w:spacing w:val="-58"/>
        </w:rPr>
        <w:t> </w:t>
      </w:r>
      <w:r>
        <w:rPr>
          <w:spacing w:val="-58"/>
        </w:rPr>
      </w:r>
      <w:r>
        <w:rPr/>
        <w:t>发行</w:t>
      </w:r>
      <w:r>
        <w:rPr>
          <w:rFonts w:ascii="Times New Roman" w:hAnsi="Times New Roman" w:cs="Times New Roman" w:eastAsia="Times New Roman" w:hint="default"/>
        </w:rPr>
        <w:t>2016</w:t>
      </w:r>
      <w:r>
        <w:rPr>
          <w:rFonts w:ascii="Times New Roman" w:hAnsi="Times New Roman" w:cs="Times New Roman" w:eastAsia="Times New Roman" w:hint="default"/>
          <w:spacing w:val="30"/>
        </w:rPr>
        <w:t> </w:t>
      </w:r>
      <w:r>
        <w:rPr/>
        <w:t>年公司债券（第一期），实际发行金额</w:t>
      </w:r>
      <w:r>
        <w:rPr>
          <w:rFonts w:ascii="Times New Roman" w:hAnsi="Times New Roman" w:cs="Times New Roman" w:eastAsia="Times New Roman" w:hint="default"/>
        </w:rPr>
        <w:t>7.30</w:t>
      </w:r>
      <w:r>
        <w:rPr/>
        <w:t>亿元。</w:t>
      </w:r>
    </w:p>
    <w:p>
      <w:pPr>
        <w:pStyle w:val="BodyText"/>
        <w:spacing w:line="256" w:lineRule="auto" w:before="5"/>
        <w:ind w:right="1124"/>
        <w:jc w:val="left"/>
      </w:pPr>
      <w:r>
        <w:rPr>
          <w:spacing w:val="-3"/>
        </w:rPr>
        <w:t>（</w:t>
      </w:r>
      <w:r>
        <w:rPr>
          <w:rFonts w:ascii="Times New Roman" w:hAnsi="Times New Roman" w:cs="Times New Roman" w:eastAsia="Times New Roman" w:hint="default"/>
          <w:spacing w:val="-3"/>
        </w:rPr>
        <w:t>2</w:t>
      </w:r>
      <w:r>
        <w:rPr>
          <w:spacing w:val="-3"/>
        </w:rPr>
        <w:t>）经中国证券监督管理委员会</w:t>
      </w:r>
      <w:r>
        <w:rPr>
          <w:rFonts w:ascii="Times New Roman" w:hAnsi="Times New Roman" w:cs="Times New Roman" w:eastAsia="Times New Roman" w:hint="default"/>
          <w:spacing w:val="-3"/>
        </w:rPr>
        <w:t>“</w:t>
      </w:r>
      <w:r>
        <w:rPr>
          <w:spacing w:val="-3"/>
        </w:rPr>
        <w:t>证监许可〔</w:t>
      </w:r>
      <w:r>
        <w:rPr>
          <w:rFonts w:ascii="Times New Roman" w:hAnsi="Times New Roman" w:cs="Times New Roman" w:eastAsia="Times New Roman" w:hint="default"/>
          <w:spacing w:val="-3"/>
        </w:rPr>
        <w:t>2017</w:t>
      </w:r>
      <w:r>
        <w:rPr>
          <w:spacing w:val="-3"/>
        </w:rPr>
        <w:t>〕</w:t>
      </w:r>
      <w:r>
        <w:rPr>
          <w:rFonts w:ascii="Times New Roman" w:hAnsi="Times New Roman" w:cs="Times New Roman" w:eastAsia="Times New Roman" w:hint="default"/>
          <w:spacing w:val="-3"/>
        </w:rPr>
        <w:t>1499</w:t>
      </w:r>
      <w:r>
        <w:rPr>
          <w:rFonts w:ascii="Times New Roman" w:hAnsi="Times New Roman" w:cs="Times New Roman" w:eastAsia="Times New Roman" w:hint="default"/>
          <w:spacing w:val="30"/>
        </w:rPr>
        <w:t> </w:t>
      </w:r>
      <w:r>
        <w:rPr/>
        <w:t>号</w:t>
      </w:r>
      <w:r>
        <w:rPr>
          <w:rFonts w:ascii="Times New Roman" w:hAnsi="Times New Roman" w:cs="Times New Roman" w:eastAsia="Times New Roman" w:hint="default"/>
        </w:rPr>
        <w:t>”</w:t>
      </w:r>
      <w:r>
        <w:rPr/>
        <w:t>文核准，公司于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22</w:t>
      </w:r>
      <w:r>
        <w:rPr/>
        <w:t>日年面向合格投 资者公开发行创</w:t>
      </w:r>
    </w:p>
    <w:p>
      <w:pPr>
        <w:pStyle w:val="BodyText"/>
        <w:spacing w:line="240" w:lineRule="auto" w:before="22"/>
        <w:ind w:right="998"/>
        <w:jc w:val="left"/>
      </w:pPr>
      <w:r>
        <w:rPr/>
        <w:t>新创业公司债券（第一期），实际发行金额</w:t>
      </w:r>
      <w:r>
        <w:rPr>
          <w:rFonts w:ascii="Times New Roman" w:hAnsi="Times New Roman" w:cs="Times New Roman" w:eastAsia="Times New Roman" w:hint="default"/>
        </w:rPr>
        <w:t>2.40</w:t>
      </w:r>
      <w:r>
        <w:rPr/>
        <w:t>亿元。</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28"/>
          <w:szCs w:val="28"/>
        </w:rPr>
      </w:pPr>
    </w:p>
    <w:p>
      <w:pPr>
        <w:pStyle w:val="Heading6"/>
        <w:spacing w:line="240" w:lineRule="auto"/>
        <w:ind w:right="998"/>
        <w:jc w:val="left"/>
        <w:rPr>
          <w:b w:val="0"/>
          <w:bCs w:val="0"/>
        </w:rPr>
      </w:pPr>
      <w:bookmarkStart w:name="47、长期应付款" w:id="364"/>
      <w:bookmarkEnd w:id="364"/>
      <w:r>
        <w:rPr>
          <w:b w:val="0"/>
          <w:bCs w:val="0"/>
        </w:rPr>
      </w:r>
      <w:r>
        <w:rPr>
          <w:rFonts w:ascii="Times New Roman" w:hAnsi="Times New Roman" w:cs="Times New Roman" w:eastAsia="Times New Roman" w:hint="default"/>
        </w:rPr>
        <w:t>47</w:t>
      </w:r>
      <w:r>
        <w:rPr/>
        <w:t>、长期应付款</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按款项性质列示长期应付款" w:id="365"/>
      <w:bookmarkEnd w:id="365"/>
      <w:r>
        <w:rPr>
          <w:b w:val="0"/>
          <w:bCs w:val="0"/>
        </w:rPr>
      </w:r>
      <w:r>
        <w:rPr/>
        <w:t>（</w:t>
      </w:r>
      <w:r>
        <w:rPr>
          <w:rFonts w:ascii="Times New Roman" w:hAnsi="Times New Roman" w:cs="Times New Roman" w:eastAsia="Times New Roman" w:hint="default"/>
        </w:rPr>
        <w:t>1</w:t>
      </w:r>
      <w:r>
        <w:rPr/>
        <w:t>）按款项性质列示长期应付款</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应付融资租赁款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035" w:right="0"/>
              <w:jc w:val="left"/>
              <w:rPr>
                <w:rFonts w:ascii="Times New Roman" w:hAnsi="Times New Roman" w:cs="Times New Roman" w:eastAsia="Times New Roman" w:hint="default"/>
                <w:sz w:val="18"/>
                <w:szCs w:val="18"/>
              </w:rPr>
            </w:pPr>
            <w:r>
              <w:rPr>
                <w:rFonts w:ascii="Times New Roman"/>
                <w:sz w:val="18"/>
              </w:rPr>
              <w:t>167,071,215.51</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40" w:lineRule="auto" w:before="89"/>
        <w:ind w:right="998"/>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17</w:t>
      </w:r>
      <w:r>
        <w:rPr/>
        <w:t>日，公司第二届董事会第五十七次会议审议通过了《关于公司</w:t>
      </w:r>
      <w:r>
        <w:rPr>
          <w:spacing w:val="-23"/>
        </w:rPr>
        <w:t> </w:t>
      </w:r>
      <w:r>
        <w:rPr/>
        <w:t>开展融资租赁业务的议案》，</w:t>
      </w:r>
    </w:p>
    <w:p>
      <w:pPr>
        <w:pStyle w:val="BodyText"/>
        <w:spacing w:line="259" w:lineRule="auto" w:before="21"/>
        <w:ind w:right="1104"/>
        <w:jc w:val="left"/>
      </w:pPr>
      <w:r>
        <w:rPr>
          <w:spacing w:val="-1"/>
        </w:rPr>
        <w:t>《关于公司及全资子公司共同开展融资租赁业务的议案》同意公司进行融资租赁交易的相关事项。本公司</w:t>
      </w:r>
      <w:r>
        <w:rPr>
          <w:spacing w:val="-81"/>
        </w:rPr>
        <w:t> </w:t>
      </w:r>
      <w:r>
        <w:rPr>
          <w:spacing w:val="-81"/>
        </w:rPr>
      </w:r>
      <w:r>
        <w:rPr/>
        <w:t>及全资子公司北京昆仑乐享网络技术有限公司（以下简称</w:t>
      </w:r>
      <w:r>
        <w:rPr>
          <w:rFonts w:ascii="Times New Roman" w:hAnsi="Times New Roman" w:cs="Times New Roman" w:eastAsia="Times New Roman" w:hint="default"/>
        </w:rPr>
        <w:t>“</w:t>
      </w:r>
      <w:r>
        <w:rPr/>
        <w:t>昆仑乐享</w:t>
      </w:r>
      <w:r>
        <w:rPr>
          <w:rFonts w:ascii="Times New Roman" w:hAnsi="Times New Roman" w:cs="Times New Roman" w:eastAsia="Times New Roman" w:hint="default"/>
        </w:rPr>
        <w:t>”</w:t>
      </w:r>
      <w:r>
        <w:rPr/>
        <w:t>）分别拟与北京市文化科技融资租赁 </w:t>
      </w:r>
      <w:r>
        <w:rPr>
          <w:spacing w:val="-3"/>
        </w:rPr>
        <w:t>股份有限公司（以下简称</w:t>
      </w:r>
      <w:r>
        <w:rPr>
          <w:rFonts w:ascii="Times New Roman" w:hAnsi="Times New Roman" w:cs="Times New Roman" w:eastAsia="Times New Roman" w:hint="default"/>
          <w:spacing w:val="-3"/>
        </w:rPr>
        <w:t>“</w:t>
      </w:r>
      <w:r>
        <w:rPr>
          <w:spacing w:val="-3"/>
        </w:rPr>
        <w:t>文科租赁</w:t>
      </w:r>
      <w:r>
        <w:rPr>
          <w:rFonts w:ascii="Times New Roman" w:hAnsi="Times New Roman" w:cs="Times New Roman" w:eastAsia="Times New Roman" w:hint="default"/>
          <w:spacing w:val="-3"/>
        </w:rPr>
        <w:t>”</w:t>
      </w:r>
      <w:r>
        <w:rPr>
          <w:spacing w:val="-3"/>
        </w:rPr>
        <w:t>）以软件著</w:t>
      </w:r>
      <w:r>
        <w:rPr>
          <w:spacing w:val="-36"/>
        </w:rPr>
        <w:t> </w:t>
      </w:r>
      <w:r>
        <w:rPr/>
        <w:t>作权以售后回租的方式进行融资租赁交易。公司以完全享</w:t>
      </w:r>
      <w:r>
        <w:rPr/>
        <w:t> 有的武侠风云</w:t>
      </w:r>
      <w:r>
        <w:rPr>
          <w:rFonts w:ascii="Times New Roman" w:hAnsi="Times New Roman" w:cs="Times New Roman" w:eastAsia="Times New Roman" w:hint="default"/>
        </w:rPr>
        <w:t>V2.0</w:t>
      </w:r>
      <w:r>
        <w:rPr/>
        <w:t>（登记号：</w:t>
      </w:r>
      <w:r>
        <w:rPr>
          <w:rFonts w:ascii="Times New Roman" w:hAnsi="Times New Roman" w:cs="Times New Roman" w:eastAsia="Times New Roman" w:hint="default"/>
        </w:rPr>
        <w:t>2015SR206790</w:t>
      </w:r>
      <w:r>
        <w:rPr/>
        <w:t>）、快打旋风</w:t>
      </w:r>
      <w:r>
        <w:rPr>
          <w:spacing w:val="-9"/>
        </w:rPr>
        <w:t> </w:t>
      </w:r>
      <w:r>
        <w:rPr>
          <w:rFonts w:ascii="Times New Roman" w:hAnsi="Times New Roman" w:cs="Times New Roman" w:eastAsia="Times New Roman" w:hint="default"/>
        </w:rPr>
        <w:t>V2.0</w:t>
      </w:r>
      <w:r>
        <w:rPr/>
        <w:t>（登记号：</w:t>
      </w:r>
      <w:r>
        <w:rPr>
          <w:rFonts w:ascii="Times New Roman" w:hAnsi="Times New Roman" w:cs="Times New Roman" w:eastAsia="Times New Roman" w:hint="default"/>
        </w:rPr>
        <w:t>2009SR047266</w:t>
      </w:r>
      <w:r>
        <w:rPr/>
        <w:t>）的软件著作权</w:t>
      </w:r>
      <w:r>
        <w:rPr>
          <w:spacing w:val="-102"/>
        </w:rPr>
        <w:t> </w:t>
      </w:r>
      <w:r>
        <w:rPr>
          <w:spacing w:val="-102"/>
        </w:rPr>
      </w:r>
      <w:r>
        <w:rPr/>
        <w:t>以售后回租的方式进行融资租赁交易，融资金额人民币</w:t>
      </w:r>
      <w:r>
        <w:rPr>
          <w:rFonts w:ascii="Times New Roman" w:hAnsi="Times New Roman" w:cs="Times New Roman" w:eastAsia="Times New Roman" w:hint="default"/>
        </w:rPr>
        <w:t>1</w:t>
      </w:r>
      <w:r>
        <w:rPr/>
        <w:t>亿元，租赁期限</w:t>
      </w:r>
      <w:r>
        <w:rPr>
          <w:rFonts w:ascii="Times New Roman" w:hAnsi="Times New Roman" w:cs="Times New Roman" w:eastAsia="Times New Roman" w:hint="default"/>
        </w:rPr>
        <w:t>36</w:t>
      </w:r>
      <w:r>
        <w:rPr/>
        <w:t>个月。公司以完全享有的积分</w:t>
      </w:r>
      <w:r>
        <w:rPr>
          <w:spacing w:val="-27"/>
        </w:rPr>
        <w:t> </w:t>
      </w:r>
      <w:r>
        <w:rPr>
          <w:spacing w:val="-27"/>
        </w:rPr>
      </w:r>
      <w:r>
        <w:rPr/>
        <w:t>墙（登记号：</w:t>
      </w:r>
      <w:r>
        <w:rPr>
          <w:rFonts w:ascii="Times New Roman" w:hAnsi="Times New Roman" w:cs="Times New Roman" w:eastAsia="Times New Roman" w:hint="default"/>
        </w:rPr>
        <w:t>2015SR206978</w:t>
      </w:r>
      <w:r>
        <w:rPr/>
        <w:t>）、昆仑乐享以完全享有的糖糖大世界</w:t>
      </w:r>
      <w:r>
        <w:rPr>
          <w:rFonts w:ascii="Times New Roman" w:hAnsi="Times New Roman" w:cs="Times New Roman" w:eastAsia="Times New Roman" w:hint="default"/>
        </w:rPr>
        <w:t>2</w:t>
      </w:r>
      <w:r>
        <w:rPr/>
        <w:t>游戏软件（登记号：</w:t>
      </w:r>
      <w:r>
        <w:rPr>
          <w:rFonts w:ascii="Times New Roman" w:hAnsi="Times New Roman" w:cs="Times New Roman" w:eastAsia="Times New Roman" w:hint="default"/>
        </w:rPr>
        <w:t>2015SR094698</w:t>
      </w:r>
      <w:r>
        <w:rPr/>
        <w:t>） 的软件著作权以售后回租的方式进行融资租赁交易，融资金额人民币</w:t>
      </w:r>
      <w:r>
        <w:rPr>
          <w:rFonts w:ascii="Times New Roman" w:hAnsi="Times New Roman" w:cs="Times New Roman" w:eastAsia="Times New Roman" w:hint="default"/>
        </w:rPr>
        <w:t>1</w:t>
      </w:r>
      <w:r>
        <w:rPr/>
        <w:t>亿元，租赁期限</w:t>
      </w:r>
      <w:r>
        <w:rPr>
          <w:rFonts w:ascii="Times New Roman" w:hAnsi="Times New Roman" w:cs="Times New Roman" w:eastAsia="Times New Roman" w:hint="default"/>
        </w:rPr>
        <w:t>36</w:t>
      </w:r>
      <w:r>
        <w:rPr/>
        <w:t>个月。期末</w:t>
      </w:r>
      <w:r>
        <w:rPr>
          <w:spacing w:val="-1"/>
        </w:rPr>
        <w:t> </w:t>
      </w:r>
      <w:r>
        <w:rPr/>
        <w:t>长</w:t>
      </w:r>
      <w:r>
        <w:rPr/>
        <w:t> 期应付款余额</w:t>
      </w:r>
      <w:r>
        <w:rPr>
          <w:rFonts w:ascii="Times New Roman" w:hAnsi="Times New Roman" w:cs="Times New Roman" w:eastAsia="Times New Roman" w:hint="default"/>
        </w:rPr>
        <w:t>167,071,215.51</w:t>
      </w:r>
      <w:r>
        <w:rPr/>
        <w:t>元。</w:t>
      </w:r>
    </w:p>
    <w:p>
      <w:pPr>
        <w:spacing w:after="0" w:line="259" w:lineRule="auto"/>
        <w:jc w:val="left"/>
        <w:sectPr>
          <w:type w:val="continuous"/>
          <w:pgSz w:w="11910" w:h="16840"/>
          <w:pgMar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48、长期应付职工薪酬" w:id="366"/>
      <w:bookmarkEnd w:id="366"/>
      <w:r>
        <w:rPr>
          <w:b w:val="0"/>
          <w:bCs w:val="0"/>
        </w:rPr>
      </w:r>
      <w:r>
        <w:rPr>
          <w:rFonts w:ascii="Times New Roman" w:hAnsi="Times New Roman" w:cs="Times New Roman" w:eastAsia="Times New Roman" w:hint="default"/>
        </w:rPr>
        <w:t>48</w:t>
      </w:r>
      <w:r>
        <w:rPr/>
        <w:t>、长期应付职工薪酬</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长期应付职工薪酬表" w:id="367"/>
      <w:bookmarkEnd w:id="367"/>
      <w:r>
        <w:rPr>
          <w:b w:val="0"/>
          <w:bCs w:val="0"/>
        </w:rPr>
      </w:r>
      <w:r>
        <w:rPr/>
        <w:t>（</w:t>
      </w:r>
      <w:r>
        <w:rPr>
          <w:rFonts w:ascii="Times New Roman" w:hAnsi="Times New Roman" w:cs="Times New Roman" w:eastAsia="Times New Roman" w:hint="default"/>
        </w:rPr>
        <w:t>1</w:t>
      </w:r>
      <w:r>
        <w:rPr/>
        <w:t>）长期应付职工薪酬表</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2）设定受益计划变动情况" w:id="368"/>
      <w:bookmarkEnd w:id="368"/>
      <w:r>
        <w:rPr>
          <w:b w:val="0"/>
          <w:bCs w:val="0"/>
        </w:rPr>
      </w:r>
      <w:r>
        <w:rPr/>
        <w:t>（</w:t>
      </w:r>
      <w:r>
        <w:rPr>
          <w:rFonts w:ascii="Times New Roman" w:hAnsi="Times New Roman" w:cs="Times New Roman" w:eastAsia="Times New Roman" w:hint="default"/>
        </w:rPr>
        <w:t>2</w:t>
      </w:r>
      <w:r>
        <w:rPr/>
        <w:t>）设定受益计划变动情况</w:t>
      </w:r>
      <w:r>
        <w:rPr>
          <w:b w:val="0"/>
          <w:bCs w:val="0"/>
        </w:rPr>
      </w:r>
    </w:p>
    <w:p>
      <w:pPr>
        <w:spacing w:line="240" w:lineRule="auto" w:before="3"/>
        <w:rPr>
          <w:rFonts w:ascii="宋体" w:hAnsi="宋体" w:cs="宋体" w:eastAsia="宋体" w:hint="default"/>
          <w:b/>
          <w:bCs/>
          <w:sz w:val="23"/>
          <w:szCs w:val="23"/>
        </w:rPr>
      </w:pPr>
    </w:p>
    <w:p>
      <w:pPr>
        <w:spacing w:before="44"/>
        <w:ind w:left="1134" w:right="998" w:firstLine="0"/>
        <w:jc w:val="left"/>
        <w:rPr>
          <w:rFonts w:ascii="宋体" w:hAnsi="宋体" w:cs="宋体" w:eastAsia="宋体" w:hint="default"/>
          <w:sz w:val="18"/>
          <w:szCs w:val="18"/>
        </w:rPr>
      </w:pPr>
      <w:r>
        <w:rPr>
          <w:rFonts w:ascii="宋体" w:hAnsi="宋体" w:cs="宋体" w:eastAsia="宋体" w:hint="default"/>
          <w:sz w:val="18"/>
          <w:szCs w:val="18"/>
        </w:rPr>
        <w:t>设定受益计划义务现值：</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计划资产：</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设定受益计划净负债（净资产）</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357" w:lineRule="auto" w:before="52"/>
        <w:ind w:left="1133" w:right="3553" w:firstLine="0"/>
        <w:jc w:val="left"/>
        <w:rPr>
          <w:rFonts w:ascii="宋体" w:hAnsi="宋体" w:cs="宋体" w:eastAsia="宋体" w:hint="default"/>
          <w:sz w:val="18"/>
          <w:szCs w:val="18"/>
        </w:rPr>
      </w:pPr>
      <w:r>
        <w:rPr>
          <w:rFonts w:ascii="宋体" w:hAnsi="宋体" w:cs="宋体" w:eastAsia="宋体" w:hint="default"/>
          <w:sz w:val="18"/>
          <w:szCs w:val="18"/>
        </w:rPr>
        <w:t>设定受益计划的内容及与之相关风险、对公司未来现金流量、时间和不确定性的影响说明： 设定受益计划重大精算假设及敏感性分析结果说明：</w:t>
      </w:r>
    </w:p>
    <w:p>
      <w:pPr>
        <w:spacing w:before="29"/>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6"/>
        <w:spacing w:line="240" w:lineRule="auto"/>
        <w:ind w:right="998"/>
        <w:jc w:val="left"/>
        <w:rPr>
          <w:b w:val="0"/>
          <w:bCs w:val="0"/>
        </w:rPr>
      </w:pPr>
      <w:bookmarkStart w:name="49、专项应付款" w:id="369"/>
      <w:bookmarkEnd w:id="369"/>
      <w:r>
        <w:rPr>
          <w:b w:val="0"/>
          <w:bCs w:val="0"/>
        </w:rPr>
      </w:r>
      <w:r>
        <w:rPr>
          <w:rFonts w:ascii="Times New Roman" w:hAnsi="Times New Roman" w:cs="Times New Roman" w:eastAsia="Times New Roman" w:hint="default"/>
        </w:rPr>
        <w:t>49</w:t>
      </w:r>
      <w:r>
        <w:rPr/>
        <w:t>、专项应付款</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2"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形成原因</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50、预计负债" w:id="370"/>
      <w:bookmarkEnd w:id="370"/>
      <w:r>
        <w:rPr>
          <w:b w:val="0"/>
          <w:bCs w:val="0"/>
        </w:rPr>
      </w:r>
      <w:r>
        <w:rPr>
          <w:rFonts w:ascii="Times New Roman" w:hAnsi="Times New Roman" w:cs="Times New Roman" w:eastAsia="Times New Roman" w:hint="default"/>
        </w:rPr>
        <w:t>50</w:t>
      </w:r>
      <w:r>
        <w:rPr/>
        <w:t>、预计负债</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2390"/>
        <w:gridCol w:w="2396"/>
        <w:gridCol w:w="2392"/>
        <w:gridCol w:w="2392"/>
      </w:tblGrid>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形成原因</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其他说明，包括重要预计负债的相关重要假设、估计说明：</w:t>
      </w:r>
    </w:p>
    <w:p>
      <w:pPr>
        <w:spacing w:line="240" w:lineRule="auto" w:before="11"/>
        <w:rPr>
          <w:rFonts w:ascii="宋体" w:hAnsi="宋体" w:cs="宋体" w:eastAsia="宋体" w:hint="default"/>
          <w:sz w:val="26"/>
          <w:szCs w:val="26"/>
        </w:rPr>
      </w:pPr>
    </w:p>
    <w:p>
      <w:pPr>
        <w:pStyle w:val="Heading6"/>
        <w:spacing w:line="240" w:lineRule="auto"/>
        <w:ind w:right="998"/>
        <w:jc w:val="left"/>
        <w:rPr>
          <w:b w:val="0"/>
          <w:bCs w:val="0"/>
        </w:rPr>
      </w:pPr>
      <w:bookmarkStart w:name="51、递延收益" w:id="371"/>
      <w:bookmarkEnd w:id="371"/>
      <w:r>
        <w:rPr>
          <w:b w:val="0"/>
          <w:bCs w:val="0"/>
        </w:rPr>
      </w:r>
      <w:r>
        <w:rPr>
          <w:rFonts w:ascii="Times New Roman" w:hAnsi="Times New Roman" w:cs="Times New Roman" w:eastAsia="Times New Roman" w:hint="default"/>
        </w:rPr>
        <w:t>51</w:t>
      </w:r>
      <w:r>
        <w:rPr/>
        <w:t>、递延收益</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583"/>
        <w:gridCol w:w="1607"/>
        <w:gridCol w:w="1595"/>
        <w:gridCol w:w="1594"/>
        <w:gridCol w:w="1594"/>
        <w:gridCol w:w="1595"/>
      </w:tblGrid>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4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607" w:type="dxa"/>
            <w:tcBorders>
              <w:top w:val="single" w:sz="4" w:space="0" w:color="000000"/>
              <w:left w:val="single" w:sz="9" w:space="0" w:color="D2D2D2"/>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1,500,000.00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1,500,000.00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尚未验收</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装修基金</w:t>
            </w:r>
          </w:p>
        </w:tc>
        <w:tc>
          <w:tcPr>
            <w:tcW w:w="1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30" w:right="0"/>
              <w:jc w:val="left"/>
              <w:rPr>
                <w:rFonts w:ascii="Times New Roman" w:hAnsi="Times New Roman" w:cs="Times New Roman" w:eastAsia="Times New Roman" w:hint="default"/>
                <w:sz w:val="18"/>
                <w:szCs w:val="18"/>
              </w:rPr>
            </w:pPr>
            <w:r>
              <w:rPr>
                <w:rFonts w:ascii="Times New Roman"/>
                <w:sz w:val="18"/>
              </w:rPr>
              <w:t>6,332,729.17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1,200,514.59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7,533,243.76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尚未摊销</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预收游戏授权金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16,011,529.94</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10,229,797.96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5,781,731.98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预收游戏授权金</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22,344,259.11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8" w:right="0"/>
              <w:jc w:val="left"/>
              <w:rPr>
                <w:rFonts w:ascii="Times New Roman" w:hAnsi="Times New Roman" w:cs="Times New Roman" w:eastAsia="Times New Roman" w:hint="default"/>
                <w:sz w:val="18"/>
                <w:szCs w:val="18"/>
              </w:rPr>
            </w:pPr>
            <w:r>
              <w:rPr>
                <w:rFonts w:ascii="Times New Roman"/>
                <w:sz w:val="18"/>
              </w:rPr>
              <w:t>2,700,514.59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10,229,797.96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14,814,975.74</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涉及政府补助的项目：</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064"/>
        <w:gridCol w:w="1064"/>
        <w:gridCol w:w="1063"/>
        <w:gridCol w:w="1064"/>
        <w:gridCol w:w="1063"/>
        <w:gridCol w:w="1063"/>
        <w:gridCol w:w="1064"/>
        <w:gridCol w:w="1062"/>
        <w:gridCol w:w="1063"/>
      </w:tblGrid>
      <w:tr>
        <w:trPr>
          <w:trHeight w:val="1025"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56" w:right="74" w:hanging="180"/>
              <w:jc w:val="left"/>
              <w:rPr>
                <w:rFonts w:ascii="宋体" w:hAnsi="宋体" w:cs="宋体" w:eastAsia="宋体" w:hint="default"/>
                <w:sz w:val="18"/>
                <w:szCs w:val="18"/>
              </w:rPr>
            </w:pPr>
            <w:r>
              <w:rPr>
                <w:rFonts w:ascii="宋体" w:hAnsi="宋体" w:cs="宋体" w:eastAsia="宋体" w:hint="default"/>
                <w:sz w:val="18"/>
                <w:szCs w:val="18"/>
              </w:rPr>
              <w:t>本期新增补 助金额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5" w:right="76"/>
              <w:jc w:val="center"/>
              <w:rPr>
                <w:rFonts w:ascii="宋体" w:hAnsi="宋体" w:cs="宋体" w:eastAsia="宋体" w:hint="default"/>
                <w:sz w:val="18"/>
                <w:szCs w:val="18"/>
              </w:rPr>
            </w:pPr>
            <w:r>
              <w:rPr>
                <w:rFonts w:ascii="宋体" w:hAnsi="宋体" w:cs="宋体" w:eastAsia="宋体" w:hint="default"/>
                <w:sz w:val="18"/>
                <w:szCs w:val="18"/>
              </w:rPr>
              <w:t>本期计入营 业外收入金 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75" w:right="77"/>
              <w:jc w:val="left"/>
              <w:rPr>
                <w:rFonts w:ascii="宋体" w:hAnsi="宋体" w:cs="宋体" w:eastAsia="宋体" w:hint="default"/>
                <w:sz w:val="18"/>
                <w:szCs w:val="18"/>
              </w:rPr>
            </w:pPr>
            <w:r>
              <w:rPr>
                <w:rFonts w:ascii="宋体" w:hAnsi="宋体" w:cs="宋体" w:eastAsia="宋体" w:hint="default"/>
                <w:sz w:val="18"/>
                <w:szCs w:val="18"/>
              </w:rPr>
              <w:t>本期计入其 他收益金额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75" w:right="77"/>
              <w:jc w:val="left"/>
              <w:rPr>
                <w:rFonts w:ascii="宋体" w:hAnsi="宋体" w:cs="宋体" w:eastAsia="宋体" w:hint="default"/>
                <w:sz w:val="18"/>
                <w:szCs w:val="18"/>
              </w:rPr>
            </w:pPr>
            <w:r>
              <w:rPr>
                <w:rFonts w:ascii="宋体" w:hAnsi="宋体" w:cs="宋体" w:eastAsia="宋体" w:hint="default"/>
                <w:sz w:val="18"/>
                <w:szCs w:val="18"/>
              </w:rPr>
              <w:t>本期冲减成 本费用金额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00" w:lineRule="auto"/>
              <w:ind w:left="76" w:right="51"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196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22" w:right="68"/>
              <w:jc w:val="left"/>
              <w:rPr>
                <w:rFonts w:ascii="宋体" w:hAnsi="宋体" w:cs="宋体" w:eastAsia="宋体" w:hint="default"/>
                <w:sz w:val="18"/>
                <w:szCs w:val="18"/>
              </w:rPr>
            </w:pPr>
            <w:r>
              <w:rPr>
                <w:rFonts w:ascii="宋体" w:hAnsi="宋体" w:cs="宋体" w:eastAsia="宋体" w:hint="default"/>
                <w:sz w:val="18"/>
                <w:szCs w:val="18"/>
              </w:rPr>
              <w:t>科技委员会 补贴款</w:t>
            </w:r>
            <w:r>
              <w:rPr>
                <w:rFonts w:ascii="Times New Roman" w:hAnsi="Times New Roman" w:cs="Times New Roman" w:eastAsia="Times New Roman" w:hint="default"/>
                <w:sz w:val="18"/>
                <w:szCs w:val="18"/>
              </w:rPr>
              <w:t>-</w:t>
            </w:r>
            <w:r>
              <w:rPr>
                <w:rFonts w:ascii="宋体" w:hAnsi="宋体" w:cs="宋体" w:eastAsia="宋体" w:hint="default"/>
                <w:sz w:val="18"/>
                <w:szCs w:val="18"/>
              </w:rPr>
              <w:t>网络 多媒体服务 器架构关键 技术研究及 应用技术</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1,500,000.00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1,500,000.00</w:t>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1,500,000.00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2"/>
              <w:ind w:left="74" w:right="0"/>
              <w:jc w:val="center"/>
              <w:rPr>
                <w:rFonts w:ascii="Times New Roman" w:hAnsi="Times New Roman" w:cs="Times New Roman" w:eastAsia="Times New Roman" w:hint="default"/>
                <w:sz w:val="18"/>
                <w:szCs w:val="18"/>
              </w:rPr>
            </w:pPr>
            <w:r>
              <w:rPr>
                <w:rFonts w:ascii="Times New Roman"/>
                <w:sz w:val="18"/>
              </w:rPr>
              <w:t>1,500,000.00</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52、其他非流动负债" w:id="372"/>
      <w:bookmarkEnd w:id="372"/>
      <w:r>
        <w:rPr>
          <w:b w:val="0"/>
          <w:bCs w:val="0"/>
        </w:rPr>
      </w:r>
      <w:r>
        <w:rPr>
          <w:rFonts w:ascii="Times New Roman" w:hAnsi="Times New Roman" w:cs="Times New Roman" w:eastAsia="Times New Roman" w:hint="default"/>
        </w:rPr>
        <w:t>52</w:t>
      </w:r>
      <w:r>
        <w:rPr/>
        <w:t>、其他非流动负债</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53、股本" w:id="373"/>
      <w:bookmarkEnd w:id="373"/>
      <w:r>
        <w:rPr>
          <w:b w:val="0"/>
          <w:bCs w:val="0"/>
        </w:rPr>
      </w:r>
      <w:r>
        <w:rPr>
          <w:rFonts w:ascii="Times New Roman" w:hAnsi="Times New Roman" w:cs="Times New Roman" w:eastAsia="Times New Roman" w:hint="default"/>
        </w:rPr>
        <w:t>53</w:t>
      </w:r>
      <w:r>
        <w:rPr/>
        <w:t>、股本</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1184"/>
        <w:gridCol w:w="1196"/>
        <w:gridCol w:w="1196"/>
        <w:gridCol w:w="1197"/>
        <w:gridCol w:w="1195"/>
        <w:gridCol w:w="1197"/>
        <w:gridCol w:w="1196"/>
        <w:gridCol w:w="1195"/>
      </w:tblGrid>
      <w:tr>
        <w:trPr>
          <w:trHeight w:val="206" w:hRule="exact"/>
        </w:trPr>
        <w:tc>
          <w:tcPr>
            <w:tcW w:w="11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6" w:type="dxa"/>
            <w:tcBorders>
              <w:top w:val="single" w:sz="4" w:space="0" w:color="000000"/>
              <w:left w:val="single" w:sz="4" w:space="0" w:color="000000"/>
              <w:bottom w:val="nil" w:sz="6" w:space="0" w:color="auto"/>
              <w:right w:val="single" w:sz="4" w:space="0" w:color="000000"/>
            </w:tcBorders>
            <w:shd w:val="clear" w:color="auto" w:fill="D2D2D2"/>
          </w:tcPr>
          <w:p>
            <w:pPr/>
          </w:p>
        </w:tc>
        <w:tc>
          <w:tcPr>
            <w:tcW w:w="5982"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9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6" w:hRule="exact"/>
        </w:trPr>
        <w:tc>
          <w:tcPr>
            <w:tcW w:w="1184" w:type="dxa"/>
            <w:vMerge w:val="restart"/>
            <w:tcBorders>
              <w:top w:val="nil" w:sz="6" w:space="0" w:color="auto"/>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82" w:type="dxa"/>
            <w:gridSpan w:val="5"/>
            <w:vMerge/>
            <w:tcBorders>
              <w:left w:val="single" w:sz="4" w:space="0" w:color="000000"/>
              <w:bottom w:val="single" w:sz="4" w:space="0" w:color="000000"/>
              <w:right w:val="single" w:sz="4" w:space="0" w:color="000000"/>
            </w:tcBorders>
            <w:shd w:val="clear" w:color="auto" w:fill="D2D2D2"/>
          </w:tcPr>
          <w:p>
            <w:pPr/>
          </w:p>
        </w:tc>
        <w:tc>
          <w:tcPr>
            <w:tcW w:w="119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1184" w:type="dxa"/>
            <w:vMerge/>
            <w:tcBorders>
              <w:left w:val="single" w:sz="4" w:space="0" w:color="000000"/>
              <w:bottom w:val="nil" w:sz="6" w:space="0" w:color="auto"/>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33"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4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195" w:type="dxa"/>
            <w:vMerge/>
            <w:tcBorders>
              <w:left w:val="single" w:sz="4" w:space="0" w:color="000000"/>
              <w:bottom w:val="nil" w:sz="6" w:space="0" w:color="auto"/>
              <w:right w:val="single" w:sz="4" w:space="0" w:color="000000"/>
            </w:tcBorders>
            <w:shd w:val="clear" w:color="auto" w:fill="D2D2D2"/>
          </w:tcPr>
          <w:p>
            <w:pPr/>
          </w:p>
        </w:tc>
      </w:tr>
      <w:tr>
        <w:trPr>
          <w:trHeight w:val="205" w:hRule="exact"/>
        </w:trPr>
        <w:tc>
          <w:tcPr>
            <w:tcW w:w="11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2" w:hRule="exact"/>
        </w:trPr>
        <w:tc>
          <w:tcPr>
            <w:tcW w:w="11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6" w:type="dxa"/>
            <w:vMerge w:val="restart"/>
            <w:tcBorders>
              <w:top w:val="single" w:sz="4" w:space="0" w:color="000000"/>
              <w:left w:val="single" w:sz="10" w:space="0" w:color="D2D2D2"/>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1,126,866,019.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32,258,064.00</w:t>
            </w:r>
          </w:p>
        </w:tc>
        <w:tc>
          <w:tcPr>
            <w:tcW w:w="1197" w:type="dxa"/>
            <w:vMerge w:val="restart"/>
            <w:tcBorders>
              <w:top w:val="single" w:sz="4" w:space="0" w:color="000000"/>
              <w:left w:val="single" w:sz="4" w:space="0" w:color="000000"/>
              <w:right w:val="single" w:sz="4" w:space="0" w:color="000000"/>
            </w:tcBorders>
          </w:tcPr>
          <w:p>
            <w:pPr/>
          </w:p>
        </w:tc>
        <w:tc>
          <w:tcPr>
            <w:tcW w:w="1195" w:type="dxa"/>
            <w:vMerge w:val="restart"/>
            <w:tcBorders>
              <w:top w:val="single" w:sz="4" w:space="0" w:color="000000"/>
              <w:left w:val="single" w:sz="4" w:space="0" w:color="000000"/>
              <w:right w:val="single" w:sz="4" w:space="0" w:color="000000"/>
            </w:tcBorders>
          </w:tcPr>
          <w:p>
            <w:pPr/>
          </w:p>
        </w:tc>
        <w:tc>
          <w:tcPr>
            <w:tcW w:w="1197"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59" w:right="0"/>
              <w:jc w:val="left"/>
              <w:rPr>
                <w:rFonts w:ascii="Times New Roman" w:hAnsi="Times New Roman" w:cs="Times New Roman" w:eastAsia="Times New Roman" w:hint="default"/>
                <w:sz w:val="18"/>
                <w:szCs w:val="18"/>
              </w:rPr>
            </w:pPr>
            <w:r>
              <w:rPr>
                <w:rFonts w:ascii="Times New Roman"/>
                <w:sz w:val="18"/>
              </w:rPr>
              <w:t>-7,226,923.00</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28" w:right="0"/>
              <w:jc w:val="left"/>
              <w:rPr>
                <w:rFonts w:ascii="Times New Roman" w:hAnsi="Times New Roman" w:cs="Times New Roman" w:eastAsia="Times New Roman" w:hint="default"/>
                <w:sz w:val="18"/>
                <w:szCs w:val="18"/>
              </w:rPr>
            </w:pPr>
            <w:r>
              <w:rPr>
                <w:rFonts w:ascii="Times New Roman"/>
                <w:sz w:val="18"/>
              </w:rPr>
              <w:t>25,031,141.00</w:t>
            </w:r>
          </w:p>
        </w:tc>
        <w:tc>
          <w:tcPr>
            <w:tcW w:w="1195" w:type="dxa"/>
            <w:vMerge w:val="restart"/>
            <w:tcBorders>
              <w:top w:val="single" w:sz="4" w:space="0" w:color="000000"/>
              <w:left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1,151,897,160.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w:t>
            </w:r>
          </w:p>
        </w:tc>
      </w:tr>
      <w:tr>
        <w:trPr>
          <w:trHeight w:val="391" w:hRule="exact"/>
        </w:trPr>
        <w:tc>
          <w:tcPr>
            <w:tcW w:w="11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196" w:type="dxa"/>
            <w:vMerge/>
            <w:tcBorders>
              <w:left w:val="single" w:sz="10" w:space="0" w:color="D2D2D2"/>
              <w:right w:val="single" w:sz="4" w:space="0" w:color="000000"/>
            </w:tcBorders>
          </w:tcPr>
          <w:p>
            <w:pPr/>
          </w:p>
        </w:tc>
        <w:tc>
          <w:tcPr>
            <w:tcW w:w="1196" w:type="dxa"/>
            <w:vMerge/>
            <w:tcBorders>
              <w:left w:val="single" w:sz="4" w:space="0" w:color="000000"/>
              <w:right w:val="single" w:sz="4" w:space="0" w:color="000000"/>
            </w:tcBorders>
          </w:tcPr>
          <w:p>
            <w:pPr/>
          </w:p>
        </w:tc>
        <w:tc>
          <w:tcPr>
            <w:tcW w:w="1197"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c>
          <w:tcPr>
            <w:tcW w:w="1197"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r>
      <w:tr>
        <w:trPr>
          <w:trHeight w:val="162" w:hRule="exact"/>
        </w:trPr>
        <w:tc>
          <w:tcPr>
            <w:tcW w:w="11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6" w:type="dxa"/>
            <w:vMerge/>
            <w:tcBorders>
              <w:left w:val="single" w:sz="10" w:space="0" w:color="D2D2D2"/>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197"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197"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56" w:lineRule="auto" w:before="89"/>
        <w:ind w:right="998"/>
        <w:jc w:val="left"/>
      </w:pPr>
      <w:r>
        <w:rPr/>
        <w:t>注</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19</w:t>
      </w:r>
      <w:r>
        <w:rPr/>
        <w:t>日，公司非公开发行股票获得中国证监会《关于核准北京昆仑万维科技股份有限公司 </w:t>
      </w:r>
      <w:r>
        <w:rPr>
          <w:spacing w:val="-2"/>
        </w:rPr>
        <w:t>非公开发行股票的批复》（证监许可</w:t>
      </w:r>
      <w:r>
        <w:rPr>
          <w:rFonts w:ascii="Times New Roman" w:hAnsi="Times New Roman" w:cs="Times New Roman" w:eastAsia="Times New Roman" w:hint="default"/>
          <w:spacing w:val="-2"/>
        </w:rPr>
        <w:t>[2016]3081</w:t>
      </w:r>
      <w:r>
        <w:rPr>
          <w:spacing w:val="-2"/>
        </w:rPr>
        <w:t>号）核准。</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2</w:t>
      </w:r>
      <w:r>
        <w:rPr>
          <w:spacing w:val="-2"/>
        </w:rPr>
        <w:t>月</w:t>
      </w:r>
      <w:r>
        <w:rPr>
          <w:rFonts w:ascii="Times New Roman" w:hAnsi="Times New Roman" w:cs="Times New Roman" w:eastAsia="Times New Roman" w:hint="default"/>
          <w:spacing w:val="-2"/>
        </w:rPr>
        <w:t>22</w:t>
      </w:r>
      <w:r>
        <w:rPr>
          <w:spacing w:val="-2"/>
        </w:rPr>
        <w:t>日，公司发行股份</w:t>
      </w:r>
      <w:r>
        <w:rPr>
          <w:rFonts w:ascii="Times New Roman" w:hAnsi="Times New Roman" w:cs="Times New Roman" w:eastAsia="Times New Roman" w:hint="default"/>
          <w:spacing w:val="-2"/>
        </w:rPr>
        <w:t>32,258,064.00</w:t>
      </w:r>
      <w:r>
        <w:rPr>
          <w:spacing w:val="-2"/>
        </w:rPr>
        <w:t>股，</w:t>
      </w:r>
      <w:r>
        <w:rPr>
          <w:spacing w:val="-96"/>
        </w:rPr>
        <w:t> </w:t>
      </w:r>
      <w:r>
        <w:rPr/>
        <w:t>每股发行价格为人民币</w:t>
      </w:r>
      <w:r>
        <w:rPr>
          <w:rFonts w:ascii="Times New Roman" w:hAnsi="Times New Roman" w:cs="Times New Roman" w:eastAsia="Times New Roman" w:hint="default"/>
        </w:rPr>
        <w:t>18.60</w:t>
      </w:r>
      <w:r>
        <w:rPr/>
        <w:t>元，募集资金总额为人民币</w:t>
      </w:r>
      <w:r>
        <w:rPr>
          <w:rFonts w:ascii="Times New Roman" w:hAnsi="Times New Roman" w:cs="Times New Roman" w:eastAsia="Times New Roman" w:hint="default"/>
        </w:rPr>
        <w:t>599,999,990.40</w:t>
      </w:r>
      <w:r>
        <w:rPr/>
        <w:t>元，扣除承销及保荐费用人民币 </w:t>
      </w:r>
      <w:r>
        <w:rPr>
          <w:rFonts w:ascii="Times New Roman" w:hAnsi="Times New Roman" w:cs="Times New Roman" w:eastAsia="Times New Roman" w:hint="default"/>
        </w:rPr>
        <w:t>15,500,000.00</w:t>
      </w:r>
      <w:r>
        <w:rPr>
          <w:rFonts w:ascii="Times New Roman" w:hAnsi="Times New Roman" w:cs="Times New Roman" w:eastAsia="Times New Roman" w:hint="default"/>
          <w:spacing w:val="7"/>
        </w:rPr>
        <w:t> </w:t>
      </w:r>
      <w:r>
        <w:rPr/>
        <w:t>元后，同时扣除公司为本次股票发行所支付的审计验资费、律师费、股份登记托管费、其他 发行相关手续费等费用合计人民币</w:t>
      </w:r>
      <w:r>
        <w:rPr>
          <w:rFonts w:ascii="Times New Roman" w:hAnsi="Times New Roman" w:cs="Times New Roman" w:eastAsia="Times New Roman" w:hint="default"/>
        </w:rPr>
        <w:t>2,173,566.86</w:t>
      </w:r>
      <w:r>
        <w:rPr/>
        <w:t>元，实际募集股款为人民币</w:t>
      </w:r>
      <w:r>
        <w:rPr>
          <w:rFonts w:ascii="Times New Roman" w:hAnsi="Times New Roman" w:cs="Times New Roman" w:eastAsia="Times New Roman" w:hint="default"/>
        </w:rPr>
        <w:t>582,326,423.47</w:t>
      </w:r>
      <w:r>
        <w:rPr/>
        <w:t>元。公司增加注 </w:t>
      </w:r>
      <w:r>
        <w:rPr>
          <w:spacing w:val="-3"/>
        </w:rPr>
        <w:t>册资本</w:t>
      </w:r>
      <w:r>
        <w:rPr>
          <w:rFonts w:ascii="Times New Roman" w:hAnsi="Times New Roman" w:cs="Times New Roman" w:eastAsia="Times New Roman" w:hint="default"/>
          <w:spacing w:val="-3"/>
        </w:rPr>
        <w:t>32,258,064.00</w:t>
      </w:r>
      <w:r>
        <w:rPr>
          <w:spacing w:val="-3"/>
        </w:rPr>
        <w:t>元，增加资本公积</w:t>
      </w:r>
      <w:r>
        <w:rPr>
          <w:rFonts w:ascii="Times New Roman" w:hAnsi="Times New Roman" w:cs="Times New Roman" w:eastAsia="Times New Roman" w:hint="default"/>
          <w:spacing w:val="-3"/>
        </w:rPr>
        <w:t>550,068,359.54</w:t>
      </w:r>
      <w:r>
        <w:rPr>
          <w:spacing w:val="-3"/>
        </w:rPr>
        <w:t>元。上述出资业经立信会计师事务所（特殊普通合伙）</w:t>
      </w:r>
      <w:r>
        <w:rPr>
          <w:spacing w:val="-48"/>
        </w:rPr>
        <w:t> </w:t>
      </w:r>
      <w:r>
        <w:rPr>
          <w:spacing w:val="-48"/>
        </w:rPr>
      </w:r>
      <w:r>
        <w:rPr/>
        <w:t>审验并出具信会师报字（</w:t>
      </w:r>
      <w:r>
        <w:rPr>
          <w:rFonts w:ascii="Times New Roman" w:hAnsi="Times New Roman" w:cs="Times New Roman" w:eastAsia="Times New Roman" w:hint="default"/>
        </w:rPr>
        <w:t>2017</w:t>
      </w:r>
      <w:r>
        <w:rPr/>
        <w:t>）第</w:t>
      </w:r>
      <w:r>
        <w:rPr>
          <w:rFonts w:ascii="Times New Roman" w:hAnsi="Times New Roman" w:cs="Times New Roman" w:eastAsia="Times New Roman" w:hint="default"/>
        </w:rPr>
        <w:t>ZB10076</w:t>
      </w:r>
      <w:r>
        <w:rPr/>
        <w:t>号验资报告。公司于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5</w:t>
      </w:r>
      <w:r>
        <w:rPr/>
        <w:t>日在中国证券登记结算有限责 任公司深圳分公司完成了相关登记，并于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9</w:t>
      </w:r>
      <w:r>
        <w:rPr/>
        <w:t>日完成工商变更手续，变更后的注册资本为 </w:t>
      </w:r>
      <w:r>
        <w:rPr>
          <w:rFonts w:ascii="Times New Roman" w:hAnsi="Times New Roman" w:cs="Times New Roman" w:eastAsia="Times New Roman" w:hint="default"/>
        </w:rPr>
        <w:t>1,159,124,083.00</w:t>
      </w:r>
      <w:r>
        <w:rPr/>
        <w:t>元。</w:t>
      </w:r>
    </w:p>
    <w:p>
      <w:pPr>
        <w:spacing w:line="240" w:lineRule="auto" w:before="3"/>
        <w:rPr>
          <w:rFonts w:ascii="宋体" w:hAnsi="宋体" w:cs="宋体" w:eastAsia="宋体" w:hint="default"/>
          <w:sz w:val="24"/>
          <w:szCs w:val="24"/>
        </w:rPr>
      </w:pPr>
    </w:p>
    <w:p>
      <w:pPr>
        <w:pStyle w:val="BodyText"/>
        <w:spacing w:line="240" w:lineRule="auto"/>
        <w:ind w:right="998"/>
        <w:jc w:val="left"/>
      </w:pPr>
      <w:r>
        <w:rPr/>
        <w:t>注</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24</w:t>
      </w:r>
      <w:r>
        <w:rPr/>
        <w:t>日，公司第二届董事会第五十四次会议和第二届监事会第二十五次会议分别审议通过了</w:t>
      </w:r>
    </w:p>
    <w:p>
      <w:pPr>
        <w:spacing w:after="0" w:line="240" w:lineRule="auto"/>
        <w:jc w:val="left"/>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BodyText"/>
        <w:spacing w:line="261" w:lineRule="auto" w:before="35"/>
        <w:ind w:right="998"/>
        <w:jc w:val="left"/>
      </w:pPr>
      <w:r>
        <w:rPr>
          <w:spacing w:val="-1"/>
        </w:rPr>
        <w:t>《关于回购注销部分限制性股票的议案》。根据公司激励计划的规定，公司原激励对象副总监库宇、运营</w:t>
      </w:r>
      <w:r>
        <w:rPr>
          <w:spacing w:val="-86"/>
        </w:rPr>
        <w:t> </w:t>
      </w:r>
      <w:r>
        <w:rPr>
          <w:spacing w:val="-86"/>
        </w:rPr>
      </w:r>
      <w:r>
        <w:rPr/>
        <w:t>经理刘亚男因离职，已不再符合激励条件，公司拟对上述人员各自获授予但尚未解锁的共计</w:t>
      </w:r>
      <w:r>
        <w:rPr>
          <w:rFonts w:ascii="Times New Roman" w:hAnsi="Times New Roman" w:cs="Times New Roman" w:eastAsia="Times New Roman" w:hint="default"/>
        </w:rPr>
        <w:t>298,261.00</w:t>
      </w:r>
      <w:r>
        <w:rPr/>
        <w:t>股 </w:t>
      </w:r>
      <w:r>
        <w:rPr>
          <w:spacing w:val="-1"/>
        </w:rPr>
        <w:t>限制性股票进行回购注销，减少股本</w:t>
      </w:r>
      <w:r>
        <w:rPr>
          <w:rFonts w:ascii="Times New Roman" w:hAnsi="Times New Roman" w:cs="Times New Roman" w:eastAsia="Times New Roman" w:hint="default"/>
          <w:spacing w:val="-1"/>
        </w:rPr>
        <w:t>298,261.00</w:t>
      </w:r>
      <w:r>
        <w:rPr>
          <w:spacing w:val="-1"/>
        </w:rPr>
        <w:t>元、资本公积</w:t>
      </w:r>
      <w:r>
        <w:rPr>
          <w:rFonts w:ascii="Times New Roman" w:hAnsi="Times New Roman" w:cs="Times New Roman" w:eastAsia="Times New Roman" w:hint="default"/>
          <w:spacing w:val="-1"/>
        </w:rPr>
        <w:t>2,490,179.00</w:t>
      </w:r>
      <w:r>
        <w:rPr>
          <w:spacing w:val="-1"/>
        </w:rPr>
        <w:t>元，同时减少库存股</w:t>
      </w:r>
      <w:r>
        <w:rPr>
          <w:rFonts w:ascii="Times New Roman" w:hAnsi="Times New Roman" w:cs="Times New Roman" w:eastAsia="Times New Roman" w:hint="default"/>
          <w:spacing w:val="-1"/>
        </w:rPr>
        <w:t>2,788,440.00</w:t>
      </w:r>
      <w:r>
        <w:rPr>
          <w:rFonts w:ascii="Times New Roman" w:hAnsi="Times New Roman" w:cs="Times New Roman" w:eastAsia="Times New Roman" w:hint="default"/>
          <w:spacing w:val="-18"/>
        </w:rPr>
        <w:t> </w:t>
      </w:r>
      <w:r>
        <w:rPr>
          <w:rFonts w:ascii="Times New Roman" w:hAnsi="Times New Roman" w:cs="Times New Roman" w:eastAsia="Times New Roman" w:hint="default"/>
          <w:spacing w:val="-18"/>
        </w:rPr>
      </w:r>
      <w:r>
        <w:rPr>
          <w:spacing w:val="-1"/>
        </w:rPr>
        <w:t>元。公司于</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8</w:t>
      </w:r>
      <w:r>
        <w:rPr>
          <w:spacing w:val="-1"/>
        </w:rPr>
        <w:t>月</w:t>
      </w:r>
      <w:r>
        <w:rPr>
          <w:rFonts w:ascii="Times New Roman" w:hAnsi="Times New Roman" w:cs="Times New Roman" w:eastAsia="Times New Roman" w:hint="default"/>
          <w:spacing w:val="-1"/>
        </w:rPr>
        <w:t>23</w:t>
      </w:r>
      <w:r>
        <w:rPr>
          <w:spacing w:val="-1"/>
        </w:rPr>
        <w:t>日在中国证券登记结算有限责任公司深圳分公司完成了相关登记，并于</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1</w:t>
      </w:r>
      <w:r>
        <w:rPr>
          <w:spacing w:val="-1"/>
        </w:rPr>
        <w:t>月</w:t>
      </w:r>
      <w:r>
        <w:rPr>
          <w:spacing w:val="-79"/>
        </w:rPr>
        <w:t> </w:t>
      </w:r>
      <w:r>
        <w:rPr>
          <w:rFonts w:ascii="Times New Roman" w:hAnsi="Times New Roman" w:cs="Times New Roman" w:eastAsia="Times New Roman" w:hint="default"/>
        </w:rPr>
        <w:t>30</w:t>
      </w:r>
      <w:r>
        <w:rPr/>
        <w:t>日完成的工商变更手续。 公司于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22</w:t>
      </w:r>
      <w:r>
        <w:rPr/>
        <w:t>日召开第二届董事会第六十次会议和第二届监事会第二十七次会议分别审议通过了</w:t>
      </w:r>
    </w:p>
    <w:p>
      <w:pPr>
        <w:pStyle w:val="BodyText"/>
        <w:spacing w:line="261" w:lineRule="auto"/>
        <w:ind w:right="998"/>
        <w:jc w:val="left"/>
      </w:pPr>
      <w:r>
        <w:rPr/>
        <w:t>《关于回购注销未达到第一期解锁条件的限制性股票的议案》，同意对第一个解锁期未达到解锁条件的 </w:t>
      </w:r>
      <w:r>
        <w:rPr>
          <w:rFonts w:ascii="Times New Roman" w:hAnsi="Times New Roman" w:cs="Times New Roman" w:eastAsia="Times New Roman" w:hint="default"/>
          <w:spacing w:val="-2"/>
        </w:rPr>
        <w:t>6,928,662.00</w:t>
      </w:r>
      <w:r>
        <w:rPr>
          <w:spacing w:val="-2"/>
        </w:rPr>
        <w:t>股限制性股票进行回购注销，减少股本</w:t>
      </w:r>
      <w:r>
        <w:rPr>
          <w:rFonts w:ascii="Times New Roman" w:hAnsi="Times New Roman" w:cs="Times New Roman" w:eastAsia="Times New Roman" w:hint="default"/>
          <w:spacing w:val="-2"/>
        </w:rPr>
        <w:t>6,928,662.00</w:t>
      </w:r>
      <w:r>
        <w:rPr>
          <w:spacing w:val="-2"/>
        </w:rPr>
        <w:t>元、资本公积</w:t>
      </w:r>
      <w:r>
        <w:rPr>
          <w:rFonts w:ascii="Times New Roman" w:hAnsi="Times New Roman" w:cs="Times New Roman" w:eastAsia="Times New Roman" w:hint="default"/>
          <w:spacing w:val="-2"/>
        </w:rPr>
        <w:t>57,816,773.52</w:t>
      </w:r>
      <w:r>
        <w:rPr>
          <w:spacing w:val="-2"/>
        </w:rPr>
        <w:t>元，同时减少库</w:t>
      </w:r>
      <w:r>
        <w:rPr>
          <w:spacing w:val="-53"/>
        </w:rPr>
        <w:t> </w:t>
      </w:r>
      <w:r>
        <w:rPr>
          <w:spacing w:val="-53"/>
        </w:rPr>
      </w:r>
      <w:r>
        <w:rPr/>
        <w:t>存股</w:t>
      </w:r>
      <w:r>
        <w:rPr>
          <w:rFonts w:ascii="Times New Roman" w:hAnsi="Times New Roman" w:cs="Times New Roman" w:eastAsia="Times New Roman" w:hint="default"/>
        </w:rPr>
        <w:t>64,745,435.52</w:t>
      </w:r>
      <w:r>
        <w:rPr/>
        <w:t>元。公司于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14</w:t>
      </w:r>
      <w:r>
        <w:rPr/>
        <w:t>日在中国证券登记结算有限责任公司深圳分公司完成了相关登 记，并于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30</w:t>
      </w:r>
      <w:r>
        <w:rPr/>
        <w:t>日完成的工商变更手续，变更后的注册资本为</w:t>
      </w:r>
      <w:r>
        <w:rPr>
          <w:rFonts w:ascii="Times New Roman" w:hAnsi="Times New Roman" w:cs="Times New Roman" w:eastAsia="Times New Roman" w:hint="default"/>
        </w:rPr>
        <w:t>1,151,897,160.00</w:t>
      </w:r>
      <w:r>
        <w:rPr/>
        <w:t>元。</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0"/>
        <w:rPr>
          <w:rFonts w:ascii="宋体" w:hAnsi="宋体" w:cs="宋体" w:eastAsia="宋体" w:hint="default"/>
          <w:sz w:val="26"/>
          <w:szCs w:val="26"/>
        </w:rPr>
      </w:pPr>
    </w:p>
    <w:p>
      <w:pPr>
        <w:pStyle w:val="Heading6"/>
        <w:spacing w:line="240" w:lineRule="auto"/>
        <w:ind w:right="998"/>
        <w:jc w:val="left"/>
        <w:rPr>
          <w:b w:val="0"/>
          <w:bCs w:val="0"/>
        </w:rPr>
      </w:pPr>
      <w:bookmarkStart w:name="54、其他权益工具" w:id="374"/>
      <w:bookmarkEnd w:id="374"/>
      <w:r>
        <w:rPr>
          <w:b w:val="0"/>
          <w:bCs w:val="0"/>
        </w:rPr>
      </w:r>
      <w:r>
        <w:rPr>
          <w:rFonts w:ascii="Times New Roman" w:hAnsi="Times New Roman" w:cs="Times New Roman" w:eastAsia="Times New Roman" w:hint="default"/>
        </w:rPr>
        <w:t>54</w:t>
      </w:r>
      <w:r>
        <w:rPr/>
        <w:t>、其他权益工具</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期末发行在外的优先股、永续债等其他金融工具基本情况" w:id="375"/>
      <w:bookmarkEnd w:id="375"/>
      <w:r>
        <w:rPr>
          <w:b w:val="0"/>
          <w:bCs w:val="0"/>
        </w:rPr>
      </w:r>
      <w:r>
        <w:rPr/>
        <w:t>（</w:t>
      </w:r>
      <w:r>
        <w:rPr>
          <w:rFonts w:ascii="Times New Roman" w:hAnsi="Times New Roman" w:cs="Times New Roman" w:eastAsia="Times New Roman" w:hint="default"/>
        </w:rPr>
        <w:t>1</w:t>
      </w:r>
      <w:r>
        <w:rPr/>
        <w:t>）期末发行在外的优先股、永续债等其他金融工具基本情况</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2）期末发行在外的优先股、永续债等金融工具变动情况表" w:id="376"/>
      <w:bookmarkEnd w:id="376"/>
      <w:r>
        <w:rPr>
          <w:b w:val="0"/>
          <w:bCs w:val="0"/>
        </w:rPr>
      </w:r>
      <w:r>
        <w:rPr/>
        <w:t>（</w:t>
      </w:r>
      <w:r>
        <w:rPr>
          <w:rFonts w:ascii="Times New Roman" w:hAnsi="Times New Roman" w:cs="Times New Roman" w:eastAsia="Times New Roman" w:hint="default"/>
        </w:rPr>
        <w:t>2</w:t>
      </w:r>
      <w:r>
        <w:rPr/>
        <w:t>）期末发行在外的优先股、永续债等金融工具变动情况表</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066"/>
        <w:gridCol w:w="1067"/>
        <w:gridCol w:w="1063"/>
        <w:gridCol w:w="1062"/>
        <w:gridCol w:w="1063"/>
        <w:gridCol w:w="1062"/>
        <w:gridCol w:w="1062"/>
        <w:gridCol w:w="1062"/>
        <w:gridCol w:w="1051"/>
      </w:tblGrid>
      <w:tr>
        <w:trPr>
          <w:trHeight w:val="402" w:hRule="exact"/>
        </w:trPr>
        <w:tc>
          <w:tcPr>
            <w:tcW w:w="106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95"/>
              <w:ind w:left="166" w:right="77" w:hanging="90"/>
              <w:jc w:val="left"/>
              <w:rPr>
                <w:rFonts w:ascii="宋体" w:hAnsi="宋体" w:cs="宋体" w:eastAsia="宋体" w:hint="default"/>
                <w:sz w:val="18"/>
                <w:szCs w:val="18"/>
              </w:rPr>
            </w:pPr>
            <w:r>
              <w:rPr>
                <w:rFonts w:ascii="宋体" w:hAnsi="宋体" w:cs="宋体" w:eastAsia="宋体" w:hint="default"/>
                <w:sz w:val="18"/>
                <w:szCs w:val="18"/>
              </w:rPr>
              <w:t>发行在外的 金融工具</w:t>
            </w:r>
          </w:p>
        </w:tc>
        <w:tc>
          <w:tcPr>
            <w:tcW w:w="21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1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402" w:hRule="exact"/>
        </w:trPr>
        <w:tc>
          <w:tcPr>
            <w:tcW w:w="1066" w:type="dxa"/>
            <w:vMerge/>
            <w:tcBorders>
              <w:left w:val="single" w:sz="4" w:space="0" w:color="000000"/>
              <w:bottom w:val="single" w:sz="4" w:space="0" w:color="000000"/>
              <w:right w:val="single" w:sz="4" w:space="0" w:color="000000"/>
            </w:tcBorders>
            <w:shd w:val="clear" w:color="auto" w:fill="D2D2D2"/>
          </w:tcPr>
          <w:p>
            <w:pPr/>
          </w:p>
        </w:tc>
        <w:tc>
          <w:tcPr>
            <w:tcW w:w="1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7"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360" w:lineRule="auto" w:before="51"/>
        <w:ind w:left="1133" w:right="4633" w:firstLine="0"/>
        <w:jc w:val="left"/>
        <w:rPr>
          <w:rFonts w:ascii="宋体" w:hAnsi="宋体" w:cs="宋体" w:eastAsia="宋体" w:hint="default"/>
          <w:sz w:val="18"/>
          <w:szCs w:val="18"/>
        </w:rPr>
      </w:pPr>
      <w:r>
        <w:rPr>
          <w:rFonts w:ascii="宋体" w:hAnsi="宋体" w:cs="宋体" w:eastAsia="宋体" w:hint="default"/>
          <w:sz w:val="18"/>
          <w:szCs w:val="18"/>
        </w:rPr>
        <w:t>其他权益工具本期增减变动情况、变动原因说明，以及相关会计处理的依据： 其他说明：</w:t>
      </w:r>
    </w:p>
    <w:p>
      <w:pPr>
        <w:spacing w:line="240" w:lineRule="auto" w:before="11"/>
        <w:rPr>
          <w:rFonts w:ascii="宋体" w:hAnsi="宋体" w:cs="宋体" w:eastAsia="宋体" w:hint="default"/>
          <w:sz w:val="19"/>
          <w:szCs w:val="19"/>
        </w:rPr>
      </w:pPr>
    </w:p>
    <w:p>
      <w:pPr>
        <w:pStyle w:val="Heading6"/>
        <w:spacing w:line="240" w:lineRule="auto"/>
        <w:ind w:left="1133" w:right="998"/>
        <w:jc w:val="left"/>
        <w:rPr>
          <w:b w:val="0"/>
          <w:bCs w:val="0"/>
        </w:rPr>
      </w:pPr>
      <w:bookmarkStart w:name="55、资本公积" w:id="377"/>
      <w:bookmarkEnd w:id="377"/>
      <w:r>
        <w:rPr>
          <w:b w:val="0"/>
          <w:bCs w:val="0"/>
        </w:rPr>
      </w:r>
      <w:r>
        <w:rPr>
          <w:rFonts w:ascii="Times New Roman" w:hAnsi="Times New Roman" w:cs="Times New Roman" w:eastAsia="Times New Roman" w:hint="default"/>
        </w:rPr>
        <w:t>55</w:t>
      </w:r>
      <w:r>
        <w:rPr/>
        <w:t>、资本公积</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854,707,768.94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606,687,185.54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60,306,952.52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1,401,088,001.96</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97,329,445.16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-32,702,159.88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56,618,826.00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8,008,459.28</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952,037,214.10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573,985,025.66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116,925,778.52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1,409,096,461.24</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pStyle w:val="BodyText"/>
        <w:spacing w:line="261" w:lineRule="auto" w:before="90"/>
        <w:ind w:left="1134" w:right="998"/>
        <w:jc w:val="left"/>
      </w:pPr>
      <w:r>
        <w:rPr/>
        <w:t>说明： </w:t>
      </w:r>
      <w:r>
        <w:rPr>
          <w:rFonts w:ascii="Times New Roman" w:hAnsi="Times New Roman" w:cs="Times New Roman" w:eastAsia="Times New Roman" w:hint="default"/>
          <w:spacing w:val="-4"/>
        </w:rPr>
        <w:t>1</w:t>
      </w:r>
      <w:r>
        <w:rPr>
          <w:spacing w:val="-4"/>
        </w:rPr>
        <w:t>、资本溢价（股本溢价）本期增加金额</w:t>
      </w:r>
      <w:r>
        <w:rPr>
          <w:rFonts w:ascii="Times New Roman" w:hAnsi="Times New Roman" w:cs="Times New Roman" w:eastAsia="Times New Roman" w:hint="default"/>
          <w:spacing w:val="-4"/>
        </w:rPr>
        <w:t>606,687,185.54</w:t>
      </w:r>
      <w:r>
        <w:rPr>
          <w:spacing w:val="-4"/>
        </w:rPr>
        <w:t>元，其中非公开发行股票增加资本溢价</w:t>
      </w:r>
      <w:r>
        <w:rPr>
          <w:rFonts w:ascii="Times New Roman" w:hAnsi="Times New Roman" w:cs="Times New Roman" w:eastAsia="Times New Roman" w:hint="default"/>
          <w:spacing w:val="-4"/>
        </w:rPr>
        <w:t>550,068,359.54</w:t>
      </w:r>
      <w:r>
        <w:rPr>
          <w:rFonts w:ascii="Times New Roman" w:hAnsi="Times New Roman" w:cs="Times New Roman" w:eastAsia="Times New Roman" w:hint="default"/>
          <w:spacing w:val="-40"/>
        </w:rPr>
        <w:t> </w:t>
      </w:r>
      <w:r>
        <w:rPr>
          <w:rFonts w:ascii="Times New Roman" w:hAnsi="Times New Roman" w:cs="Times New Roman" w:eastAsia="Times New Roman" w:hint="default"/>
          <w:spacing w:val="-40"/>
        </w:rPr>
      </w:r>
      <w:r>
        <w:rPr/>
        <w:t>元，第二期限制性股票解锁由其他资本公积调至资本溢价（股本溢价）</w:t>
      </w:r>
      <w:r>
        <w:rPr>
          <w:rFonts w:ascii="Times New Roman" w:hAnsi="Times New Roman" w:cs="Times New Roman" w:eastAsia="Times New Roman" w:hint="default"/>
        </w:rPr>
        <w:t>56,618,826.00</w:t>
      </w:r>
      <w:r>
        <w:rPr/>
        <w:t>元；本期减少金额 </w:t>
      </w:r>
      <w:r>
        <w:rPr>
          <w:rFonts w:ascii="Times New Roman" w:hAnsi="Times New Roman" w:cs="Times New Roman" w:eastAsia="Times New Roman" w:hint="default"/>
        </w:rPr>
        <w:t>60,711,235.34</w:t>
      </w:r>
      <w:r>
        <w:rPr/>
        <w:t>元，为本期发生的限制性股票回购注销产生。</w:t>
      </w:r>
    </w:p>
    <w:p>
      <w:pPr>
        <w:pStyle w:val="BodyText"/>
        <w:spacing w:line="256" w:lineRule="auto"/>
        <w:ind w:left="1134" w:right="1162"/>
        <w:jc w:val="both"/>
      </w:pPr>
      <w:r>
        <w:rPr>
          <w:rFonts w:ascii="Times New Roman" w:hAnsi="Times New Roman" w:cs="Times New Roman" w:eastAsia="Times New Roman" w:hint="default"/>
        </w:rPr>
        <w:t>2</w:t>
      </w:r>
      <w:r>
        <w:rPr/>
        <w:t>、其他资本公积本期增加</w:t>
      </w:r>
      <w:r>
        <w:rPr>
          <w:rFonts w:ascii="Times New Roman" w:hAnsi="Times New Roman" w:cs="Times New Roman" w:eastAsia="Times New Roman" w:hint="default"/>
        </w:rPr>
        <w:t>-32,702,159.88</w:t>
      </w:r>
      <w:r>
        <w:rPr/>
        <w:t>元，为本期计提股权激励费用和限制性股票第一期业绩未达标进 行回购注销后冲销已计提股权激励费用综合产生；本期减少</w:t>
      </w:r>
      <w:r>
        <w:rPr>
          <w:rFonts w:ascii="Times New Roman" w:hAnsi="Times New Roman" w:cs="Times New Roman" w:eastAsia="Times New Roman" w:hint="default"/>
        </w:rPr>
        <w:t>56,618,826.00</w:t>
      </w:r>
      <w:r>
        <w:rPr/>
        <w:t>，为第二期限制性股票解锁由其 他资本公积调至资本溢价（股本溢价）产生。</w:t>
      </w:r>
    </w:p>
    <w:p>
      <w:pPr>
        <w:spacing w:after="0" w:line="256" w:lineRule="auto"/>
        <w:jc w:val="both"/>
        <w:sectPr>
          <w:pgSz w:w="11910" w:h="16840"/>
          <w:pgMar w:header="87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56、库存股" w:id="378"/>
      <w:bookmarkEnd w:id="378"/>
      <w:r>
        <w:rPr>
          <w:b w:val="0"/>
          <w:bCs w:val="0"/>
        </w:rPr>
      </w:r>
      <w:r>
        <w:rPr>
          <w:rFonts w:ascii="Times New Roman" w:hAnsi="Times New Roman" w:cs="Times New Roman" w:eastAsia="Times New Roman" w:hint="default"/>
        </w:rPr>
        <w:t>56</w:t>
      </w:r>
      <w:r>
        <w:rPr/>
        <w:t>、库存股</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限制性股票激励</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258,951,660.27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130,934,195.52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128,017,464.75</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258,951,660.27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130,934,195.52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128,017,464.75</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pStyle w:val="BodyText"/>
        <w:spacing w:line="256" w:lineRule="auto" w:before="89"/>
        <w:ind w:right="998"/>
        <w:jc w:val="left"/>
      </w:pPr>
      <w:r>
        <w:rPr>
          <w:spacing w:val="-1"/>
        </w:rPr>
        <w:t>说明：库存股本期减少金额</w:t>
      </w:r>
      <w:r>
        <w:rPr>
          <w:rFonts w:ascii="Times New Roman" w:hAnsi="Times New Roman" w:cs="Times New Roman" w:eastAsia="Times New Roman" w:hint="default"/>
          <w:spacing w:val="-1"/>
        </w:rPr>
        <w:t>130,934,195.52</w:t>
      </w:r>
      <w:r>
        <w:rPr>
          <w:spacing w:val="-1"/>
        </w:rPr>
        <w:t>元，其中限制性股票注销减少库存股</w:t>
      </w:r>
      <w:r>
        <w:rPr>
          <w:rFonts w:ascii="Times New Roman" w:hAnsi="Times New Roman" w:cs="Times New Roman" w:eastAsia="Times New Roman" w:hint="default"/>
          <w:spacing w:val="-1"/>
        </w:rPr>
        <w:t>67,533,875.52</w:t>
      </w:r>
      <w:r>
        <w:rPr>
          <w:spacing w:val="-1"/>
        </w:rPr>
        <w:t>元，限制性股</w:t>
      </w:r>
      <w:r>
        <w:rPr>
          <w:spacing w:val="-73"/>
        </w:rPr>
        <w:t> </w:t>
      </w:r>
      <w:r>
        <w:rPr>
          <w:spacing w:val="-73"/>
        </w:rPr>
      </w:r>
      <w:r>
        <w:rPr/>
        <w:t>票第二期解锁减少库存股</w:t>
      </w:r>
      <w:r>
        <w:rPr>
          <w:rFonts w:ascii="Times New Roman" w:hAnsi="Times New Roman" w:cs="Times New Roman" w:eastAsia="Times New Roman" w:hint="default"/>
        </w:rPr>
        <w:t>63,400,320.00</w:t>
      </w:r>
      <w:r>
        <w:rPr/>
        <w:t>元。</w:t>
      </w:r>
    </w:p>
    <w:p>
      <w:pPr>
        <w:spacing w:line="240" w:lineRule="auto" w:before="5"/>
        <w:rPr>
          <w:rFonts w:ascii="宋体" w:hAnsi="宋体" w:cs="宋体" w:eastAsia="宋体" w:hint="default"/>
          <w:sz w:val="23"/>
          <w:szCs w:val="23"/>
        </w:rPr>
      </w:pPr>
    </w:p>
    <w:p>
      <w:pPr>
        <w:pStyle w:val="Heading6"/>
        <w:spacing w:line="240" w:lineRule="auto"/>
        <w:ind w:left="1133" w:right="998"/>
        <w:jc w:val="left"/>
        <w:rPr>
          <w:b w:val="0"/>
          <w:bCs w:val="0"/>
        </w:rPr>
      </w:pPr>
      <w:bookmarkStart w:name="57、其他综合收益" w:id="379"/>
      <w:bookmarkEnd w:id="379"/>
      <w:r>
        <w:rPr>
          <w:b w:val="0"/>
          <w:bCs w:val="0"/>
        </w:rPr>
      </w:r>
      <w:r>
        <w:rPr>
          <w:rFonts w:ascii="Times New Roman" w:hAnsi="Times New Roman" w:cs="Times New Roman" w:eastAsia="Times New Roman" w:hint="default"/>
        </w:rPr>
        <w:t>57</w:t>
      </w:r>
      <w:r>
        <w:rPr/>
        <w:t>、其他综合收益</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2799"/>
        <w:gridCol w:w="1070"/>
        <w:gridCol w:w="935"/>
        <w:gridCol w:w="1152"/>
        <w:gridCol w:w="935"/>
        <w:gridCol w:w="936"/>
        <w:gridCol w:w="935"/>
        <w:gridCol w:w="796"/>
      </w:tblGrid>
      <w:tr>
        <w:trPr>
          <w:trHeight w:val="397" w:hRule="exact"/>
        </w:trPr>
        <w:tc>
          <w:tcPr>
            <w:tcW w:w="2799" w:type="dxa"/>
            <w:vMerge w:val="restart"/>
            <w:tcBorders>
              <w:top w:val="single" w:sz="4" w:space="0" w:color="000000"/>
              <w:left w:val="single" w:sz="4" w:space="0" w:color="000000"/>
              <w:right w:val="single" w:sz="4" w:space="0" w:color="000000"/>
            </w:tcBorders>
            <w:shd w:val="clear" w:color="auto" w:fill="D2D2D2"/>
          </w:tcPr>
          <w:p>
            <w:pPr/>
          </w:p>
        </w:tc>
        <w:tc>
          <w:tcPr>
            <w:tcW w:w="1070" w:type="dxa"/>
            <w:vMerge w:val="restart"/>
            <w:tcBorders>
              <w:top w:val="single" w:sz="4" w:space="0" w:color="000000"/>
              <w:left w:val="single" w:sz="4" w:space="0" w:color="000000"/>
              <w:right w:val="single" w:sz="4" w:space="0" w:color="000000"/>
            </w:tcBorders>
            <w:shd w:val="clear" w:color="auto" w:fill="D2D2D2"/>
          </w:tcPr>
          <w:p>
            <w:pPr/>
          </w:p>
        </w:tc>
        <w:tc>
          <w:tcPr>
            <w:tcW w:w="48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796" w:type="dxa"/>
            <w:vMerge w:val="restart"/>
            <w:tcBorders>
              <w:top w:val="single" w:sz="4" w:space="0" w:color="000000"/>
              <w:left w:val="single" w:sz="4" w:space="0" w:color="000000"/>
              <w:right w:val="single" w:sz="4" w:space="0" w:color="000000"/>
            </w:tcBorders>
            <w:shd w:val="clear" w:color="auto" w:fill="D2D2D2"/>
          </w:tcPr>
          <w:p>
            <w:pPr/>
          </w:p>
        </w:tc>
      </w:tr>
      <w:tr>
        <w:trPr>
          <w:trHeight w:val="121" w:hRule="exact"/>
        </w:trPr>
        <w:tc>
          <w:tcPr>
            <w:tcW w:w="2799" w:type="dxa"/>
            <w:vMerge/>
            <w:tcBorders>
              <w:left w:val="single" w:sz="4" w:space="0" w:color="000000"/>
              <w:bottom w:val="nil" w:sz="6" w:space="0" w:color="auto"/>
              <w:right w:val="single" w:sz="4" w:space="0" w:color="000000"/>
            </w:tcBorders>
            <w:shd w:val="clear" w:color="auto" w:fill="D2D2D2"/>
          </w:tcPr>
          <w:p>
            <w:pPr/>
          </w:p>
        </w:tc>
        <w:tc>
          <w:tcPr>
            <w:tcW w:w="1070" w:type="dxa"/>
            <w:vMerge/>
            <w:tcBorders>
              <w:left w:val="single" w:sz="4" w:space="0" w:color="000000"/>
              <w:bottom w:val="nil" w:sz="6" w:space="0" w:color="auto"/>
              <w:right w:val="single" w:sz="4" w:space="0" w:color="000000"/>
            </w:tcBorders>
            <w:shd w:val="clear" w:color="auto" w:fill="D2D2D2"/>
          </w:tcPr>
          <w:p>
            <w:pPr/>
          </w:p>
        </w:tc>
        <w:tc>
          <w:tcPr>
            <w:tcW w:w="93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102" w:right="101"/>
              <w:jc w:val="center"/>
              <w:rPr>
                <w:rFonts w:ascii="宋体" w:hAnsi="宋体" w:cs="宋体" w:eastAsia="宋体" w:hint="default"/>
                <w:sz w:val="18"/>
                <w:szCs w:val="18"/>
              </w:rPr>
            </w:pPr>
            <w:r>
              <w:rPr>
                <w:rFonts w:ascii="宋体" w:hAnsi="宋体" w:cs="宋体" w:eastAsia="宋体" w:hint="default"/>
                <w:sz w:val="18"/>
                <w:szCs w:val="18"/>
              </w:rPr>
              <w:t>本期所得 税前发生 额</w:t>
            </w:r>
          </w:p>
        </w:tc>
        <w:tc>
          <w:tcPr>
            <w:tcW w:w="115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29" w:right="30"/>
              <w:jc w:val="both"/>
              <w:rPr>
                <w:rFonts w:ascii="宋体" w:hAnsi="宋体" w:cs="宋体" w:eastAsia="宋体" w:hint="default"/>
                <w:sz w:val="18"/>
                <w:szCs w:val="18"/>
              </w:rPr>
            </w:pPr>
            <w:r>
              <w:rPr>
                <w:rFonts w:ascii="宋体" w:hAnsi="宋体" w:cs="宋体" w:eastAsia="宋体" w:hint="default"/>
                <w:sz w:val="18"/>
                <w:szCs w:val="18"/>
              </w:rPr>
              <w:t>减：前期计入 其他综合收益 当期转入损益</w:t>
            </w:r>
          </w:p>
        </w:tc>
        <w:tc>
          <w:tcPr>
            <w:tcW w:w="935" w:type="dxa"/>
            <w:tcBorders>
              <w:top w:val="single" w:sz="4" w:space="0" w:color="000000"/>
              <w:left w:val="single" w:sz="4" w:space="0" w:color="000000"/>
              <w:bottom w:val="nil" w:sz="6" w:space="0" w:color="auto"/>
              <w:right w:val="single" w:sz="4" w:space="0" w:color="000000"/>
            </w:tcBorders>
            <w:shd w:val="clear" w:color="auto" w:fill="D2D2D2"/>
          </w:tcPr>
          <w:p>
            <w:pPr/>
          </w:p>
        </w:tc>
        <w:tc>
          <w:tcPr>
            <w:tcW w:w="936" w:type="dxa"/>
            <w:tcBorders>
              <w:top w:val="single" w:sz="4" w:space="0" w:color="000000"/>
              <w:left w:val="single" w:sz="4" w:space="0" w:color="000000"/>
              <w:bottom w:val="nil" w:sz="6" w:space="0" w:color="auto"/>
              <w:right w:val="single" w:sz="4" w:space="0" w:color="000000"/>
            </w:tcBorders>
            <w:shd w:val="clear" w:color="auto" w:fill="D2D2D2"/>
          </w:tcPr>
          <w:p>
            <w:pPr/>
          </w:p>
        </w:tc>
        <w:tc>
          <w:tcPr>
            <w:tcW w:w="93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101" w:right="101"/>
              <w:jc w:val="center"/>
              <w:rPr>
                <w:rFonts w:ascii="宋体" w:hAnsi="宋体" w:cs="宋体" w:eastAsia="宋体" w:hint="default"/>
                <w:sz w:val="18"/>
                <w:szCs w:val="18"/>
              </w:rPr>
            </w:pPr>
            <w:r>
              <w:rPr>
                <w:rFonts w:ascii="宋体" w:hAnsi="宋体" w:cs="宋体" w:eastAsia="宋体" w:hint="default"/>
                <w:sz w:val="18"/>
                <w:szCs w:val="18"/>
              </w:rPr>
              <w:t>税后归属 于少数股 东</w:t>
            </w:r>
          </w:p>
        </w:tc>
        <w:tc>
          <w:tcPr>
            <w:tcW w:w="796" w:type="dxa"/>
            <w:vMerge/>
            <w:tcBorders>
              <w:left w:val="single" w:sz="4" w:space="0" w:color="000000"/>
              <w:bottom w:val="nil" w:sz="6" w:space="0" w:color="auto"/>
              <w:right w:val="single" w:sz="4" w:space="0" w:color="000000"/>
            </w:tcBorders>
            <w:shd w:val="clear" w:color="auto" w:fill="D2D2D2"/>
          </w:tcPr>
          <w:p>
            <w:pPr/>
          </w:p>
        </w:tc>
      </w:tr>
      <w:tr>
        <w:trPr>
          <w:trHeight w:val="369" w:hRule="exact"/>
        </w:trPr>
        <w:tc>
          <w:tcPr>
            <w:tcW w:w="279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10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6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935"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93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73"/>
              <w:ind w:left="281" w:right="23" w:hanging="260"/>
              <w:jc w:val="left"/>
              <w:rPr>
                <w:rFonts w:ascii="宋体" w:hAnsi="宋体" w:cs="宋体" w:eastAsia="宋体" w:hint="default"/>
                <w:sz w:val="18"/>
                <w:szCs w:val="18"/>
              </w:rPr>
            </w:pPr>
            <w:r>
              <w:rPr>
                <w:rFonts w:ascii="宋体" w:hAnsi="宋体" w:cs="宋体" w:eastAsia="宋体" w:hint="default"/>
                <w:spacing w:val="-5"/>
                <w:sz w:val="18"/>
                <w:szCs w:val="18"/>
              </w:rPr>
              <w:t>减：所得税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费用</w:t>
            </w:r>
          </w:p>
        </w:tc>
        <w:tc>
          <w:tcPr>
            <w:tcW w:w="93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73"/>
              <w:ind w:left="102" w:right="102"/>
              <w:jc w:val="left"/>
              <w:rPr>
                <w:rFonts w:ascii="宋体" w:hAnsi="宋体" w:cs="宋体" w:eastAsia="宋体" w:hint="default"/>
                <w:sz w:val="18"/>
                <w:szCs w:val="18"/>
              </w:rPr>
            </w:pPr>
            <w:r>
              <w:rPr>
                <w:rFonts w:ascii="宋体" w:hAnsi="宋体" w:cs="宋体" w:eastAsia="宋体" w:hint="default"/>
                <w:sz w:val="18"/>
                <w:szCs w:val="18"/>
              </w:rPr>
              <w:t>税后归属 于母公司</w:t>
            </w:r>
          </w:p>
        </w:tc>
        <w:tc>
          <w:tcPr>
            <w:tcW w:w="935" w:type="dxa"/>
            <w:vMerge/>
            <w:tcBorders>
              <w:left w:val="single" w:sz="4" w:space="0" w:color="000000"/>
              <w:right w:val="single" w:sz="4" w:space="0" w:color="000000"/>
            </w:tcBorders>
            <w:shd w:val="clear" w:color="auto" w:fill="D2D2D2"/>
          </w:tcPr>
          <w:p>
            <w:pPr/>
          </w:p>
        </w:tc>
        <w:tc>
          <w:tcPr>
            <w:tcW w:w="7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9"/>
              <w:ind w:left="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8" w:hRule="exact"/>
        </w:trPr>
        <w:tc>
          <w:tcPr>
            <w:tcW w:w="2799" w:type="dxa"/>
            <w:vMerge w:val="restart"/>
            <w:tcBorders>
              <w:top w:val="nil" w:sz="6" w:space="0" w:color="auto"/>
              <w:left w:val="single" w:sz="4" w:space="0" w:color="000000"/>
              <w:right w:val="single" w:sz="4" w:space="0" w:color="000000"/>
            </w:tcBorders>
            <w:shd w:val="clear" w:color="auto" w:fill="D2D2D2"/>
          </w:tcPr>
          <w:p>
            <w:pPr/>
          </w:p>
        </w:tc>
        <w:tc>
          <w:tcPr>
            <w:tcW w:w="1070" w:type="dxa"/>
            <w:vMerge w:val="restart"/>
            <w:tcBorders>
              <w:top w:val="nil" w:sz="6" w:space="0" w:color="auto"/>
              <w:left w:val="single" w:sz="4" w:space="0" w:color="000000"/>
              <w:right w:val="single" w:sz="4" w:space="0" w:color="000000"/>
            </w:tcBorders>
            <w:shd w:val="clear" w:color="auto" w:fill="D2D2D2"/>
          </w:tcPr>
          <w:p>
            <w:pPr/>
          </w:p>
        </w:tc>
        <w:tc>
          <w:tcPr>
            <w:tcW w:w="935"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935" w:type="dxa"/>
            <w:vMerge/>
            <w:tcBorders>
              <w:left w:val="single" w:sz="4" w:space="0" w:color="000000"/>
              <w:bottom w:val="nil" w:sz="6" w:space="0" w:color="auto"/>
              <w:right w:val="single" w:sz="4" w:space="0" w:color="000000"/>
            </w:tcBorders>
            <w:shd w:val="clear" w:color="auto" w:fill="D2D2D2"/>
          </w:tcPr>
          <w:p>
            <w:pPr/>
          </w:p>
        </w:tc>
        <w:tc>
          <w:tcPr>
            <w:tcW w:w="936" w:type="dxa"/>
            <w:vMerge/>
            <w:tcBorders>
              <w:left w:val="single" w:sz="4" w:space="0" w:color="000000"/>
              <w:bottom w:val="nil" w:sz="6" w:space="0" w:color="auto"/>
              <w:right w:val="single" w:sz="4" w:space="0" w:color="000000"/>
            </w:tcBorders>
            <w:shd w:val="clear" w:color="auto" w:fill="D2D2D2"/>
          </w:tcPr>
          <w:p>
            <w:pPr/>
          </w:p>
        </w:tc>
        <w:tc>
          <w:tcPr>
            <w:tcW w:w="935" w:type="dxa"/>
            <w:vMerge/>
            <w:tcBorders>
              <w:left w:val="single" w:sz="4" w:space="0" w:color="000000"/>
              <w:right w:val="single" w:sz="4" w:space="0" w:color="000000"/>
            </w:tcBorders>
            <w:shd w:val="clear" w:color="auto" w:fill="D2D2D2"/>
          </w:tcPr>
          <w:p>
            <w:pPr/>
          </w:p>
        </w:tc>
        <w:tc>
          <w:tcPr>
            <w:tcW w:w="796"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2799" w:type="dxa"/>
            <w:vMerge/>
            <w:tcBorders>
              <w:left w:val="single" w:sz="4" w:space="0" w:color="000000"/>
              <w:bottom w:val="single" w:sz="4" w:space="0" w:color="000000"/>
              <w:right w:val="single" w:sz="4" w:space="0" w:color="000000"/>
            </w:tcBorders>
            <w:shd w:val="clear" w:color="auto" w:fill="D2D2D2"/>
          </w:tcPr>
          <w:p>
            <w:pPr/>
          </w:p>
        </w:tc>
        <w:tc>
          <w:tcPr>
            <w:tcW w:w="1070" w:type="dxa"/>
            <w:vMerge/>
            <w:tcBorders>
              <w:left w:val="single" w:sz="4" w:space="0" w:color="000000"/>
              <w:bottom w:val="single" w:sz="4" w:space="0" w:color="000000"/>
              <w:right w:val="single" w:sz="4" w:space="0" w:color="000000"/>
            </w:tcBorders>
            <w:shd w:val="clear" w:color="auto" w:fill="D2D2D2"/>
          </w:tcPr>
          <w:p>
            <w:pPr/>
          </w:p>
        </w:tc>
        <w:tc>
          <w:tcPr>
            <w:tcW w:w="935" w:type="dxa"/>
            <w:vMerge/>
            <w:tcBorders>
              <w:left w:val="single" w:sz="4" w:space="0" w:color="000000"/>
              <w:bottom w:val="single" w:sz="4" w:space="0" w:color="000000"/>
              <w:right w:val="single" w:sz="4" w:space="0" w:color="000000"/>
            </w:tcBorders>
            <w:shd w:val="clear" w:color="auto" w:fill="D2D2D2"/>
          </w:tcPr>
          <w:p>
            <w:pPr/>
          </w:p>
        </w:tc>
        <w:tc>
          <w:tcPr>
            <w:tcW w:w="1152" w:type="dxa"/>
            <w:vMerge/>
            <w:tcBorders>
              <w:left w:val="single" w:sz="4" w:space="0" w:color="000000"/>
              <w:bottom w:val="single" w:sz="4" w:space="0" w:color="000000"/>
              <w:right w:val="single" w:sz="4" w:space="0" w:color="000000"/>
            </w:tcBorders>
            <w:shd w:val="clear" w:color="auto" w:fill="D2D2D2"/>
          </w:tcPr>
          <w:p>
            <w:pPr/>
          </w:p>
        </w:tc>
        <w:tc>
          <w:tcPr>
            <w:tcW w:w="935" w:type="dxa"/>
            <w:tcBorders>
              <w:top w:val="nil" w:sz="6" w:space="0" w:color="auto"/>
              <w:left w:val="single" w:sz="4" w:space="0" w:color="000000"/>
              <w:bottom w:val="single" w:sz="4" w:space="0" w:color="000000"/>
              <w:right w:val="single" w:sz="4" w:space="0" w:color="000000"/>
            </w:tcBorders>
            <w:shd w:val="clear" w:color="auto" w:fill="D2D2D2"/>
          </w:tcPr>
          <w:p>
            <w:pPr/>
          </w:p>
        </w:tc>
        <w:tc>
          <w:tcPr>
            <w:tcW w:w="936" w:type="dxa"/>
            <w:tcBorders>
              <w:top w:val="nil" w:sz="6" w:space="0" w:color="auto"/>
              <w:left w:val="single" w:sz="4" w:space="0" w:color="000000"/>
              <w:bottom w:val="single" w:sz="4" w:space="0" w:color="000000"/>
              <w:right w:val="single" w:sz="4" w:space="0" w:color="000000"/>
            </w:tcBorders>
            <w:shd w:val="clear" w:color="auto" w:fill="D2D2D2"/>
          </w:tcPr>
          <w:p>
            <w:pPr/>
          </w:p>
        </w:tc>
        <w:tc>
          <w:tcPr>
            <w:tcW w:w="935" w:type="dxa"/>
            <w:vMerge/>
            <w:tcBorders>
              <w:left w:val="single" w:sz="4" w:space="0" w:color="000000"/>
              <w:bottom w:val="single" w:sz="4" w:space="0" w:color="000000"/>
              <w:right w:val="single" w:sz="4" w:space="0" w:color="000000"/>
            </w:tcBorders>
            <w:shd w:val="clear" w:color="auto" w:fill="D2D2D2"/>
          </w:tcPr>
          <w:p>
            <w:pPr/>
          </w:p>
        </w:tc>
        <w:tc>
          <w:tcPr>
            <w:tcW w:w="796"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2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76"/>
              <w:jc w:val="left"/>
              <w:rPr>
                <w:rFonts w:ascii="宋体" w:hAnsi="宋体" w:cs="宋体" w:eastAsia="宋体" w:hint="default"/>
                <w:sz w:val="18"/>
                <w:szCs w:val="18"/>
              </w:rPr>
            </w:pPr>
            <w:r>
              <w:rPr>
                <w:rFonts w:ascii="宋体" w:hAnsi="宋体" w:cs="宋体" w:eastAsia="宋体" w:hint="default"/>
                <w:sz w:val="18"/>
                <w:szCs w:val="18"/>
              </w:rPr>
              <w:t>二、以后将重分类进损益的其他综 合收益</w:t>
            </w:r>
          </w:p>
        </w:tc>
        <w:tc>
          <w:tcPr>
            <w:tcW w:w="10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-62,493,681.4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4,053,746,7</w:t>
            </w:r>
          </w:p>
          <w:p>
            <w:pPr>
              <w:pStyle w:val="TableParagraph"/>
              <w:spacing w:line="240" w:lineRule="auto" w:before="105"/>
              <w:ind w:left="496" w:right="0"/>
              <w:jc w:val="left"/>
              <w:rPr>
                <w:rFonts w:ascii="Times New Roman" w:hAnsi="Times New Roman" w:cs="Times New Roman" w:eastAsia="Times New Roman" w:hint="default"/>
                <w:sz w:val="18"/>
                <w:szCs w:val="18"/>
              </w:rPr>
            </w:pPr>
            <w:r>
              <w:rPr>
                <w:rFonts w:ascii="Times New Roman"/>
                <w:sz w:val="18"/>
              </w:rPr>
              <w:t>14.43</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-12,074,167.56</w:t>
            </w: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 w:right="0"/>
              <w:jc w:val="left"/>
              <w:rPr>
                <w:rFonts w:ascii="Times New Roman" w:hAnsi="Times New Roman" w:cs="Times New Roman" w:eastAsia="Times New Roman" w:hint="default"/>
                <w:sz w:val="18"/>
                <w:szCs w:val="18"/>
              </w:rPr>
            </w:pPr>
            <w:r>
              <w:rPr>
                <w:rFonts w:ascii="Times New Roman"/>
                <w:sz w:val="18"/>
              </w:rPr>
              <w:t>4,067,688,8</w:t>
            </w:r>
          </w:p>
          <w:p>
            <w:pPr>
              <w:pStyle w:val="TableParagraph"/>
              <w:spacing w:line="240" w:lineRule="auto" w:before="105"/>
              <w:ind w:left="498" w:right="0"/>
              <w:jc w:val="left"/>
              <w:rPr>
                <w:rFonts w:ascii="Times New Roman" w:hAnsi="Times New Roman" w:cs="Times New Roman" w:eastAsia="Times New Roman" w:hint="default"/>
                <w:sz w:val="18"/>
                <w:szCs w:val="18"/>
              </w:rPr>
            </w:pPr>
            <w:r>
              <w:rPr>
                <w:rFonts w:ascii="Times New Roman"/>
                <w:sz w:val="18"/>
              </w:rPr>
              <w:t>63.18</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-1,867,981.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19</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4,005,195</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,181.77</w:t>
            </w:r>
          </w:p>
        </w:tc>
      </w:tr>
      <w:tr>
        <w:trPr>
          <w:trHeight w:val="714" w:hRule="exact"/>
        </w:trPr>
        <w:tc>
          <w:tcPr>
            <w:tcW w:w="2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77" w:firstLine="540"/>
              <w:jc w:val="left"/>
              <w:rPr>
                <w:rFonts w:ascii="宋体" w:hAnsi="宋体" w:cs="宋体" w:eastAsia="宋体" w:hint="default"/>
                <w:sz w:val="18"/>
                <w:szCs w:val="18"/>
              </w:rPr>
            </w:pPr>
            <w:r>
              <w:rPr>
                <w:rFonts w:ascii="宋体" w:hAnsi="宋体" w:cs="宋体" w:eastAsia="宋体" w:hint="default"/>
                <w:sz w:val="18"/>
                <w:szCs w:val="18"/>
              </w:rPr>
              <w:t>可供出售金融资产公允价值 变动损益</w:t>
            </w:r>
          </w:p>
        </w:tc>
        <w:tc>
          <w:tcPr>
            <w:tcW w:w="10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-12,074,167.5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4,089,540,3</w:t>
            </w:r>
          </w:p>
          <w:p>
            <w:pPr>
              <w:pStyle w:val="TableParagraph"/>
              <w:spacing w:line="240" w:lineRule="auto" w:before="105"/>
              <w:ind w:left="496" w:right="0"/>
              <w:jc w:val="left"/>
              <w:rPr>
                <w:rFonts w:ascii="Times New Roman" w:hAnsi="Times New Roman" w:cs="Times New Roman" w:eastAsia="Times New Roman" w:hint="default"/>
                <w:sz w:val="18"/>
                <w:szCs w:val="18"/>
              </w:rPr>
            </w:pPr>
            <w:r>
              <w:rPr>
                <w:rFonts w:ascii="Times New Roman"/>
                <w:sz w:val="18"/>
              </w:rPr>
              <w:t>19.67</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-12,074,167.56</w:t>
            </w: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 w:right="0"/>
              <w:jc w:val="left"/>
              <w:rPr>
                <w:rFonts w:ascii="Times New Roman" w:hAnsi="Times New Roman" w:cs="Times New Roman" w:eastAsia="Times New Roman" w:hint="default"/>
                <w:sz w:val="18"/>
                <w:szCs w:val="18"/>
              </w:rPr>
            </w:pPr>
            <w:r>
              <w:rPr>
                <w:rFonts w:ascii="Times New Roman"/>
                <w:sz w:val="18"/>
              </w:rPr>
              <w:t>4,101,614,4</w:t>
            </w:r>
          </w:p>
          <w:p>
            <w:pPr>
              <w:pStyle w:val="TableParagraph"/>
              <w:spacing w:line="240" w:lineRule="auto" w:before="105"/>
              <w:ind w:left="498" w:right="0"/>
              <w:jc w:val="left"/>
              <w:rPr>
                <w:rFonts w:ascii="Times New Roman" w:hAnsi="Times New Roman" w:cs="Times New Roman" w:eastAsia="Times New Roman" w:hint="default"/>
                <w:sz w:val="18"/>
                <w:szCs w:val="18"/>
              </w:rPr>
            </w:pPr>
            <w:r>
              <w:rPr>
                <w:rFonts w:ascii="Times New Roman"/>
                <w:sz w:val="18"/>
              </w:rPr>
              <w:t>87.23</w:t>
            </w:r>
          </w:p>
        </w:tc>
        <w:tc>
          <w:tcPr>
            <w:tcW w:w="935" w:type="dxa"/>
            <w:tcBorders>
              <w:top w:val="single" w:sz="4" w:space="0" w:color="000000"/>
              <w:left w:val="single" w:sz="4" w:space="0" w:color="000000"/>
              <w:bottom w:val="single" w:sz="4" w:space="0" w:color="000000"/>
              <w:right w:val="single" w:sz="4" w:space="0" w:color="000000"/>
            </w:tcBorders>
          </w:tcPr>
          <w:p>
            <w:pP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4,089,540</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,319.67</w:t>
            </w:r>
          </w:p>
        </w:tc>
      </w:tr>
      <w:tr>
        <w:trPr>
          <w:trHeight w:val="161" w:hRule="exact"/>
        </w:trPr>
        <w:tc>
          <w:tcPr>
            <w:tcW w:w="2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0" w:type="dxa"/>
            <w:vMerge w:val="restart"/>
            <w:tcBorders>
              <w:top w:val="single" w:sz="4" w:space="0" w:color="000000"/>
              <w:left w:val="single" w:sz="9"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-50,419,513.8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935"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-35,793,605</w:t>
            </w:r>
            <w:r>
              <w:rPr>
                <w:rFonts w:ascii="Times New Roman"/>
                <w:sz w:val="18"/>
              </w:rPr>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.24</w:t>
            </w:r>
          </w:p>
        </w:tc>
        <w:tc>
          <w:tcPr>
            <w:tcW w:w="1152" w:type="dxa"/>
            <w:vMerge w:val="restart"/>
            <w:tcBorders>
              <w:top w:val="single" w:sz="4" w:space="0" w:color="000000"/>
              <w:left w:val="single" w:sz="4" w:space="0" w:color="000000"/>
              <w:right w:val="single" w:sz="4" w:space="0" w:color="000000"/>
            </w:tcBorders>
          </w:tcPr>
          <w:p>
            <w:pPr/>
          </w:p>
        </w:tc>
        <w:tc>
          <w:tcPr>
            <w:tcW w:w="935" w:type="dxa"/>
            <w:vMerge w:val="restart"/>
            <w:tcBorders>
              <w:top w:val="single" w:sz="4" w:space="0" w:color="000000"/>
              <w:left w:val="single" w:sz="4" w:space="0" w:color="000000"/>
              <w:right w:val="single" w:sz="4" w:space="0" w:color="000000"/>
            </w:tcBorders>
          </w:tcPr>
          <w:p>
            <w:pP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-33,925,624</w:t>
            </w:r>
            <w:r>
              <w:rPr>
                <w:rFonts w:ascii="Times New Roman"/>
                <w:sz w:val="18"/>
              </w:rPr>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.05</w:t>
            </w:r>
          </w:p>
        </w:tc>
        <w:tc>
          <w:tcPr>
            <w:tcW w:w="935"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-1,867,981.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19</w:t>
            </w:r>
          </w:p>
        </w:tc>
        <w:tc>
          <w:tcPr>
            <w:tcW w:w="796" w:type="dxa"/>
            <w:vMerge w:val="restart"/>
            <w:tcBorders>
              <w:top w:val="single" w:sz="4" w:space="0" w:color="000000"/>
              <w:left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-84,345,1</w:t>
            </w:r>
          </w:p>
          <w:p>
            <w:pPr>
              <w:pStyle w:val="TableParagraph"/>
              <w:spacing w:line="240" w:lineRule="auto" w:before="105"/>
              <w:ind w:left="358" w:right="0"/>
              <w:jc w:val="left"/>
              <w:rPr>
                <w:rFonts w:ascii="Times New Roman" w:hAnsi="Times New Roman" w:cs="Times New Roman" w:eastAsia="Times New Roman" w:hint="default"/>
                <w:sz w:val="18"/>
                <w:szCs w:val="18"/>
              </w:rPr>
            </w:pPr>
            <w:r>
              <w:rPr>
                <w:rFonts w:ascii="Times New Roman"/>
                <w:sz w:val="18"/>
              </w:rPr>
              <w:t>37.90</w:t>
            </w:r>
          </w:p>
        </w:tc>
      </w:tr>
      <w:tr>
        <w:trPr>
          <w:trHeight w:val="392" w:hRule="exact"/>
        </w:trPr>
        <w:tc>
          <w:tcPr>
            <w:tcW w:w="279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外币财务报表折算差额</w:t>
            </w:r>
          </w:p>
        </w:tc>
        <w:tc>
          <w:tcPr>
            <w:tcW w:w="1070" w:type="dxa"/>
            <w:vMerge/>
            <w:tcBorders>
              <w:left w:val="single" w:sz="9" w:space="0" w:color="D2D2D2"/>
              <w:right w:val="single" w:sz="4" w:space="0" w:color="000000"/>
            </w:tcBorders>
          </w:tcPr>
          <w:p>
            <w:pPr/>
          </w:p>
        </w:tc>
        <w:tc>
          <w:tcPr>
            <w:tcW w:w="935" w:type="dxa"/>
            <w:vMerge/>
            <w:tcBorders>
              <w:left w:val="single" w:sz="4" w:space="0" w:color="000000"/>
              <w:right w:val="single" w:sz="4" w:space="0" w:color="000000"/>
            </w:tcBorders>
          </w:tcPr>
          <w:p>
            <w:pPr/>
          </w:p>
        </w:tc>
        <w:tc>
          <w:tcPr>
            <w:tcW w:w="1152"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796" w:type="dxa"/>
            <w:vMerge/>
            <w:tcBorders>
              <w:left w:val="single" w:sz="4" w:space="0" w:color="000000"/>
              <w:right w:val="single" w:sz="4" w:space="0" w:color="000000"/>
            </w:tcBorders>
          </w:tcPr>
          <w:p>
            <w:pPr/>
          </w:p>
        </w:tc>
      </w:tr>
      <w:tr>
        <w:trPr>
          <w:trHeight w:val="161" w:hRule="exact"/>
        </w:trPr>
        <w:tc>
          <w:tcPr>
            <w:tcW w:w="2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0" w:type="dxa"/>
            <w:vMerge/>
            <w:tcBorders>
              <w:left w:val="single" w:sz="9" w:space="0" w:color="D2D2D2"/>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796" w:type="dxa"/>
            <w:vMerge/>
            <w:tcBorders>
              <w:left w:val="single" w:sz="4" w:space="0" w:color="000000"/>
              <w:bottom w:val="single" w:sz="4" w:space="0" w:color="000000"/>
              <w:right w:val="single" w:sz="4" w:space="0" w:color="000000"/>
            </w:tcBorders>
          </w:tcPr>
          <w:p>
            <w:pPr/>
          </w:p>
        </w:tc>
      </w:tr>
      <w:tr>
        <w:trPr>
          <w:trHeight w:val="161" w:hRule="exact"/>
        </w:trPr>
        <w:tc>
          <w:tcPr>
            <w:tcW w:w="2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0" w:type="dxa"/>
            <w:vMerge w:val="restart"/>
            <w:tcBorders>
              <w:top w:val="single" w:sz="4" w:space="0" w:color="000000"/>
              <w:left w:val="single" w:sz="9"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-62,493,681.4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935" w:type="dxa"/>
            <w:vMerge w:val="restart"/>
            <w:tcBorders>
              <w:top w:val="single" w:sz="4" w:space="0" w:color="000000"/>
              <w:left w:val="single" w:sz="4" w:space="0" w:color="000000"/>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4,053,746,7</w:t>
            </w:r>
          </w:p>
          <w:p>
            <w:pPr>
              <w:pStyle w:val="TableParagraph"/>
              <w:spacing w:line="240" w:lineRule="auto" w:before="105"/>
              <w:ind w:left="496" w:right="0"/>
              <w:jc w:val="left"/>
              <w:rPr>
                <w:rFonts w:ascii="Times New Roman" w:hAnsi="Times New Roman" w:cs="Times New Roman" w:eastAsia="Times New Roman" w:hint="default"/>
                <w:sz w:val="18"/>
                <w:szCs w:val="18"/>
              </w:rPr>
            </w:pPr>
            <w:r>
              <w:rPr>
                <w:rFonts w:ascii="Times New Roman"/>
                <w:sz w:val="18"/>
              </w:rPr>
              <w:t>14.43</w:t>
            </w:r>
          </w:p>
        </w:tc>
        <w:tc>
          <w:tcPr>
            <w:tcW w:w="115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-12,074,167.56</w:t>
            </w:r>
          </w:p>
        </w:tc>
        <w:tc>
          <w:tcPr>
            <w:tcW w:w="935" w:type="dxa"/>
            <w:vMerge w:val="restart"/>
            <w:tcBorders>
              <w:top w:val="single" w:sz="4" w:space="0" w:color="000000"/>
              <w:left w:val="single" w:sz="4" w:space="0" w:color="000000"/>
              <w:right w:val="single" w:sz="4" w:space="0" w:color="000000"/>
            </w:tcBorders>
          </w:tcPr>
          <w:p>
            <w:pP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91"/>
              <w:ind w:left="47" w:right="0"/>
              <w:jc w:val="left"/>
              <w:rPr>
                <w:rFonts w:ascii="Times New Roman" w:hAnsi="Times New Roman" w:cs="Times New Roman" w:eastAsia="Times New Roman" w:hint="default"/>
                <w:sz w:val="18"/>
                <w:szCs w:val="18"/>
              </w:rPr>
            </w:pPr>
            <w:r>
              <w:rPr>
                <w:rFonts w:ascii="Times New Roman"/>
                <w:sz w:val="18"/>
              </w:rPr>
              <w:t>4,067,688,8</w:t>
            </w:r>
          </w:p>
          <w:p>
            <w:pPr>
              <w:pStyle w:val="TableParagraph"/>
              <w:spacing w:line="240" w:lineRule="auto" w:before="105"/>
              <w:ind w:left="498" w:right="0"/>
              <w:jc w:val="left"/>
              <w:rPr>
                <w:rFonts w:ascii="Times New Roman" w:hAnsi="Times New Roman" w:cs="Times New Roman" w:eastAsia="Times New Roman" w:hint="default"/>
                <w:sz w:val="18"/>
                <w:szCs w:val="18"/>
              </w:rPr>
            </w:pPr>
            <w:r>
              <w:rPr>
                <w:rFonts w:ascii="Times New Roman"/>
                <w:sz w:val="18"/>
              </w:rPr>
              <w:t>63.18</w:t>
            </w:r>
          </w:p>
        </w:tc>
        <w:tc>
          <w:tcPr>
            <w:tcW w:w="935"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-1,867,981.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19</w:t>
            </w:r>
          </w:p>
        </w:tc>
        <w:tc>
          <w:tcPr>
            <w:tcW w:w="796" w:type="dxa"/>
            <w:vMerge w:val="restart"/>
            <w:tcBorders>
              <w:top w:val="single" w:sz="4" w:space="0" w:color="000000"/>
              <w:left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4,005,195</w:t>
            </w:r>
          </w:p>
          <w:p>
            <w:pPr>
              <w:pStyle w:val="TableParagraph"/>
              <w:spacing w:line="240" w:lineRule="auto" w:before="105"/>
              <w:ind w:left="201" w:right="0"/>
              <w:jc w:val="center"/>
              <w:rPr>
                <w:rFonts w:ascii="Times New Roman" w:hAnsi="Times New Roman" w:cs="Times New Roman" w:eastAsia="Times New Roman" w:hint="default"/>
                <w:sz w:val="18"/>
                <w:szCs w:val="18"/>
              </w:rPr>
            </w:pPr>
            <w:r>
              <w:rPr>
                <w:rFonts w:ascii="Times New Roman"/>
                <w:sz w:val="18"/>
              </w:rPr>
              <w:t>,181.77</w:t>
            </w:r>
          </w:p>
        </w:tc>
      </w:tr>
      <w:tr>
        <w:trPr>
          <w:trHeight w:val="392" w:hRule="exact"/>
        </w:trPr>
        <w:tc>
          <w:tcPr>
            <w:tcW w:w="279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1070" w:type="dxa"/>
            <w:vMerge/>
            <w:tcBorders>
              <w:left w:val="single" w:sz="9" w:space="0" w:color="D2D2D2"/>
              <w:right w:val="single" w:sz="4" w:space="0" w:color="000000"/>
            </w:tcBorders>
          </w:tcPr>
          <w:p>
            <w:pPr/>
          </w:p>
        </w:tc>
        <w:tc>
          <w:tcPr>
            <w:tcW w:w="935" w:type="dxa"/>
            <w:vMerge/>
            <w:tcBorders>
              <w:left w:val="single" w:sz="4" w:space="0" w:color="000000"/>
              <w:right w:val="single" w:sz="4" w:space="0" w:color="000000"/>
            </w:tcBorders>
          </w:tcPr>
          <w:p>
            <w:pPr/>
          </w:p>
        </w:tc>
        <w:tc>
          <w:tcPr>
            <w:tcW w:w="1152"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796" w:type="dxa"/>
            <w:vMerge/>
            <w:tcBorders>
              <w:left w:val="single" w:sz="4" w:space="0" w:color="000000"/>
              <w:right w:val="single" w:sz="4" w:space="0" w:color="000000"/>
            </w:tcBorders>
          </w:tcPr>
          <w:p>
            <w:pPr/>
          </w:p>
        </w:tc>
      </w:tr>
      <w:tr>
        <w:trPr>
          <w:trHeight w:val="161" w:hRule="exact"/>
        </w:trPr>
        <w:tc>
          <w:tcPr>
            <w:tcW w:w="2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0" w:type="dxa"/>
            <w:vMerge/>
            <w:tcBorders>
              <w:left w:val="single" w:sz="9" w:space="0" w:color="D2D2D2"/>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796" w:type="dxa"/>
            <w:vMerge/>
            <w:tcBorders>
              <w:left w:val="single" w:sz="4" w:space="0" w:color="000000"/>
              <w:bottom w:val="single" w:sz="4" w:space="0" w:color="000000"/>
              <w:right w:val="single" w:sz="4" w:space="0" w:color="000000"/>
            </w:tcBorders>
          </w:tcPr>
          <w:p>
            <w:pP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其他说明，包括对现金流量套期损益的有效部分转为被套期项目初始确认金额调整：</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58、专项储备" w:id="380"/>
      <w:bookmarkEnd w:id="380"/>
      <w:r>
        <w:rPr>
          <w:b w:val="0"/>
          <w:bCs w:val="0"/>
        </w:rPr>
      </w:r>
      <w:r>
        <w:rPr>
          <w:rFonts w:ascii="Times New Roman" w:hAnsi="Times New Roman" w:cs="Times New Roman" w:eastAsia="Times New Roman" w:hint="default"/>
        </w:rPr>
        <w:t>58</w:t>
      </w:r>
      <w:r>
        <w:rPr/>
        <w:t>、专项储备</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912"/>
        <w:gridCol w:w="1917"/>
        <w:gridCol w:w="1914"/>
        <w:gridCol w:w="1914"/>
        <w:gridCol w:w="1903"/>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spacing w:line="240" w:lineRule="auto" w:before="11"/>
        <w:rPr>
          <w:rFonts w:ascii="宋体" w:hAnsi="宋体" w:cs="宋体" w:eastAsia="宋体" w:hint="default"/>
          <w:sz w:val="26"/>
          <w:szCs w:val="26"/>
        </w:rPr>
      </w:pPr>
    </w:p>
    <w:p>
      <w:pPr>
        <w:pStyle w:val="Heading6"/>
        <w:spacing w:line="240" w:lineRule="auto"/>
        <w:ind w:right="998"/>
        <w:jc w:val="left"/>
        <w:rPr>
          <w:b w:val="0"/>
          <w:bCs w:val="0"/>
        </w:rPr>
      </w:pPr>
      <w:bookmarkStart w:name="59、盈余公积" w:id="381"/>
      <w:bookmarkEnd w:id="381"/>
      <w:r>
        <w:rPr>
          <w:b w:val="0"/>
          <w:bCs w:val="0"/>
        </w:rPr>
      </w:r>
      <w:r>
        <w:rPr>
          <w:rFonts w:ascii="Times New Roman" w:hAnsi="Times New Roman" w:cs="Times New Roman" w:eastAsia="Times New Roman" w:hint="default"/>
        </w:rPr>
        <w:t>59</w:t>
      </w:r>
      <w:r>
        <w:rPr/>
        <w:t>、盈余公积</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90,763,500.15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12,530,153.71</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103,293,653.86</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90,763,500.15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12,530,153.71</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103,293,653.86</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盈余公积说明，包括本期增减变动情况、变动原因说明：</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60、未分配利润" w:id="382"/>
      <w:bookmarkEnd w:id="382"/>
      <w:r>
        <w:rPr>
          <w:b w:val="0"/>
          <w:bCs w:val="0"/>
        </w:rPr>
      </w:r>
      <w:r>
        <w:rPr>
          <w:rFonts w:ascii="Times New Roman" w:hAnsi="Times New Roman" w:cs="Times New Roman" w:eastAsia="Times New Roman" w:hint="default"/>
        </w:rPr>
        <w:t>60</w:t>
      </w:r>
      <w:r>
        <w:rPr/>
        <w:t>、未分配利润</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714"/>
        <w:gridCol w:w="2936"/>
        <w:gridCol w:w="2919"/>
      </w:tblGrid>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1,303,806,501.31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902,684,210.65</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1,303,806,501.31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902,684,210.65</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998,666,057.61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531,497,123.47</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12,530,153.71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12,045,674.69</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121,676,700.16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118,329,158.12</w:t>
            </w:r>
          </w:p>
        </w:tc>
      </w:tr>
      <w:tr>
        <w:trPr>
          <w:trHeight w:val="403"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2,168,265,705.05</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1,303,806,501.31</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调整期初未分配利润明细：</w:t>
      </w:r>
    </w:p>
    <w:p>
      <w:pPr>
        <w:spacing w:before="116"/>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、由于《企业会计准则》及其相关新规定进行追溯调整，影响期初未分配利润元。</w:t>
      </w:r>
    </w:p>
    <w:p>
      <w:pPr>
        <w:spacing w:before="103"/>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、由于会计政策变更，影响期初未分配利润元。</w:t>
      </w:r>
    </w:p>
    <w:p>
      <w:pPr>
        <w:spacing w:before="102"/>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、由于重大会计差错更正，影响期初未分配利润元。</w:t>
      </w:r>
    </w:p>
    <w:p>
      <w:pPr>
        <w:spacing w:before="102"/>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、由于同一控制导致的合并范围变更，影响期初未分配利润元。</w:t>
      </w:r>
    </w:p>
    <w:p>
      <w:pPr>
        <w:spacing w:before="103"/>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、其他调整合计影响期初未分配利润元。</w:t>
      </w:r>
    </w:p>
    <w:p>
      <w:pPr>
        <w:spacing w:line="240" w:lineRule="auto" w:before="9"/>
        <w:rPr>
          <w:rFonts w:ascii="宋体" w:hAnsi="宋体" w:cs="宋体" w:eastAsia="宋体" w:hint="default"/>
          <w:sz w:val="25"/>
          <w:szCs w:val="25"/>
        </w:rPr>
      </w:pPr>
    </w:p>
    <w:p>
      <w:pPr>
        <w:pStyle w:val="Heading6"/>
        <w:spacing w:line="240" w:lineRule="auto"/>
        <w:ind w:left="1133" w:right="998"/>
        <w:jc w:val="left"/>
        <w:rPr>
          <w:b w:val="0"/>
          <w:bCs w:val="0"/>
        </w:rPr>
      </w:pPr>
      <w:bookmarkStart w:name="61、营业收入和营业成本" w:id="383"/>
      <w:bookmarkEnd w:id="383"/>
      <w:r>
        <w:rPr>
          <w:b w:val="0"/>
          <w:bCs w:val="0"/>
        </w:rPr>
      </w:r>
      <w:r>
        <w:rPr>
          <w:rFonts w:ascii="Times New Roman" w:hAnsi="Times New Roman" w:cs="Times New Roman" w:eastAsia="Times New Roman" w:hint="default"/>
        </w:rPr>
        <w:t>61</w:t>
      </w:r>
      <w:r>
        <w:rPr/>
        <w:t>、营业收入和营业成本</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206" w:hRule="exact"/>
        </w:trPr>
        <w:tc>
          <w:tcPr>
            <w:tcW w:w="1912"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1" w:hRule="exact"/>
        </w:trPr>
        <w:tc>
          <w:tcPr>
            <w:tcW w:w="19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912" w:type="dxa"/>
            <w:vMerge/>
            <w:tcBorders>
              <w:left w:val="single" w:sz="4" w:space="0" w:color="000000"/>
              <w:bottom w:val="nil" w:sz="6" w:space="0" w:color="auto"/>
              <w:right w:val="single" w:sz="4" w:space="0" w:color="000000"/>
            </w:tcBorders>
            <w:shd w:val="clear" w:color="auto" w:fill="D2D2D2"/>
          </w:tcPr>
          <w:p>
            <w:pPr/>
          </w:p>
        </w:tc>
        <w:tc>
          <w:tcPr>
            <w:tcW w:w="191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5" w:hRule="exact"/>
        </w:trPr>
        <w:tc>
          <w:tcPr>
            <w:tcW w:w="19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3,404,381,892.98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693,667,253.90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2,406,001,482.90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1,139,855,981.96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31,987,775.06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880,582.93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18,669,143.92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52,905.03</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3,436,369,668.04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694,547,836.83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2,424,670,626.82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1,139,908,886.99</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62、税金及附加" w:id="384"/>
      <w:bookmarkEnd w:id="384"/>
      <w:r>
        <w:rPr>
          <w:b w:val="0"/>
          <w:bCs w:val="0"/>
        </w:rPr>
      </w:r>
      <w:r>
        <w:rPr>
          <w:rFonts w:ascii="Times New Roman" w:hAnsi="Times New Roman" w:cs="Times New Roman" w:eastAsia="Times New Roman" w:hint="default"/>
        </w:rPr>
        <w:t>62</w:t>
      </w:r>
      <w:r>
        <w:rPr/>
        <w:t>、税金及附加</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5,150,860.31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379,210.34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3,904,883.68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270,864.53</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13,692.00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225,783.74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33.30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1,208,222.07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1,140,480.47</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206"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2,232,418.17</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车船税</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4,900.00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102,665.43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3,084.14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10,600,415.23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4,044,682.95</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63、销售费用" w:id="385"/>
      <w:bookmarkEnd w:id="385"/>
      <w:r>
        <w:rPr>
          <w:b w:val="0"/>
          <w:bCs w:val="0"/>
        </w:rPr>
      </w:r>
      <w:r>
        <w:rPr>
          <w:rFonts w:ascii="Times New Roman" w:hAnsi="Times New Roman" w:cs="Times New Roman" w:eastAsia="Times New Roman" w:hint="default"/>
        </w:rPr>
        <w:t>63</w:t>
      </w:r>
      <w:r>
        <w:rPr/>
        <w:t>、销售费用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68,633,485.31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42,593,433.92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市场及推广费用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477,243,823.26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227,810,613.80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充值渠道手续费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397,822,620.45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357,919,028.28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558,477.92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63,317.28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4,436,521.64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1,349,976.77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5,215,907.96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9,164,288.91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953,910,836.54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638,900,658.96</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64、管理费用" w:id="386"/>
      <w:bookmarkEnd w:id="386"/>
      <w:r>
        <w:rPr>
          <w:b w:val="0"/>
          <w:bCs w:val="0"/>
        </w:rPr>
      </w:r>
      <w:r>
        <w:rPr>
          <w:rFonts w:ascii="Times New Roman" w:hAnsi="Times New Roman" w:cs="Times New Roman" w:eastAsia="Times New Roman" w:hint="default"/>
        </w:rPr>
        <w:t>64</w:t>
      </w:r>
      <w:r>
        <w:rPr/>
        <w:t>、管理费用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443,992,676.73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196,544,285.30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14,921,987.45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7,842,222.64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4,610,004.76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2,726,023.96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中介机构费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82,330,327.13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58,347,237.44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37,312,702.19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28,200,897.48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水电及维修费用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3,250,597.70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1,981,583.48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22,307,851.39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19,452,761.38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折旧及摊销费用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17,026,730.17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12,773,896.56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项目开发费用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66,580,827.14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47,216,895.51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股权激励费用（注）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-32,702,159.88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65,848,631.31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7,099,253.87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2,588,376.38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666,730,798.65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443,522,811.44</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56" w:lineRule="auto" w:before="90"/>
        <w:ind w:right="1129"/>
        <w:jc w:val="left"/>
      </w:pPr>
      <w:r>
        <w:rPr>
          <w:spacing w:val="-1"/>
        </w:rPr>
        <w:t>注：本期股权激励费用金额</w:t>
      </w:r>
      <w:r>
        <w:rPr>
          <w:rFonts w:ascii="Times New Roman" w:hAnsi="Times New Roman" w:cs="Times New Roman" w:eastAsia="Times New Roman" w:hint="default"/>
          <w:spacing w:val="-1"/>
        </w:rPr>
        <w:t>-32,702,159.88</w:t>
      </w:r>
      <w:r>
        <w:rPr>
          <w:spacing w:val="-1"/>
        </w:rPr>
        <w:t>元，为本期计提股权激励费用和限制性股票第一期业绩未达标进</w:t>
      </w:r>
      <w:r>
        <w:rPr>
          <w:spacing w:val="-95"/>
        </w:rPr>
        <w:t> </w:t>
      </w:r>
      <w:r>
        <w:rPr>
          <w:spacing w:val="-95"/>
        </w:rPr>
      </w:r>
      <w:r>
        <w:rPr/>
        <w:t>行回购注销后冲销已计提股权激励费用综合产生。</w:t>
      </w:r>
    </w:p>
    <w:p>
      <w:pPr>
        <w:spacing w:after="0" w:line="256" w:lineRule="auto"/>
        <w:jc w:val="left"/>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86"/>
        <w:ind w:left="1133" w:right="998"/>
        <w:jc w:val="left"/>
        <w:rPr>
          <w:b w:val="0"/>
          <w:bCs w:val="0"/>
        </w:rPr>
      </w:pPr>
      <w:bookmarkStart w:name="65、财务费用" w:id="387"/>
      <w:bookmarkEnd w:id="387"/>
      <w:r>
        <w:rPr>
          <w:b w:val="0"/>
          <w:bCs w:val="0"/>
        </w:rPr>
      </w:r>
      <w:r>
        <w:rPr>
          <w:rFonts w:ascii="Times New Roman" w:hAnsi="Times New Roman" w:cs="Times New Roman" w:eastAsia="Times New Roman" w:hint="default"/>
        </w:rPr>
        <w:t>65</w:t>
      </w:r>
      <w:r>
        <w:rPr/>
        <w:t>、财务费用</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113,861,751.88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60,543,595.77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6,360,543.87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8,950,528.90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-14,241,968.80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2,097,824.51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3,149,340.03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1,362,513.07</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96,408,579.24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55,053,404.45</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66、资产减值损失" w:id="388"/>
      <w:bookmarkEnd w:id="388"/>
      <w:r>
        <w:rPr>
          <w:b w:val="0"/>
          <w:bCs w:val="0"/>
        </w:rPr>
      </w:r>
      <w:r>
        <w:rPr>
          <w:rFonts w:ascii="Times New Roman" w:hAnsi="Times New Roman" w:cs="Times New Roman" w:eastAsia="Times New Roman" w:hint="default"/>
        </w:rPr>
        <w:t>66</w:t>
      </w:r>
      <w:r>
        <w:rPr/>
        <w:t>、资产减值损失</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14,323,159.78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42,127,911.41</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十三、商誉减值损失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8,386,495.24</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十四、其他</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8,957,246.56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36,351,749.42</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31,666,901.58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78,479,660.83</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67、公允价值变动收益" w:id="389"/>
      <w:bookmarkEnd w:id="389"/>
      <w:r>
        <w:rPr>
          <w:b w:val="0"/>
          <w:bCs w:val="0"/>
        </w:rPr>
      </w:r>
      <w:r>
        <w:rPr>
          <w:rFonts w:ascii="Times New Roman" w:hAnsi="Times New Roman" w:cs="Times New Roman" w:eastAsia="Times New Roman" w:hint="default"/>
        </w:rPr>
        <w:t>67</w:t>
      </w:r>
      <w:r>
        <w:rPr/>
        <w:t>、公允价值变动收益</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7" w:right="0"/>
              <w:jc w:val="left"/>
              <w:rPr>
                <w:rFonts w:ascii="宋体" w:hAnsi="宋体" w:cs="宋体" w:eastAsia="宋体" w:hint="default"/>
                <w:sz w:val="18"/>
                <w:szCs w:val="18"/>
              </w:rPr>
            </w:pPr>
            <w:r>
              <w:rPr>
                <w:rFonts w:ascii="宋体" w:hAnsi="宋体" w:cs="宋体" w:eastAsia="宋体" w:hint="default"/>
                <w:sz w:val="18"/>
                <w:szCs w:val="18"/>
              </w:rPr>
              <w:t>产生公允价值变动收益的来源</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68、投资收益" w:id="390"/>
      <w:bookmarkEnd w:id="390"/>
      <w:r>
        <w:rPr>
          <w:b w:val="0"/>
          <w:bCs w:val="0"/>
        </w:rPr>
      </w:r>
      <w:r>
        <w:rPr>
          <w:rFonts w:ascii="Times New Roman" w:hAnsi="Times New Roman" w:cs="Times New Roman" w:eastAsia="Times New Roman" w:hint="default"/>
        </w:rPr>
        <w:t>68</w:t>
      </w:r>
      <w:r>
        <w:rPr/>
        <w:t>、投资收益</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3437"/>
        <w:gridCol w:w="3203"/>
        <w:gridCol w:w="2918"/>
      </w:tblGrid>
      <w:tr>
        <w:trPr>
          <w:trHeight w:val="402"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6,577,234.20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-4,942,002.27</w:t>
            </w:r>
          </w:p>
        </w:tc>
      </w:tr>
      <w:tr>
        <w:trPr>
          <w:trHeight w:val="402"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3,847,100.60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118,950,869.91</w:t>
            </w:r>
          </w:p>
        </w:tc>
      </w:tr>
      <w:tr>
        <w:trPr>
          <w:trHeight w:val="402"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347,826.10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10,318,578.54</w:t>
            </w:r>
          </w:p>
        </w:tc>
      </w:tr>
      <w:tr>
        <w:trPr>
          <w:trHeight w:val="402"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433,013,654.75</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368,193,128.61</w:t>
            </w:r>
          </w:p>
        </w:tc>
      </w:tr>
      <w:tr>
        <w:trPr>
          <w:trHeight w:val="402" w:hRule="exact"/>
        </w:trPr>
        <w:tc>
          <w:tcPr>
            <w:tcW w:w="3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230,466.66</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90,185.52</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3460"/>
        <w:gridCol w:w="3191"/>
        <w:gridCol w:w="2918"/>
      </w:tblGrid>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4" w:right="0"/>
              <w:jc w:val="left"/>
              <w:rPr>
                <w:rFonts w:ascii="Times New Roman" w:hAnsi="Times New Roman" w:cs="Times New Roman" w:eastAsia="Times New Roman" w:hint="default"/>
                <w:sz w:val="18"/>
                <w:szCs w:val="18"/>
              </w:rPr>
            </w:pPr>
            <w:r>
              <w:rPr>
                <w:rFonts w:ascii="Times New Roman"/>
                <w:sz w:val="18"/>
              </w:rPr>
              <w:t>444,016,282.31</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60" w:right="0"/>
              <w:jc w:val="left"/>
              <w:rPr>
                <w:rFonts w:ascii="Times New Roman" w:hAnsi="Times New Roman" w:cs="Times New Roman" w:eastAsia="Times New Roman" w:hint="default"/>
                <w:sz w:val="18"/>
                <w:szCs w:val="18"/>
              </w:rPr>
            </w:pPr>
            <w:r>
              <w:rPr>
                <w:rFonts w:ascii="Times New Roman"/>
                <w:sz w:val="18"/>
              </w:rPr>
              <w:t>492,610,760.31</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56" w:lineRule="auto" w:before="90"/>
        <w:ind w:right="1145"/>
        <w:jc w:val="left"/>
      </w:pPr>
      <w:r>
        <w:rPr>
          <w:rFonts w:ascii="Times New Roman" w:hAnsi="Times New Roman" w:cs="Times New Roman" w:eastAsia="Times New Roman" w:hint="default"/>
        </w:rPr>
        <w:t>1</w:t>
      </w:r>
      <w:r>
        <w:rPr/>
        <w:t>、处置长期股权投资产生的投资收益</w:t>
      </w:r>
      <w:r>
        <w:rPr>
          <w:rFonts w:ascii="Times New Roman" w:hAnsi="Times New Roman" w:cs="Times New Roman" w:eastAsia="Times New Roman" w:hint="default"/>
        </w:rPr>
        <w:t>3,847,100.60</w:t>
      </w:r>
      <w:r>
        <w:rPr/>
        <w:t>元，其中：处置持有的北京信达天下科技有限公司</w:t>
      </w:r>
      <w:r>
        <w:rPr>
          <w:rFonts w:ascii="Times New Roman" w:hAnsi="Times New Roman" w:cs="Times New Roman" w:eastAsia="Times New Roman" w:hint="default"/>
        </w:rPr>
        <w:t>20% </w:t>
      </w:r>
      <w:r>
        <w:rPr/>
        <w:t>股权产生</w:t>
      </w:r>
      <w:r>
        <w:rPr>
          <w:rFonts w:ascii="Times New Roman" w:hAnsi="Times New Roman" w:cs="Times New Roman" w:eastAsia="Times New Roman" w:hint="default"/>
        </w:rPr>
        <w:t>17,401,907.52</w:t>
      </w:r>
      <w:r>
        <w:rPr/>
        <w:t>元；投资持有的知春畅想（北京）科技有限公司</w:t>
      </w:r>
      <w:r>
        <w:rPr>
          <w:rFonts w:ascii="Times New Roman" w:hAnsi="Times New Roman" w:cs="Times New Roman" w:eastAsia="Times New Roman" w:hint="default"/>
        </w:rPr>
        <w:t>20%</w:t>
      </w:r>
      <w:r>
        <w:rPr/>
        <w:t>股权，因进入破产清算程序， 无法收回投资成本，形成投资损失</w:t>
      </w:r>
      <w:r>
        <w:rPr>
          <w:rFonts w:ascii="Times New Roman" w:hAnsi="Times New Roman" w:cs="Times New Roman" w:eastAsia="Times New Roman" w:hint="default"/>
        </w:rPr>
        <w:t>13,554,806.92</w:t>
      </w:r>
      <w:r>
        <w:rPr/>
        <w:t>元。 </w:t>
      </w:r>
      <w:r>
        <w:rPr>
          <w:rFonts w:ascii="Times New Roman" w:hAnsi="Times New Roman" w:cs="Times New Roman" w:eastAsia="Times New Roman" w:hint="default"/>
        </w:rPr>
        <w:t>2</w:t>
      </w:r>
      <w:r>
        <w:rPr/>
        <w:t>、处置可供出售金融资产取得的投资收益</w:t>
      </w:r>
      <w:r>
        <w:rPr>
          <w:rFonts w:ascii="Times New Roman" w:hAnsi="Times New Roman" w:cs="Times New Roman" w:eastAsia="Times New Roman" w:hint="default"/>
        </w:rPr>
        <w:t>433,013,654.75</w:t>
      </w:r>
      <w:r>
        <w:rPr/>
        <w:t>元，其中：处置持有的上海峰瑞投资中心（有限 合伙）股权产生投资收益</w:t>
      </w:r>
      <w:r>
        <w:rPr>
          <w:rFonts w:ascii="Times New Roman" w:hAnsi="Times New Roman" w:cs="Times New Roman" w:eastAsia="Times New Roman" w:hint="default"/>
        </w:rPr>
        <w:t>3,734,794.52</w:t>
      </w:r>
      <w:r>
        <w:rPr/>
        <w:t>元；处置持有的</w:t>
      </w:r>
      <w:r>
        <w:rPr>
          <w:rFonts w:ascii="Times New Roman" w:hAnsi="Times New Roman" w:cs="Times New Roman" w:eastAsia="Times New Roman" w:hint="default"/>
        </w:rPr>
        <w:t>A8</w:t>
      </w:r>
      <w:r>
        <w:rPr/>
        <w:t>新媒体集团有限公司二级市场股票确认投资损失 </w:t>
      </w:r>
      <w:r>
        <w:rPr>
          <w:rFonts w:ascii="Times New Roman" w:hAnsi="Times New Roman" w:cs="Times New Roman" w:eastAsia="Times New Roman" w:hint="default"/>
        </w:rPr>
        <w:t>3,975,178.78</w:t>
      </w:r>
      <w:r>
        <w:rPr/>
        <w:t>元；处置持有的</w:t>
      </w:r>
      <w:r>
        <w:rPr>
          <w:rFonts w:ascii="Times New Roman" w:hAnsi="Times New Roman" w:cs="Times New Roman" w:eastAsia="Times New Roman" w:hint="default"/>
        </w:rPr>
        <w:t>qudian inc.</w:t>
      </w:r>
      <w:r>
        <w:rPr/>
        <w:t>股权产生投资收益</w:t>
      </w:r>
      <w:r>
        <w:rPr>
          <w:rFonts w:ascii="Times New Roman" w:hAnsi="Times New Roman" w:cs="Times New Roman" w:eastAsia="Times New Roman" w:hint="default"/>
        </w:rPr>
        <w:t>333,869,203.32</w:t>
      </w:r>
      <w:r>
        <w:rPr/>
        <w:t>元；处置持有的</w:t>
      </w:r>
      <w:r>
        <w:rPr>
          <w:rFonts w:ascii="Times New Roman" w:hAnsi="Times New Roman" w:cs="Times New Roman" w:eastAsia="Times New Roman" w:hint="default"/>
        </w:rPr>
        <w:t>gxmusic</w:t>
      </w:r>
      <w:r>
        <w:rPr>
          <w:rFonts w:ascii="Times New Roman" w:hAnsi="Times New Roman" w:cs="Times New Roman" w:eastAsia="Times New Roman" w:hint="default"/>
          <w:spacing w:val="-7"/>
        </w:rPr>
        <w:t> </w:t>
      </w:r>
      <w:r>
        <w:rPr>
          <w:rFonts w:ascii="Times New Roman" w:hAnsi="Times New Roman" w:cs="Times New Roman" w:eastAsia="Times New Roman" w:hint="default"/>
        </w:rPr>
        <w:t>limited</w:t>
      </w:r>
      <w:r>
        <w:rPr/>
        <w:t>股 权产生投资收益</w:t>
      </w:r>
      <w:r>
        <w:rPr>
          <w:rFonts w:ascii="Times New Roman" w:hAnsi="Times New Roman" w:cs="Times New Roman" w:eastAsia="Times New Roman" w:hint="default"/>
        </w:rPr>
        <w:t>157,976,496.69</w:t>
      </w:r>
      <w:r>
        <w:rPr/>
        <w:t>元；因投资的株式会社</w:t>
      </w:r>
      <w:r>
        <w:rPr>
          <w:rFonts w:ascii="Times New Roman" w:hAnsi="Times New Roman" w:cs="Times New Roman" w:eastAsia="Times New Roman" w:hint="default"/>
        </w:rPr>
        <w:t>knetp</w:t>
      </w:r>
      <w:r>
        <w:rPr/>
        <w:t>经营不善公司解散，无法收回投资资本，计入 投资损失</w:t>
      </w:r>
      <w:r>
        <w:rPr>
          <w:rFonts w:ascii="Times New Roman" w:hAnsi="Times New Roman" w:cs="Times New Roman" w:eastAsia="Times New Roman" w:hint="default"/>
        </w:rPr>
        <w:t>39,006,461.00</w:t>
      </w:r>
      <w:r>
        <w:rPr/>
        <w:t>元；因投资的</w:t>
      </w:r>
      <w:r>
        <w:rPr>
          <w:rFonts w:ascii="Times New Roman" w:hAnsi="Times New Roman" w:cs="Times New Roman" w:eastAsia="Times New Roman" w:hint="default"/>
        </w:rPr>
        <w:t>Kunlun</w:t>
      </w:r>
      <w:r>
        <w:rPr>
          <w:rFonts w:ascii="Times New Roman" w:hAnsi="Times New Roman" w:cs="Times New Roman" w:eastAsia="Times New Roman" w:hint="default"/>
          <w:spacing w:val="-1"/>
        </w:rPr>
        <w:t> </w:t>
      </w:r>
      <w:r>
        <w:rPr>
          <w:rFonts w:ascii="Times New Roman" w:hAnsi="Times New Roman" w:cs="Times New Roman" w:eastAsia="Times New Roman" w:hint="default"/>
        </w:rPr>
        <w:t>AI</w:t>
      </w:r>
      <w:r>
        <w:rPr/>
        <w:t>经营不善公司解散，无法收回投资资本，确认投资损失 </w:t>
      </w:r>
      <w:r>
        <w:rPr>
          <w:rFonts w:ascii="Times New Roman" w:hAnsi="Times New Roman" w:cs="Times New Roman" w:eastAsia="Times New Roman" w:hint="default"/>
        </w:rPr>
        <w:t>19,585,200.00</w:t>
      </w:r>
      <w:r>
        <w:rPr/>
        <w:t>元。</w:t>
      </w:r>
    </w:p>
    <w:p>
      <w:pPr>
        <w:pStyle w:val="BodyText"/>
        <w:spacing w:line="240" w:lineRule="auto" w:before="5"/>
        <w:ind w:left="1134" w:right="998"/>
        <w:jc w:val="left"/>
      </w:pPr>
      <w:r>
        <w:rPr>
          <w:rFonts w:ascii="Times New Roman" w:hAnsi="Times New Roman" w:cs="Times New Roman" w:eastAsia="Times New Roman" w:hint="default"/>
        </w:rPr>
        <w:t>3</w:t>
      </w:r>
      <w:r>
        <w:rPr/>
        <w:t>、其他为理财产品投资收益。</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26"/>
          <w:szCs w:val="26"/>
        </w:rPr>
      </w:pPr>
    </w:p>
    <w:p>
      <w:pPr>
        <w:pStyle w:val="Heading6"/>
        <w:spacing w:line="240" w:lineRule="auto"/>
        <w:ind w:right="998"/>
        <w:jc w:val="left"/>
        <w:rPr>
          <w:b w:val="0"/>
          <w:bCs w:val="0"/>
        </w:rPr>
      </w:pPr>
      <w:bookmarkStart w:name="69、资产处置收益" w:id="391"/>
      <w:bookmarkEnd w:id="391"/>
      <w:r>
        <w:rPr>
          <w:b w:val="0"/>
          <w:bCs w:val="0"/>
        </w:rPr>
      </w:r>
      <w:r>
        <w:rPr>
          <w:rFonts w:ascii="Times New Roman" w:hAnsi="Times New Roman" w:cs="Times New Roman" w:eastAsia="Times New Roman" w:hint="default"/>
        </w:rPr>
        <w:t>69</w:t>
      </w:r>
      <w:r>
        <w:rPr/>
        <w:t>、资产处置收益</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处置固定资产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1,250,264.28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-198,409.24</w:t>
            </w:r>
            <w:r>
              <w:rPr>
                <w:rFonts w:ascii="Times New Roman"/>
                <w:sz w:val="18"/>
              </w:rPr>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70、其他收益" w:id="392"/>
      <w:bookmarkEnd w:id="392"/>
      <w:r>
        <w:rPr>
          <w:b w:val="0"/>
          <w:bCs w:val="0"/>
        </w:rPr>
      </w:r>
      <w:r>
        <w:rPr>
          <w:rFonts w:ascii="Times New Roman" w:hAnsi="Times New Roman" w:cs="Times New Roman" w:eastAsia="Times New Roman" w:hint="default"/>
        </w:rPr>
        <w:t>70</w:t>
      </w:r>
      <w:r>
        <w:rPr/>
        <w:t>、其他收益</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税收优惠返还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15,052,622.08</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年度招商引资政策资金一企一策款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13,765,000.00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年度宁波财政扶持</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5,370,000.00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企业技术改造和创新资金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957,000.00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237,176.27</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年高新技术企业认定受理补贴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35,581,798.35</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71、营业外收入" w:id="393"/>
      <w:bookmarkEnd w:id="393"/>
      <w:r>
        <w:rPr>
          <w:b w:val="0"/>
          <w:bCs w:val="0"/>
        </w:rPr>
      </w:r>
      <w:r>
        <w:rPr>
          <w:rFonts w:ascii="Times New Roman" w:hAnsi="Times New Roman" w:cs="Times New Roman" w:eastAsia="Times New Roman" w:hint="default"/>
        </w:rPr>
        <w:t>71</w:t>
      </w:r>
      <w:r>
        <w:rPr/>
        <w:t>、营业外收入</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378"/>
        <w:gridCol w:w="2396"/>
        <w:gridCol w:w="2392"/>
        <w:gridCol w:w="2392"/>
      </w:tblGrid>
      <w:tr>
        <w:trPr>
          <w:trHeight w:val="161" w:hRule="exact"/>
        </w:trPr>
        <w:tc>
          <w:tcPr>
            <w:tcW w:w="2378"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3" w:hRule="exact"/>
        </w:trPr>
        <w:tc>
          <w:tcPr>
            <w:tcW w:w="237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vMerge/>
            <w:tcBorders>
              <w:left w:val="single" w:sz="4" w:space="0" w:color="000000"/>
              <w:right w:val="single" w:sz="4" w:space="0" w:color="000000"/>
            </w:tcBorders>
            <w:shd w:val="clear" w:color="auto" w:fill="D2D2D2"/>
          </w:tcPr>
          <w:p>
            <w:pPr/>
          </w:p>
        </w:tc>
      </w:tr>
      <w:tr>
        <w:trPr>
          <w:trHeight w:val="161" w:hRule="exact"/>
        </w:trPr>
        <w:tc>
          <w:tcPr>
            <w:tcW w:w="2378"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396" w:type="dxa"/>
            <w:tcBorders>
              <w:top w:val="single" w:sz="4" w:space="0" w:color="000000"/>
              <w:left w:val="single" w:sz="13" w:space="0" w:color="D2D2D2"/>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11,235,718.71</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7" w:right="0"/>
              <w:jc w:val="left"/>
              <w:rPr>
                <w:rFonts w:ascii="Times New Roman" w:hAnsi="Times New Roman" w:cs="Times New Roman" w:eastAsia="Times New Roman" w:hint="default"/>
                <w:sz w:val="18"/>
                <w:szCs w:val="18"/>
              </w:rPr>
            </w:pPr>
            <w:r>
              <w:rPr>
                <w:rFonts w:ascii="Times New Roman"/>
                <w:sz w:val="18"/>
              </w:rPr>
              <w:t>3,319,083.59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2,155,295.72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4" w:right="0"/>
              <w:jc w:val="left"/>
              <w:rPr>
                <w:rFonts w:ascii="Times New Roman" w:hAnsi="Times New Roman" w:cs="Times New Roman" w:eastAsia="Times New Roman" w:hint="default"/>
                <w:sz w:val="18"/>
                <w:szCs w:val="18"/>
              </w:rPr>
            </w:pPr>
            <w:r>
              <w:rPr>
                <w:rFonts w:ascii="Times New Roman"/>
                <w:sz w:val="18"/>
              </w:rPr>
              <w:t>3,319,083.59</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2390"/>
        <w:gridCol w:w="2396"/>
        <w:gridCol w:w="2392"/>
        <w:gridCol w:w="2392"/>
      </w:tblGrid>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7" w:right="0"/>
              <w:jc w:val="left"/>
              <w:rPr>
                <w:rFonts w:ascii="Times New Roman" w:hAnsi="Times New Roman" w:cs="Times New Roman" w:eastAsia="Times New Roman" w:hint="default"/>
                <w:sz w:val="18"/>
                <w:szCs w:val="18"/>
              </w:rPr>
            </w:pPr>
            <w:r>
              <w:rPr>
                <w:rFonts w:ascii="Times New Roman"/>
                <w:sz w:val="18"/>
              </w:rPr>
              <w:t>3,319,083.59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4" w:right="0"/>
              <w:jc w:val="left"/>
              <w:rPr>
                <w:rFonts w:ascii="Times New Roman" w:hAnsi="Times New Roman" w:cs="Times New Roman" w:eastAsia="Times New Roman" w:hint="default"/>
                <w:sz w:val="18"/>
                <w:szCs w:val="18"/>
              </w:rPr>
            </w:pPr>
            <w:r>
              <w:rPr>
                <w:rFonts w:ascii="Times New Roman"/>
                <w:sz w:val="18"/>
              </w:rPr>
              <w:t>13,391,014.43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4" w:right="0"/>
              <w:jc w:val="left"/>
              <w:rPr>
                <w:rFonts w:ascii="Times New Roman" w:hAnsi="Times New Roman" w:cs="Times New Roman" w:eastAsia="Times New Roman" w:hint="default"/>
                <w:sz w:val="18"/>
                <w:szCs w:val="18"/>
              </w:rPr>
            </w:pPr>
            <w:r>
              <w:rPr>
                <w:rFonts w:ascii="Times New Roman"/>
                <w:sz w:val="18"/>
              </w:rPr>
              <w:t>3,319,083.59</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计入当期损益的政府补助：</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714"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发放主体</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发放原因</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性质类型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5" w:right="77"/>
              <w:jc w:val="left"/>
              <w:rPr>
                <w:rFonts w:ascii="宋体" w:hAnsi="宋体" w:cs="宋体" w:eastAsia="宋体" w:hint="default"/>
                <w:sz w:val="18"/>
                <w:szCs w:val="18"/>
              </w:rPr>
            </w:pPr>
            <w:r>
              <w:rPr>
                <w:rFonts w:ascii="宋体" w:hAnsi="宋体" w:cs="宋体" w:eastAsia="宋体" w:hint="default"/>
                <w:sz w:val="18"/>
                <w:szCs w:val="18"/>
              </w:rPr>
              <w:t>补贴是否影 响当年盈亏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5" w:right="77" w:hanging="360"/>
              <w:jc w:val="left"/>
              <w:rPr>
                <w:rFonts w:ascii="宋体" w:hAnsi="宋体" w:cs="宋体" w:eastAsia="宋体" w:hint="default"/>
                <w:sz w:val="18"/>
                <w:szCs w:val="18"/>
              </w:rPr>
            </w:pPr>
            <w:r>
              <w:rPr>
                <w:rFonts w:ascii="宋体" w:hAnsi="宋体" w:cs="宋体" w:eastAsia="宋体" w:hint="default"/>
                <w:sz w:val="18"/>
                <w:szCs w:val="18"/>
              </w:rPr>
              <w:t>是否特殊补 贴</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5" w:right="76" w:hanging="360"/>
              <w:jc w:val="left"/>
              <w:rPr>
                <w:rFonts w:ascii="宋体" w:hAnsi="宋体" w:cs="宋体" w:eastAsia="宋体" w:hint="default"/>
                <w:sz w:val="18"/>
                <w:szCs w:val="18"/>
              </w:rPr>
            </w:pPr>
            <w:r>
              <w:rPr>
                <w:rFonts w:ascii="宋体" w:hAnsi="宋体" w:cs="宋体" w:eastAsia="宋体" w:hint="default"/>
                <w:sz w:val="18"/>
                <w:szCs w:val="18"/>
              </w:rPr>
              <w:t>本期发生金 额</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5" w:right="74" w:hanging="360"/>
              <w:jc w:val="left"/>
              <w:rPr>
                <w:rFonts w:ascii="宋体" w:hAnsi="宋体" w:cs="宋体" w:eastAsia="宋体" w:hint="default"/>
                <w:sz w:val="18"/>
                <w:szCs w:val="18"/>
              </w:rPr>
            </w:pPr>
            <w:r>
              <w:rPr>
                <w:rFonts w:ascii="宋体" w:hAnsi="宋体" w:cs="宋体" w:eastAsia="宋体" w:hint="default"/>
                <w:sz w:val="18"/>
                <w:szCs w:val="18"/>
              </w:rPr>
              <w:t>上期发生金 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76" w:right="51"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2" w:right="131"/>
              <w:jc w:val="left"/>
              <w:rPr>
                <w:rFonts w:ascii="宋体" w:hAnsi="宋体" w:cs="宋体" w:eastAsia="宋体" w:hint="default"/>
                <w:sz w:val="18"/>
                <w:szCs w:val="18"/>
              </w:rPr>
            </w:pPr>
            <w:r>
              <w:rPr>
                <w:rFonts w:ascii="宋体" w:hAnsi="宋体" w:cs="宋体" w:eastAsia="宋体" w:hint="default"/>
                <w:sz w:val="18"/>
                <w:szCs w:val="18"/>
              </w:rPr>
              <w:t>文化创新发 展专项资金</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宋体" w:hAnsi="宋体" w:cs="宋体" w:eastAsia="宋体" w:hint="default"/>
                <w:sz w:val="20"/>
                <w:szCs w:val="20"/>
              </w:rPr>
            </w:pPr>
            <w:r>
              <w:rPr>
                <w:rFonts w:ascii="宋体" w:hAnsi="宋体" w:cs="宋体" w:eastAsia="宋体"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宋体" w:hAnsi="宋体" w:cs="宋体" w:eastAsia="宋体"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950,000.00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131"/>
              <w:jc w:val="both"/>
              <w:rPr>
                <w:rFonts w:ascii="宋体" w:hAnsi="宋体" w:cs="宋体" w:eastAsia="宋体" w:hint="default"/>
                <w:sz w:val="18"/>
                <w:szCs w:val="18"/>
              </w:rPr>
            </w:pPr>
            <w:r>
              <w:rPr>
                <w:rFonts w:ascii="宋体" w:hAnsi="宋体" w:cs="宋体" w:eastAsia="宋体" w:hint="default"/>
                <w:sz w:val="18"/>
                <w:szCs w:val="18"/>
              </w:rPr>
              <w:t>企业技术改 造和创新资 金</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宋体" w:hAnsi="宋体" w:cs="宋体" w:eastAsia="宋体" w:hint="default"/>
                <w:sz w:val="20"/>
                <w:szCs w:val="20"/>
              </w:rPr>
            </w:pPr>
            <w:r>
              <w:rPr>
                <w:rFonts w:ascii="宋体" w:hAnsi="宋体" w:cs="宋体" w:eastAsia="宋体"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宋体" w:hAnsi="宋体" w:cs="宋体" w:eastAsia="宋体"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4,571,000.00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科委专项</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宋体" w:hAnsi="宋体" w:cs="宋体" w:eastAsia="宋体" w:hint="default"/>
                <w:sz w:val="20"/>
                <w:szCs w:val="20"/>
              </w:rPr>
            </w:pPr>
            <w:r>
              <w:rPr>
                <w:rFonts w:ascii="宋体" w:hAnsi="宋体" w:cs="宋体" w:eastAsia="宋体"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宋体" w:hAnsi="宋体" w:cs="宋体" w:eastAsia="宋体"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1,208,718.71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131"/>
              <w:jc w:val="both"/>
              <w:rPr>
                <w:rFonts w:ascii="宋体" w:hAnsi="宋体" w:cs="宋体" w:eastAsia="宋体" w:hint="default"/>
                <w:sz w:val="18"/>
                <w:szCs w:val="18"/>
              </w:rPr>
            </w:pPr>
            <w:r>
              <w:rPr>
                <w:rFonts w:ascii="宋体" w:hAnsi="宋体" w:cs="宋体" w:eastAsia="宋体" w:hint="default"/>
                <w:sz w:val="18"/>
                <w:szCs w:val="18"/>
              </w:rPr>
              <w:t>中关村国际 化发展专项 资金</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宋体" w:hAnsi="宋体" w:cs="宋体" w:eastAsia="宋体" w:hint="default"/>
                <w:sz w:val="20"/>
                <w:szCs w:val="20"/>
              </w:rPr>
            </w:pPr>
            <w:r>
              <w:rPr>
                <w:rFonts w:ascii="宋体" w:hAnsi="宋体" w:cs="宋体" w:eastAsia="宋体"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宋体" w:hAnsi="宋体" w:cs="宋体" w:eastAsia="宋体"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1,556,000.00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131"/>
              <w:jc w:val="both"/>
              <w:rPr>
                <w:rFonts w:ascii="宋体" w:hAnsi="宋体" w:cs="宋体" w:eastAsia="宋体" w:hint="default"/>
                <w:sz w:val="18"/>
                <w:szCs w:val="18"/>
              </w:rPr>
            </w:pPr>
            <w:r>
              <w:rPr>
                <w:rFonts w:ascii="宋体" w:hAnsi="宋体" w:cs="宋体" w:eastAsia="宋体" w:hint="default"/>
                <w:sz w:val="18"/>
                <w:szCs w:val="18"/>
              </w:rPr>
              <w:t>中央文化产 业发展专项 资金</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宋体" w:hAnsi="宋体" w:cs="宋体" w:eastAsia="宋体" w:hint="default"/>
                <w:sz w:val="20"/>
                <w:szCs w:val="20"/>
              </w:rPr>
            </w:pPr>
            <w:r>
              <w:rPr>
                <w:rFonts w:ascii="宋体" w:hAnsi="宋体" w:cs="宋体" w:eastAsia="宋体"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宋体" w:hAnsi="宋体" w:cs="宋体" w:eastAsia="宋体"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950,000.00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9"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2" w:right="131"/>
              <w:jc w:val="left"/>
              <w:rPr>
                <w:rFonts w:ascii="宋体" w:hAnsi="宋体" w:cs="宋体" w:eastAsia="宋体" w:hint="default"/>
                <w:sz w:val="18"/>
                <w:szCs w:val="18"/>
              </w:rPr>
            </w:pPr>
            <w:r>
              <w:rPr>
                <w:rFonts w:ascii="宋体" w:hAnsi="宋体" w:cs="宋体" w:eastAsia="宋体" w:hint="default"/>
                <w:sz w:val="18"/>
                <w:szCs w:val="18"/>
              </w:rPr>
              <w:t>海外开拓项 目文创基金</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宋体" w:hAnsi="宋体" w:cs="宋体" w:eastAsia="宋体" w:hint="default"/>
                <w:sz w:val="20"/>
                <w:szCs w:val="20"/>
              </w:rPr>
            </w:pPr>
            <w:r>
              <w:rPr>
                <w:rFonts w:ascii="宋体" w:hAnsi="宋体" w:cs="宋体" w:eastAsia="宋体"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宋体" w:hAnsi="宋体" w:cs="宋体" w:eastAsia="宋体"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4"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11,235,718.7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2"/>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72、营业外支出" w:id="394"/>
      <w:bookmarkEnd w:id="394"/>
      <w:r>
        <w:rPr>
          <w:b w:val="0"/>
          <w:bCs w:val="0"/>
        </w:rPr>
      </w:r>
      <w:r>
        <w:rPr>
          <w:rFonts w:ascii="Times New Roman" w:hAnsi="Times New Roman" w:cs="Times New Roman" w:eastAsia="Times New Roman" w:hint="default"/>
        </w:rPr>
        <w:t>72</w:t>
      </w:r>
      <w:r>
        <w:rPr/>
        <w:t>、营业外支出</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2378"/>
        <w:gridCol w:w="2396"/>
        <w:gridCol w:w="2392"/>
        <w:gridCol w:w="2392"/>
      </w:tblGrid>
      <w:tr>
        <w:trPr>
          <w:trHeight w:val="161" w:hRule="exact"/>
        </w:trPr>
        <w:tc>
          <w:tcPr>
            <w:tcW w:w="2378"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2"/>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2" w:hRule="exact"/>
        </w:trPr>
        <w:tc>
          <w:tcPr>
            <w:tcW w:w="237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vMerge/>
            <w:tcBorders>
              <w:left w:val="single" w:sz="4" w:space="0" w:color="000000"/>
              <w:right w:val="single" w:sz="4" w:space="0" w:color="000000"/>
            </w:tcBorders>
            <w:shd w:val="clear" w:color="auto" w:fill="D2D2D2"/>
          </w:tcPr>
          <w:p>
            <w:pPr/>
          </w:p>
        </w:tc>
      </w:tr>
      <w:tr>
        <w:trPr>
          <w:trHeight w:val="161" w:hRule="exact"/>
        </w:trPr>
        <w:tc>
          <w:tcPr>
            <w:tcW w:w="2378"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6" w:type="dxa"/>
            <w:tcBorders>
              <w:top w:val="single" w:sz="4" w:space="0" w:color="000000"/>
              <w:left w:val="single" w:sz="13" w:space="0" w:color="D2D2D2"/>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717,451.90</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滞纳金及赔偿款</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17" w:right="0"/>
              <w:jc w:val="left"/>
              <w:rPr>
                <w:rFonts w:ascii="Times New Roman" w:hAnsi="Times New Roman" w:cs="Times New Roman" w:eastAsia="Times New Roman" w:hint="default"/>
                <w:sz w:val="18"/>
                <w:szCs w:val="18"/>
              </w:rPr>
            </w:pPr>
            <w:r>
              <w:rPr>
                <w:rFonts w:ascii="Times New Roman"/>
                <w:sz w:val="18"/>
              </w:rPr>
              <w:t>1,008,487.79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13,628.18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14" w:right="0"/>
              <w:jc w:val="left"/>
              <w:rPr>
                <w:rFonts w:ascii="Times New Roman" w:hAnsi="Times New Roman" w:cs="Times New Roman" w:eastAsia="Times New Roman" w:hint="default"/>
                <w:sz w:val="18"/>
                <w:szCs w:val="18"/>
              </w:rPr>
            </w:pPr>
            <w:r>
              <w:rPr>
                <w:rFonts w:ascii="Times New Roman"/>
                <w:sz w:val="18"/>
              </w:rPr>
              <w:t>1,008,487.79</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2390"/>
        <w:gridCol w:w="2396"/>
        <w:gridCol w:w="2392"/>
        <w:gridCol w:w="2392"/>
      </w:tblGrid>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720,033.47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438,033.91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720,033.47</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1,728,521.26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1,169,113.99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1,728,521.26</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73、所得税费用" w:id="395"/>
      <w:bookmarkEnd w:id="395"/>
      <w:r>
        <w:rPr>
          <w:b w:val="0"/>
          <w:bCs w:val="0"/>
        </w:rPr>
      </w:r>
      <w:r>
        <w:rPr>
          <w:rFonts w:ascii="Times New Roman" w:hAnsi="Times New Roman" w:cs="Times New Roman" w:eastAsia="Times New Roman" w:hint="default"/>
        </w:rPr>
        <w:t>73</w:t>
      </w:r>
      <w:r>
        <w:rPr/>
        <w:t>、所得税费用</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right="998"/>
        <w:jc w:val="left"/>
        <w:rPr>
          <w:b w:val="0"/>
          <w:bCs w:val="0"/>
        </w:rPr>
      </w:pPr>
      <w:bookmarkStart w:name="（1）所得税费用表" w:id="396"/>
      <w:bookmarkEnd w:id="396"/>
      <w:r>
        <w:rPr>
          <w:b w:val="0"/>
          <w:bCs w:val="0"/>
        </w:rPr>
      </w:r>
      <w:r>
        <w:rPr/>
        <w:t>（</w:t>
      </w:r>
      <w:r>
        <w:rPr>
          <w:rFonts w:ascii="Times New Roman" w:hAnsi="Times New Roman" w:cs="Times New Roman" w:eastAsia="Times New Roman" w:hint="default"/>
        </w:rPr>
        <w:t>1</w:t>
      </w:r>
      <w:r>
        <w:rPr/>
        <w:t>）所得税费用表</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44,139,174.49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27,996,705.28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2,117,623.20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-3,852,829.12</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46,256,797.69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24,143,876.16</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2）会计利润与所得税费用调整过程" w:id="397"/>
      <w:bookmarkEnd w:id="397"/>
      <w:r>
        <w:rPr>
          <w:b w:val="0"/>
          <w:bCs w:val="0"/>
        </w:rPr>
      </w: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4757"/>
        <w:gridCol w:w="4800"/>
      </w:tblGrid>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1,464,943,207.24</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366,235,801.81</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-263,917,246.72</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3,652,113.76</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-97,556,185.99</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37,932,706.55</w:t>
            </w:r>
          </w:p>
        </w:tc>
      </w:tr>
      <w:tr>
        <w:trPr>
          <w:trHeight w:val="714"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55"/>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 损的影响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-90,391.72</w:t>
            </w:r>
            <w:r>
              <w:rPr>
                <w:rFonts w:ascii="Times New Roman"/>
                <w:sz w:val="18"/>
              </w:rPr>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46,256,797.69</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74、其他综合收益" w:id="398"/>
      <w:bookmarkEnd w:id="398"/>
      <w:r>
        <w:rPr>
          <w:b w:val="0"/>
          <w:bCs w:val="0"/>
        </w:rPr>
      </w:r>
      <w:r>
        <w:rPr>
          <w:rFonts w:ascii="Times New Roman" w:hAnsi="Times New Roman" w:cs="Times New Roman" w:eastAsia="Times New Roman" w:hint="default"/>
        </w:rPr>
        <w:t>74</w:t>
      </w:r>
      <w:r>
        <w:rPr/>
        <w:t>、其他综合收益</w:t>
      </w:r>
      <w:r>
        <w:rPr>
          <w:b w:val="0"/>
          <w:bCs w:val="0"/>
        </w:rPr>
      </w:r>
    </w:p>
    <w:p>
      <w:pPr>
        <w:spacing w:line="240" w:lineRule="auto" w:before="9"/>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详见附注二十八。</w:t>
      </w:r>
    </w:p>
    <w:p>
      <w:pPr>
        <w:spacing w:line="240" w:lineRule="auto" w:before="10"/>
        <w:rPr>
          <w:rFonts w:ascii="宋体" w:hAnsi="宋体" w:cs="宋体" w:eastAsia="宋体" w:hint="default"/>
          <w:sz w:val="26"/>
          <w:szCs w:val="26"/>
        </w:rPr>
      </w:pPr>
    </w:p>
    <w:p>
      <w:pPr>
        <w:pStyle w:val="Heading6"/>
        <w:spacing w:line="240" w:lineRule="auto"/>
        <w:ind w:right="998"/>
        <w:jc w:val="left"/>
        <w:rPr>
          <w:b w:val="0"/>
          <w:bCs w:val="0"/>
        </w:rPr>
      </w:pPr>
      <w:bookmarkStart w:name="75、现金流量表项目" w:id="399"/>
      <w:bookmarkEnd w:id="399"/>
      <w:r>
        <w:rPr>
          <w:b w:val="0"/>
          <w:bCs w:val="0"/>
        </w:rPr>
      </w:r>
      <w:r>
        <w:rPr>
          <w:rFonts w:ascii="Times New Roman" w:hAnsi="Times New Roman" w:cs="Times New Roman" w:eastAsia="Times New Roman" w:hint="default"/>
        </w:rPr>
        <w:t>75</w:t>
      </w:r>
      <w:r>
        <w:rPr/>
        <w:t>、现金流量表项目</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left="1133" w:right="998"/>
        <w:jc w:val="left"/>
        <w:rPr>
          <w:b w:val="0"/>
          <w:bCs w:val="0"/>
        </w:rPr>
      </w:pPr>
      <w:bookmarkStart w:name="（1）收到的其他与经营活动有关的现金" w:id="400"/>
      <w:bookmarkEnd w:id="400"/>
      <w:r>
        <w:rPr>
          <w:b w:val="0"/>
          <w:bCs w:val="0"/>
        </w:rPr>
      </w: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收回往来款、代垫款、预缴税费返还款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18,674,936.85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351,526,743.20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6,360,543.87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8,950,528.90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3,319,083.59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13,018,779.74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35,581,798.35</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63,936,362.66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373,496,051.84</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收到的其他与经营活动有关的现金说明：</w:t>
      </w:r>
    </w:p>
    <w:p>
      <w:pPr>
        <w:spacing w:line="240" w:lineRule="auto" w:before="11"/>
        <w:rPr>
          <w:rFonts w:ascii="宋体" w:hAnsi="宋体" w:cs="宋体" w:eastAsia="宋体" w:hint="default"/>
          <w:sz w:val="26"/>
          <w:szCs w:val="26"/>
        </w:rPr>
      </w:pPr>
    </w:p>
    <w:p>
      <w:pPr>
        <w:pStyle w:val="Heading6"/>
        <w:spacing w:line="240" w:lineRule="auto"/>
        <w:ind w:right="998"/>
        <w:jc w:val="left"/>
        <w:rPr>
          <w:b w:val="0"/>
          <w:bCs w:val="0"/>
        </w:rPr>
      </w:pPr>
      <w:bookmarkStart w:name="（2）支付的其他与经营活动有关的现金" w:id="401"/>
      <w:bookmarkEnd w:id="401"/>
      <w:r>
        <w:rPr>
          <w:b w:val="0"/>
          <w:bCs w:val="0"/>
        </w:rPr>
      </w: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支付往来款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70,317,786.99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307,719,958.06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销售费用支出</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487,454,730.78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262,278,657.12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管理费用支出</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171,832,724.49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129,290,812.39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手续费支出</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3,149,340.03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1,362,513.07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1,728,521.26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1,169,113.99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734,483,103.55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701,821,054.63</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支付的其他与经营活动有关的现金说明：</w:t>
      </w:r>
    </w:p>
    <w:p>
      <w:pPr>
        <w:spacing w:line="240" w:lineRule="auto" w:before="11"/>
        <w:rPr>
          <w:rFonts w:ascii="宋体" w:hAnsi="宋体" w:cs="宋体" w:eastAsia="宋体" w:hint="default"/>
          <w:sz w:val="26"/>
          <w:szCs w:val="26"/>
        </w:rPr>
      </w:pPr>
    </w:p>
    <w:p>
      <w:pPr>
        <w:pStyle w:val="Heading6"/>
        <w:spacing w:line="240" w:lineRule="auto"/>
        <w:ind w:right="998"/>
        <w:jc w:val="left"/>
        <w:rPr>
          <w:b w:val="0"/>
          <w:bCs w:val="0"/>
        </w:rPr>
      </w:pPr>
      <w:bookmarkStart w:name="（3）收到的其他与投资活动有关的现金" w:id="402"/>
      <w:bookmarkEnd w:id="402"/>
      <w:r>
        <w:rPr>
          <w:b w:val="0"/>
          <w:bCs w:val="0"/>
        </w:rPr>
      </w: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收回过桥贷款</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投资保证金</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198,456,720.00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273,456,720.00</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收到的其他与投资活动有关的现金说明：</w:t>
      </w:r>
    </w:p>
    <w:p>
      <w:pPr>
        <w:spacing w:line="240" w:lineRule="auto" w:before="11"/>
        <w:rPr>
          <w:rFonts w:ascii="宋体" w:hAnsi="宋体" w:cs="宋体" w:eastAsia="宋体" w:hint="default"/>
          <w:sz w:val="26"/>
          <w:szCs w:val="26"/>
        </w:rPr>
      </w:pPr>
    </w:p>
    <w:p>
      <w:pPr>
        <w:pStyle w:val="Heading6"/>
        <w:spacing w:line="240" w:lineRule="auto"/>
        <w:ind w:right="998"/>
        <w:jc w:val="left"/>
        <w:rPr>
          <w:b w:val="0"/>
          <w:bCs w:val="0"/>
        </w:rPr>
      </w:pPr>
      <w:bookmarkStart w:name="（4）支付的其他与投资活动有关的现金" w:id="403"/>
      <w:bookmarkEnd w:id="403"/>
      <w:r>
        <w:rPr>
          <w:b w:val="0"/>
          <w:bCs w:val="0"/>
        </w:rPr>
      </w: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过桥贷款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80,058,465.10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88,313,603.86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198,456,720.00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对外借款</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36,852,622.50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214,000.00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4,363,398.34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80,272,465.10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327,986,344.70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13"/>
        <w:rPr>
          <w:rFonts w:ascii="宋体" w:hAnsi="宋体" w:cs="宋体" w:eastAsia="宋体" w:hint="default"/>
          <w:sz w:val="25"/>
          <w:szCs w:val="25"/>
        </w:rPr>
      </w:pPr>
    </w:p>
    <w:p>
      <w:pPr>
        <w:spacing w:before="44"/>
        <w:ind w:left="1133" w:right="998" w:firstLine="0"/>
        <w:jc w:val="left"/>
        <w:rPr>
          <w:rFonts w:ascii="宋体" w:hAnsi="宋体" w:cs="宋体" w:eastAsia="宋体" w:hint="default"/>
          <w:sz w:val="18"/>
          <w:szCs w:val="18"/>
        </w:rPr>
      </w:pPr>
      <w:r>
        <w:rPr>
          <w:rFonts w:ascii="宋体" w:hAnsi="宋体" w:cs="宋体" w:eastAsia="宋体" w:hint="default"/>
          <w:sz w:val="18"/>
          <w:szCs w:val="18"/>
        </w:rPr>
        <w:t>支付的其他与投资活动有关的现金说明：</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5）收到的其他与筹资活动有关的现金" w:id="404"/>
      <w:bookmarkEnd w:id="404"/>
      <w:r>
        <w:rPr>
          <w:b w:val="0"/>
          <w:bCs w:val="0"/>
        </w:rPr>
      </w: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融资租赁款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200,000,000.00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200,000,000.00</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收到的其他与筹资活动有关的现金说明：</w:t>
      </w:r>
    </w:p>
    <w:p>
      <w:pPr>
        <w:spacing w:line="240" w:lineRule="auto" w:before="10"/>
        <w:rPr>
          <w:rFonts w:ascii="宋体" w:hAnsi="宋体" w:cs="宋体" w:eastAsia="宋体" w:hint="default"/>
          <w:sz w:val="26"/>
          <w:szCs w:val="26"/>
        </w:rPr>
      </w:pPr>
    </w:p>
    <w:p>
      <w:pPr>
        <w:pStyle w:val="Heading6"/>
        <w:spacing w:line="240" w:lineRule="auto"/>
        <w:ind w:right="998"/>
        <w:jc w:val="left"/>
        <w:rPr>
          <w:b w:val="0"/>
          <w:bCs w:val="0"/>
        </w:rPr>
      </w:pPr>
      <w:bookmarkStart w:name="（6）支付的其他与筹资活动有关的现金" w:id="405"/>
      <w:bookmarkEnd w:id="405"/>
      <w:r>
        <w:rPr>
          <w:b w:val="0"/>
          <w:bCs w:val="0"/>
        </w:rPr>
      </w: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限制性股票回购款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68,920,003.68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3,412,248.49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融资租赁租金及服务费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55,524,333.32</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非公开发行股票中介机构费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16,238,258.06</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发行债券费用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1,204,800.00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12,814,600.00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股权激励服务费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330,000.00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股权登记服务费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195,386.12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112,384.89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其他融资服务费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1,281,330.72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1,356,075.00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2"/>
                <w:sz w:val="18"/>
              </w:rPr>
              <w:t>143,694,111.90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17,695,308.38</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支付的其他与筹资活动有关的现金说明：</w:t>
      </w:r>
    </w:p>
    <w:p>
      <w:pPr>
        <w:spacing w:line="240" w:lineRule="auto" w:before="10"/>
        <w:rPr>
          <w:rFonts w:ascii="宋体" w:hAnsi="宋体" w:cs="宋体" w:eastAsia="宋体" w:hint="default"/>
          <w:sz w:val="26"/>
          <w:szCs w:val="26"/>
        </w:rPr>
      </w:pPr>
    </w:p>
    <w:p>
      <w:pPr>
        <w:pStyle w:val="Heading6"/>
        <w:spacing w:line="240" w:lineRule="auto"/>
        <w:ind w:right="998"/>
        <w:jc w:val="left"/>
        <w:rPr>
          <w:b w:val="0"/>
          <w:bCs w:val="0"/>
        </w:rPr>
      </w:pPr>
      <w:bookmarkStart w:name="76、现金流量表补充资料" w:id="406"/>
      <w:bookmarkEnd w:id="406"/>
      <w:r>
        <w:rPr>
          <w:b w:val="0"/>
          <w:bCs w:val="0"/>
        </w:rPr>
      </w:r>
      <w:r>
        <w:rPr>
          <w:rFonts w:ascii="Times New Roman" w:hAnsi="Times New Roman" w:cs="Times New Roman" w:eastAsia="Times New Roman" w:hint="default"/>
        </w:rPr>
        <w:t>76</w:t>
      </w:r>
      <w:r>
        <w:rPr/>
        <w:t>、现金流量表补充资料</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left="1133" w:right="998"/>
        <w:jc w:val="left"/>
        <w:rPr>
          <w:b w:val="0"/>
          <w:bCs w:val="0"/>
        </w:rPr>
      </w:pPr>
      <w:bookmarkStart w:name="（1）现金流量表补充资料" w:id="407"/>
      <w:bookmarkEnd w:id="407"/>
      <w:r>
        <w:rPr>
          <w:b w:val="0"/>
          <w:bCs w:val="0"/>
        </w:rPr>
      </w:r>
      <w:r>
        <w:rPr/>
        <w:t>（</w:t>
      </w:r>
      <w:r>
        <w:rPr>
          <w:rFonts w:ascii="Times New Roman" w:hAnsi="Times New Roman" w:cs="Times New Roman" w:eastAsia="Times New Roman" w:hint="default"/>
        </w:rPr>
        <w:t>1</w:t>
      </w:r>
      <w:r>
        <w:rPr/>
        <w:t>）现金流量表补充资料</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3305"/>
        <w:gridCol w:w="3069"/>
        <w:gridCol w:w="3184"/>
      </w:tblGrid>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1,418,686,409.55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545,250,896.55</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31,666,901.58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78,479,660.83</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1"/>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 物资产折旧</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9,790,976.52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10,136,564.76</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7,562,034.45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7,416,821.61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45,106,572.04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88,387,979.05</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1"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-1,250,264.28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198,409.23</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r>
        <w:rPr/>
        <w:pict>
          <v:group style="position:absolute;margin-left:223.339996pt;margin-top:130.229980pt;width:151.25pt;height:20.8pt;mso-position-horizontal-relative:page;mso-position-vertical-relative:page;z-index:-1135216" coordorigin="4467,2605" coordsize="3025,416">
            <v:group style="position:absolute;left:4478;top:2616;width:2;height:393" coordorigin="4478,2616" coordsize="2,393">
              <v:shape style="position:absolute;left:4478;top:2616;width:2;height:393" coordorigin="4478,2616" coordsize="0,393" path="m4478,2616l4478,3009e" filled="false" stroked="true" strokeweight="1.140pt" strokecolor="#ffffff">
                <v:path arrowok="t"/>
              </v:shape>
            </v:group>
            <v:group style="position:absolute;left:4490;top:2616;width:3002;height:393" coordorigin="4490,2616" coordsize="3002,393">
              <v:shape style="position:absolute;left:4490;top:2616;width:3002;height:393" coordorigin="4490,2616" coordsize="3002,393" path="m4490,3009l7491,3009,7491,2616,4490,2616,4490,3009xe" filled="true" fillcolor="#ffffff" stroked="false">
                <v:path arrowok="t"/>
                <v:fill type="solid"/>
              </v:shape>
            </v:group>
            <w10:wrap type="none"/>
          </v:group>
        </w:pict>
      </w:r>
    </w:p>
    <w:tbl>
      <w:tblPr>
        <w:tblW w:w="0" w:type="auto"/>
        <w:jc w:val="left"/>
        <w:tblInd w:w="1140" w:type="dxa"/>
        <w:tblLayout w:type="fixed"/>
        <w:tblCellMar>
          <w:top w:w="0" w:type="dxa"/>
          <w:left w:w="0" w:type="dxa"/>
          <w:bottom w:w="0" w:type="dxa"/>
          <w:right w:w="0" w:type="dxa"/>
        </w:tblCellMar>
        <w:tblLook w:val="01E0"/>
      </w:tblPr>
      <w:tblGrid>
        <w:gridCol w:w="3305"/>
        <w:gridCol w:w="1088"/>
        <w:gridCol w:w="1981"/>
        <w:gridCol w:w="3184"/>
      </w:tblGrid>
      <w:tr>
        <w:trPr>
          <w:trHeight w:val="36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989" w:right="0"/>
              <w:jc w:val="left"/>
              <w:rPr>
                <w:rFonts w:ascii="Times New Roman" w:hAnsi="Times New Roman" w:cs="Times New Roman" w:eastAsia="Times New Roman" w:hint="default"/>
                <w:sz w:val="18"/>
                <w:szCs w:val="18"/>
              </w:rPr>
            </w:pPr>
            <w:r>
              <w:rPr>
                <w:rFonts w:ascii="Times New Roman"/>
                <w:sz w:val="18"/>
              </w:rPr>
              <w:t>99,619,783.08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62,641,420.28</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839" w:right="0"/>
              <w:jc w:val="left"/>
              <w:rPr>
                <w:rFonts w:ascii="Times New Roman" w:hAnsi="Times New Roman" w:cs="Times New Roman" w:eastAsia="Times New Roman" w:hint="default"/>
                <w:sz w:val="18"/>
                <w:szCs w:val="18"/>
              </w:rPr>
            </w:pPr>
            <w:r>
              <w:rPr>
                <w:rFonts w:ascii="Times New Roman"/>
                <w:sz w:val="18"/>
              </w:rPr>
              <w:t>-444,016,282.31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-492,610,760.31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1088" w:type="dxa"/>
            <w:tcBorders>
              <w:top w:val="single" w:sz="4" w:space="0" w:color="000000"/>
              <w:left w:val="single" w:sz="13" w:space="0" w:color="D2D2D2"/>
              <w:bottom w:val="single" w:sz="4" w:space="0" w:color="000000"/>
              <w:right w:val="nil" w:sz="6" w:space="0" w:color="auto"/>
            </w:tcBorders>
          </w:tcPr>
          <w:p>
            <w:pPr>
              <w:pStyle w:val="TableParagraph"/>
              <w:spacing w:line="240" w:lineRule="auto" w:before="51"/>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198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left="1014" w:right="0"/>
              <w:jc w:val="left"/>
              <w:rPr>
                <w:rFonts w:ascii="Times New Roman" w:hAnsi="Times New Roman" w:cs="Times New Roman" w:eastAsia="Times New Roman" w:hint="default"/>
                <w:sz w:val="18"/>
                <w:szCs w:val="18"/>
              </w:rPr>
            </w:pPr>
            <w:r>
              <w:rPr>
                <w:rFonts w:ascii="Times New Roman"/>
                <w:sz w:val="18"/>
              </w:rPr>
              <w:t>2,117,623.20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-3,852,829.12</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61"/>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989" w:right="0"/>
              <w:jc w:val="left"/>
              <w:rPr>
                <w:rFonts w:ascii="Times New Roman" w:hAnsi="Times New Roman" w:cs="Times New Roman" w:eastAsia="Times New Roman" w:hint="default"/>
                <w:sz w:val="18"/>
                <w:szCs w:val="18"/>
              </w:rPr>
            </w:pPr>
            <w:r>
              <w:rPr>
                <w:rFonts w:ascii="Times New Roman"/>
                <w:sz w:val="18"/>
              </w:rPr>
              <w:t>52,175,368.46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-221,714,068.82</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61"/>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39" w:right="0"/>
              <w:jc w:val="left"/>
              <w:rPr>
                <w:rFonts w:ascii="Times New Roman" w:hAnsi="Times New Roman" w:cs="Times New Roman" w:eastAsia="Times New Roman" w:hint="default"/>
                <w:sz w:val="18"/>
                <w:szCs w:val="18"/>
              </w:rPr>
            </w:pPr>
            <w:r>
              <w:rPr>
                <w:rFonts w:ascii="Times New Roman"/>
                <w:sz w:val="18"/>
              </w:rPr>
              <w:t>-142,960,977.41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216,938,251.52</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929" w:right="0"/>
              <w:jc w:val="left"/>
              <w:rPr>
                <w:rFonts w:ascii="Times New Roman" w:hAnsi="Times New Roman" w:cs="Times New Roman" w:eastAsia="Times New Roman" w:hint="default"/>
                <w:sz w:val="18"/>
                <w:szCs w:val="18"/>
              </w:rPr>
            </w:pPr>
            <w:r>
              <w:rPr>
                <w:rFonts w:ascii="Times New Roman"/>
                <w:sz w:val="18"/>
              </w:rPr>
              <w:t>-32,702,159.88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65,848,631.31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764" w:right="0"/>
              <w:jc w:val="left"/>
              <w:rPr>
                <w:rFonts w:ascii="Times New Roman" w:hAnsi="Times New Roman" w:cs="Times New Roman" w:eastAsia="Times New Roman" w:hint="default"/>
                <w:sz w:val="18"/>
                <w:szCs w:val="18"/>
              </w:rPr>
            </w:pPr>
            <w:r>
              <w:rPr>
                <w:rFonts w:ascii="Times New Roman"/>
                <w:sz w:val="18"/>
              </w:rPr>
              <w:t>1,045,795,985.00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357,120,976.89</w:t>
            </w:r>
          </w:p>
        </w:tc>
      </w:tr>
      <w:tr>
        <w:trPr>
          <w:trHeight w:val="161" w:hRule="exact"/>
        </w:trPr>
        <w:tc>
          <w:tcPr>
            <w:tcW w:w="3305" w:type="dxa"/>
            <w:vMerge w:val="restart"/>
            <w:tcBorders>
              <w:top w:val="single" w:sz="4" w:space="0" w:color="000000"/>
              <w:left w:val="single" w:sz="4" w:space="0" w:color="000000"/>
              <w:right w:val="single" w:sz="4" w:space="0" w:color="000000"/>
            </w:tcBorders>
            <w:shd w:val="clear" w:color="auto" w:fill="D2D2D2"/>
          </w:tcPr>
          <w:p>
            <w:pPr>
              <w:pStyle w:val="TableParagraph"/>
              <w:spacing w:line="300" w:lineRule="auto" w:before="51"/>
              <w:ind w:left="11" w:right="13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 动：</w:t>
            </w:r>
          </w:p>
        </w:tc>
        <w:tc>
          <w:tcPr>
            <w:tcW w:w="3069"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318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3305" w:type="dxa"/>
            <w:vMerge/>
            <w:tcBorders>
              <w:left w:val="single" w:sz="4" w:space="0" w:color="000000"/>
              <w:right w:val="single" w:sz="4" w:space="0" w:color="000000"/>
            </w:tcBorders>
            <w:shd w:val="clear" w:color="auto" w:fill="D2D2D2"/>
          </w:tcPr>
          <w:p>
            <w:pPr/>
          </w:p>
        </w:tc>
        <w:tc>
          <w:tcPr>
            <w:tcW w:w="3069"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3305" w:type="dxa"/>
            <w:vMerge/>
            <w:tcBorders>
              <w:left w:val="single" w:sz="4" w:space="0" w:color="000000"/>
              <w:bottom w:val="single" w:sz="4" w:space="0" w:color="000000"/>
              <w:right w:val="single" w:sz="4" w:space="0" w:color="000000"/>
            </w:tcBorders>
            <w:shd w:val="clear" w:color="auto" w:fill="D2D2D2"/>
          </w:tcPr>
          <w:p>
            <w:pPr/>
          </w:p>
        </w:tc>
        <w:tc>
          <w:tcPr>
            <w:tcW w:w="3069"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318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764" w:right="0"/>
              <w:jc w:val="left"/>
              <w:rPr>
                <w:rFonts w:ascii="Times New Roman" w:hAnsi="Times New Roman" w:cs="Times New Roman" w:eastAsia="Times New Roman" w:hint="default"/>
                <w:sz w:val="18"/>
                <w:szCs w:val="18"/>
              </w:rPr>
            </w:pPr>
            <w:r>
              <w:rPr>
                <w:rFonts w:ascii="Times New Roman"/>
                <w:sz w:val="18"/>
              </w:rPr>
              <w:t>2,024,591,699.88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1,057,097,819.87</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764" w:right="0"/>
              <w:jc w:val="left"/>
              <w:rPr>
                <w:rFonts w:ascii="Times New Roman" w:hAnsi="Times New Roman" w:cs="Times New Roman" w:eastAsia="Times New Roman" w:hint="default"/>
                <w:sz w:val="18"/>
                <w:szCs w:val="18"/>
              </w:rPr>
            </w:pPr>
            <w:r>
              <w:rPr>
                <w:rFonts w:ascii="Times New Roman"/>
                <w:sz w:val="18"/>
              </w:rPr>
              <w:t>1,057,097,819.87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994,811,978.64</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899" w:right="0"/>
              <w:jc w:val="left"/>
              <w:rPr>
                <w:rFonts w:ascii="Times New Roman" w:hAnsi="Times New Roman" w:cs="Times New Roman" w:eastAsia="Times New Roman" w:hint="default"/>
                <w:sz w:val="18"/>
                <w:szCs w:val="18"/>
              </w:rPr>
            </w:pPr>
            <w:r>
              <w:rPr>
                <w:rFonts w:ascii="Times New Roman"/>
                <w:sz w:val="18"/>
              </w:rPr>
              <w:t>967,493,880.01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62,285,841.23</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2）本期支付的取得子公司的现金净额" w:id="408"/>
      <w:bookmarkEnd w:id="408"/>
      <w:r>
        <w:rPr>
          <w:b w:val="0"/>
          <w:bCs w:val="0"/>
        </w:rPr>
      </w:r>
      <w:r>
        <w:rPr/>
        <w:t>（</w:t>
      </w:r>
      <w:r>
        <w:rPr>
          <w:rFonts w:ascii="Times New Roman" w:hAnsi="Times New Roman" w:cs="Times New Roman" w:eastAsia="Times New Roman" w:hint="default"/>
        </w:rPr>
        <w:t>2</w:t>
      </w:r>
      <w:r>
        <w:rPr/>
        <w:t>）本期支付的取得子公司的现金净额</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4989"/>
        <w:gridCol w:w="4580"/>
      </w:tblGrid>
      <w:tr>
        <w:trPr>
          <w:trHeight w:val="403"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本期发生的企业合并于本期支付的现金或现金等价物</w:t>
            </w:r>
          </w:p>
        </w:tc>
        <w:tc>
          <w:tcPr>
            <w:tcW w:w="45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933,428,080.00</w:t>
            </w:r>
          </w:p>
        </w:tc>
      </w:tr>
      <w:tr>
        <w:trPr>
          <w:trHeight w:val="401"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北京闲徕互娱网络科技有限公司</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820,000,000.00</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成都杰蛙科技有限公司</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10,525,000.00</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Grindr</w:t>
            </w:r>
            <w:r>
              <w:rPr>
                <w:rFonts w:ascii="Times New Roman"/>
                <w:spacing w:val="-1"/>
                <w:sz w:val="18"/>
              </w:rPr>
              <w:t> </w:t>
            </w:r>
            <w:r>
              <w:rPr>
                <w:rFonts w:ascii="Times New Roman"/>
                <w:sz w:val="18"/>
              </w:rPr>
              <w:t>LLC</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102,853,080.00</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深圳市天橙一品科技有限公司</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50,000.00</w:t>
            </w:r>
          </w:p>
        </w:tc>
      </w:tr>
      <w:tr>
        <w:trPr>
          <w:trHeight w:val="403"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减：购买日子公司持有的现金及现金等价物</w:t>
            </w:r>
          </w:p>
        </w:tc>
        <w:tc>
          <w:tcPr>
            <w:tcW w:w="45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349,083,351.78</w:t>
            </w:r>
          </w:p>
        </w:tc>
      </w:tr>
      <w:tr>
        <w:trPr>
          <w:trHeight w:val="401"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北京闲徕互娱网络科技有限公司</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348,979,202.73</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成都杰蛙科技有限公司</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104,081.28</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深圳市天橙一品科技有限公司</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67.77</w:t>
            </w:r>
          </w:p>
        </w:tc>
      </w:tr>
      <w:tr>
        <w:trPr>
          <w:trHeight w:val="403"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取得子公司支付的现金净额</w:t>
            </w:r>
          </w:p>
        </w:tc>
        <w:tc>
          <w:tcPr>
            <w:tcW w:w="45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584,344,728.22</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3）本期收到的处置子公司的现金净额" w:id="409"/>
      <w:bookmarkEnd w:id="409"/>
      <w:r>
        <w:rPr>
          <w:b w:val="0"/>
          <w:bCs w:val="0"/>
        </w:rPr>
      </w:r>
      <w:r>
        <w:rPr/>
        <w:t>（</w:t>
      </w:r>
      <w:r>
        <w:rPr>
          <w:rFonts w:ascii="Times New Roman" w:hAnsi="Times New Roman" w:cs="Times New Roman" w:eastAsia="Times New Roman" w:hint="default"/>
        </w:rPr>
        <w:t>3</w:t>
      </w:r>
      <w:r>
        <w:rPr/>
        <w:t>）本期收到的处置子公司的现金净额</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4989"/>
        <w:gridCol w:w="4580"/>
      </w:tblGrid>
      <w:tr>
        <w:trPr>
          <w:trHeight w:val="403"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4）现金和现金等价物的构成" w:id="410"/>
      <w:bookmarkEnd w:id="410"/>
      <w:r>
        <w:rPr>
          <w:b w:val="0"/>
          <w:bCs w:val="0"/>
        </w:rPr>
      </w:r>
      <w:r>
        <w:rPr/>
        <w:t>（</w:t>
      </w:r>
      <w:r>
        <w:rPr>
          <w:rFonts w:ascii="Times New Roman" w:hAnsi="Times New Roman" w:cs="Times New Roman" w:eastAsia="Times New Roman" w:hint="default"/>
        </w:rPr>
        <w:t>4</w:t>
      </w:r>
      <w:r>
        <w:rPr/>
        <w:t>）现金和现金等价物的构成</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305"/>
        <w:gridCol w:w="3069"/>
        <w:gridCol w:w="3184"/>
      </w:tblGrid>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2,024,591,699.88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1,057,097,819.87</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343,240.46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127,910.61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51"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2,003,493,721.00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1,056,969,889.81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51"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20,754,738.42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19.45</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2,024,591,699.88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1,057,097,819.87</w:t>
            </w:r>
          </w:p>
        </w:tc>
      </w:tr>
      <w:tr>
        <w:trPr>
          <w:trHeight w:val="716"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1" w:right="41"/>
              <w:jc w:val="left"/>
              <w:rPr>
                <w:rFonts w:ascii="宋体" w:hAnsi="宋体" w:cs="宋体" w:eastAsia="宋体" w:hint="default"/>
                <w:sz w:val="18"/>
                <w:szCs w:val="18"/>
              </w:rPr>
            </w:pPr>
            <w:r>
              <w:rPr>
                <w:rFonts w:ascii="宋体" w:hAnsi="宋体" w:cs="宋体" w:eastAsia="宋体" w:hint="default"/>
                <w:sz w:val="18"/>
                <w:szCs w:val="18"/>
              </w:rPr>
              <w:t>其中：母公司或集团内子公司使用受限制 的现金和现金等价物</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9,096,390.50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19,287,718.53</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line="547" w:lineRule="auto" w:before="0"/>
        <w:ind w:left="1133" w:right="5373" w:firstLine="0"/>
        <w:jc w:val="left"/>
        <w:rPr>
          <w:rFonts w:ascii="宋体" w:hAnsi="宋体" w:cs="宋体" w:eastAsia="宋体" w:hint="default"/>
          <w:sz w:val="21"/>
          <w:szCs w:val="21"/>
        </w:rPr>
      </w:pPr>
      <w:bookmarkStart w:name="77、所有者权益变动表项目注释" w:id="411"/>
      <w:bookmarkEnd w:id="411"/>
      <w:r>
        <w:rPr/>
      </w:r>
      <w:r>
        <w:rPr>
          <w:rFonts w:ascii="Times New Roman" w:hAnsi="Times New Roman" w:cs="Times New Roman" w:eastAsia="Times New Roman" w:hint="default"/>
          <w:b/>
          <w:bCs/>
          <w:sz w:val="21"/>
          <w:szCs w:val="21"/>
        </w:rPr>
        <w:t>77</w:t>
      </w:r>
      <w:r>
        <w:rPr>
          <w:rFonts w:ascii="宋体" w:hAnsi="宋体" w:cs="宋体" w:eastAsia="宋体" w:hint="default"/>
          <w:b/>
          <w:bCs/>
          <w:sz w:val="21"/>
          <w:szCs w:val="21"/>
        </w:rPr>
        <w:t>、所有者权益变动表项目注释</w:t>
      </w:r>
      <w:r>
        <w:rPr>
          <w:rFonts w:ascii="宋体" w:hAnsi="宋体" w:cs="宋体" w:eastAsia="宋体" w:hint="default"/>
          <w:b/>
          <w:bCs/>
          <w:w w:val="99"/>
          <w:sz w:val="21"/>
          <w:szCs w:val="21"/>
        </w:rPr>
        <w:t> </w:t>
      </w:r>
      <w:r>
        <w:rPr>
          <w:rFonts w:ascii="宋体" w:hAnsi="宋体" w:cs="宋体" w:eastAsia="宋体" w:hint="default"/>
          <w:sz w:val="18"/>
          <w:szCs w:val="18"/>
        </w:rPr>
        <w:t>说明对上年期末余额进行调整的</w:t>
      </w: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r>
        <w:rPr>
          <w:rFonts w:ascii="Times New Roman" w:hAnsi="Times New Roman" w:cs="Times New Roman" w:eastAsia="Times New Roman" w:hint="default"/>
          <w:sz w:val="18"/>
          <w:szCs w:val="18"/>
        </w:rPr>
        <w:t>”</w:t>
      </w:r>
      <w:r>
        <w:rPr>
          <w:rFonts w:ascii="宋体" w:hAnsi="宋体" w:cs="宋体" w:eastAsia="宋体" w:hint="default"/>
          <w:sz w:val="18"/>
          <w:szCs w:val="18"/>
        </w:rPr>
        <w:t>项目名称及调整金额等事项： </w:t>
      </w:r>
      <w:bookmarkStart w:name="78、所有权或使用权受到限制的资产" w:id="412"/>
      <w:bookmarkEnd w:id="412"/>
      <w:r>
        <w:rPr>
          <w:rFonts w:ascii="宋体" w:hAnsi="宋体" w:cs="宋体" w:eastAsia="宋体" w:hint="default"/>
          <w:sz w:val="18"/>
          <w:szCs w:val="18"/>
        </w:rPr>
      </w:r>
      <w:r>
        <w:rPr>
          <w:rFonts w:ascii="Times New Roman" w:hAnsi="Times New Roman" w:cs="Times New Roman" w:eastAsia="Times New Roman" w:hint="default"/>
          <w:b/>
          <w:bCs/>
          <w:sz w:val="21"/>
          <w:szCs w:val="21"/>
        </w:rPr>
        <w:t>78</w:t>
      </w:r>
      <w:r>
        <w:rPr>
          <w:rFonts w:ascii="宋体" w:hAnsi="宋体" w:cs="宋体" w:eastAsia="宋体" w:hint="default"/>
          <w:b/>
          <w:bCs/>
          <w:sz w:val="21"/>
          <w:szCs w:val="21"/>
        </w:rPr>
        <w:t>、所有权或使用权受到限制的资产</w:t>
      </w:r>
      <w:r>
        <w:rPr>
          <w:rFonts w:ascii="宋体" w:hAnsi="宋体" w:cs="宋体" w:eastAsia="宋体" w:hint="default"/>
          <w:sz w:val="21"/>
          <w:szCs w:val="21"/>
        </w:rPr>
      </w:r>
    </w:p>
    <w:p>
      <w:pPr>
        <w:spacing w:before="5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3305"/>
        <w:gridCol w:w="3069"/>
        <w:gridCol w:w="3184"/>
      </w:tblGrid>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95"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9,096,390.50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租房保证金</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69"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pacing w:val="-1"/>
                <w:sz w:val="18"/>
              </w:rPr>
              <w:t>9,096,390.50</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79、外币货币性项目" w:id="413"/>
      <w:bookmarkEnd w:id="413"/>
      <w:r>
        <w:rPr>
          <w:b w:val="0"/>
          <w:bCs w:val="0"/>
        </w:rPr>
      </w:r>
      <w:r>
        <w:rPr>
          <w:rFonts w:ascii="Times New Roman" w:hAnsi="Times New Roman" w:cs="Times New Roman" w:eastAsia="Times New Roman" w:hint="default"/>
        </w:rPr>
        <w:t>79</w:t>
      </w:r>
      <w:r>
        <w:rPr/>
        <w:t>、外币货币性项目</w:t>
      </w:r>
      <w:r>
        <w:rPr>
          <w:b w:val="0"/>
          <w:bCs w:val="0"/>
        </w:rPr>
      </w:r>
    </w:p>
    <w:p>
      <w:pPr>
        <w:spacing w:line="240" w:lineRule="auto" w:before="9"/>
        <w:rPr>
          <w:rFonts w:ascii="宋体" w:hAnsi="宋体" w:cs="宋体" w:eastAsia="宋体" w:hint="default"/>
          <w:b/>
          <w:bCs/>
          <w:sz w:val="24"/>
          <w:szCs w:val="24"/>
        </w:rPr>
      </w:pPr>
    </w:p>
    <w:p>
      <w:pPr>
        <w:pStyle w:val="Heading6"/>
        <w:spacing w:line="240" w:lineRule="auto"/>
        <w:ind w:left="1133" w:right="998"/>
        <w:jc w:val="left"/>
        <w:rPr>
          <w:b w:val="0"/>
          <w:bCs w:val="0"/>
        </w:rPr>
      </w:pPr>
      <w:bookmarkStart w:name="（1）外币货币性项目" w:id="414"/>
      <w:bookmarkEnd w:id="414"/>
      <w:r>
        <w:rPr>
          <w:b w:val="0"/>
          <w:bCs w:val="0"/>
        </w:rPr>
      </w:r>
      <w:r>
        <w:rPr/>
        <w:t>（</w:t>
      </w:r>
      <w:r>
        <w:rPr>
          <w:rFonts w:ascii="Times New Roman" w:hAnsi="Times New Roman" w:cs="Times New Roman" w:eastAsia="Times New Roman" w:hint="default"/>
        </w:rPr>
        <w:t>1</w:t>
      </w:r>
      <w:r>
        <w:rPr/>
        <w:t>）外币货币性项目</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2495"/>
        <w:gridCol w:w="2294"/>
        <w:gridCol w:w="2391"/>
        <w:gridCol w:w="2389"/>
      </w:tblGrid>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1"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1,311,964,092.02</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183,216,478.05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6.53420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1,197,173,110.86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59,200.88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7.8023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461,903.03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74,271,397.40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0.83591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62,084,203.80</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澳元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0.19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5.0928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0.97</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2,248,210,734.00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0.00611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13,734,544.20</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林吉特</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377,729.95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1.60710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607,048.63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9,112,664.00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0.05788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527,440.99</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台币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3,325,308.00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0.21998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731,501.25</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泰铢</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140,835.09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0.20005</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28,173.78</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4,146,441.59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8.77920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36,402,440.01</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越南盾</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763,301,776.00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0.00028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213,724.50</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493,948,370.16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34,721,516.67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6.53420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226,877,334.23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7,484.96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7.8023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58,399.90</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175,970,778.05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0.83591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147,095,733.08</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印尼卢比</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1,246,713,038.93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0.00048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602,785.75</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123,690,705.22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0.00611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755,638.89</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林吉特</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386,467.88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1.60710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621,091.33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菲律宾比索</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2,525,684.92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0.13090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330,612.16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俄罗斯卢布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70,514,088.85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0.11346</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8,000,528.52</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泰铢</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24,423,638.95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0.20005</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4,885,900.12</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台币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385,716,256.70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0.21998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84,849,862.15</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越南盾</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70,966,014,379.46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0.00028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19,870,484.03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320,899,324.65</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28,421,062.05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6.53420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185,708,903.65</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6,562,159,583.09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0.00611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40,088,889.10</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泰铢</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181,881.18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0.20005</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36,384.97</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113,726,533.87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0.83591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95,065,146.93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0.05788</w:t>
            </w: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7,039,323,366.01</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2495"/>
        <w:gridCol w:w="2294"/>
        <w:gridCol w:w="2391"/>
        <w:gridCol w:w="2389"/>
      </w:tblGrid>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660,443.38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7.8023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5,152,977.38</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43,516,945.66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8.77920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382,043,969.34</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1,439,585,015.47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0.83591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1,203,363,510.28</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1,412,949,942.80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0.05788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81,781,542.69</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144,211,511,680.99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0.00611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881,002,546.01</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林吉特</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1,192,458,926.82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1.60710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1,916,397,044.67</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379,968,071.77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6.53420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2,482,787,374.56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泰铢</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7,129,312.00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0.20005</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1,426,204.61</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台币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388,072,536.00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0.21998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85,368,196.47</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1,169,391,836.34</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177,588,908.81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6.53420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1,160,401,447.95</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5,219,092.30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0.83591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4,362,691.44</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76,581,821.68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0.05788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4,432,555.84</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韩币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31,942,694.00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0.00611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195,141.11</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59" w:lineRule="auto"/>
        <w:ind w:left="1133" w:right="998"/>
        <w:jc w:val="left"/>
        <w:rPr>
          <w:b w:val="0"/>
          <w:bCs w:val="0"/>
        </w:rPr>
      </w:pPr>
      <w:bookmarkStart w:name="（2）境外经营实体说明，包括对于重要的境外经营实体，应披露其境外主要经营地、记账" w:id="415"/>
      <w:bookmarkEnd w:id="415"/>
      <w:r>
        <w:rPr>
          <w:b w:val="0"/>
          <w:bCs w:val="0"/>
        </w:rPr>
      </w: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74"/>
        </w:rPr>
        <w:t> </w:t>
      </w:r>
      <w:r>
        <w:rPr>
          <w:spacing w:val="-74"/>
        </w:rPr>
      </w:r>
      <w:r>
        <w:rPr/>
        <w:t>依据，记账本位币发生变化的还应披露原因。</w:t>
      </w:r>
      <w:r>
        <w:rPr>
          <w:b w:val="0"/>
          <w:bCs w:val="0"/>
        </w:rPr>
      </w:r>
    </w:p>
    <w:p>
      <w:pPr>
        <w:spacing w:line="240" w:lineRule="auto" w:before="7"/>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728" w:type="dxa"/>
        <w:tblLayout w:type="fixed"/>
        <w:tblCellMar>
          <w:top w:w="0" w:type="dxa"/>
          <w:left w:w="0" w:type="dxa"/>
          <w:bottom w:w="0" w:type="dxa"/>
          <w:right w:w="0" w:type="dxa"/>
        </w:tblCellMar>
        <w:tblLook w:val="01E0"/>
      </w:tblPr>
      <w:tblGrid>
        <w:gridCol w:w="3227"/>
        <w:gridCol w:w="1417"/>
        <w:gridCol w:w="1276"/>
        <w:gridCol w:w="1736"/>
      </w:tblGrid>
      <w:tr>
        <w:trPr>
          <w:trHeight w:val="355" w:hRule="exact"/>
        </w:trPr>
        <w:tc>
          <w:tcPr>
            <w:tcW w:w="322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1066" w:right="0"/>
              <w:jc w:val="left"/>
              <w:rPr>
                <w:rFonts w:ascii="宋体" w:hAnsi="宋体" w:cs="宋体" w:eastAsia="宋体" w:hint="default"/>
                <w:sz w:val="18"/>
                <w:szCs w:val="18"/>
              </w:rPr>
            </w:pPr>
            <w:r>
              <w:rPr>
                <w:rFonts w:ascii="宋体" w:hAnsi="宋体" w:cs="宋体" w:eastAsia="宋体" w:hint="default"/>
                <w:sz w:val="18"/>
                <w:szCs w:val="18"/>
              </w:rPr>
              <w:t>境外经营实体</w:t>
            </w:r>
          </w:p>
        </w:tc>
        <w:tc>
          <w:tcPr>
            <w:tcW w:w="141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主要经营地</w:t>
            </w:r>
          </w:p>
        </w:tc>
        <w:tc>
          <w:tcPr>
            <w:tcW w:w="12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sz w:val="18"/>
                <w:szCs w:val="18"/>
              </w:rPr>
              <w:t>记账本位币</w:t>
            </w:r>
          </w:p>
        </w:tc>
        <w:tc>
          <w:tcPr>
            <w:tcW w:w="1736"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21"/>
              <w:ind w:right="2"/>
              <w:jc w:val="center"/>
              <w:rPr>
                <w:rFonts w:ascii="宋体" w:hAnsi="宋体" w:cs="宋体" w:eastAsia="宋体" w:hint="default"/>
                <w:sz w:val="18"/>
                <w:szCs w:val="18"/>
              </w:rPr>
            </w:pPr>
            <w:r>
              <w:rPr>
                <w:rFonts w:ascii="宋体" w:hAnsi="宋体" w:cs="宋体" w:eastAsia="宋体" w:hint="default"/>
                <w:sz w:val="18"/>
                <w:szCs w:val="18"/>
              </w:rPr>
              <w:t>选择依据</w:t>
            </w:r>
          </w:p>
        </w:tc>
      </w:tr>
      <w:tr>
        <w:trPr>
          <w:trHeight w:val="353" w:hRule="exact"/>
        </w:trPr>
        <w:tc>
          <w:tcPr>
            <w:tcW w:w="322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昆仑集团有限公司</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中国（香港）</w:t>
            </w:r>
          </w:p>
        </w:tc>
        <w:tc>
          <w:tcPr>
            <w:tcW w:w="127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港币</w:t>
            </w:r>
          </w:p>
        </w:tc>
        <w:tc>
          <w:tcPr>
            <w:tcW w:w="1736"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所处的主要经济环境</w:t>
            </w:r>
          </w:p>
        </w:tc>
      </w:tr>
      <w:tr>
        <w:trPr>
          <w:trHeight w:val="664" w:hRule="exact"/>
        </w:trPr>
        <w:tc>
          <w:tcPr>
            <w:tcW w:w="3227" w:type="dxa"/>
            <w:tcBorders>
              <w:top w:val="single" w:sz="12" w:space="0" w:color="000000"/>
              <w:left w:val="single" w:sz="6" w:space="0" w:color="000000"/>
              <w:bottom w:val="single" w:sz="12" w:space="0" w:color="000000"/>
              <w:right w:val="single" w:sz="6" w:space="0" w:color="000000"/>
            </w:tcBorders>
          </w:tcPr>
          <w:p>
            <w:pPr>
              <w:pStyle w:val="TableParagraph"/>
              <w:spacing w:line="362" w:lineRule="auto" w:before="50"/>
              <w:ind w:left="3" w:right="168"/>
              <w:jc w:val="left"/>
              <w:rPr>
                <w:rFonts w:ascii="Times New Roman" w:hAnsi="Times New Roman" w:cs="Times New Roman" w:eastAsia="Times New Roman" w:hint="default"/>
                <w:sz w:val="18"/>
                <w:szCs w:val="18"/>
              </w:rPr>
            </w:pPr>
            <w:r>
              <w:rPr>
                <w:rFonts w:ascii="Times New Roman"/>
                <w:sz w:val="18"/>
              </w:rPr>
              <w:t>KUNLUN GLOBAL</w:t>
            </w:r>
            <w:r>
              <w:rPr>
                <w:rFonts w:ascii="Times New Roman"/>
                <w:spacing w:val="-3"/>
                <w:sz w:val="18"/>
              </w:rPr>
              <w:t> </w:t>
            </w:r>
            <w:r>
              <w:rPr>
                <w:rFonts w:ascii="Times New Roman"/>
                <w:sz w:val="18"/>
              </w:rPr>
              <w:t>INTERNATIONAL</w:t>
            </w:r>
            <w:r>
              <w:rPr>
                <w:rFonts w:ascii="Times New Roman"/>
                <w:sz w:val="18"/>
              </w:rPr>
              <w:t> SDN.</w:t>
            </w:r>
            <w:r>
              <w:rPr>
                <w:rFonts w:ascii="Times New Roman"/>
                <w:spacing w:val="-3"/>
                <w:sz w:val="18"/>
              </w:rPr>
              <w:t> </w:t>
            </w:r>
            <w:r>
              <w:rPr>
                <w:rFonts w:ascii="Times New Roman"/>
                <w:sz w:val="18"/>
              </w:rPr>
              <w:t>BHD.</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马来西亚</w:t>
            </w:r>
          </w:p>
        </w:tc>
        <w:tc>
          <w:tcPr>
            <w:tcW w:w="127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林吉特</w:t>
            </w:r>
          </w:p>
        </w:tc>
        <w:tc>
          <w:tcPr>
            <w:tcW w:w="1736"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所处的主要经济环境</w:t>
            </w:r>
          </w:p>
        </w:tc>
      </w:tr>
      <w:tr>
        <w:trPr>
          <w:trHeight w:val="352" w:hRule="exact"/>
        </w:trPr>
        <w:tc>
          <w:tcPr>
            <w:tcW w:w="322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3" w:right="0"/>
              <w:jc w:val="left"/>
              <w:rPr>
                <w:rFonts w:ascii="宋体" w:hAnsi="宋体" w:cs="宋体" w:eastAsia="宋体" w:hint="default"/>
                <w:sz w:val="18"/>
                <w:szCs w:val="18"/>
              </w:rPr>
            </w:pPr>
            <w:r>
              <w:rPr>
                <w:rFonts w:ascii="宋体" w:hAnsi="宋体" w:cs="宋体" w:eastAsia="宋体" w:hint="default"/>
                <w:sz w:val="18"/>
                <w:szCs w:val="18"/>
              </w:rPr>
              <w:t>昆仑韩国株式会社</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韩</w:t>
            </w:r>
            <w:r>
              <w:rPr>
                <w:rFonts w:ascii="宋体" w:hAnsi="宋体" w:cs="宋体" w:eastAsia="宋体" w:hint="default"/>
                <w:spacing w:val="-17"/>
                <w:sz w:val="18"/>
                <w:szCs w:val="18"/>
              </w:rPr>
              <w:t> </w:t>
            </w:r>
            <w:r>
              <w:rPr>
                <w:rFonts w:ascii="宋体" w:hAnsi="宋体" w:cs="宋体" w:eastAsia="宋体" w:hint="default"/>
                <w:sz w:val="18"/>
                <w:szCs w:val="18"/>
              </w:rPr>
              <w:t>国</w:t>
            </w:r>
          </w:p>
        </w:tc>
        <w:tc>
          <w:tcPr>
            <w:tcW w:w="127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韩元</w:t>
            </w:r>
          </w:p>
        </w:tc>
        <w:tc>
          <w:tcPr>
            <w:tcW w:w="1736"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所处的主要经济环境</w:t>
            </w:r>
          </w:p>
        </w:tc>
      </w:tr>
      <w:tr>
        <w:trPr>
          <w:trHeight w:val="353" w:hRule="exact"/>
        </w:trPr>
        <w:tc>
          <w:tcPr>
            <w:tcW w:w="322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left="3" w:right="0"/>
              <w:jc w:val="left"/>
              <w:rPr>
                <w:rFonts w:ascii="Times New Roman" w:hAnsi="Times New Roman" w:cs="Times New Roman" w:eastAsia="Times New Roman" w:hint="default"/>
                <w:sz w:val="18"/>
                <w:szCs w:val="18"/>
              </w:rPr>
            </w:pPr>
            <w:r>
              <w:rPr>
                <w:rFonts w:ascii="Times New Roman"/>
                <w:sz w:val="18"/>
              </w:rPr>
              <w:t>Grindr</w:t>
            </w:r>
            <w:r>
              <w:rPr>
                <w:rFonts w:ascii="Times New Roman"/>
                <w:spacing w:val="-1"/>
                <w:sz w:val="18"/>
              </w:rPr>
              <w:t> </w:t>
            </w:r>
            <w:r>
              <w:rPr>
                <w:rFonts w:ascii="Times New Roman"/>
                <w:sz w:val="18"/>
              </w:rPr>
              <w:t>LLC</w:t>
            </w:r>
          </w:p>
        </w:tc>
        <w:tc>
          <w:tcPr>
            <w:tcW w:w="141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美国</w:t>
            </w:r>
          </w:p>
        </w:tc>
        <w:tc>
          <w:tcPr>
            <w:tcW w:w="127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美元</w:t>
            </w:r>
          </w:p>
        </w:tc>
        <w:tc>
          <w:tcPr>
            <w:tcW w:w="1736"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所处的主要经济环境</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pStyle w:val="Heading6"/>
        <w:spacing w:line="240" w:lineRule="auto" w:before="35"/>
        <w:ind w:right="998"/>
        <w:jc w:val="left"/>
        <w:rPr>
          <w:b w:val="0"/>
          <w:bCs w:val="0"/>
        </w:rPr>
      </w:pPr>
      <w:bookmarkStart w:name="80、套期" w:id="416"/>
      <w:bookmarkEnd w:id="416"/>
      <w:r>
        <w:rPr>
          <w:b w:val="0"/>
          <w:bCs w:val="0"/>
        </w:rPr>
      </w:r>
      <w:r>
        <w:rPr>
          <w:rFonts w:ascii="Times New Roman" w:hAnsi="Times New Roman" w:cs="Times New Roman" w:eastAsia="Times New Roman" w:hint="default"/>
        </w:rPr>
        <w:t>80</w:t>
      </w:r>
      <w:r>
        <w:rPr/>
        <w:t>、套期</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按照套期类别披露套期项目及相关套期工具、被套期风险的定性和定量信息：</w:t>
      </w:r>
    </w:p>
    <w:p>
      <w:pPr>
        <w:spacing w:after="0"/>
        <w:jc w:val="left"/>
        <w:rPr>
          <w:rFonts w:ascii="宋体" w:hAnsi="宋体" w:cs="宋体" w:eastAsia="宋体" w:hint="default"/>
          <w:sz w:val="18"/>
          <w:szCs w:val="18"/>
        </w:rPr>
        <w:sectPr>
          <w:footerReference w:type="default" r:id="rId36"/>
          <w:pgSz w:w="11910" w:h="16840"/>
          <w:pgMar w:footer="979" w:header="877" w:top="1060" w:bottom="1160" w:left="0" w:right="0"/>
        </w:sectPr>
      </w:pPr>
    </w:p>
    <w:p>
      <w:pPr>
        <w:spacing w:line="240" w:lineRule="auto" w:before="9"/>
        <w:rPr>
          <w:rFonts w:ascii="宋体" w:hAnsi="宋体" w:cs="宋体" w:eastAsia="宋体" w:hint="default"/>
          <w:sz w:val="24"/>
          <w:szCs w:val="24"/>
        </w:rPr>
      </w:pPr>
    </w:p>
    <w:p>
      <w:pPr>
        <w:spacing w:line="487" w:lineRule="auto" w:before="35"/>
        <w:ind w:left="1133" w:right="8329" w:firstLine="0"/>
        <w:jc w:val="left"/>
        <w:rPr>
          <w:rFonts w:ascii="宋体" w:hAnsi="宋体" w:cs="宋体" w:eastAsia="宋体" w:hint="default"/>
          <w:sz w:val="21"/>
          <w:szCs w:val="21"/>
        </w:rPr>
      </w:pPr>
      <w:bookmarkStart w:name="81、其他" w:id="417"/>
      <w:bookmarkEnd w:id="417"/>
      <w:r>
        <w:rPr/>
      </w:r>
      <w:r>
        <w:rPr>
          <w:rFonts w:ascii="Times New Roman" w:hAnsi="Times New Roman" w:cs="Times New Roman" w:eastAsia="Times New Roman" w:hint="default"/>
          <w:b/>
          <w:bCs/>
          <w:sz w:val="21"/>
          <w:szCs w:val="21"/>
        </w:rPr>
        <w:t>81</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八、合并范围的变更" w:id="418"/>
      <w:bookmarkEnd w:id="418"/>
      <w:r>
        <w:rPr>
          <w:rFonts w:ascii="宋体" w:hAnsi="宋体" w:cs="宋体" w:eastAsia="宋体" w:hint="default"/>
          <w:b/>
          <w:bCs/>
          <w:w w:val="99"/>
          <w:sz w:val="21"/>
          <w:szCs w:val="21"/>
        </w:rPr>
      </w:r>
      <w:r>
        <w:rPr>
          <w:rFonts w:ascii="宋体" w:hAnsi="宋体" w:cs="宋体" w:eastAsia="宋体" w:hint="default"/>
          <w:b/>
          <w:bCs/>
          <w:sz w:val="24"/>
          <w:szCs w:val="24"/>
        </w:rPr>
        <w:t>八、合并范围的变更</w:t>
      </w:r>
      <w:r>
        <w:rPr>
          <w:rFonts w:ascii="宋体" w:hAnsi="宋体" w:cs="宋体" w:eastAsia="宋体" w:hint="default"/>
          <w:b/>
          <w:bCs/>
          <w:w w:val="99"/>
          <w:sz w:val="24"/>
          <w:szCs w:val="24"/>
        </w:rPr>
        <w:t> </w:t>
      </w:r>
      <w:bookmarkStart w:name="1、非同一控制下企业合并" w:id="419"/>
      <w:bookmarkEnd w:id="419"/>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、非同一控制下企业合并</w:t>
      </w:r>
      <w:r>
        <w:rPr>
          <w:rFonts w:ascii="宋体" w:hAnsi="宋体" w:cs="宋体" w:eastAsia="宋体" w:hint="default"/>
          <w:sz w:val="21"/>
          <w:szCs w:val="21"/>
        </w:rPr>
      </w:r>
    </w:p>
    <w:p>
      <w:pPr>
        <w:pStyle w:val="Heading6"/>
        <w:spacing w:line="240" w:lineRule="auto" w:before="83"/>
        <w:ind w:left="1133" w:right="998"/>
        <w:jc w:val="left"/>
        <w:rPr>
          <w:b w:val="0"/>
          <w:bCs w:val="0"/>
        </w:rPr>
      </w:pPr>
      <w:bookmarkStart w:name="（1）本期发生的非同一控制下企业合并" w:id="420"/>
      <w:bookmarkEnd w:id="420"/>
      <w:r>
        <w:rPr>
          <w:b w:val="0"/>
          <w:bCs w:val="0"/>
        </w:rPr>
      </w:r>
      <w:r>
        <w:rPr/>
        <w:t>（</w:t>
      </w:r>
      <w:r>
        <w:rPr>
          <w:rFonts w:ascii="Times New Roman" w:hAnsi="Times New Roman" w:cs="Times New Roman" w:eastAsia="Times New Roman" w:hint="default"/>
        </w:rPr>
        <w:t>1</w:t>
      </w:r>
      <w:r>
        <w:rPr/>
        <w:t>）本期发生的非同一控制下企业合并</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064"/>
        <w:gridCol w:w="1064"/>
        <w:gridCol w:w="1063"/>
        <w:gridCol w:w="1065"/>
        <w:gridCol w:w="1064"/>
        <w:gridCol w:w="1063"/>
        <w:gridCol w:w="1062"/>
        <w:gridCol w:w="1062"/>
        <w:gridCol w:w="1062"/>
      </w:tblGrid>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5" w:right="76" w:hanging="360"/>
              <w:jc w:val="left"/>
              <w:rPr>
                <w:rFonts w:ascii="宋体" w:hAnsi="宋体" w:cs="宋体" w:eastAsia="宋体" w:hint="default"/>
                <w:sz w:val="18"/>
                <w:szCs w:val="18"/>
              </w:rPr>
            </w:pPr>
            <w:r>
              <w:rPr>
                <w:rFonts w:ascii="宋体" w:hAnsi="宋体" w:cs="宋体" w:eastAsia="宋体" w:hint="default"/>
                <w:sz w:val="18"/>
                <w:szCs w:val="18"/>
              </w:rPr>
              <w:t>被购买方名 称</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77" w:hanging="360"/>
              <w:jc w:val="left"/>
              <w:rPr>
                <w:rFonts w:ascii="宋体" w:hAnsi="宋体" w:cs="宋体" w:eastAsia="宋体" w:hint="default"/>
                <w:sz w:val="18"/>
                <w:szCs w:val="18"/>
              </w:rPr>
            </w:pPr>
            <w:r>
              <w:rPr>
                <w:rFonts w:ascii="宋体" w:hAnsi="宋体" w:cs="宋体" w:eastAsia="宋体" w:hint="default"/>
                <w:sz w:val="18"/>
                <w:szCs w:val="18"/>
              </w:rPr>
              <w:t>股权取得时 点</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74" w:hanging="360"/>
              <w:jc w:val="left"/>
              <w:rPr>
                <w:rFonts w:ascii="宋体" w:hAnsi="宋体" w:cs="宋体" w:eastAsia="宋体" w:hint="default"/>
                <w:sz w:val="18"/>
                <w:szCs w:val="18"/>
              </w:rPr>
            </w:pPr>
            <w:r>
              <w:rPr>
                <w:rFonts w:ascii="宋体" w:hAnsi="宋体" w:cs="宋体" w:eastAsia="宋体" w:hint="default"/>
                <w:sz w:val="18"/>
                <w:szCs w:val="18"/>
              </w:rPr>
              <w:t>股权取得成 本</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76" w:hanging="360"/>
              <w:jc w:val="left"/>
              <w:rPr>
                <w:rFonts w:ascii="宋体" w:hAnsi="宋体" w:cs="宋体" w:eastAsia="宋体" w:hint="default"/>
                <w:sz w:val="18"/>
                <w:szCs w:val="18"/>
              </w:rPr>
            </w:pPr>
            <w:r>
              <w:rPr>
                <w:rFonts w:ascii="宋体" w:hAnsi="宋体" w:cs="宋体" w:eastAsia="宋体" w:hint="default"/>
                <w:sz w:val="18"/>
                <w:szCs w:val="18"/>
              </w:rPr>
              <w:t>股权取得比 例</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6" w:right="77" w:hanging="360"/>
              <w:jc w:val="left"/>
              <w:rPr>
                <w:rFonts w:ascii="宋体" w:hAnsi="宋体" w:cs="宋体" w:eastAsia="宋体" w:hint="default"/>
                <w:sz w:val="18"/>
                <w:szCs w:val="18"/>
              </w:rPr>
            </w:pPr>
            <w:r>
              <w:rPr>
                <w:rFonts w:ascii="宋体" w:hAnsi="宋体" w:cs="宋体" w:eastAsia="宋体" w:hint="default"/>
                <w:sz w:val="18"/>
                <w:szCs w:val="18"/>
              </w:rPr>
              <w:t>股权取得方 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56"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55" w:right="75" w:hanging="180"/>
              <w:jc w:val="left"/>
              <w:rPr>
                <w:rFonts w:ascii="宋体" w:hAnsi="宋体" w:cs="宋体" w:eastAsia="宋体" w:hint="default"/>
                <w:sz w:val="18"/>
                <w:szCs w:val="18"/>
              </w:rPr>
            </w:pPr>
            <w:r>
              <w:rPr>
                <w:rFonts w:ascii="宋体" w:hAnsi="宋体" w:cs="宋体" w:eastAsia="宋体" w:hint="default"/>
                <w:sz w:val="18"/>
                <w:szCs w:val="18"/>
              </w:rPr>
              <w:t>购买日的确 定依据</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5" w:right="74"/>
              <w:jc w:val="center"/>
              <w:rPr>
                <w:rFonts w:ascii="宋体" w:hAnsi="宋体" w:cs="宋体" w:eastAsia="宋体" w:hint="default"/>
                <w:sz w:val="18"/>
                <w:szCs w:val="18"/>
              </w:rPr>
            </w:pPr>
            <w:r>
              <w:rPr>
                <w:rFonts w:ascii="宋体" w:hAnsi="宋体" w:cs="宋体" w:eastAsia="宋体" w:hint="default"/>
                <w:sz w:val="18"/>
                <w:szCs w:val="18"/>
              </w:rPr>
              <w:t>购买日至期 末被购买方 的收入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5" w:right="74"/>
              <w:jc w:val="both"/>
              <w:rPr>
                <w:rFonts w:ascii="宋体" w:hAnsi="宋体" w:cs="宋体" w:eastAsia="宋体" w:hint="default"/>
                <w:sz w:val="18"/>
                <w:szCs w:val="18"/>
              </w:rPr>
            </w:pPr>
            <w:r>
              <w:rPr>
                <w:rFonts w:ascii="宋体" w:hAnsi="宋体" w:cs="宋体" w:eastAsia="宋体" w:hint="default"/>
                <w:sz w:val="18"/>
                <w:szCs w:val="18"/>
              </w:rPr>
              <w:t>购买日至期 末被购买方 的净利润</w:t>
            </w: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8"/>
              <w:jc w:val="both"/>
              <w:rPr>
                <w:rFonts w:ascii="宋体" w:hAnsi="宋体" w:cs="宋体" w:eastAsia="宋体" w:hint="default"/>
                <w:sz w:val="18"/>
                <w:szCs w:val="18"/>
              </w:rPr>
            </w:pPr>
            <w:r>
              <w:rPr>
                <w:rFonts w:ascii="宋体" w:hAnsi="宋体" w:cs="宋体" w:eastAsia="宋体" w:hint="default"/>
                <w:sz w:val="18"/>
                <w:szCs w:val="18"/>
              </w:rPr>
              <w:t>北京闲徕互 娱网络科技 有限公司</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1,020,000,00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0.00</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51.00%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购买</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取得控制权</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1,380,287,77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2.00</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812,308,526.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59</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9"/>
              <w:jc w:val="left"/>
              <w:rPr>
                <w:rFonts w:ascii="宋体" w:hAnsi="宋体" w:cs="宋体" w:eastAsia="宋体" w:hint="default"/>
                <w:sz w:val="18"/>
                <w:szCs w:val="18"/>
              </w:rPr>
            </w:pPr>
            <w:r>
              <w:rPr>
                <w:rFonts w:ascii="宋体" w:hAnsi="宋体" w:cs="宋体" w:eastAsia="宋体" w:hint="default"/>
                <w:sz w:val="18"/>
                <w:szCs w:val="18"/>
              </w:rPr>
              <w:t>成都杰蛙科 技有限公司</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购买</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取得控制权</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-1,968,543.44</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2）合并成本及商誉" w:id="421"/>
      <w:bookmarkEnd w:id="421"/>
      <w:r>
        <w:rPr>
          <w:b w:val="0"/>
          <w:bCs w:val="0"/>
        </w:rPr>
      </w:r>
      <w:r>
        <w:rPr/>
        <w:t>（</w:t>
      </w:r>
      <w:r>
        <w:rPr>
          <w:rFonts w:ascii="Times New Roman" w:hAnsi="Times New Roman" w:cs="Times New Roman" w:eastAsia="Times New Roman" w:hint="default"/>
        </w:rPr>
        <w:t>2</w:t>
      </w:r>
      <w:r>
        <w:rPr/>
        <w:t>）合并成本及商誉</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392"/>
        <w:gridCol w:w="2393"/>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合并成本</w:t>
            </w:r>
          </w:p>
        </w:tc>
        <w:tc>
          <w:tcPr>
            <w:tcW w:w="2393"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9" w:right="0"/>
              <w:jc w:val="left"/>
              <w:rPr>
                <w:rFonts w:ascii="Times New Roman" w:hAnsi="Times New Roman" w:cs="Times New Roman" w:eastAsia="Times New Roman" w:hint="default"/>
                <w:sz w:val="18"/>
                <w:szCs w:val="18"/>
              </w:rPr>
            </w:pPr>
            <w:r>
              <w:rPr>
                <w:rFonts w:ascii="Times New Roman"/>
                <w:sz w:val="18"/>
              </w:rPr>
              <w:t>Grindr</w:t>
            </w:r>
            <w:r>
              <w:rPr>
                <w:rFonts w:ascii="Times New Roman"/>
                <w:spacing w:val="-1"/>
                <w:sz w:val="18"/>
              </w:rPr>
              <w:t> </w:t>
            </w:r>
            <w:r>
              <w:rPr>
                <w:rFonts w:ascii="Times New Roman"/>
                <w:sz w:val="18"/>
              </w:rPr>
              <w:t>LLC</w:t>
            </w:r>
          </w:p>
        </w:tc>
        <w:tc>
          <w:tcPr>
            <w:tcW w:w="23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1"/>
              <w:ind w:left="1010" w:right="111" w:hanging="900"/>
              <w:jc w:val="left"/>
              <w:rPr>
                <w:rFonts w:ascii="宋体" w:hAnsi="宋体" w:cs="宋体" w:eastAsia="宋体" w:hint="default"/>
                <w:sz w:val="18"/>
                <w:szCs w:val="18"/>
              </w:rPr>
            </w:pPr>
            <w:r>
              <w:rPr>
                <w:rFonts w:ascii="宋体" w:hAnsi="宋体" w:cs="宋体" w:eastAsia="宋体" w:hint="default"/>
                <w:sz w:val="18"/>
                <w:szCs w:val="18"/>
              </w:rPr>
              <w:t>北京闲徕互娱网络科技有限 公司</w:t>
            </w:r>
          </w:p>
        </w:tc>
        <w:tc>
          <w:tcPr>
            <w:tcW w:w="23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90" w:right="0"/>
              <w:jc w:val="left"/>
              <w:rPr>
                <w:rFonts w:ascii="宋体" w:hAnsi="宋体" w:cs="宋体" w:eastAsia="宋体" w:hint="default"/>
                <w:sz w:val="18"/>
                <w:szCs w:val="18"/>
              </w:rPr>
            </w:pPr>
            <w:r>
              <w:rPr>
                <w:rFonts w:ascii="宋体" w:hAnsi="宋体" w:cs="宋体" w:eastAsia="宋体" w:hint="default"/>
                <w:sz w:val="18"/>
                <w:szCs w:val="18"/>
              </w:rPr>
              <w:t>成都杰蛙科技有限公司</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现金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601,816,449.28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1,020,000,000.00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11,500,000.00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合并成本合计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601,816,449.28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1,020,000,000.00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z w:val="18"/>
                <w:szCs w:val="18"/>
              </w:rPr>
              <w:t>减：取得的可辨认净资产公允 价值份额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23,280,611.14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63,657,348.24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3,113,504.76</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147"/>
              <w:jc w:val="both"/>
              <w:rPr>
                <w:rFonts w:ascii="宋体" w:hAnsi="宋体" w:cs="宋体" w:eastAsia="宋体" w:hint="default"/>
                <w:sz w:val="18"/>
                <w:szCs w:val="18"/>
              </w:rPr>
            </w:pPr>
            <w:r>
              <w:rPr>
                <w:rFonts w:ascii="宋体" w:hAnsi="宋体" w:cs="宋体" w:eastAsia="宋体" w:hint="default"/>
                <w:sz w:val="18"/>
                <w:szCs w:val="18"/>
              </w:rPr>
              <w:t>商誉</w:t>
            </w:r>
            <w:r>
              <w:rPr>
                <w:rFonts w:ascii="Times New Roman" w:hAnsi="Times New Roman" w:cs="Times New Roman" w:eastAsia="Times New Roman" w:hint="default"/>
                <w:sz w:val="18"/>
                <w:szCs w:val="18"/>
              </w:rPr>
              <w:t>/</w:t>
            </w:r>
            <w:r>
              <w:rPr>
                <w:rFonts w:ascii="宋体" w:hAnsi="宋体" w:cs="宋体" w:eastAsia="宋体" w:hint="default"/>
                <w:sz w:val="18"/>
                <w:szCs w:val="18"/>
              </w:rPr>
              <w:t>合并成本小于取得的可 辨认净资产公允价值份额的 金额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578,535,838.14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956,342,651.76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8,386,495.24</w:t>
            </w:r>
          </w:p>
        </w:tc>
      </w:tr>
    </w:tbl>
    <w:p>
      <w:pPr>
        <w:spacing w:line="360" w:lineRule="auto" w:before="51"/>
        <w:ind w:left="1134" w:right="6072" w:firstLine="0"/>
        <w:jc w:val="left"/>
        <w:rPr>
          <w:rFonts w:ascii="宋体" w:hAnsi="宋体" w:cs="宋体" w:eastAsia="宋体" w:hint="default"/>
          <w:sz w:val="18"/>
          <w:szCs w:val="18"/>
        </w:rPr>
      </w:pPr>
      <w:r>
        <w:rPr>
          <w:rFonts w:ascii="宋体" w:hAnsi="宋体" w:cs="宋体" w:eastAsia="宋体" w:hint="default"/>
          <w:sz w:val="18"/>
          <w:szCs w:val="18"/>
        </w:rPr>
        <w:t>合并成本公允价值的确定方法、或有对价及其变动的说明： 大额商誉形成的主要原因：</w:t>
      </w:r>
    </w:p>
    <w:p>
      <w:pPr>
        <w:pStyle w:val="BodyText"/>
        <w:spacing w:line="256" w:lineRule="auto"/>
        <w:ind w:left="2409" w:right="1187"/>
        <w:jc w:val="both"/>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3</w:t>
      </w:r>
      <w:r>
        <w:rPr/>
        <w:t>月公司完成收购</w:t>
      </w:r>
      <w:r>
        <w:rPr>
          <w:rFonts w:ascii="Times New Roman" w:hAnsi="Times New Roman" w:cs="Times New Roman" w:eastAsia="Times New Roman" w:hint="default"/>
        </w:rPr>
        <w:t>Grindr LLC</w:t>
      </w:r>
      <w:r>
        <w:rPr>
          <w:rFonts w:ascii="Times New Roman" w:hAnsi="Times New Roman" w:cs="Times New Roman" w:eastAsia="Times New Roman" w:hint="default"/>
          <w:spacing w:val="-7"/>
        </w:rPr>
        <w:t> </w:t>
      </w:r>
      <w:r>
        <w:rPr>
          <w:rFonts w:ascii="Times New Roman" w:hAnsi="Times New Roman" w:cs="Times New Roman" w:eastAsia="Times New Roman" w:hint="default"/>
        </w:rPr>
        <w:t>61.53%</w:t>
      </w:r>
      <w:r>
        <w:rPr/>
        <w:t>股权，合并成本</w:t>
      </w:r>
      <w:r>
        <w:rPr>
          <w:rFonts w:ascii="Times New Roman" w:hAnsi="Times New Roman" w:cs="Times New Roman" w:eastAsia="Times New Roman" w:hint="default"/>
        </w:rPr>
        <w:t>601,816,449.28</w:t>
      </w:r>
      <w:r>
        <w:rPr/>
        <w:t>元。购买日 </w:t>
      </w:r>
      <w:r>
        <w:rPr>
          <w:rFonts w:ascii="Times New Roman" w:hAnsi="Times New Roman" w:cs="Times New Roman" w:eastAsia="Times New Roman" w:hint="default"/>
        </w:rPr>
        <w:t>Grindr</w:t>
      </w:r>
      <w:r>
        <w:rPr>
          <w:rFonts w:ascii="Times New Roman" w:hAnsi="Times New Roman" w:cs="Times New Roman" w:eastAsia="Times New Roman" w:hint="default"/>
          <w:spacing w:val="-5"/>
        </w:rPr>
        <w:t> </w:t>
      </w:r>
      <w:r>
        <w:rPr>
          <w:rFonts w:ascii="Times New Roman" w:hAnsi="Times New Roman" w:cs="Times New Roman" w:eastAsia="Times New Roman" w:hint="default"/>
        </w:rPr>
        <w:t>LLC</w:t>
      </w:r>
      <w:r>
        <w:rPr/>
        <w:t>可辨认净资产公允价值份额</w:t>
      </w:r>
      <w:r>
        <w:rPr>
          <w:rFonts w:ascii="Times New Roman" w:hAnsi="Times New Roman" w:cs="Times New Roman" w:eastAsia="Times New Roman" w:hint="default"/>
        </w:rPr>
        <w:t>23,280,611.14</w:t>
      </w:r>
      <w:r>
        <w:rPr/>
        <w:t>元，合并成本大于合并中取得的被购买 方可辨认净资产公允价值份额的差额</w:t>
      </w:r>
      <w:r>
        <w:rPr>
          <w:rFonts w:ascii="Times New Roman" w:hAnsi="Times New Roman" w:cs="Times New Roman" w:eastAsia="Times New Roman" w:hint="default"/>
        </w:rPr>
        <w:t>578,535,838.14</w:t>
      </w:r>
      <w:r>
        <w:rPr/>
        <w:t>元确认为商誉。</w:t>
      </w:r>
    </w:p>
    <w:p>
      <w:pPr>
        <w:pStyle w:val="BodyText"/>
        <w:spacing w:line="256" w:lineRule="auto" w:before="5"/>
        <w:ind w:left="2410" w:right="1130"/>
        <w:jc w:val="both"/>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月，公司以</w:t>
      </w:r>
      <w:r>
        <w:rPr>
          <w:rFonts w:ascii="Times New Roman" w:hAnsi="Times New Roman" w:cs="Times New Roman" w:eastAsia="Times New Roman" w:hint="default"/>
        </w:rPr>
        <w:t>1,020,000,000.00</w:t>
      </w:r>
      <w:r>
        <w:rPr/>
        <w:t>元对价完成对北京闲徕互娱网络科技有限公司</w:t>
      </w:r>
      <w:r>
        <w:rPr>
          <w:rFonts w:ascii="Times New Roman" w:hAnsi="Times New Roman" w:cs="Times New Roman" w:eastAsia="Times New Roman" w:hint="default"/>
        </w:rPr>
        <w:t>51% </w:t>
      </w:r>
      <w:r>
        <w:rPr/>
        <w:t>股权的收购。购买日取得的可辨认净资产公允价值份额为</w:t>
      </w:r>
      <w:r>
        <w:rPr>
          <w:rFonts w:ascii="Times New Roman" w:hAnsi="Times New Roman" w:cs="Times New Roman" w:eastAsia="Times New Roman" w:hint="default"/>
        </w:rPr>
        <w:t>63,657,348.24</w:t>
      </w:r>
      <w:r>
        <w:rPr/>
        <w:t>元，合并成本大于合 并中取得的被购买方可辨认净资产公允价值份额的差额</w:t>
      </w:r>
      <w:r>
        <w:rPr>
          <w:rFonts w:ascii="Times New Roman" w:hAnsi="Times New Roman" w:cs="Times New Roman" w:eastAsia="Times New Roman" w:hint="default"/>
        </w:rPr>
        <w:t>956,342,651.76</w:t>
      </w:r>
      <w:r>
        <w:rPr/>
        <w:t>元确认为商誉。</w:t>
      </w:r>
    </w:p>
    <w:p>
      <w:pPr>
        <w:pStyle w:val="BodyText"/>
        <w:spacing w:line="256" w:lineRule="auto" w:before="5"/>
        <w:ind w:left="2410" w:right="998"/>
        <w:jc w:val="left"/>
      </w:pPr>
      <w:r>
        <w:rPr>
          <w:spacing w:val="-2"/>
        </w:rPr>
        <w:t>（</w:t>
      </w:r>
      <w:r>
        <w:rPr>
          <w:rFonts w:ascii="Times New Roman" w:hAnsi="Times New Roman" w:cs="Times New Roman" w:eastAsia="Times New Roman" w:hint="default"/>
          <w:spacing w:val="-2"/>
        </w:rPr>
        <w:t>3</w:t>
      </w:r>
      <w:r>
        <w:rPr>
          <w:spacing w:val="-2"/>
        </w:rPr>
        <w:t>）</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7</w:t>
      </w:r>
      <w:r>
        <w:rPr>
          <w:spacing w:val="-2"/>
        </w:rPr>
        <w:t>月，公司以</w:t>
      </w:r>
      <w:r>
        <w:rPr>
          <w:rFonts w:ascii="Times New Roman" w:hAnsi="Times New Roman" w:cs="Times New Roman" w:eastAsia="Times New Roman" w:hint="default"/>
          <w:spacing w:val="-2"/>
        </w:rPr>
        <w:t>11,500,000.00</w:t>
      </w:r>
      <w:r>
        <w:rPr>
          <w:spacing w:val="-2"/>
        </w:rPr>
        <w:t>元对价完成对成都杰蛙科技有限公司</w:t>
      </w:r>
      <w:r>
        <w:rPr>
          <w:rFonts w:ascii="Times New Roman" w:hAnsi="Times New Roman" w:cs="Times New Roman" w:eastAsia="Times New Roman" w:hint="default"/>
          <w:spacing w:val="-2"/>
        </w:rPr>
        <w:t>60%</w:t>
      </w:r>
      <w:r>
        <w:rPr>
          <w:spacing w:val="-2"/>
        </w:rPr>
        <w:t>股权的收购。</w:t>
      </w:r>
      <w:r>
        <w:rPr>
          <w:spacing w:val="-63"/>
        </w:rPr>
        <w:t> </w:t>
      </w:r>
      <w:r>
        <w:rPr>
          <w:spacing w:val="-63"/>
        </w:rPr>
      </w:r>
      <w:r>
        <w:rPr>
          <w:spacing w:val="-2"/>
        </w:rPr>
        <w:t>购买日取得的可辨认净资产公允价值份额为</w:t>
      </w:r>
      <w:r>
        <w:rPr>
          <w:rFonts w:ascii="Times New Roman" w:hAnsi="Times New Roman" w:cs="Times New Roman" w:eastAsia="Times New Roman" w:hint="default"/>
          <w:spacing w:val="-2"/>
        </w:rPr>
        <w:t>3,113,504.76</w:t>
      </w:r>
      <w:r>
        <w:rPr>
          <w:spacing w:val="-2"/>
        </w:rPr>
        <w:t>元，合并成本大于合并中取得的被购</w:t>
      </w:r>
    </w:p>
    <w:p>
      <w:pPr>
        <w:spacing w:after="0" w:line="256" w:lineRule="auto"/>
        <w:jc w:val="left"/>
        <w:sectPr>
          <w:footerReference w:type="default" r:id="rId37"/>
          <w:pgSz w:w="11910" w:h="16840"/>
          <w:pgMar w:footer="979" w:header="877" w:top="1060" w:bottom="1160" w:left="0" w:right="0"/>
          <w:pgNumType w:start="201"/>
        </w:sectPr>
      </w:pPr>
    </w:p>
    <w:p>
      <w:pPr>
        <w:spacing w:line="240" w:lineRule="auto" w:before="9"/>
        <w:rPr>
          <w:rFonts w:ascii="宋体" w:hAnsi="宋体" w:cs="宋体" w:eastAsia="宋体" w:hint="default"/>
          <w:sz w:val="24"/>
          <w:szCs w:val="24"/>
        </w:rPr>
      </w:pPr>
    </w:p>
    <w:p>
      <w:pPr>
        <w:pStyle w:val="BodyText"/>
        <w:spacing w:line="240" w:lineRule="auto" w:before="35"/>
        <w:ind w:left="2409" w:right="998"/>
        <w:jc w:val="left"/>
      </w:pPr>
      <w:r>
        <w:rPr/>
        <w:t>买方可辨认净资产公允价值份额的差额</w:t>
      </w:r>
      <w:r>
        <w:rPr>
          <w:rFonts w:ascii="Times New Roman" w:hAnsi="Times New Roman" w:cs="Times New Roman" w:eastAsia="Times New Roman" w:hint="default"/>
        </w:rPr>
        <w:t>8,386,495.24</w:t>
      </w:r>
      <w:r>
        <w:rPr/>
        <w:t>元确认为商誉。</w:t>
      </w:r>
    </w:p>
    <w:p>
      <w:pPr>
        <w:spacing w:line="240" w:lineRule="auto" w:before="2"/>
        <w:rPr>
          <w:rFonts w:ascii="宋体" w:hAnsi="宋体" w:cs="宋体" w:eastAsia="宋体" w:hint="default"/>
          <w:sz w:val="27"/>
          <w:szCs w:val="27"/>
        </w:rPr>
      </w:pPr>
    </w:p>
    <w:p>
      <w:pPr>
        <w:spacing w:line="357" w:lineRule="auto" w:before="44"/>
        <w:ind w:left="1133" w:right="9853"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3"/>
        <w:rPr>
          <w:rFonts w:ascii="宋体" w:hAnsi="宋体" w:cs="宋体" w:eastAsia="宋体" w:hint="default"/>
          <w:sz w:val="20"/>
          <w:szCs w:val="20"/>
        </w:rPr>
      </w:pPr>
    </w:p>
    <w:p>
      <w:pPr>
        <w:pStyle w:val="Heading6"/>
        <w:spacing w:line="240" w:lineRule="auto"/>
        <w:ind w:right="998"/>
        <w:jc w:val="left"/>
        <w:rPr>
          <w:b w:val="0"/>
          <w:bCs w:val="0"/>
        </w:rPr>
      </w:pPr>
      <w:bookmarkStart w:name="（3）被购买方于购买日可辨认资产、负债" w:id="422"/>
      <w:bookmarkEnd w:id="422"/>
      <w:r>
        <w:rPr>
          <w:b w:val="0"/>
          <w:bCs w:val="0"/>
        </w:rPr>
      </w:r>
      <w:r>
        <w:rPr/>
        <w:t>（</w:t>
      </w:r>
      <w:r>
        <w:rPr>
          <w:rFonts w:ascii="Times New Roman" w:hAnsi="Times New Roman" w:cs="Times New Roman" w:eastAsia="Times New Roman" w:hint="default"/>
        </w:rPr>
        <w:t>3</w:t>
      </w:r>
      <w:r>
        <w:rPr/>
        <w:t>）被购买方于购买日可辨认资产、负债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397"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747" w:type="dxa"/>
            <w:gridSpan w:val="2"/>
            <w:tcBorders>
              <w:top w:val="single" w:sz="4" w:space="0" w:color="000000"/>
              <w:left w:val="single" w:sz="13" w:space="0" w:color="D2D2D2"/>
              <w:bottom w:val="single" w:sz="4" w:space="0" w:color="000000"/>
              <w:right w:val="single" w:sz="4" w:space="0" w:color="000000"/>
            </w:tcBorders>
            <w:shd w:val="clear" w:color="auto" w:fill="E0FFFF"/>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Grindr</w:t>
            </w:r>
            <w:r>
              <w:rPr>
                <w:rFonts w:ascii="Times New Roman"/>
                <w:spacing w:val="-1"/>
                <w:sz w:val="18"/>
              </w:rPr>
              <w:t> </w:t>
            </w:r>
            <w:r>
              <w:rPr>
                <w:rFonts w:ascii="Times New Roman"/>
                <w:sz w:val="18"/>
              </w:rPr>
              <w:t>LLC</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北京闲徕互娱网络科技有限公司</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成都杰蛙科技有限公司</w:t>
            </w:r>
          </w:p>
        </w:tc>
      </w:tr>
      <w:tr>
        <w:trPr>
          <w:trHeight w:val="407"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47"/>
              <w:jc w:val="right"/>
              <w:rPr>
                <w:rFonts w:ascii="宋体" w:hAnsi="宋体" w:cs="宋体" w:eastAsia="宋体" w:hint="default"/>
                <w:sz w:val="18"/>
                <w:szCs w:val="18"/>
              </w:rPr>
            </w:pPr>
            <w:r>
              <w:rPr>
                <w:rFonts w:ascii="宋体" w:hAnsi="宋体" w:cs="宋体" w:eastAsia="宋体" w:hint="default"/>
                <w:sz w:val="18"/>
                <w:szCs w:val="18"/>
              </w:rPr>
              <w:t>购买日公允价值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47"/>
              <w:jc w:val="right"/>
              <w:rPr>
                <w:rFonts w:ascii="宋体" w:hAnsi="宋体" w:cs="宋体" w:eastAsia="宋体" w:hint="default"/>
                <w:sz w:val="18"/>
                <w:szCs w:val="18"/>
              </w:rPr>
            </w:pPr>
            <w:r>
              <w:rPr>
                <w:rFonts w:ascii="宋体" w:hAnsi="宋体" w:cs="宋体" w:eastAsia="宋体" w:hint="default"/>
                <w:sz w:val="18"/>
                <w:szCs w:val="18"/>
              </w:rPr>
              <w:t>购买日账面价值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47"/>
              <w:jc w:val="right"/>
              <w:rPr>
                <w:rFonts w:ascii="宋体" w:hAnsi="宋体" w:cs="宋体" w:eastAsia="宋体" w:hint="default"/>
                <w:sz w:val="18"/>
                <w:szCs w:val="18"/>
              </w:rPr>
            </w:pPr>
            <w:r>
              <w:rPr>
                <w:rFonts w:ascii="宋体" w:hAnsi="宋体" w:cs="宋体" w:eastAsia="宋体" w:hint="default"/>
                <w:sz w:val="18"/>
                <w:szCs w:val="18"/>
              </w:rPr>
              <w:t>购买日公允价值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47"/>
              <w:jc w:val="right"/>
              <w:rPr>
                <w:rFonts w:ascii="宋体" w:hAnsi="宋体" w:cs="宋体" w:eastAsia="宋体" w:hint="default"/>
                <w:sz w:val="18"/>
                <w:szCs w:val="18"/>
              </w:rPr>
            </w:pPr>
            <w:r>
              <w:rPr>
                <w:rFonts w:ascii="宋体" w:hAnsi="宋体" w:cs="宋体" w:eastAsia="宋体" w:hint="default"/>
                <w:sz w:val="18"/>
                <w:szCs w:val="18"/>
              </w:rPr>
              <w:t>购买日账面价值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47"/>
              <w:jc w:val="right"/>
              <w:rPr>
                <w:rFonts w:ascii="宋体" w:hAnsi="宋体" w:cs="宋体" w:eastAsia="宋体" w:hint="default"/>
                <w:sz w:val="18"/>
                <w:szCs w:val="18"/>
              </w:rPr>
            </w:pPr>
            <w:r>
              <w:rPr>
                <w:rFonts w:ascii="宋体" w:hAnsi="宋体" w:cs="宋体" w:eastAsia="宋体" w:hint="default"/>
                <w:sz w:val="18"/>
                <w:szCs w:val="18"/>
              </w:rPr>
              <w:t>购买日公允价值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47"/>
              <w:jc w:val="right"/>
              <w:rPr>
                <w:rFonts w:ascii="宋体" w:hAnsi="宋体" w:cs="宋体" w:eastAsia="宋体" w:hint="default"/>
                <w:sz w:val="18"/>
                <w:szCs w:val="18"/>
              </w:rPr>
            </w:pPr>
            <w:r>
              <w:rPr>
                <w:rFonts w:ascii="宋体" w:hAnsi="宋体" w:cs="宋体" w:eastAsia="宋体" w:hint="default"/>
                <w:sz w:val="18"/>
                <w:szCs w:val="18"/>
              </w:rPr>
              <w:t>购买日账面价值</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135,953,201.81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107,128,922.03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465,419,641.97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465,419,641.97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11,418,403.57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11,418,403.57</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49,612,414.66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49,612,414.66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348,979,202.73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348,979,202.73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104,081.28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104,081.28</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应收款项</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55,167,540.81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55,167,540.81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7,351,646.69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7,351,646.69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11,149,650.00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11,149,650.00</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1,586,728.58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1,581,215.11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2,336,284.65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2,336,284.65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164,672.29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164,672.29</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29,033,006.20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33,157.91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990,250.22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990,250.22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104,821,961.84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104,821,961.84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940,295.84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940,295.84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378" w:type="dxa"/>
            <w:tcBorders>
              <w:top w:val="single" w:sz="4" w:space="0" w:color="000000"/>
              <w:left w:val="single" w:sz="13" w:space="0" w:color="E0FFFF"/>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553,511.56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553,511.56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98,117,006.22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98,117,006.22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138,554,766.86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138,554,766.86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6,229,228.96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6,229,228.96</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应付款项</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98,117,006.22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98,117,006.22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138,554,766.86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138,554,766.86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6,229,228.96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6,229,228.96</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37,836,195.59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9,011,915.81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326,864,875.11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326,864,875.11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5,189,174.61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5,189,174.61</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61"/>
              <w:jc w:val="left"/>
              <w:rPr>
                <w:rFonts w:ascii="宋体" w:hAnsi="宋体" w:cs="宋体" w:eastAsia="宋体" w:hint="default"/>
                <w:sz w:val="18"/>
                <w:szCs w:val="18"/>
              </w:rPr>
            </w:pPr>
            <w:r>
              <w:rPr>
                <w:rFonts w:ascii="宋体" w:hAnsi="宋体" w:cs="宋体" w:eastAsia="宋体" w:hint="default"/>
                <w:sz w:val="18"/>
                <w:szCs w:val="18"/>
              </w:rPr>
              <w:t>减：少数股东权 益</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14,555,584.45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3,604,766.32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263,207,526.87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263,207,526.87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2,075,669.85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2,075,669.85</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取得的净资产</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23,280,611.14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5,407,149.49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63,657,348.24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63,657,348.24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3,113,504.76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3,113,504.76</w:t>
            </w:r>
          </w:p>
        </w:tc>
      </w:tr>
    </w:tbl>
    <w:p>
      <w:pPr>
        <w:spacing w:line="357" w:lineRule="auto" w:before="51"/>
        <w:ind w:left="1134" w:right="7530" w:firstLine="0"/>
        <w:jc w:val="both"/>
        <w:rPr>
          <w:rFonts w:ascii="宋体" w:hAnsi="宋体" w:cs="宋体" w:eastAsia="宋体" w:hint="default"/>
          <w:sz w:val="18"/>
          <w:szCs w:val="18"/>
        </w:rPr>
      </w:pPr>
      <w:r>
        <w:rPr>
          <w:rFonts w:ascii="宋体" w:hAnsi="宋体" w:cs="宋体" w:eastAsia="宋体" w:hint="default"/>
          <w:sz w:val="18"/>
          <w:szCs w:val="18"/>
        </w:rPr>
        <w:t>可辨认资产、负债公允价值的确定方法： 企业合并中承担的被购买方的或有负债： 无</w:t>
      </w:r>
    </w:p>
    <w:p>
      <w:pPr>
        <w:spacing w:line="357" w:lineRule="auto" w:before="29"/>
        <w:ind w:left="1133" w:right="9853"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2"/>
        <w:rPr>
          <w:rFonts w:ascii="宋体" w:hAnsi="宋体" w:cs="宋体" w:eastAsia="宋体" w:hint="default"/>
          <w:sz w:val="20"/>
          <w:szCs w:val="20"/>
        </w:rPr>
      </w:pPr>
    </w:p>
    <w:p>
      <w:pPr>
        <w:pStyle w:val="Heading6"/>
        <w:spacing w:line="240" w:lineRule="auto"/>
        <w:ind w:right="0"/>
        <w:jc w:val="both"/>
        <w:rPr>
          <w:b w:val="0"/>
          <w:bCs w:val="0"/>
        </w:rPr>
      </w:pPr>
      <w:bookmarkStart w:name="（4）购买日之前持有的股权按照公允价值重新计量产生的利得或损失" w:id="423"/>
      <w:bookmarkEnd w:id="423"/>
      <w:r>
        <w:rPr>
          <w:b w:val="0"/>
          <w:bCs w:val="0"/>
        </w:rPr>
      </w:r>
      <w:r>
        <w:rPr/>
        <w:t>（</w:t>
      </w:r>
      <w:r>
        <w:rPr>
          <w:rFonts w:ascii="Times New Roman" w:hAnsi="Times New Roman" w:cs="Times New Roman" w:eastAsia="Times New Roman" w:hint="default"/>
        </w:rPr>
        <w:t>4</w:t>
      </w:r>
      <w:r>
        <w:rPr/>
        <w:t>）购买日之前持有的股权按照公允价值重新计量产生的利得或损失</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both"/>
        <w:rPr>
          <w:rFonts w:ascii="宋体" w:hAnsi="宋体" w:cs="宋体" w:eastAsia="宋体" w:hint="default"/>
          <w:sz w:val="18"/>
          <w:szCs w:val="18"/>
        </w:rPr>
      </w:pPr>
      <w:r>
        <w:rPr>
          <w:rFonts w:ascii="宋体" w:hAnsi="宋体" w:cs="宋体" w:eastAsia="宋体" w:hint="default"/>
          <w:sz w:val="18"/>
          <w:szCs w:val="18"/>
        </w:rPr>
        <w:t>是否存在通过多次交易分步实现企业合并且在报告期内取得控制权的交易</w:t>
      </w:r>
    </w:p>
    <w:p>
      <w:pPr>
        <w:spacing w:before="116"/>
        <w:ind w:left="113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after="0"/>
        <w:jc w:val="both"/>
        <w:rPr>
          <w:rFonts w:ascii="宋体" w:hAnsi="宋体" w:cs="宋体" w:eastAsia="宋体" w:hint="default"/>
          <w:sz w:val="18"/>
          <w:szCs w:val="18"/>
        </w:rPr>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5）购买日或合并当期期末无法合理确定合并对价或被购买方可辨认资产、负债公允价值" w:id="424"/>
      <w:bookmarkEnd w:id="424"/>
      <w:r>
        <w:rPr>
          <w:b w:val="0"/>
          <w:bCs w:val="0"/>
        </w:rPr>
      </w:r>
      <w:r>
        <w:rPr/>
        <w:t>（</w:t>
      </w:r>
      <w:r>
        <w:rPr>
          <w:rFonts w:ascii="Times New Roman" w:hAnsi="Times New Roman" w:cs="Times New Roman" w:eastAsia="Times New Roman" w:hint="default"/>
        </w:rPr>
        <w:t>5</w:t>
      </w:r>
      <w:r>
        <w:rPr/>
        <w:t>）购买日或合并当期期末无法合理确定合并对价或被购买方可辨认资产、负债公允价值的相关说明</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left="1133" w:right="998"/>
        <w:jc w:val="left"/>
        <w:rPr>
          <w:b w:val="0"/>
          <w:bCs w:val="0"/>
        </w:rPr>
      </w:pPr>
      <w:bookmarkStart w:name="（6）其他说明" w:id="425"/>
      <w:bookmarkEnd w:id="425"/>
      <w:r>
        <w:rPr>
          <w:b w:val="0"/>
          <w:bCs w:val="0"/>
        </w:rPr>
      </w:r>
      <w:r>
        <w:rPr/>
        <w:t>（</w:t>
      </w:r>
      <w:r>
        <w:rPr>
          <w:rFonts w:ascii="Times New Roman" w:hAnsi="Times New Roman" w:cs="Times New Roman" w:eastAsia="Times New Roman" w:hint="default"/>
        </w:rPr>
        <w:t>6</w:t>
      </w:r>
      <w:r>
        <w:rPr/>
        <w:t>）其他说明</w:t>
      </w:r>
      <w:r>
        <w:rPr>
          <w:b w:val="0"/>
          <w:bCs w:val="0"/>
        </w:rPr>
      </w:r>
    </w:p>
    <w:p>
      <w:pPr>
        <w:spacing w:line="240" w:lineRule="auto" w:before="7"/>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2、同一控制下企业合并" w:id="426"/>
      <w:bookmarkEnd w:id="426"/>
      <w:r>
        <w:rPr>
          <w:b w:val="0"/>
          <w:bCs w:val="0"/>
        </w:rPr>
      </w:r>
      <w:r>
        <w:rPr>
          <w:rFonts w:ascii="Times New Roman" w:hAnsi="Times New Roman" w:cs="Times New Roman" w:eastAsia="Times New Roman" w:hint="default"/>
        </w:rPr>
        <w:t>2</w:t>
      </w:r>
      <w:r>
        <w:rPr/>
        <w:t>、同一控制下企业合并</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本期发生的同一控制下企业合并" w:id="427"/>
      <w:bookmarkEnd w:id="427"/>
      <w:r>
        <w:rPr>
          <w:b w:val="0"/>
          <w:bCs w:val="0"/>
        </w:rPr>
      </w:r>
      <w:r>
        <w:rPr/>
        <w:t>（</w:t>
      </w:r>
      <w:r>
        <w:rPr>
          <w:rFonts w:ascii="Times New Roman" w:hAnsi="Times New Roman" w:cs="Times New Roman" w:eastAsia="Times New Roman" w:hint="default"/>
        </w:rPr>
        <w:t>1</w:t>
      </w:r>
      <w:r>
        <w:rPr/>
        <w:t>）本期发生的同一控制下企业合并</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061"/>
        <w:gridCol w:w="1061"/>
        <w:gridCol w:w="1063"/>
        <w:gridCol w:w="1065"/>
        <w:gridCol w:w="1064"/>
        <w:gridCol w:w="1063"/>
        <w:gridCol w:w="1065"/>
        <w:gridCol w:w="1064"/>
        <w:gridCol w:w="1063"/>
      </w:tblGrid>
      <w:tr>
        <w:trPr>
          <w:trHeight w:val="1338" w:hRule="exact"/>
        </w:trPr>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435" w:right="75" w:hanging="360"/>
              <w:jc w:val="left"/>
              <w:rPr>
                <w:rFonts w:ascii="宋体" w:hAnsi="宋体" w:cs="宋体" w:eastAsia="宋体" w:hint="default"/>
                <w:sz w:val="18"/>
                <w:szCs w:val="18"/>
              </w:rPr>
            </w:pPr>
            <w:r>
              <w:rPr>
                <w:rFonts w:ascii="宋体" w:hAnsi="宋体" w:cs="宋体" w:eastAsia="宋体" w:hint="default"/>
                <w:sz w:val="18"/>
                <w:szCs w:val="18"/>
              </w:rPr>
              <w:t>被合并方名 称</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5" w:right="73"/>
              <w:jc w:val="center"/>
              <w:rPr>
                <w:rFonts w:ascii="宋体" w:hAnsi="宋体" w:cs="宋体" w:eastAsia="宋体" w:hint="default"/>
                <w:sz w:val="18"/>
                <w:szCs w:val="18"/>
              </w:rPr>
            </w:pPr>
            <w:r>
              <w:rPr>
                <w:rFonts w:ascii="宋体" w:hAnsi="宋体" w:cs="宋体" w:eastAsia="宋体" w:hint="default"/>
                <w:sz w:val="18"/>
                <w:szCs w:val="18"/>
              </w:rPr>
              <w:t>企业合并中 取得的权益 比例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6" w:right="74"/>
              <w:jc w:val="both"/>
              <w:rPr>
                <w:rFonts w:ascii="宋体" w:hAnsi="宋体" w:cs="宋体" w:eastAsia="宋体" w:hint="default"/>
                <w:sz w:val="18"/>
                <w:szCs w:val="18"/>
              </w:rPr>
            </w:pPr>
            <w:r>
              <w:rPr>
                <w:rFonts w:ascii="宋体" w:hAnsi="宋体" w:cs="宋体" w:eastAsia="宋体" w:hint="default"/>
                <w:sz w:val="18"/>
                <w:szCs w:val="18"/>
              </w:rPr>
              <w:t>构成同一控 制下企业合 并的依据</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合并日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56" w:right="77" w:hanging="180"/>
              <w:jc w:val="left"/>
              <w:rPr>
                <w:rFonts w:ascii="宋体" w:hAnsi="宋体" w:cs="宋体" w:eastAsia="宋体" w:hint="default"/>
                <w:sz w:val="18"/>
                <w:szCs w:val="18"/>
              </w:rPr>
            </w:pPr>
            <w:r>
              <w:rPr>
                <w:rFonts w:ascii="宋体" w:hAnsi="宋体" w:cs="宋体" w:eastAsia="宋体" w:hint="default"/>
                <w:sz w:val="18"/>
                <w:szCs w:val="18"/>
              </w:rPr>
              <w:t>合并日的确 定依据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6" w:right="74"/>
              <w:jc w:val="center"/>
              <w:rPr>
                <w:rFonts w:ascii="宋体" w:hAnsi="宋体" w:cs="宋体" w:eastAsia="宋体" w:hint="default"/>
                <w:sz w:val="18"/>
                <w:szCs w:val="18"/>
              </w:rPr>
            </w:pPr>
            <w:r>
              <w:rPr>
                <w:rFonts w:ascii="宋体" w:hAnsi="宋体" w:cs="宋体" w:eastAsia="宋体" w:hint="default"/>
                <w:sz w:val="18"/>
                <w:szCs w:val="18"/>
              </w:rPr>
              <w:t>合并当期期 初至合并日 被合并方的 收入</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6" w:right="76"/>
              <w:jc w:val="center"/>
              <w:rPr>
                <w:rFonts w:ascii="宋体" w:hAnsi="宋体" w:cs="宋体" w:eastAsia="宋体" w:hint="default"/>
                <w:sz w:val="18"/>
                <w:szCs w:val="18"/>
              </w:rPr>
            </w:pPr>
            <w:r>
              <w:rPr>
                <w:rFonts w:ascii="宋体" w:hAnsi="宋体" w:cs="宋体" w:eastAsia="宋体" w:hint="default"/>
                <w:sz w:val="18"/>
                <w:szCs w:val="18"/>
              </w:rPr>
              <w:t>合并当期期 初至合并日 被合并方的 净利润</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6" w:right="77"/>
              <w:jc w:val="center"/>
              <w:rPr>
                <w:rFonts w:ascii="宋体" w:hAnsi="宋体" w:cs="宋体" w:eastAsia="宋体" w:hint="default"/>
                <w:sz w:val="18"/>
                <w:szCs w:val="18"/>
              </w:rPr>
            </w:pPr>
            <w:r>
              <w:rPr>
                <w:rFonts w:ascii="宋体" w:hAnsi="宋体" w:cs="宋体" w:eastAsia="宋体" w:hint="default"/>
                <w:sz w:val="18"/>
                <w:szCs w:val="18"/>
              </w:rPr>
              <w:t>比较期间被 合并方的收 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6" w:right="74"/>
              <w:jc w:val="center"/>
              <w:rPr>
                <w:rFonts w:ascii="宋体" w:hAnsi="宋体" w:cs="宋体" w:eastAsia="宋体" w:hint="default"/>
                <w:sz w:val="18"/>
                <w:szCs w:val="18"/>
              </w:rPr>
            </w:pPr>
            <w:r>
              <w:rPr>
                <w:rFonts w:ascii="宋体" w:hAnsi="宋体" w:cs="宋体" w:eastAsia="宋体" w:hint="default"/>
                <w:sz w:val="18"/>
                <w:szCs w:val="18"/>
              </w:rPr>
              <w:t>比较期间被 合并方的净 利润</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2）合并成本" w:id="428"/>
      <w:bookmarkEnd w:id="428"/>
      <w:r>
        <w:rPr>
          <w:b w:val="0"/>
          <w:bCs w:val="0"/>
        </w:rPr>
      </w:r>
      <w:r>
        <w:rPr/>
        <w:t>（</w:t>
      </w:r>
      <w:r>
        <w:rPr>
          <w:rFonts w:ascii="Times New Roman" w:hAnsi="Times New Roman" w:cs="Times New Roman" w:eastAsia="Times New Roman" w:hint="default"/>
        </w:rPr>
        <w:t>2</w:t>
      </w:r>
      <w:r>
        <w:rPr/>
        <w:t>）合并成本</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9"/>
        <w:rPr>
          <w:rFonts w:ascii="宋体" w:hAnsi="宋体" w:cs="宋体" w:eastAsia="宋体" w:hint="default"/>
          <w:sz w:val="7"/>
          <w:szCs w:val="7"/>
        </w:rPr>
      </w:pPr>
    </w:p>
    <w:p>
      <w:pPr>
        <w:spacing w:line="421" w:lineRule="exact"/>
        <w:ind w:left="112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pt;mso-position-horizontal-relative:char;mso-position-vertical-relative:line" coordorigin="0,0" coordsize="9579,422">
            <v:group style="position:absolute;left:21;top:14;width:2;height:393" coordorigin="21,14" coordsize="2,393">
              <v:shape style="position:absolute;left:21;top:14;width:2;height:393" coordorigin="21,14" coordsize="0,393" path="m21,14l21,407e" filled="false" stroked="true" strokeweight="1.140pt" strokecolor="#d2d2d2">
                <v:path arrowok="t"/>
              </v:shape>
            </v:group>
            <v:group style="position:absolute;left:4773;top:14;width:2;height:393" coordorigin="4773,14" coordsize="2,393">
              <v:shape style="position:absolute;left:4773;top:14;width:2;height:393" coordorigin="4773,14" coordsize="0,393" path="m4773,14l4773,407e" filled="false" stroked="true" strokeweight="1.140pt" strokecolor="#d2d2d2">
                <v:path arrowok="t"/>
              </v:shape>
            </v:group>
            <v:group style="position:absolute;left:32;top:14;width:4729;height:393" coordorigin="32,14" coordsize="4729,393">
              <v:shape style="position:absolute;left:32;top:14;width:4729;height:393" coordorigin="32,14" coordsize="4729,393" path="m32,407l4761,407,4761,14,32,14,32,407xe" filled="true" fillcolor="#d2d2d2" stroked="false">
                <v:path arrowok="t"/>
                <v:fill type="solid"/>
              </v:shape>
            </v:group>
            <v:group style="position:absolute;left:4806;top:14;width:2;height:393" coordorigin="4806,14" coordsize="2,393">
              <v:shape style="position:absolute;left:4806;top:14;width:2;height:393" coordorigin="4806,14" coordsize="0,393" path="m4806,14l4806,407e" filled="false" stroked="true" strokeweight="1.140pt" strokecolor="#e0ffff">
                <v:path arrowok="t"/>
              </v:shape>
            </v:group>
            <v:group style="position:absolute;left:9557;top:14;width:2;height:393" coordorigin="9557,14" coordsize="2,393">
              <v:shape style="position:absolute;left:9557;top:14;width:2;height:393" coordorigin="9557,14" coordsize="0,393" path="m9557,14l9557,407e" filled="false" stroked="true" strokeweight="1.140pt" strokecolor="#e0ffff">
                <v:path arrowok="t"/>
              </v:shape>
            </v:group>
            <v:group style="position:absolute;left:4818;top:14;width:4729;height:393" coordorigin="4818,14" coordsize="4729,393">
              <v:shape style="position:absolute;left:4818;top:14;width:4729;height:393" coordorigin="4818,14" coordsize="4729,393" path="m4818,407l9546,407,9546,14,4818,14,481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8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8pt" strokecolor="#000000">
                <v:path arrowok="t"/>
              </v:shape>
            </v:group>
            <v:group style="position:absolute;left:5;top:5;width:2;height:412" coordorigin="5,5" coordsize="2,412">
              <v:shape style="position:absolute;left:5;top:5;width:2;height:412" coordorigin="5,5" coordsize="0,412" path="m5,5l5,416e" filled="false" stroked="true" strokeweight=".48pt" strokecolor="#000000">
                <v:path arrowok="t"/>
              </v:shape>
            </v:group>
            <v:group style="position:absolute;left:10;top:412;width:4776;height:2" coordorigin="10,412" coordsize="4776,2">
              <v:shape style="position:absolute;left:10;top:412;width:4776;height:2" coordorigin="10,412" coordsize="4776,0" path="m10,412l4785,412e" filled="false" stroked="true" strokeweight=".48pt" strokecolor="#000000">
                <v:path arrowok="t"/>
              </v:shape>
            </v:group>
            <v:group style="position:absolute;left:4790;top:5;width:2;height:412" coordorigin="4790,5" coordsize="2,412">
              <v:shape style="position:absolute;left:4790;top:5;width:2;height:412" coordorigin="4790,5" coordsize="0,412" path="m4790,5l4790,416e" filled="false" stroked="true" strokeweight=".48pt" strokecolor="#000000">
                <v:path arrowok="t"/>
              </v:shape>
            </v:group>
            <v:group style="position:absolute;left:4795;top:412;width:4774;height:2" coordorigin="4795,412" coordsize="4774,2">
              <v:shape style="position:absolute;left:4795;top:412;width:4774;height:2" coordorigin="4795,412" coordsize="4774,0" path="m4795,412l9569,412e" filled="false" stroked="true" strokeweight=".48pt" strokecolor="#000000">
                <v:path arrowok="t"/>
              </v:shape>
            </v:group>
            <v:group style="position:absolute;left:9574;top:5;width:2;height:412" coordorigin="9574,5" coordsize="2,412">
              <v:shape style="position:absolute;left:9574;top:5;width:2;height:412" coordorigin="9574,5" coordsize="0,412" path="m9574,5l9574,416e" filled="false" stroked="true" strokeweight=".48pt" strokecolor="#000000">
                <v:path arrowok="t"/>
              </v:shape>
              <v:shape style="position:absolute;left:5;top:10;width:4785;height:402"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spacing w:line="360" w:lineRule="auto" w:before="47"/>
        <w:ind w:left="1134" w:right="8592" w:firstLine="0"/>
        <w:jc w:val="left"/>
        <w:rPr>
          <w:rFonts w:ascii="宋体" w:hAnsi="宋体" w:cs="宋体" w:eastAsia="宋体" w:hint="default"/>
          <w:sz w:val="18"/>
          <w:szCs w:val="18"/>
        </w:rPr>
      </w:pPr>
      <w:r>
        <w:rPr>
          <w:rFonts w:ascii="宋体" w:hAnsi="宋体" w:cs="宋体" w:eastAsia="宋体" w:hint="default"/>
          <w:sz w:val="18"/>
          <w:szCs w:val="18"/>
        </w:rPr>
        <w:t>或有对价及其变动的说明： 其他说明：</w:t>
      </w:r>
    </w:p>
    <w:p>
      <w:pPr>
        <w:spacing w:line="240" w:lineRule="auto" w:before="11"/>
        <w:rPr>
          <w:rFonts w:ascii="宋体" w:hAnsi="宋体" w:cs="宋体" w:eastAsia="宋体" w:hint="default"/>
          <w:sz w:val="19"/>
          <w:szCs w:val="19"/>
        </w:rPr>
      </w:pPr>
    </w:p>
    <w:p>
      <w:pPr>
        <w:pStyle w:val="Heading6"/>
        <w:spacing w:line="240" w:lineRule="auto"/>
        <w:ind w:left="1133" w:right="998"/>
        <w:jc w:val="left"/>
        <w:rPr>
          <w:b w:val="0"/>
          <w:bCs w:val="0"/>
        </w:rPr>
      </w:pPr>
      <w:bookmarkStart w:name="（3）合并日被合并方资产、负债的账面价值" w:id="429"/>
      <w:bookmarkEnd w:id="429"/>
      <w:r>
        <w:rPr>
          <w:b w:val="0"/>
          <w:bCs w:val="0"/>
        </w:rPr>
      </w:r>
      <w:r>
        <w:rPr/>
        <w:t>（</w:t>
      </w:r>
      <w:r>
        <w:rPr>
          <w:rFonts w:ascii="Times New Roman" w:hAnsi="Times New Roman" w:cs="Times New Roman" w:eastAsia="Times New Roman" w:hint="default"/>
        </w:rPr>
        <w:t>3</w:t>
      </w:r>
      <w:r>
        <w:rPr/>
        <w:t>）合并日被合并方资产、负债的账面价值</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8"/>
        <w:rPr>
          <w:rFonts w:ascii="宋体" w:hAnsi="宋体" w:cs="宋体" w:eastAsia="宋体" w:hint="default"/>
          <w:sz w:val="7"/>
          <w:szCs w:val="7"/>
        </w:rPr>
      </w:pPr>
    </w:p>
    <w:p>
      <w:pPr>
        <w:spacing w:line="823" w:lineRule="exact"/>
        <w:ind w:left="1129"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79.05pt;height:41.2pt;mso-position-horizontal-relative:char;mso-position-vertical-relative:line" coordorigin="0,0" coordsize="9581,824">
            <v:group style="position:absolute;left:21;top:14;width:2;height:393" coordorigin="21,14" coordsize="2,393">
              <v:shape style="position:absolute;left:21;top:14;width:2;height:393" coordorigin="21,14" coordsize="0,393" path="m21,14l21,407e" filled="false" stroked="true" strokeweight="1.140pt" strokecolor="#d2d2d2">
                <v:path arrowok="t"/>
              </v:shape>
            </v:group>
            <v:group style="position:absolute;left:3179;top:14;width:2;height:393" coordorigin="3179,14" coordsize="2,393">
              <v:shape style="position:absolute;left:3179;top:14;width:2;height:393" coordorigin="3179,14" coordsize="0,393" path="m3179,14l3179,407e" filled="false" stroked="true" strokeweight="1.140pt" strokecolor="#d2d2d2">
                <v:path arrowok="t"/>
              </v:shape>
            </v:group>
            <v:group style="position:absolute;left:32;top:14;width:3135;height:393" coordorigin="32,14" coordsize="3135,393">
              <v:shape style="position:absolute;left:32;top:14;width:3135;height:393" coordorigin="32,14" coordsize="3135,393" path="m32,407l3167,407,3167,14,32,14,32,407xe" filled="true" fillcolor="#d2d2d2" stroked="false">
                <v:path arrowok="t"/>
                <v:fill type="solid"/>
              </v:shape>
            </v:group>
            <v:group style="position:absolute;left:3212;top:14;width:2;height:393" coordorigin="3212,14" coordsize="2,393">
              <v:shape style="position:absolute;left:3212;top:14;width:2;height:393" coordorigin="3212,14" coordsize="0,393" path="m3212,14l3212,407e" filled="false" stroked="true" strokeweight="1.2pt" strokecolor="#e0ffff">
                <v:path arrowok="t"/>
              </v:shape>
            </v:group>
            <v:group style="position:absolute;left:9560;top:14;width:2;height:393" coordorigin="9560,14" coordsize="2,393">
              <v:shape style="position:absolute;left:9560;top:14;width:2;height:393" coordorigin="9560,14" coordsize="0,393" path="m9560,14l9560,407e" filled="false" stroked="true" strokeweight="1.140pt" strokecolor="#e0ffff">
                <v:path arrowok="t"/>
              </v:shape>
            </v:group>
            <v:group style="position:absolute;left:3224;top:14;width:6325;height:393" coordorigin="3224,14" coordsize="6325,393">
              <v:shape style="position:absolute;left:3224;top:14;width:6325;height:393" coordorigin="3224,14" coordsize="6325,393" path="m3224,407l9548,407,9548,14,3224,14,3224,407xe" filled="true" fillcolor="#e0ffff" stroked="false">
                <v:path arrowok="t"/>
                <v:fill type="solid"/>
              </v:shape>
            </v:group>
            <v:group style="position:absolute;left:10;top:10;width:3181;height:2" coordorigin="10,10" coordsize="3181,2">
              <v:shape style="position:absolute;left:10;top:10;width:3181;height:2" coordorigin="10,10" coordsize="3181,0" path="m10,10l3190,10e" filled="false" stroked="true" strokeweight=".48pt" strokecolor="#000000">
                <v:path arrowok="t"/>
              </v:shape>
            </v:group>
            <v:group style="position:absolute;left:3200;top:10;width:6372;height:2" coordorigin="3200,10" coordsize="6372,2">
              <v:shape style="position:absolute;left:3200;top:10;width:6372;height:2" coordorigin="3200,10" coordsize="6372,0" path="m3200,10l9571,10e" filled="false" stroked="true" strokeweight=".48pt" strokecolor="#000000">
                <v:path arrowok="t"/>
              </v:shape>
            </v:group>
            <v:group style="position:absolute;left:21;top:416;width:2;height:393" coordorigin="21,416" coordsize="2,393">
              <v:shape style="position:absolute;left:21;top:416;width:2;height:393" coordorigin="21,416" coordsize="0,393" path="m21,416l21,809e" filled="false" stroked="true" strokeweight="1.140pt" strokecolor="#d2d2d2">
                <v:path arrowok="t"/>
              </v:shape>
            </v:group>
            <v:group style="position:absolute;left:3179;top:416;width:2;height:393" coordorigin="3179,416" coordsize="2,393">
              <v:shape style="position:absolute;left:3179;top:416;width:2;height:393" coordorigin="3179,416" coordsize="0,393" path="m3179,416l3179,809e" filled="false" stroked="true" strokeweight="1.140pt" strokecolor="#d2d2d2">
                <v:path arrowok="t"/>
              </v:shape>
            </v:group>
            <v:group style="position:absolute;left:32;top:416;width:3135;height:393" coordorigin="32,416" coordsize="3135,393">
              <v:shape style="position:absolute;left:32;top:416;width:3135;height:393" coordorigin="32,416" coordsize="3135,393" path="m32,809l3167,809,3167,416,32,416,32,809xe" filled="true" fillcolor="#d2d2d2" stroked="false">
                <v:path arrowok="t"/>
                <v:fill type="solid"/>
              </v:shape>
            </v:group>
            <v:group style="position:absolute;left:3212;top:416;width:2;height:393" coordorigin="3212,416" coordsize="2,393">
              <v:shape style="position:absolute;left:3212;top:416;width:2;height:393" coordorigin="3212,416" coordsize="0,393" path="m3212,416l3212,809e" filled="false" stroked="true" strokeweight="1.2pt" strokecolor="#d2d2d2">
                <v:path arrowok="t"/>
              </v:shape>
            </v:group>
            <v:group style="position:absolute;left:6369;top:416;width:2;height:393" coordorigin="6369,416" coordsize="2,393">
              <v:shape style="position:absolute;left:6369;top:416;width:2;height:393" coordorigin="6369,416" coordsize="0,393" path="m6369,416l6369,809e" filled="false" stroked="true" strokeweight="1.140pt" strokecolor="#d2d2d2">
                <v:path arrowok="t"/>
              </v:shape>
            </v:group>
            <v:group style="position:absolute;left:3224;top:416;width:3134;height:393" coordorigin="3224,416" coordsize="3134,393">
              <v:shape style="position:absolute;left:3224;top:416;width:3134;height:393" coordorigin="3224,416" coordsize="3134,393" path="m3224,809l6357,809,6357,416,3224,416,3224,809xe" filled="true" fillcolor="#d2d2d2" stroked="false">
                <v:path arrowok="t"/>
                <v:fill type="solid"/>
              </v:shape>
            </v:group>
            <v:group style="position:absolute;left:6402;top:416;width:2;height:393" coordorigin="6402,416" coordsize="2,393">
              <v:shape style="position:absolute;left:6402;top:416;width:2;height:393" coordorigin="6402,416" coordsize="0,393" path="m6402,416l6402,809e" filled="false" stroked="true" strokeweight="1.140pt" strokecolor="#d2d2d2">
                <v:path arrowok="t"/>
              </v:shape>
            </v:group>
            <v:group style="position:absolute;left:9560;top:416;width:2;height:393" coordorigin="9560,416" coordsize="2,393">
              <v:shape style="position:absolute;left:9560;top:416;width:2;height:393" coordorigin="9560,416" coordsize="0,393" path="m9560,416l9560,809e" filled="false" stroked="true" strokeweight="1.140pt" strokecolor="#d2d2d2">
                <v:path arrowok="t"/>
              </v:shape>
            </v:group>
            <v:group style="position:absolute;left:6414;top:416;width:3135;height:393" coordorigin="6414,416" coordsize="3135,393">
              <v:shape style="position:absolute;left:6414;top:416;width:3135;height:393" coordorigin="6414,416" coordsize="3135,393" path="m6414,809l9548,809,9548,416,6414,416,6414,809xe" filled="true" fillcolor="#d2d2d2" stroked="false">
                <v:path arrowok="t"/>
                <v:fill type="solid"/>
              </v:shape>
            </v:group>
            <v:group style="position:absolute;left:10;top:412;width:3181;height:2" coordorigin="10,412" coordsize="3181,2">
              <v:shape style="position:absolute;left:10;top:412;width:3181;height:2" coordorigin="10,412" coordsize="3181,0" path="m10,412l3190,412e" filled="false" stroked="true" strokeweight=".48pt" strokecolor="#000000">
                <v:path arrowok="t"/>
              </v:shape>
            </v:group>
            <v:group style="position:absolute;left:3200;top:412;width:3182;height:2" coordorigin="3200,412" coordsize="3182,2">
              <v:shape style="position:absolute;left:3200;top:412;width:3182;height:2" coordorigin="3200,412" coordsize="3182,0" path="m3200,412l6381,412e" filled="false" stroked="true" strokeweight=".48pt" strokecolor="#000000">
                <v:path arrowok="t"/>
              </v:shape>
            </v:group>
            <v:group style="position:absolute;left:6391;top:412;width:3181;height:2" coordorigin="6391,412" coordsize="3181,2">
              <v:shape style="position:absolute;left:6391;top:412;width:3181;height:2" coordorigin="6391,412" coordsize="3181,0" path="m6391,412l9571,412e" filled="false" stroked="true" strokeweight=".48pt" strokecolor="#000000">
                <v:path arrowok="t"/>
              </v:shape>
            </v:group>
            <v:group style="position:absolute;left:5;top:5;width:2;height:814" coordorigin="5,5" coordsize="2,814">
              <v:shape style="position:absolute;left:5;top:5;width:2;height:814" coordorigin="5,5" coordsize="0,814" path="m5,5l5,818e" filled="false" stroked="true" strokeweight=".48pt" strokecolor="#000000">
                <v:path arrowok="t"/>
              </v:shape>
            </v:group>
            <v:group style="position:absolute;left:10;top:814;width:3181;height:2" coordorigin="10,814" coordsize="3181,2">
              <v:shape style="position:absolute;left:10;top:814;width:3181;height:2" coordorigin="10,814" coordsize="3181,0" path="m10,814l3190,814e" filled="false" stroked="true" strokeweight=".48pt" strokecolor="#000000">
                <v:path arrowok="t"/>
              </v:shape>
            </v:group>
            <v:group style="position:absolute;left:3195;top:5;width:2;height:814" coordorigin="3195,5" coordsize="2,814">
              <v:shape style="position:absolute;left:3195;top:5;width:2;height:814" coordorigin="3195,5" coordsize="0,814" path="m3195,5l3195,818e" filled="false" stroked="true" strokeweight=".48pt" strokecolor="#000000">
                <v:path arrowok="t"/>
              </v:shape>
            </v:group>
            <v:group style="position:absolute;left:3200;top:814;width:3182;height:2" coordorigin="3200,814" coordsize="3182,2">
              <v:shape style="position:absolute;left:3200;top:814;width:3182;height:2" coordorigin="3200,814" coordsize="3182,0" path="m3200,814l6381,814e" filled="false" stroked="true" strokeweight=".48pt" strokecolor="#000000">
                <v:path arrowok="t"/>
              </v:shape>
            </v:group>
            <v:group style="position:absolute;left:6386;top:407;width:2;height:412" coordorigin="6386,407" coordsize="2,412">
              <v:shape style="position:absolute;left:6386;top:407;width:2;height:412" coordorigin="6386,407" coordsize="0,412" path="m6386,407l6386,818e" filled="false" stroked="true" strokeweight=".48pt" strokecolor="#000000">
                <v:path arrowok="t"/>
              </v:shape>
            </v:group>
            <v:group style="position:absolute;left:6391;top:814;width:3181;height:2" coordorigin="6391,814" coordsize="3181,2">
              <v:shape style="position:absolute;left:6391;top:814;width:3181;height:2" coordorigin="6391,814" coordsize="3181,0" path="m6391,814l9571,814e" filled="false" stroked="true" strokeweight=".48pt" strokecolor="#000000">
                <v:path arrowok="t"/>
              </v:shape>
            </v:group>
            <v:group style="position:absolute;left:9576;top:5;width:2;height:814" coordorigin="9576,5" coordsize="2,814">
              <v:shape style="position:absolute;left:9576;top:5;width:2;height:814" coordorigin="9576,5" coordsize="0,814" path="m9576,5l9576,818e" filled="false" stroked="true" strokeweight=".48pt" strokecolor="#000000">
                <v:path arrowok="t"/>
              </v:shape>
              <v:shape style="position:absolute;left:3183;top:412;width:3202;height:402" type="#_x0000_t202" filled="false" stroked="false">
                <v:textbox inset="0,0,0,0">
                  <w:txbxContent>
                    <w:p>
                      <w:pPr>
                        <w:spacing w:before="56"/>
                        <w:ind w:left="13" w:right="0" w:firstLine="0"/>
                        <w:jc w:val="center"/>
                        <w:rPr>
                          <w:rFonts w:ascii="宋体" w:hAnsi="宋体" w:cs="宋体" w:eastAsia="宋体" w:hint="default"/>
                          <w:sz w:val="18"/>
                          <w:szCs w:val="18"/>
                        </w:rPr>
                      </w:pPr>
                      <w:r>
                        <w:rPr>
                          <w:rFonts w:ascii="宋体" w:hAnsi="宋体" w:cs="宋体" w:eastAsia="宋体" w:hint="default"/>
                          <w:sz w:val="18"/>
                          <w:szCs w:val="18"/>
                        </w:rPr>
                        <w:t>合并日</w:t>
                      </w:r>
                    </w:p>
                  </w:txbxContent>
                </v:textbox>
                <w10:wrap type="none"/>
              </v:shape>
              <v:shape style="position:absolute;left:6385;top:412;width:3180;height:402" type="#_x0000_t202" filled="false" stroked="false">
                <v:textbox inset="0,0,0,0">
                  <w:txbxContent>
                    <w:p>
                      <w:pPr>
                        <w:spacing w:before="56"/>
                        <w:ind w:left="12" w:right="0" w:firstLine="0"/>
                        <w:jc w:val="center"/>
                        <w:rPr>
                          <w:rFonts w:ascii="宋体" w:hAnsi="宋体" w:cs="宋体" w:eastAsia="宋体" w:hint="default"/>
                          <w:sz w:val="18"/>
                          <w:szCs w:val="18"/>
                        </w:rPr>
                      </w:pPr>
                      <w:r>
                        <w:rPr>
                          <w:rFonts w:ascii="宋体" w:hAnsi="宋体" w:cs="宋体" w:eastAsia="宋体" w:hint="default"/>
                          <w:sz w:val="18"/>
                          <w:szCs w:val="18"/>
                        </w:rPr>
                        <w:t>上期期末</w:t>
                      </w:r>
                    </w:p>
                  </w:txbxContent>
                </v:textbox>
                <w10:wrap type="none"/>
              </v:shape>
            </v:group>
          </v:group>
        </w:pict>
      </w:r>
      <w:r>
        <w:rPr>
          <w:rFonts w:ascii="宋体" w:hAnsi="宋体" w:cs="宋体" w:eastAsia="宋体" w:hint="default"/>
          <w:position w:val="-15"/>
          <w:sz w:val="20"/>
          <w:szCs w:val="20"/>
        </w:rPr>
      </w:r>
    </w:p>
    <w:p>
      <w:pPr>
        <w:spacing w:line="360" w:lineRule="auto" w:before="46"/>
        <w:ind w:left="1134" w:right="7512" w:firstLine="0"/>
        <w:jc w:val="left"/>
        <w:rPr>
          <w:rFonts w:ascii="宋体" w:hAnsi="宋体" w:cs="宋体" w:eastAsia="宋体" w:hint="default"/>
          <w:sz w:val="18"/>
          <w:szCs w:val="18"/>
        </w:rPr>
      </w:pPr>
      <w:r>
        <w:rPr>
          <w:rFonts w:ascii="宋体" w:hAnsi="宋体" w:cs="宋体" w:eastAsia="宋体" w:hint="default"/>
          <w:sz w:val="18"/>
          <w:szCs w:val="18"/>
        </w:rPr>
        <w:t>企业合并中承担的被合并方的或有负债： 其他说明：</w:t>
      </w:r>
    </w:p>
    <w:p>
      <w:pPr>
        <w:spacing w:line="240" w:lineRule="auto" w:before="11"/>
        <w:rPr>
          <w:rFonts w:ascii="宋体" w:hAnsi="宋体" w:cs="宋体" w:eastAsia="宋体" w:hint="default"/>
          <w:sz w:val="19"/>
          <w:szCs w:val="19"/>
        </w:rPr>
      </w:pPr>
    </w:p>
    <w:p>
      <w:pPr>
        <w:pStyle w:val="Heading6"/>
        <w:spacing w:line="240" w:lineRule="auto"/>
        <w:ind w:right="998"/>
        <w:jc w:val="left"/>
        <w:rPr>
          <w:b w:val="0"/>
          <w:bCs w:val="0"/>
        </w:rPr>
      </w:pPr>
      <w:bookmarkStart w:name="3、反向购买" w:id="430"/>
      <w:bookmarkEnd w:id="430"/>
      <w:r>
        <w:rPr>
          <w:b w:val="0"/>
          <w:bCs w:val="0"/>
        </w:rPr>
      </w:r>
      <w:r>
        <w:rPr>
          <w:rFonts w:ascii="Times New Roman" w:hAnsi="Times New Roman" w:cs="Times New Roman" w:eastAsia="Times New Roman" w:hint="default"/>
        </w:rPr>
        <w:t>3</w:t>
      </w:r>
      <w:r>
        <w:rPr/>
        <w:t>、反向购买</w:t>
      </w:r>
      <w:r>
        <w:rPr>
          <w:b w:val="0"/>
          <w:bCs w:val="0"/>
        </w:rPr>
      </w:r>
    </w:p>
    <w:p>
      <w:pPr>
        <w:spacing w:line="240" w:lineRule="auto" w:before="8"/>
        <w:rPr>
          <w:rFonts w:ascii="宋体" w:hAnsi="宋体" w:cs="宋体" w:eastAsia="宋体" w:hint="default"/>
          <w:b/>
          <w:bCs/>
          <w:sz w:val="26"/>
          <w:szCs w:val="26"/>
        </w:rPr>
      </w:pPr>
    </w:p>
    <w:p>
      <w:pPr>
        <w:spacing w:line="319" w:lineRule="auto" w:before="0"/>
        <w:ind w:left="1134" w:right="998" w:firstLine="0"/>
        <w:jc w:val="left"/>
        <w:rPr>
          <w:rFonts w:ascii="宋体" w:hAnsi="宋体" w:cs="宋体" w:eastAsia="宋体" w:hint="default"/>
          <w:sz w:val="18"/>
          <w:szCs w:val="18"/>
        </w:rPr>
      </w:pPr>
      <w:r>
        <w:rPr>
          <w:rFonts w:ascii="宋体" w:hAnsi="宋体" w:cs="宋体" w:eastAsia="宋体" w:hint="default"/>
          <w:spacing w:val="-2"/>
          <w:sz w:val="18"/>
          <w:szCs w:val="18"/>
        </w:rPr>
        <w:t>交易基本信息、交易构成反向购买的依据、上市公司保留的资产、负债是否构成业务及其依据、合并成本的确定、按照权益</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性交易处理时调整权益的金额及其计算：</w:t>
      </w:r>
    </w:p>
    <w:p>
      <w:pPr>
        <w:spacing w:line="240" w:lineRule="auto" w:before="4"/>
        <w:rPr>
          <w:rFonts w:ascii="宋体" w:hAnsi="宋体" w:cs="宋体" w:eastAsia="宋体" w:hint="default"/>
          <w:sz w:val="22"/>
          <w:szCs w:val="22"/>
        </w:rPr>
      </w:pPr>
    </w:p>
    <w:p>
      <w:pPr>
        <w:pStyle w:val="Heading6"/>
        <w:spacing w:line="240" w:lineRule="auto"/>
        <w:ind w:right="998"/>
        <w:jc w:val="left"/>
        <w:rPr>
          <w:b w:val="0"/>
          <w:bCs w:val="0"/>
        </w:rPr>
      </w:pPr>
      <w:bookmarkStart w:name="4、处置子公司" w:id="431"/>
      <w:bookmarkEnd w:id="431"/>
      <w:r>
        <w:rPr>
          <w:b w:val="0"/>
          <w:bCs w:val="0"/>
        </w:rPr>
      </w:r>
      <w:r>
        <w:rPr>
          <w:rFonts w:ascii="Times New Roman" w:hAnsi="Times New Roman" w:cs="Times New Roman" w:eastAsia="Times New Roman" w:hint="default"/>
        </w:rPr>
        <w:t>4</w:t>
      </w:r>
      <w:r>
        <w:rPr/>
        <w:t>、处置子公司</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是否存在单次处置对子公司投资即丧失控制权的情形</w:t>
      </w:r>
    </w:p>
    <w:p>
      <w:pPr>
        <w:spacing w:line="338" w:lineRule="auto" w:before="117"/>
        <w:ind w:left="1133" w:right="49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是否存在通过多次交易分步处置对子公司投资且在本期丧失控制权的情形</w:t>
      </w:r>
    </w:p>
    <w:p>
      <w:pPr>
        <w:spacing w:after="0" w:line="338"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13"/>
        <w:rPr>
          <w:rFonts w:ascii="宋体" w:hAnsi="宋体" w:cs="宋体" w:eastAsia="宋体" w:hint="default"/>
          <w:sz w:val="25"/>
          <w:szCs w:val="25"/>
        </w:rPr>
      </w:pPr>
    </w:p>
    <w:p>
      <w:pPr>
        <w:spacing w:before="44"/>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9"/>
        <w:rPr>
          <w:rFonts w:ascii="宋体" w:hAnsi="宋体" w:cs="宋体" w:eastAsia="宋体" w:hint="default"/>
          <w:sz w:val="25"/>
          <w:szCs w:val="25"/>
        </w:rPr>
      </w:pPr>
    </w:p>
    <w:p>
      <w:pPr>
        <w:pStyle w:val="Heading6"/>
        <w:spacing w:line="240" w:lineRule="auto"/>
        <w:ind w:left="1133" w:right="998"/>
        <w:jc w:val="left"/>
        <w:rPr>
          <w:b w:val="0"/>
          <w:bCs w:val="0"/>
        </w:rPr>
      </w:pPr>
      <w:bookmarkStart w:name="5、其他原因的合并范围变动" w:id="432"/>
      <w:bookmarkEnd w:id="432"/>
      <w:r>
        <w:rPr>
          <w:b w:val="0"/>
          <w:bCs w:val="0"/>
        </w:rPr>
      </w:r>
      <w:r>
        <w:rPr>
          <w:rFonts w:ascii="Times New Roman" w:hAnsi="Times New Roman" w:cs="Times New Roman" w:eastAsia="Times New Roman" w:hint="default"/>
        </w:rPr>
        <w:t>5</w:t>
      </w:r>
      <w:r>
        <w:rPr/>
        <w:t>、其他原因的合并范围变动</w:t>
      </w:r>
      <w:r>
        <w:rPr>
          <w:b w:val="0"/>
          <w:bCs w:val="0"/>
        </w:rPr>
      </w:r>
    </w:p>
    <w:p>
      <w:pPr>
        <w:spacing w:line="240" w:lineRule="auto" w:before="9"/>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说明其他原因导致的合并范围变动（如，新设子公司、清算子公司等）及其相关情况：</w:t>
      </w:r>
    </w:p>
    <w:p>
      <w:pPr>
        <w:pStyle w:val="BodyText"/>
        <w:spacing w:line="256" w:lineRule="auto" w:before="89"/>
        <w:ind w:right="1117"/>
        <w:jc w:val="left"/>
      </w:pPr>
      <w:r>
        <w:rPr/>
        <w:t>本期新设增加</w:t>
      </w:r>
      <w:r>
        <w:rPr>
          <w:rFonts w:ascii="Times New Roman" w:hAnsi="Times New Roman" w:cs="Times New Roman" w:eastAsia="Times New Roman" w:hint="default"/>
        </w:rPr>
        <w:t>6</w:t>
      </w:r>
      <w:r>
        <w:rPr/>
        <w:t>个子公司，分别为霍尔果斯昆仑点金科技网络有限公司、霍尔果斯昆诺天勤创业投资有限 公司、新余市昆仑乐云网络小额贷款有限公司、</w:t>
      </w:r>
      <w:r>
        <w:rPr>
          <w:rFonts w:ascii="Times New Roman" w:hAnsi="Times New Roman" w:cs="Times New Roman" w:eastAsia="Times New Roman" w:hint="default"/>
        </w:rPr>
        <w:t>Cayman Kunlun</w:t>
      </w:r>
      <w:r>
        <w:rPr>
          <w:rFonts w:ascii="Times New Roman" w:hAnsi="Times New Roman" w:cs="Times New Roman" w:eastAsia="Times New Roman" w:hint="default"/>
          <w:spacing w:val="-42"/>
        </w:rPr>
        <w:t> </w:t>
      </w:r>
      <w:r>
        <w:rPr>
          <w:rFonts w:ascii="Times New Roman" w:hAnsi="Times New Roman" w:cs="Times New Roman" w:eastAsia="Times New Roman" w:hint="default"/>
          <w:spacing w:val="-3"/>
        </w:rPr>
        <w:t>Group</w:t>
      </w:r>
      <w:r>
        <w:rPr>
          <w:spacing w:val="-3"/>
        </w:rPr>
        <w:t>、闲徕互娱（香港）网络科技有限公</w:t>
      </w:r>
      <w:r>
        <w:rPr/>
        <w:t> 司、湖南闲徕互娱网络科技有限公司。</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spacing w:line="487" w:lineRule="auto" w:before="0"/>
        <w:ind w:left="1133" w:right="7693" w:firstLine="0"/>
        <w:jc w:val="left"/>
        <w:rPr>
          <w:rFonts w:ascii="宋体" w:hAnsi="宋体" w:cs="宋体" w:eastAsia="宋体" w:hint="default"/>
          <w:sz w:val="21"/>
          <w:szCs w:val="21"/>
        </w:rPr>
      </w:pPr>
      <w:bookmarkStart w:name="6、其他" w:id="433"/>
      <w:bookmarkEnd w:id="433"/>
      <w:r>
        <w:rPr/>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九、在其他主体中的权益" w:id="434"/>
      <w:bookmarkEnd w:id="434"/>
      <w:r>
        <w:rPr>
          <w:rFonts w:ascii="宋体" w:hAnsi="宋体" w:cs="宋体" w:eastAsia="宋体" w:hint="default"/>
          <w:b/>
          <w:bCs/>
          <w:spacing w:val="1"/>
          <w:w w:val="99"/>
          <w:sz w:val="21"/>
          <w:szCs w:val="21"/>
        </w:rPr>
      </w:r>
      <w:r>
        <w:rPr>
          <w:rFonts w:ascii="宋体" w:hAnsi="宋体" w:cs="宋体" w:eastAsia="宋体" w:hint="default"/>
          <w:b/>
          <w:bCs/>
          <w:w w:val="95"/>
          <w:sz w:val="24"/>
          <w:szCs w:val="24"/>
        </w:rPr>
        <w:t>九、在其他主体中的权益</w:t>
      </w:r>
      <w:r>
        <w:rPr>
          <w:rFonts w:ascii="宋体" w:hAnsi="宋体" w:cs="宋体" w:eastAsia="宋体" w:hint="default"/>
          <w:b/>
          <w:bCs/>
          <w:spacing w:val="7"/>
          <w:w w:val="95"/>
          <w:sz w:val="24"/>
          <w:szCs w:val="24"/>
        </w:rPr>
        <w:t> </w:t>
      </w:r>
      <w:r>
        <w:rPr>
          <w:rFonts w:ascii="宋体" w:hAnsi="宋体" w:cs="宋体" w:eastAsia="宋体" w:hint="default"/>
          <w:b/>
          <w:bCs/>
          <w:spacing w:val="7"/>
          <w:w w:val="95"/>
          <w:sz w:val="24"/>
          <w:szCs w:val="24"/>
        </w:rPr>
      </w:r>
      <w:bookmarkStart w:name="1、在子公司中的权益" w:id="435"/>
      <w:bookmarkEnd w:id="435"/>
      <w:r>
        <w:rPr>
          <w:rFonts w:ascii="宋体" w:hAnsi="宋体" w:cs="宋体" w:eastAsia="宋体" w:hint="default"/>
          <w:b/>
          <w:bCs/>
          <w:spacing w:val="7"/>
          <w:w w:val="95"/>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、在子公司中的权益</w:t>
      </w:r>
      <w:r>
        <w:rPr>
          <w:rFonts w:ascii="宋体" w:hAnsi="宋体" w:cs="宋体" w:eastAsia="宋体" w:hint="default"/>
          <w:sz w:val="21"/>
          <w:szCs w:val="21"/>
        </w:rPr>
      </w:r>
    </w:p>
    <w:p>
      <w:pPr>
        <w:pStyle w:val="Heading6"/>
        <w:spacing w:line="240" w:lineRule="auto" w:before="83"/>
        <w:ind w:left="1133" w:right="998"/>
        <w:jc w:val="left"/>
        <w:rPr>
          <w:b w:val="0"/>
          <w:bCs w:val="0"/>
        </w:rPr>
      </w:pPr>
      <w:bookmarkStart w:name="（1）企业集团的构成" w:id="436"/>
      <w:bookmarkEnd w:id="436"/>
      <w:r>
        <w:rPr>
          <w:b w:val="0"/>
          <w:bCs w:val="0"/>
        </w:rPr>
      </w:r>
      <w:r>
        <w:rPr/>
        <w:t>（</w:t>
      </w:r>
      <w:r>
        <w:rPr>
          <w:rFonts w:ascii="Times New Roman" w:hAnsi="Times New Roman" w:cs="Times New Roman" w:eastAsia="Times New Roman" w:hint="default"/>
        </w:rPr>
        <w:t>1</w:t>
      </w:r>
      <w:r>
        <w:rPr/>
        <w:t>）企业集团的构成</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402" w:hRule="exact"/>
        </w:trPr>
        <w:tc>
          <w:tcPr>
            <w:tcW w:w="13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2" w:hRule="exact"/>
        </w:trPr>
        <w:tc>
          <w:tcPr>
            <w:tcW w:w="1372"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北京昆仑在线网 络科技有限公司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网络游戏研发和 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北京昆仑乐享网 络科技有限公司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网络游戏研发和 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22" w:right="77"/>
              <w:jc w:val="left"/>
              <w:rPr>
                <w:rFonts w:ascii="宋体" w:hAnsi="宋体" w:cs="宋体" w:eastAsia="宋体" w:hint="default"/>
                <w:sz w:val="18"/>
                <w:szCs w:val="18"/>
              </w:rPr>
            </w:pPr>
            <w:r>
              <w:rPr>
                <w:rFonts w:ascii="宋体" w:hAnsi="宋体" w:cs="宋体" w:eastAsia="宋体" w:hint="default"/>
                <w:sz w:val="18"/>
                <w:szCs w:val="18"/>
              </w:rPr>
              <w:t>广州昆仑在线信 息科技有限公司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中国（广州）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中国（广州）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计算机软件的技 术开发、技术服 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昆仑日本株式会 社</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日本（东京）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日本（东京）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昆仑韩国株式会 社</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韩国（首尔）</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韩国（首尔）</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香港昆仑万维股 份有限公司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北京昆仑点金投 资有限公司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投资管理、资产 管理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宁波昆仑点金股 权投资有限公司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股权投资及其他 相关咨询服务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上海昆晟科技有 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技术服务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67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西藏昆诺赢展创 业投资有限责任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中国（拉萨）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中国（拉萨）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投资管理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r>
        <w:rPr/>
        <w:pict>
          <v:shape style="position:absolute;margin-left:92.343002pt;margin-top:126.29998pt;width:101.1pt;height:15.65pt;mso-position-horizontal-relative:page;mso-position-vertical-relative:page;z-index:-1135000"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（海南）</w:t>
                  </w:r>
                </w:p>
              </w:txbxContent>
            </v:textbox>
            <w10:wrap type="none"/>
          </v:shape>
        </w:pict>
      </w:r>
      <w:r>
        <w:rPr/>
        <w:pict>
          <v:shape style="position:absolute;margin-left:92.343002pt;margin-top:249.019989pt;width:101.1pt;height:15.6pt;mso-position-horizontal-relative:page;mso-position-vertical-relative:page;z-index:-1134976"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（香港）</w:t>
                  </w:r>
                </w:p>
              </w:txbxContent>
            </v:textbox>
            <w10:wrap type="none"/>
          </v:shape>
        </w:pict>
      </w:r>
      <w:r>
        <w:rPr/>
        <w:pict>
          <v:shape style="position:absolute;margin-left:92.343002pt;margin-top:454.23999pt;width:101.1pt;height:15.6pt;mso-position-horizontal-relative:page;mso-position-vertical-relative:page;z-index:-1134952"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（香港）</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36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北京闲徕互娱网 络科技有限公司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中国（北京</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中国（北京</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51.00%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购买</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闲来互娱 网络科技有限公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
                <w:sz w:val="20"/>
                <w:szCs w:val="20"/>
              </w:rPr>
              <w:pict>
                <v:group style="width:67.9pt;height:15.65pt;mso-position-horizontal-relative:char;mso-position-vertical-relative:line" coordorigin="0,0" coordsize="1358,313">
                  <v:group style="position:absolute;left:0;top:0;width:1358;height:313" coordorigin="0,0" coordsize="1358,313">
                    <v:shape style="position:absolute;left:0;top:0;width:1358;height:313" coordorigin="0,0" coordsize="1358,313" path="m0,312l1357,312,1357,0,0,0,0,312xe" filled="true" fillcolor="#ffffff" stroked="false">
                      <v:path arrowok="t"/>
                      <v:fill type="solid"/>
                    </v:shape>
                  </v:group>
                </v:group>
              </w:pict>
            </w:r>
            <w:r>
              <w:rPr>
                <w:rFonts w:ascii="Times New Roman" w:hAnsi="Times New Roman" w:cs="Times New Roman" w:eastAsia="Times New Roman" w:hint="default"/>
                <w:position w:val="-5"/>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中国（海南）</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8"/>
                <w:szCs w:val="28"/>
              </w:rPr>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中国（海南）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51.00%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湖南闲徕互娱网 络科技有限公司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中国（湖南）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中国（湖南）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51.00%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深圳市天橙一品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51.00%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购买</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闲徕互娱 网络科技有限公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
                <w:sz w:val="20"/>
                <w:szCs w:val="20"/>
              </w:rPr>
              <w:pict>
                <v:group style="width:67.9pt;height:15.6pt;mso-position-horizontal-relative:char;mso-position-vertical-relative:line" coordorigin="0,0" coordsize="1358,312">
                  <v:group style="position:absolute;left:0;top:0;width:1358;height:312" coordorigin="0,0" coordsize="1358,312">
                    <v:shape style="position:absolute;left:0;top:0;width:1358;height:312" coordorigin="0,0" coordsize="1358,312" path="m0,312l1357,312,1357,0,0,0,0,312xe" filled="true" fillcolor="#ffffff" stroked="false">
                      <v:path arrowok="t"/>
                      <v:fill type="solid"/>
                    </v:shape>
                  </v:group>
                </v:group>
              </w:pict>
            </w:r>
            <w:r>
              <w:rPr>
                <w:rFonts w:ascii="Times New Roman" w:hAnsi="Times New Roman" w:cs="Times New Roman" w:eastAsia="Times New Roman" w:hint="default"/>
                <w:position w:val="-5"/>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中国（深圳）</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4"/>
              <w:ind w:right="0"/>
              <w:jc w:val="left"/>
              <w:rPr>
                <w:rFonts w:ascii="Times New Roman" w:hAnsi="Times New Roman" w:cs="Times New Roman" w:eastAsia="Times New Roman" w:hint="default"/>
                <w:sz w:val="28"/>
                <w:szCs w:val="28"/>
              </w:rPr>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中国（深圳）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51.00%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77"/>
              <w:jc w:val="left"/>
              <w:rPr>
                <w:rFonts w:ascii="宋体" w:hAnsi="宋体" w:cs="宋体" w:eastAsia="宋体" w:hint="default"/>
                <w:sz w:val="18"/>
                <w:szCs w:val="18"/>
              </w:rPr>
            </w:pPr>
            <w:r>
              <w:rPr>
                <w:rFonts w:ascii="宋体" w:hAnsi="宋体" w:cs="宋体" w:eastAsia="宋体" w:hint="default"/>
                <w:sz w:val="18"/>
                <w:szCs w:val="18"/>
              </w:rPr>
              <w:t>昆仑集团有限公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中国（香港）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中国（香港）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研发、发行及运 营互联网游戏及 互联网软件</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689" w:right="0"/>
              <w:jc w:val="lef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338"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138"/>
              <w:jc w:val="left"/>
              <w:rPr>
                <w:rFonts w:ascii="Times New Roman" w:hAnsi="Times New Roman" w:cs="Times New Roman" w:eastAsia="Times New Roman" w:hint="default"/>
                <w:sz w:val="18"/>
                <w:szCs w:val="18"/>
              </w:rPr>
            </w:pPr>
            <w:r>
              <w:rPr>
                <w:rFonts w:ascii="Times New Roman"/>
                <w:sz w:val="18"/>
              </w:rPr>
              <w:t>KUNLUN</w:t>
            </w:r>
            <w:r>
              <w:rPr>
                <w:rFonts w:ascii="Times New Roman"/>
                <w:w w:val="99"/>
                <w:sz w:val="18"/>
              </w:rPr>
              <w:t> </w:t>
            </w:r>
            <w:r>
              <w:rPr>
                <w:rFonts w:ascii="Times New Roman"/>
                <w:sz w:val="18"/>
              </w:rPr>
              <w:t>GLOBAL</w:t>
            </w:r>
            <w:r>
              <w:rPr>
                <w:rFonts w:ascii="Times New Roman"/>
                <w:sz w:val="18"/>
              </w:rPr>
              <w:t> </w:t>
            </w:r>
            <w:r>
              <w:rPr>
                <w:rFonts w:ascii="Times New Roman"/>
                <w:spacing w:val="-2"/>
                <w:sz w:val="18"/>
              </w:rPr>
              <w:t>INTERNATION</w:t>
            </w:r>
            <w:r>
              <w:rPr>
                <w:rFonts w:ascii="Times New Roman"/>
                <w:w w:val="99"/>
                <w:sz w:val="18"/>
              </w:rPr>
              <w:t> </w:t>
            </w:r>
            <w:r>
              <w:rPr>
                <w:rFonts w:ascii="Times New Roman"/>
                <w:sz w:val="18"/>
              </w:rPr>
              <w:t>AL SDN.</w:t>
            </w:r>
            <w:r>
              <w:rPr>
                <w:rFonts w:ascii="Times New Roman"/>
                <w:spacing w:val="-10"/>
                <w:sz w:val="18"/>
              </w:rPr>
              <w:t> </w:t>
            </w:r>
            <w:r>
              <w:rPr>
                <w:rFonts w:ascii="Times New Roman"/>
                <w:sz w:val="18"/>
              </w:rPr>
              <w:t>BHD.</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72"/>
              <w:jc w:val="left"/>
              <w:rPr>
                <w:rFonts w:ascii="宋体" w:hAnsi="宋体" w:cs="宋体" w:eastAsia="宋体" w:hint="default"/>
                <w:sz w:val="18"/>
                <w:szCs w:val="18"/>
              </w:rPr>
            </w:pPr>
            <w:r>
              <w:rPr>
                <w:rFonts w:ascii="宋体" w:hAnsi="宋体" w:cs="宋体" w:eastAsia="宋体" w:hint="default"/>
                <w:sz w:val="18"/>
                <w:szCs w:val="18"/>
              </w:rPr>
              <w:t>马来西亚（雪兰 莪）</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72"/>
              <w:jc w:val="left"/>
              <w:rPr>
                <w:rFonts w:ascii="宋体" w:hAnsi="宋体" w:cs="宋体" w:eastAsia="宋体" w:hint="default"/>
                <w:sz w:val="18"/>
                <w:szCs w:val="18"/>
              </w:rPr>
            </w:pPr>
            <w:r>
              <w:rPr>
                <w:rFonts w:ascii="宋体" w:hAnsi="宋体" w:cs="宋体" w:eastAsia="宋体" w:hint="default"/>
                <w:sz w:val="18"/>
                <w:szCs w:val="18"/>
              </w:rPr>
              <w:t>马来西亚（雪兰 莪）</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网潮（香港）科 技股份有限公司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游景蓝图 科技股份有限公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
                <w:sz w:val="20"/>
                <w:szCs w:val="20"/>
              </w:rPr>
              <w:pict>
                <v:group style="width:67.9pt;height:15.6pt;mso-position-horizontal-relative:char;mso-position-vertical-relative:line" coordorigin="0,0" coordsize="1358,312">
                  <v:group style="position:absolute;left:0;top:0;width:1358;height:312" coordorigin="0,0" coordsize="1358,312">
                    <v:shape style="position:absolute;left:0;top:0;width:1358;height:312" coordorigin="0,0" coordsize="1358,312" path="m0,312l1357,312,1357,0,0,0,0,312xe" filled="true" fillcolor="#ffffff" stroked="false">
                      <v:path arrowok="t"/>
                      <v:fill type="solid"/>
                    </v:shape>
                  </v:group>
                </v:group>
              </w:pict>
            </w:r>
            <w:r>
              <w:rPr>
                <w:rFonts w:ascii="Times New Roman" w:hAnsi="Times New Roman" w:cs="Times New Roman" w:eastAsia="Times New Roman" w:hint="default"/>
                <w:position w:val="-5"/>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中国（香港）</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4"/>
              <w:ind w:right="0"/>
              <w:jc w:val="left"/>
              <w:rPr>
                <w:rFonts w:ascii="Times New Roman" w:hAnsi="Times New Roman" w:cs="Times New Roman" w:eastAsia="Times New Roman" w:hint="default"/>
                <w:sz w:val="28"/>
                <w:szCs w:val="28"/>
              </w:rPr>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中国（香港）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578"/>
              <w:jc w:val="left"/>
              <w:rPr>
                <w:rFonts w:ascii="Times New Roman" w:hAnsi="Times New Roman" w:cs="Times New Roman" w:eastAsia="Times New Roman" w:hint="default"/>
                <w:sz w:val="18"/>
                <w:szCs w:val="18"/>
              </w:rPr>
            </w:pPr>
            <w:r>
              <w:rPr>
                <w:rFonts w:ascii="Times New Roman"/>
                <w:sz w:val="18"/>
              </w:rPr>
              <w:t>KUNLUN</w:t>
            </w:r>
            <w:r>
              <w:rPr>
                <w:rFonts w:ascii="Times New Roman"/>
                <w:w w:val="99"/>
                <w:sz w:val="18"/>
              </w:rPr>
              <w:t> </w:t>
            </w:r>
            <w:r>
              <w:rPr>
                <w:rFonts w:ascii="Times New Roman"/>
                <w:sz w:val="18"/>
              </w:rPr>
              <w:t>EUROPE</w:t>
            </w:r>
            <w:r>
              <w:rPr>
                <w:rFonts w:ascii="Times New Roman"/>
                <w:sz w:val="18"/>
              </w:rPr>
              <w:t> LIMITED</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英国（伦敦）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英国（伦敦）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303"/>
              <w:jc w:val="left"/>
              <w:rPr>
                <w:rFonts w:ascii="Times New Roman" w:hAnsi="Times New Roman" w:cs="Times New Roman" w:eastAsia="Times New Roman" w:hint="default"/>
                <w:sz w:val="18"/>
                <w:szCs w:val="18"/>
              </w:rPr>
            </w:pPr>
            <w:r>
              <w:rPr>
                <w:rFonts w:ascii="Times New Roman"/>
                <w:sz w:val="18"/>
              </w:rPr>
              <w:t>KUNLUN</w:t>
            </w:r>
            <w:r>
              <w:rPr>
                <w:rFonts w:ascii="Times New Roman"/>
                <w:spacing w:val="-2"/>
                <w:sz w:val="18"/>
              </w:rPr>
              <w:t> </w:t>
            </w:r>
            <w:r>
              <w:rPr>
                <w:rFonts w:ascii="Times New Roman"/>
                <w:sz w:val="18"/>
              </w:rPr>
              <w:t>US</w:t>
            </w:r>
            <w:r>
              <w:rPr>
                <w:rFonts w:ascii="Times New Roman"/>
                <w:w w:val="99"/>
                <w:sz w:val="18"/>
              </w:rPr>
              <w:t> </w:t>
            </w:r>
            <w:r>
              <w:rPr>
                <w:rFonts w:ascii="Times New Roman"/>
                <w:sz w:val="18"/>
              </w:rPr>
              <w:t>INC</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美国（加利福尼 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美国（加利福尼 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台湾昆仑万维有 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台湾（新北）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台湾（新北）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资讯软体服务业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63"/>
              <w:jc w:val="left"/>
              <w:rPr>
                <w:rFonts w:ascii="Times New Roman" w:hAnsi="Times New Roman" w:cs="Times New Roman" w:eastAsia="Times New Roman" w:hint="default"/>
                <w:sz w:val="18"/>
                <w:szCs w:val="18"/>
              </w:rPr>
            </w:pPr>
            <w:r>
              <w:rPr>
                <w:rFonts w:ascii="Times New Roman"/>
                <w:sz w:val="18"/>
              </w:rPr>
              <w:t>Kunlun Grindr</w:t>
            </w:r>
            <w:r>
              <w:rPr>
                <w:rFonts w:ascii="Times New Roman"/>
                <w:w w:val="99"/>
                <w:sz w:val="18"/>
              </w:rPr>
              <w:t> </w:t>
            </w:r>
            <w:r>
              <w:rPr>
                <w:rFonts w:ascii="Times New Roman"/>
                <w:sz w:val="18"/>
              </w:rPr>
              <w:t>Holdings</w:t>
            </w:r>
            <w:r>
              <w:rPr>
                <w:rFonts w:ascii="Times New Roman"/>
                <w:spacing w:val="-4"/>
                <w:sz w:val="18"/>
              </w:rPr>
              <w:t> </w:t>
            </w:r>
            <w:r>
              <w:rPr>
                <w:rFonts w:ascii="Times New Roman"/>
                <w:sz w:val="18"/>
              </w:rPr>
              <w:t>Limited</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开曼</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开曼</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投资管理</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356"/>
              <w:jc w:val="left"/>
              <w:rPr>
                <w:rFonts w:ascii="Times New Roman" w:hAnsi="Times New Roman" w:cs="Times New Roman" w:eastAsia="Times New Roman" w:hint="default"/>
                <w:sz w:val="18"/>
                <w:szCs w:val="18"/>
              </w:rPr>
            </w:pPr>
            <w:r>
              <w:rPr>
                <w:rFonts w:ascii="Times New Roman"/>
                <w:sz w:val="18"/>
              </w:rPr>
              <w:t>KL</w:t>
            </w:r>
            <w:r>
              <w:rPr>
                <w:rFonts w:ascii="Times New Roman"/>
                <w:spacing w:val="-7"/>
                <w:sz w:val="18"/>
              </w:rPr>
              <w:t> </w:t>
            </w:r>
            <w:r>
              <w:rPr>
                <w:rFonts w:ascii="Times New Roman"/>
                <w:sz w:val="18"/>
              </w:rPr>
              <w:t>Grindr</w:t>
            </w:r>
            <w:r>
              <w:rPr>
                <w:rFonts w:ascii="Times New Roman"/>
                <w:sz w:val="18"/>
              </w:rPr>
              <w:t> Holdings,Inc.</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投资管理</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GRINDR</w:t>
            </w:r>
            <w:r>
              <w:rPr>
                <w:rFonts w:ascii="Times New Roman"/>
                <w:spacing w:val="-2"/>
                <w:sz w:val="18"/>
              </w:rPr>
              <w:t> </w:t>
            </w:r>
            <w:r>
              <w:rPr>
                <w:rFonts w:ascii="Times New Roman"/>
                <w:sz w:val="18"/>
              </w:rPr>
              <w:t>LLC</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手机运营及社交 服务</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61.53%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购买</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2" w:right="0"/>
              <w:jc w:val="left"/>
              <w:rPr>
                <w:rFonts w:ascii="Times New Roman" w:hAnsi="Times New Roman" w:cs="Times New Roman" w:eastAsia="Times New Roman" w:hint="default"/>
                <w:sz w:val="18"/>
                <w:szCs w:val="18"/>
              </w:rPr>
            </w:pPr>
            <w:r>
              <w:rPr>
                <w:rFonts w:ascii="Times New Roman"/>
                <w:sz w:val="18"/>
              </w:rPr>
              <w:t>Cayman</w:t>
            </w:r>
            <w:r>
              <w:rPr>
                <w:rFonts w:ascii="Times New Roman"/>
                <w:spacing w:val="-1"/>
                <w:sz w:val="18"/>
              </w:rPr>
              <w:t> </w:t>
            </w:r>
            <w:r>
              <w:rPr>
                <w:rFonts w:ascii="Times New Roman"/>
                <w:sz w:val="18"/>
              </w:rPr>
              <w:t>Kunlun</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开曼</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开曼</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投资管理</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36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sz w:val="18"/>
              </w:rPr>
              <w:t>Group</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both"/>
              <w:rPr>
                <w:rFonts w:ascii="宋体" w:hAnsi="宋体" w:cs="宋体" w:eastAsia="宋体" w:hint="default"/>
                <w:sz w:val="18"/>
                <w:szCs w:val="18"/>
              </w:rPr>
            </w:pPr>
            <w:r>
              <w:rPr>
                <w:rFonts w:ascii="宋体" w:hAnsi="宋体" w:cs="宋体" w:eastAsia="宋体" w:hint="default"/>
                <w:sz w:val="18"/>
                <w:szCs w:val="18"/>
              </w:rPr>
              <w:t>霍尔果斯昆诺天 勤创业投资有限 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中国（新疆）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中国（新疆）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投资管理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both"/>
              <w:rPr>
                <w:rFonts w:ascii="宋体" w:hAnsi="宋体" w:cs="宋体" w:eastAsia="宋体" w:hint="default"/>
                <w:sz w:val="18"/>
                <w:szCs w:val="18"/>
              </w:rPr>
            </w:pPr>
            <w:r>
              <w:rPr>
                <w:rFonts w:ascii="宋体" w:hAnsi="宋体" w:cs="宋体" w:eastAsia="宋体" w:hint="default"/>
                <w:sz w:val="18"/>
                <w:szCs w:val="18"/>
              </w:rPr>
              <w:t>霍尔果斯昆仑点 金科技网络有限 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中国（新疆）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中国（新疆）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both"/>
              <w:rPr>
                <w:rFonts w:ascii="宋体" w:hAnsi="宋体" w:cs="宋体" w:eastAsia="宋体" w:hint="default"/>
                <w:sz w:val="18"/>
                <w:szCs w:val="18"/>
              </w:rPr>
            </w:pPr>
            <w:r>
              <w:rPr>
                <w:rFonts w:ascii="宋体" w:hAnsi="宋体" w:cs="宋体" w:eastAsia="宋体" w:hint="default"/>
                <w:sz w:val="18"/>
                <w:szCs w:val="18"/>
              </w:rPr>
              <w:t>新余市昆仑乐云 网络小额贷款有 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中国（新余）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中国（新余）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网络平台小额贷 款</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成都杰蛙科技有 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中国（成都）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中国（成都）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网络游戏的研发 及运营</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79" w:right="0"/>
              <w:jc w:val="left"/>
              <w:rPr>
                <w:rFonts w:ascii="Times New Roman" w:hAnsi="Times New Roman" w:cs="Times New Roman" w:eastAsia="Times New Roman" w:hint="default"/>
                <w:sz w:val="18"/>
                <w:szCs w:val="18"/>
              </w:rPr>
            </w:pPr>
            <w:r>
              <w:rPr>
                <w:rFonts w:ascii="Times New Roman"/>
                <w:sz w:val="18"/>
              </w:rPr>
              <w:t>60.00%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购买</w:t>
            </w:r>
          </w:p>
        </w:tc>
      </w:tr>
    </w:tbl>
    <w:p>
      <w:pPr>
        <w:spacing w:line="360" w:lineRule="auto" w:before="51"/>
        <w:ind w:left="1133" w:right="2833" w:firstLine="0"/>
        <w:jc w:val="left"/>
        <w:rPr>
          <w:rFonts w:ascii="宋体" w:hAnsi="宋体" w:cs="宋体" w:eastAsia="宋体" w:hint="default"/>
          <w:sz w:val="18"/>
          <w:szCs w:val="18"/>
        </w:rPr>
      </w:pPr>
      <w:r>
        <w:rPr>
          <w:rFonts w:ascii="宋体" w:hAnsi="宋体" w:cs="宋体" w:eastAsia="宋体" w:hint="default"/>
          <w:sz w:val="18"/>
          <w:szCs w:val="18"/>
        </w:rPr>
        <w:t>在子公司的持股比例不同于表决权比例的说明： 持有半数或以下表决权但仍控制被投资单位、以及持有半数以上表决权但不控制被投资单位的依据： 对于纳入合并范围的重要的结构化主体，控制的依据：</w:t>
      </w:r>
    </w:p>
    <w:p>
      <w:pPr>
        <w:spacing w:line="360" w:lineRule="auto" w:before="26"/>
        <w:ind w:left="1134" w:right="7692" w:firstLine="0"/>
        <w:jc w:val="left"/>
        <w:rPr>
          <w:rFonts w:ascii="宋体" w:hAnsi="宋体" w:cs="宋体" w:eastAsia="宋体" w:hint="default"/>
          <w:sz w:val="18"/>
          <w:szCs w:val="18"/>
        </w:rPr>
      </w:pPr>
      <w:r>
        <w:rPr>
          <w:rFonts w:ascii="宋体" w:hAnsi="宋体" w:cs="宋体" w:eastAsia="宋体" w:hint="default"/>
          <w:sz w:val="18"/>
          <w:szCs w:val="18"/>
        </w:rPr>
        <w:t>确定公司是代理人还是委托人的依据： 其他说明：</w:t>
      </w:r>
    </w:p>
    <w:p>
      <w:pPr>
        <w:spacing w:line="240" w:lineRule="auto" w:before="11"/>
        <w:rPr>
          <w:rFonts w:ascii="宋体" w:hAnsi="宋体" w:cs="宋体" w:eastAsia="宋体" w:hint="default"/>
          <w:sz w:val="19"/>
          <w:szCs w:val="19"/>
        </w:rPr>
      </w:pPr>
    </w:p>
    <w:p>
      <w:pPr>
        <w:pStyle w:val="Heading6"/>
        <w:spacing w:line="240" w:lineRule="auto"/>
        <w:ind w:right="998"/>
        <w:jc w:val="left"/>
        <w:rPr>
          <w:b w:val="0"/>
          <w:bCs w:val="0"/>
        </w:rPr>
      </w:pPr>
      <w:bookmarkStart w:name="（2）重要的非全资子公司" w:id="437"/>
      <w:bookmarkEnd w:id="437"/>
      <w:r>
        <w:rPr>
          <w:b w:val="0"/>
          <w:bCs w:val="0"/>
        </w:rPr>
      </w:r>
      <w:r>
        <w:rPr/>
        <w:t>（</w:t>
      </w:r>
      <w:r>
        <w:rPr>
          <w:rFonts w:ascii="Times New Roman" w:hAnsi="Times New Roman" w:cs="Times New Roman" w:eastAsia="Times New Roman" w:hint="default"/>
        </w:rPr>
        <w:t>2</w:t>
      </w:r>
      <w:r>
        <w:rPr/>
        <w:t>）重要的非全资子公司</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917"/>
        <w:gridCol w:w="1914"/>
        <w:gridCol w:w="1914"/>
        <w:gridCol w:w="1913"/>
        <w:gridCol w:w="1913"/>
      </w:tblGrid>
      <w:tr>
        <w:trPr>
          <w:trHeight w:val="764" w:hRule="exact"/>
        </w:trPr>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503"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76"/>
              <w:ind w:left="771" w:right="50" w:hanging="720"/>
              <w:jc w:val="left"/>
              <w:rPr>
                <w:rFonts w:ascii="宋体" w:hAnsi="宋体" w:cs="宋体" w:eastAsia="宋体" w:hint="default"/>
                <w:sz w:val="18"/>
                <w:szCs w:val="18"/>
              </w:rPr>
            </w:pPr>
            <w:r>
              <w:rPr>
                <w:rFonts w:ascii="宋体" w:hAnsi="宋体" w:cs="宋体" w:eastAsia="宋体" w:hint="default"/>
                <w:sz w:val="18"/>
                <w:szCs w:val="18"/>
              </w:rPr>
              <w:t>本期归属于少数股东的 损益</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76"/>
              <w:ind w:left="591" w:right="51" w:hanging="540"/>
              <w:jc w:val="left"/>
              <w:rPr>
                <w:rFonts w:ascii="宋体" w:hAnsi="宋体" w:cs="宋体" w:eastAsia="宋体" w:hint="default"/>
                <w:sz w:val="18"/>
                <w:szCs w:val="18"/>
              </w:rPr>
            </w:pPr>
            <w:r>
              <w:rPr>
                <w:rFonts w:ascii="宋体" w:hAnsi="宋体" w:cs="宋体" w:eastAsia="宋体" w:hint="default"/>
                <w:sz w:val="18"/>
                <w:szCs w:val="18"/>
              </w:rPr>
              <w:t>本期向少数股东宣告分 派的股利</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49"/>
              <w:jc w:val="right"/>
              <w:rPr>
                <w:rFonts w:ascii="宋体" w:hAnsi="宋体" w:cs="宋体" w:eastAsia="宋体" w:hint="default"/>
                <w:sz w:val="18"/>
                <w:szCs w:val="18"/>
              </w:rPr>
            </w:pPr>
            <w:r>
              <w:rPr>
                <w:rFonts w:ascii="宋体" w:hAnsi="宋体" w:cs="宋体" w:eastAsia="宋体" w:hint="default"/>
                <w:sz w:val="18"/>
                <w:szCs w:val="18"/>
              </w:rPr>
              <w:t>期末少数股东权益余额</w:t>
            </w:r>
          </w:p>
        </w:tc>
      </w:tr>
      <w:tr>
        <w:trPr>
          <w:trHeight w:val="402" w:hRule="exact"/>
        </w:trPr>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GRINDR</w:t>
            </w:r>
            <w:r>
              <w:rPr>
                <w:rFonts w:ascii="Times New Roman"/>
                <w:spacing w:val="-2"/>
                <w:sz w:val="18"/>
              </w:rPr>
              <w:t> </w:t>
            </w:r>
            <w:r>
              <w:rPr>
                <w:rFonts w:ascii="Times New Roman"/>
                <w:sz w:val="18"/>
              </w:rPr>
              <w:t>LLC</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61.53%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22,776,591.29</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49,918,185.07</w:t>
            </w:r>
          </w:p>
        </w:tc>
      </w:tr>
      <w:tr>
        <w:trPr>
          <w:trHeight w:val="714" w:hRule="exact"/>
        </w:trPr>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2"/>
              <w:jc w:val="left"/>
              <w:rPr>
                <w:rFonts w:ascii="宋体" w:hAnsi="宋体" w:cs="宋体" w:eastAsia="宋体" w:hint="default"/>
                <w:sz w:val="18"/>
                <w:szCs w:val="18"/>
              </w:rPr>
            </w:pPr>
            <w:r>
              <w:rPr>
                <w:rFonts w:ascii="宋体" w:hAnsi="宋体" w:cs="宋体" w:eastAsia="宋体" w:hint="default"/>
                <w:sz w:val="18"/>
                <w:szCs w:val="18"/>
              </w:rPr>
              <w:t>北京闲徕互娱网络科技 有限公司</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51.00%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398,031,178.03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5" w:right="0"/>
              <w:jc w:val="left"/>
              <w:rPr>
                <w:rFonts w:ascii="Times New Roman" w:hAnsi="Times New Roman" w:cs="Times New Roman" w:eastAsia="Times New Roman" w:hint="default"/>
                <w:sz w:val="18"/>
                <w:szCs w:val="18"/>
              </w:rPr>
            </w:pPr>
            <w:r>
              <w:rPr>
                <w:rFonts w:ascii="Times New Roman"/>
                <w:sz w:val="18"/>
              </w:rPr>
              <w:t>-357,700,000.00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101,492,159.66</w:t>
            </w:r>
          </w:p>
        </w:tc>
      </w:tr>
      <w:tr>
        <w:trPr>
          <w:trHeight w:val="402" w:hRule="exact"/>
        </w:trPr>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成都杰蛙科技有限公司</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-787,417.38</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1,288,252.47</w:t>
            </w:r>
          </w:p>
        </w:tc>
      </w:tr>
    </w:tbl>
    <w:p>
      <w:pPr>
        <w:spacing w:line="360" w:lineRule="auto" w:before="51"/>
        <w:ind w:left="1134" w:right="6432" w:firstLine="0"/>
        <w:jc w:val="left"/>
        <w:rPr>
          <w:rFonts w:ascii="宋体" w:hAnsi="宋体" w:cs="宋体" w:eastAsia="宋体" w:hint="default"/>
          <w:sz w:val="18"/>
          <w:szCs w:val="18"/>
        </w:rPr>
      </w:pPr>
      <w:r>
        <w:rPr>
          <w:rFonts w:ascii="宋体" w:hAnsi="宋体" w:cs="宋体" w:eastAsia="宋体" w:hint="default"/>
          <w:sz w:val="18"/>
          <w:szCs w:val="18"/>
        </w:rPr>
        <w:t>子公司少数股东的持股比例不同于表决权比例的说明： 其他说明：</w:t>
      </w:r>
    </w:p>
    <w:p>
      <w:pPr>
        <w:spacing w:line="240" w:lineRule="auto" w:before="11"/>
        <w:rPr>
          <w:rFonts w:ascii="宋体" w:hAnsi="宋体" w:cs="宋体" w:eastAsia="宋体" w:hint="default"/>
          <w:sz w:val="19"/>
          <w:szCs w:val="19"/>
        </w:rPr>
      </w:pPr>
    </w:p>
    <w:p>
      <w:pPr>
        <w:pStyle w:val="Heading6"/>
        <w:spacing w:line="240" w:lineRule="auto"/>
        <w:ind w:right="998"/>
        <w:jc w:val="left"/>
        <w:rPr>
          <w:b w:val="0"/>
          <w:bCs w:val="0"/>
        </w:rPr>
      </w:pPr>
      <w:bookmarkStart w:name="（3）重要非全资子公司的主要财务信息" w:id="438"/>
      <w:bookmarkEnd w:id="438"/>
      <w:r>
        <w:rPr>
          <w:b w:val="0"/>
          <w:bCs w:val="0"/>
        </w:rPr>
      </w: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736"/>
        <w:gridCol w:w="737"/>
        <w:gridCol w:w="736"/>
        <w:gridCol w:w="736"/>
        <w:gridCol w:w="737"/>
        <w:gridCol w:w="735"/>
        <w:gridCol w:w="736"/>
        <w:gridCol w:w="734"/>
        <w:gridCol w:w="736"/>
        <w:gridCol w:w="735"/>
        <w:gridCol w:w="737"/>
        <w:gridCol w:w="737"/>
        <w:gridCol w:w="736"/>
      </w:tblGrid>
      <w:tr>
        <w:trPr>
          <w:trHeight w:val="402" w:hRule="exact"/>
        </w:trPr>
        <w:tc>
          <w:tcPr>
            <w:tcW w:w="7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82" w:right="93"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441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4" w:hRule="exact"/>
        </w:trPr>
        <w:tc>
          <w:tcPr>
            <w:tcW w:w="736" w:type="dxa"/>
            <w:vMerge/>
            <w:tcBorders>
              <w:left w:val="single" w:sz="4" w:space="0" w:color="000000"/>
              <w:bottom w:val="single" w:sz="4" w:space="0" w:color="000000"/>
              <w:right w:val="single" w:sz="4" w:space="0" w:color="000000"/>
            </w:tcBorders>
            <w:shd w:val="clear" w:color="auto" w:fill="D2D2D2"/>
          </w:tcPr>
          <w:p>
            <w:pP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91" w:hanging="90"/>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90" w:hanging="90"/>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0"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91" w:hanging="90"/>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0"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3" w:right="91" w:hanging="90"/>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r>
      <w:tr>
        <w:trPr>
          <w:trHeight w:val="714"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132"/>
              <w:jc w:val="left"/>
              <w:rPr>
                <w:rFonts w:ascii="Times New Roman" w:hAnsi="Times New Roman" w:cs="Times New Roman" w:eastAsia="Times New Roman" w:hint="default"/>
                <w:sz w:val="18"/>
                <w:szCs w:val="18"/>
              </w:rPr>
            </w:pPr>
            <w:r>
              <w:rPr>
                <w:rFonts w:ascii="Times New Roman"/>
                <w:sz w:val="18"/>
              </w:rPr>
              <w:t>GRIND</w:t>
            </w:r>
            <w:r>
              <w:rPr>
                <w:rFonts w:ascii="Times New Roman"/>
                <w:w w:val="99"/>
                <w:sz w:val="18"/>
              </w:rPr>
              <w:t> </w:t>
            </w:r>
            <w:r>
              <w:rPr>
                <w:rFonts w:ascii="Times New Roman"/>
                <w:sz w:val="18"/>
              </w:rPr>
              <w:t>R LLC</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163,404,</w:t>
            </w:r>
          </w:p>
          <w:p>
            <w:pPr>
              <w:pStyle w:val="TableParagraph"/>
              <w:spacing w:line="240" w:lineRule="auto" w:before="106"/>
              <w:ind w:left="188" w:right="0"/>
              <w:jc w:val="center"/>
              <w:rPr>
                <w:rFonts w:ascii="Times New Roman" w:hAnsi="Times New Roman" w:cs="Times New Roman" w:eastAsia="Times New Roman" w:hint="default"/>
                <w:sz w:val="18"/>
                <w:szCs w:val="18"/>
              </w:rPr>
            </w:pPr>
            <w:r>
              <w:rPr>
                <w:rFonts w:ascii="Times New Roman"/>
                <w:sz w:val="18"/>
              </w:rPr>
              <w:t>372.41</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27,651,2</w:t>
            </w:r>
          </w:p>
          <w:p>
            <w:pPr>
              <w:pStyle w:val="TableParagraph"/>
              <w:spacing w:line="240" w:lineRule="auto" w:before="106"/>
              <w:ind w:left="298" w:right="0"/>
              <w:jc w:val="left"/>
              <w:rPr>
                <w:rFonts w:ascii="Times New Roman" w:hAnsi="Times New Roman" w:cs="Times New Roman" w:eastAsia="Times New Roman" w:hint="default"/>
                <w:sz w:val="18"/>
                <w:szCs w:val="18"/>
              </w:rPr>
            </w:pPr>
            <w:r>
              <w:rPr>
                <w:rFonts w:ascii="Times New Roman"/>
                <w:sz w:val="18"/>
              </w:rPr>
              <w:t>21.22</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center"/>
              <w:rPr>
                <w:rFonts w:ascii="Times New Roman" w:hAnsi="Times New Roman" w:cs="Times New Roman" w:eastAsia="Times New Roman" w:hint="default"/>
                <w:sz w:val="18"/>
                <w:szCs w:val="18"/>
              </w:rPr>
            </w:pPr>
            <w:r>
              <w:rPr>
                <w:rFonts w:ascii="Times New Roman"/>
                <w:sz w:val="18"/>
              </w:rPr>
              <w:t>191,055,</w:t>
            </w:r>
          </w:p>
          <w:p>
            <w:pPr>
              <w:pStyle w:val="TableParagraph"/>
              <w:spacing w:line="240" w:lineRule="auto" w:before="106"/>
              <w:ind w:left="186" w:right="0"/>
              <w:jc w:val="center"/>
              <w:rPr>
                <w:rFonts w:ascii="Times New Roman" w:hAnsi="Times New Roman" w:cs="Times New Roman" w:eastAsia="Times New Roman" w:hint="default"/>
                <w:sz w:val="18"/>
                <w:szCs w:val="18"/>
              </w:rPr>
            </w:pPr>
            <w:r>
              <w:rPr>
                <w:rFonts w:ascii="Times New Roman"/>
                <w:sz w:val="18"/>
              </w:rPr>
              <w:t>593.63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77,132,5</w:t>
            </w:r>
          </w:p>
          <w:p>
            <w:pPr>
              <w:pStyle w:val="TableParagraph"/>
              <w:spacing w:line="240" w:lineRule="auto" w:before="106"/>
              <w:ind w:left="300" w:right="0"/>
              <w:jc w:val="left"/>
              <w:rPr>
                <w:rFonts w:ascii="Times New Roman" w:hAnsi="Times New Roman" w:cs="Times New Roman" w:eastAsia="Times New Roman" w:hint="default"/>
                <w:sz w:val="18"/>
                <w:szCs w:val="18"/>
              </w:rPr>
            </w:pPr>
            <w:r>
              <w:rPr>
                <w:rFonts w:ascii="Times New Roman"/>
                <w:sz w:val="18"/>
              </w:rPr>
              <w:t>79.04</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2" w:right="0"/>
              <w:jc w:val="left"/>
              <w:rPr>
                <w:rFonts w:ascii="Times New Roman" w:hAnsi="Times New Roman" w:cs="Times New Roman" w:eastAsia="Times New Roman" w:hint="default"/>
                <w:sz w:val="18"/>
                <w:szCs w:val="18"/>
              </w:rPr>
            </w:pPr>
            <w:r>
              <w:rPr>
                <w:rFonts w:ascii="Times New Roman"/>
                <w:sz w:val="18"/>
              </w:rPr>
              <w:t>7,533,24</w:t>
            </w:r>
          </w:p>
          <w:p>
            <w:pPr>
              <w:pStyle w:val="TableParagraph"/>
              <w:spacing w:line="240" w:lineRule="auto" w:before="106"/>
              <w:ind w:left="387" w:right="0"/>
              <w:jc w:val="left"/>
              <w:rPr>
                <w:rFonts w:ascii="Times New Roman" w:hAnsi="Times New Roman" w:cs="Times New Roman" w:eastAsia="Times New Roman" w:hint="default"/>
                <w:sz w:val="18"/>
                <w:szCs w:val="18"/>
              </w:rPr>
            </w:pPr>
            <w:r>
              <w:rPr>
                <w:rFonts w:ascii="Times New Roman"/>
                <w:sz w:val="18"/>
              </w:rPr>
              <w:t>3.76</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84,665,8</w:t>
            </w:r>
          </w:p>
          <w:p>
            <w:pPr>
              <w:pStyle w:val="TableParagraph"/>
              <w:spacing w:line="240" w:lineRule="auto" w:before="106"/>
              <w:ind w:left="297" w:right="0"/>
              <w:jc w:val="left"/>
              <w:rPr>
                <w:rFonts w:ascii="Times New Roman" w:hAnsi="Times New Roman" w:cs="Times New Roman" w:eastAsia="Times New Roman" w:hint="default"/>
                <w:sz w:val="18"/>
                <w:szCs w:val="18"/>
              </w:rPr>
            </w:pPr>
            <w:r>
              <w:rPr>
                <w:rFonts w:ascii="Times New Roman"/>
                <w:sz w:val="18"/>
              </w:rPr>
              <w:t>22.80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 w:right="0"/>
              <w:jc w:val="center"/>
              <w:rPr>
                <w:rFonts w:ascii="Times New Roman" w:hAnsi="Times New Roman" w:cs="Times New Roman" w:eastAsia="Times New Roman" w:hint="default"/>
                <w:sz w:val="18"/>
                <w:szCs w:val="18"/>
              </w:rPr>
            </w:pPr>
            <w:r>
              <w:rPr>
                <w:rFonts w:ascii="Times New Roman"/>
                <w:sz w:val="18"/>
              </w:rPr>
              <w:t>147,139,</w:t>
            </w:r>
          </w:p>
          <w:p>
            <w:pPr>
              <w:pStyle w:val="TableParagraph"/>
              <w:spacing w:line="240" w:lineRule="auto" w:before="106"/>
              <w:ind w:left="185" w:right="0"/>
              <w:jc w:val="center"/>
              <w:rPr>
                <w:rFonts w:ascii="Times New Roman" w:hAnsi="Times New Roman" w:cs="Times New Roman" w:eastAsia="Times New Roman" w:hint="default"/>
                <w:sz w:val="18"/>
                <w:szCs w:val="18"/>
              </w:rPr>
            </w:pPr>
            <w:r>
              <w:rPr>
                <w:rFonts w:ascii="Times New Roman"/>
                <w:sz w:val="18"/>
              </w:rPr>
              <w:t>521.33</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50,184,5</w:t>
            </w:r>
          </w:p>
          <w:p>
            <w:pPr>
              <w:pStyle w:val="TableParagraph"/>
              <w:spacing w:line="240" w:lineRule="auto" w:before="106"/>
              <w:ind w:left="297" w:right="0"/>
              <w:jc w:val="left"/>
              <w:rPr>
                <w:rFonts w:ascii="Times New Roman" w:hAnsi="Times New Roman" w:cs="Times New Roman" w:eastAsia="Times New Roman" w:hint="default"/>
                <w:sz w:val="18"/>
                <w:szCs w:val="18"/>
              </w:rPr>
            </w:pPr>
            <w:r>
              <w:rPr>
                <w:rFonts w:ascii="Times New Roman"/>
                <w:sz w:val="18"/>
              </w:rPr>
              <w:t>12.53</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 w:right="0"/>
              <w:jc w:val="center"/>
              <w:rPr>
                <w:rFonts w:ascii="Times New Roman" w:hAnsi="Times New Roman" w:cs="Times New Roman" w:eastAsia="Times New Roman" w:hint="default"/>
                <w:sz w:val="18"/>
                <w:szCs w:val="18"/>
              </w:rPr>
            </w:pPr>
            <w:r>
              <w:rPr>
                <w:rFonts w:ascii="Times New Roman"/>
                <w:sz w:val="18"/>
              </w:rPr>
              <w:t>197,324,</w:t>
            </w:r>
          </w:p>
          <w:p>
            <w:pPr>
              <w:pStyle w:val="TableParagraph"/>
              <w:spacing w:line="240" w:lineRule="auto" w:before="106"/>
              <w:ind w:left="185" w:right="0"/>
              <w:jc w:val="center"/>
              <w:rPr>
                <w:rFonts w:ascii="Times New Roman" w:hAnsi="Times New Roman" w:cs="Times New Roman" w:eastAsia="Times New Roman" w:hint="default"/>
                <w:sz w:val="18"/>
                <w:szCs w:val="18"/>
              </w:rPr>
            </w:pPr>
            <w:r>
              <w:rPr>
                <w:rFonts w:ascii="Times New Roman"/>
                <w:sz w:val="18"/>
              </w:rPr>
              <w:t>033.86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center"/>
              <w:rPr>
                <w:rFonts w:ascii="Times New Roman" w:hAnsi="Times New Roman" w:cs="Times New Roman" w:eastAsia="Times New Roman" w:hint="default"/>
                <w:sz w:val="18"/>
                <w:szCs w:val="18"/>
              </w:rPr>
            </w:pPr>
            <w:r>
              <w:rPr>
                <w:rFonts w:ascii="Times New Roman"/>
                <w:sz w:val="18"/>
              </w:rPr>
              <w:t>115,281,</w:t>
            </w:r>
          </w:p>
          <w:p>
            <w:pPr>
              <w:pStyle w:val="TableParagraph"/>
              <w:spacing w:line="240" w:lineRule="auto" w:before="106"/>
              <w:ind w:left="188" w:right="0"/>
              <w:jc w:val="center"/>
              <w:rPr>
                <w:rFonts w:ascii="Times New Roman" w:hAnsi="Times New Roman" w:cs="Times New Roman" w:eastAsia="Times New Roman" w:hint="default"/>
                <w:sz w:val="18"/>
                <w:szCs w:val="18"/>
              </w:rPr>
            </w:pPr>
            <w:r>
              <w:rPr>
                <w:rFonts w:ascii="Times New Roman"/>
                <w:sz w:val="18"/>
              </w:rPr>
              <w:t>970.52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6,332,72</w:t>
            </w:r>
          </w:p>
          <w:p>
            <w:pPr>
              <w:pStyle w:val="TableParagraph"/>
              <w:spacing w:line="240" w:lineRule="auto" w:before="106"/>
              <w:ind w:left="389" w:right="0"/>
              <w:jc w:val="left"/>
              <w:rPr>
                <w:rFonts w:ascii="Times New Roman" w:hAnsi="Times New Roman" w:cs="Times New Roman" w:eastAsia="Times New Roman" w:hint="default"/>
                <w:sz w:val="18"/>
                <w:szCs w:val="18"/>
              </w:rPr>
            </w:pPr>
            <w:r>
              <w:rPr>
                <w:rFonts w:ascii="Times New Roman"/>
                <w:sz w:val="18"/>
              </w:rPr>
              <w:t>9.17</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center"/>
              <w:rPr>
                <w:rFonts w:ascii="Times New Roman" w:hAnsi="Times New Roman" w:cs="Times New Roman" w:eastAsia="Times New Roman" w:hint="default"/>
                <w:sz w:val="18"/>
                <w:szCs w:val="18"/>
              </w:rPr>
            </w:pPr>
            <w:r>
              <w:rPr>
                <w:rFonts w:ascii="Times New Roman"/>
                <w:sz w:val="18"/>
              </w:rPr>
              <w:t>121,614,</w:t>
            </w:r>
          </w:p>
          <w:p>
            <w:pPr>
              <w:pStyle w:val="TableParagraph"/>
              <w:spacing w:line="240" w:lineRule="auto" w:before="106"/>
              <w:ind w:left="186" w:right="0"/>
              <w:jc w:val="center"/>
              <w:rPr>
                <w:rFonts w:ascii="Times New Roman" w:hAnsi="Times New Roman" w:cs="Times New Roman" w:eastAsia="Times New Roman" w:hint="default"/>
                <w:sz w:val="18"/>
                <w:szCs w:val="18"/>
              </w:rPr>
            </w:pPr>
            <w:r>
              <w:rPr>
                <w:rFonts w:ascii="Times New Roman"/>
                <w:sz w:val="18"/>
              </w:rPr>
              <w:t>699.69</w:t>
            </w:r>
          </w:p>
        </w:tc>
      </w:tr>
      <w:tr>
        <w:trPr>
          <w:trHeight w:val="402"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北京闲</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4" w:right="0"/>
              <w:jc w:val="left"/>
              <w:rPr>
                <w:rFonts w:ascii="Times New Roman" w:hAnsi="Times New Roman" w:cs="Times New Roman" w:eastAsia="Times New Roman" w:hint="default"/>
                <w:sz w:val="18"/>
                <w:szCs w:val="18"/>
              </w:rPr>
            </w:pPr>
            <w:r>
              <w:rPr>
                <w:rFonts w:ascii="Times New Roman"/>
                <w:sz w:val="18"/>
              </w:rPr>
              <w:t>453,754,</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80" w:right="0"/>
              <w:jc w:val="left"/>
              <w:rPr>
                <w:rFonts w:ascii="Times New Roman" w:hAnsi="Times New Roman" w:cs="Times New Roman" w:eastAsia="Times New Roman" w:hint="default"/>
                <w:sz w:val="18"/>
                <w:szCs w:val="18"/>
              </w:rPr>
            </w:pPr>
            <w:r>
              <w:rPr>
                <w:rFonts w:ascii="Times New Roman"/>
                <w:sz w:val="18"/>
              </w:rPr>
              <w:t>8,911,79</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3" w:right="0"/>
              <w:jc w:val="left"/>
              <w:rPr>
                <w:rFonts w:ascii="Times New Roman" w:hAnsi="Times New Roman" w:cs="Times New Roman" w:eastAsia="Times New Roman" w:hint="default"/>
                <w:sz w:val="18"/>
                <w:szCs w:val="18"/>
              </w:rPr>
            </w:pPr>
            <w:r>
              <w:rPr>
                <w:rFonts w:ascii="Times New Roman"/>
                <w:sz w:val="18"/>
              </w:rPr>
              <w:t>462,666,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4" w:right="0"/>
              <w:jc w:val="left"/>
              <w:rPr>
                <w:rFonts w:ascii="Times New Roman" w:hAnsi="Times New Roman" w:cs="Times New Roman" w:eastAsia="Times New Roman" w:hint="default"/>
                <w:sz w:val="18"/>
                <w:szCs w:val="18"/>
              </w:rPr>
            </w:pPr>
            <w:r>
              <w:rPr>
                <w:rFonts w:ascii="Times New Roman"/>
                <w:sz w:val="18"/>
              </w:rPr>
              <w:t>255,539,</w:t>
            </w:r>
          </w:p>
        </w:tc>
        <w:tc>
          <w:tcPr>
            <w:tcW w:w="735"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1" w:right="0"/>
              <w:jc w:val="left"/>
              <w:rPr>
                <w:rFonts w:ascii="Times New Roman" w:hAnsi="Times New Roman" w:cs="Times New Roman" w:eastAsia="Times New Roman" w:hint="default"/>
                <w:sz w:val="18"/>
                <w:szCs w:val="18"/>
              </w:rPr>
            </w:pPr>
            <w:r>
              <w:rPr>
                <w:rFonts w:ascii="Times New Roman"/>
                <w:sz w:val="18"/>
              </w:rPr>
              <w:t>255,539,</w:t>
            </w:r>
          </w:p>
        </w:tc>
        <w:tc>
          <w:tcPr>
            <w:tcW w:w="734"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5"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736"/>
        <w:gridCol w:w="737"/>
        <w:gridCol w:w="736"/>
        <w:gridCol w:w="736"/>
        <w:gridCol w:w="737"/>
        <w:gridCol w:w="735"/>
        <w:gridCol w:w="736"/>
        <w:gridCol w:w="734"/>
        <w:gridCol w:w="736"/>
        <w:gridCol w:w="735"/>
        <w:gridCol w:w="737"/>
        <w:gridCol w:w="737"/>
        <w:gridCol w:w="736"/>
      </w:tblGrid>
      <w:tr>
        <w:trPr>
          <w:trHeight w:val="1298"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61"/>
              <w:jc w:val="both"/>
              <w:rPr>
                <w:rFonts w:ascii="宋体" w:hAnsi="宋体" w:cs="宋体" w:eastAsia="宋体" w:hint="default"/>
                <w:sz w:val="18"/>
                <w:szCs w:val="18"/>
              </w:rPr>
            </w:pPr>
            <w:r>
              <w:rPr>
                <w:rFonts w:ascii="宋体" w:hAnsi="宋体" w:cs="宋体" w:eastAsia="宋体" w:hint="default"/>
                <w:sz w:val="18"/>
                <w:szCs w:val="18"/>
              </w:rPr>
              <w:t>徕互娱 网络科 技有限 公司</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9" w:right="0"/>
              <w:jc w:val="left"/>
              <w:rPr>
                <w:rFonts w:ascii="Times New Roman" w:hAnsi="Times New Roman" w:cs="Times New Roman" w:eastAsia="Times New Roman" w:hint="default"/>
                <w:sz w:val="18"/>
                <w:szCs w:val="18"/>
              </w:rPr>
            </w:pPr>
            <w:r>
              <w:rPr>
                <w:rFonts w:ascii="Times New Roman"/>
                <w:sz w:val="18"/>
              </w:rPr>
              <w:t>526.27</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88" w:right="0"/>
              <w:jc w:val="left"/>
              <w:rPr>
                <w:rFonts w:ascii="Times New Roman" w:hAnsi="Times New Roman" w:cs="Times New Roman" w:eastAsia="Times New Roman" w:hint="default"/>
                <w:sz w:val="18"/>
                <w:szCs w:val="18"/>
              </w:rPr>
            </w:pPr>
            <w:r>
              <w:rPr>
                <w:rFonts w:ascii="Times New Roman"/>
                <w:sz w:val="18"/>
              </w:rPr>
              <w:t>1.68</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8" w:right="0"/>
              <w:jc w:val="left"/>
              <w:rPr>
                <w:rFonts w:ascii="Times New Roman" w:hAnsi="Times New Roman" w:cs="Times New Roman" w:eastAsia="Times New Roman" w:hint="default"/>
                <w:sz w:val="18"/>
                <w:szCs w:val="18"/>
              </w:rPr>
            </w:pPr>
            <w:r>
              <w:rPr>
                <w:rFonts w:ascii="Times New Roman"/>
                <w:sz w:val="18"/>
              </w:rPr>
              <w:t>317.95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10" w:right="0"/>
              <w:jc w:val="left"/>
              <w:rPr>
                <w:rFonts w:ascii="Times New Roman" w:hAnsi="Times New Roman" w:cs="Times New Roman" w:eastAsia="Times New Roman" w:hint="default"/>
                <w:sz w:val="18"/>
                <w:szCs w:val="18"/>
              </w:rPr>
            </w:pPr>
            <w:r>
              <w:rPr>
                <w:rFonts w:ascii="Times New Roman"/>
                <w:sz w:val="18"/>
              </w:rPr>
              <w:t>461.50</w:t>
            </w:r>
          </w:p>
        </w:tc>
        <w:tc>
          <w:tcPr>
            <w:tcW w:w="735"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7" w:right="0"/>
              <w:jc w:val="left"/>
              <w:rPr>
                <w:rFonts w:ascii="Times New Roman" w:hAnsi="Times New Roman" w:cs="Times New Roman" w:eastAsia="Times New Roman" w:hint="default"/>
                <w:sz w:val="18"/>
                <w:szCs w:val="18"/>
              </w:rPr>
            </w:pPr>
            <w:r>
              <w:rPr>
                <w:rFonts w:ascii="Times New Roman"/>
                <w:sz w:val="18"/>
              </w:rPr>
              <w:t>461.50</w:t>
            </w:r>
          </w:p>
        </w:tc>
        <w:tc>
          <w:tcPr>
            <w:tcW w:w="734"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5"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61"/>
              <w:jc w:val="both"/>
              <w:rPr>
                <w:rFonts w:ascii="宋体" w:hAnsi="宋体" w:cs="宋体" w:eastAsia="宋体" w:hint="default"/>
                <w:sz w:val="18"/>
                <w:szCs w:val="18"/>
              </w:rPr>
            </w:pPr>
            <w:r>
              <w:rPr>
                <w:rFonts w:ascii="宋体" w:hAnsi="宋体" w:cs="宋体" w:eastAsia="宋体" w:hint="default"/>
                <w:sz w:val="18"/>
                <w:szCs w:val="18"/>
              </w:rPr>
              <w:t>成都杰 蛙科技 有限公 司</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737,059.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32</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133,910.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39</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870,969.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650,338.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54</w:t>
            </w:r>
          </w:p>
        </w:tc>
        <w:tc>
          <w:tcPr>
            <w:tcW w:w="735"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650,338.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54</w:t>
            </w:r>
          </w:p>
        </w:tc>
        <w:tc>
          <w:tcPr>
            <w:tcW w:w="734"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5"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r>
    </w:tbl>
    <w:p>
      <w:pPr>
        <w:spacing w:before="51"/>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061"/>
        <w:gridCol w:w="1061"/>
        <w:gridCol w:w="1062"/>
        <w:gridCol w:w="1066"/>
        <w:gridCol w:w="1064"/>
        <w:gridCol w:w="1063"/>
        <w:gridCol w:w="1064"/>
        <w:gridCol w:w="1063"/>
        <w:gridCol w:w="1066"/>
      </w:tblGrid>
      <w:tr>
        <w:trPr>
          <w:trHeight w:val="402"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75"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25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38" w:right="76"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56" w:right="77"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35" w:right="77"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57" w:right="77"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r>
      <w:tr>
        <w:trPr>
          <w:trHeight w:val="714"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337"/>
              <w:jc w:val="left"/>
              <w:rPr>
                <w:rFonts w:ascii="Times New Roman" w:hAnsi="Times New Roman" w:cs="Times New Roman" w:eastAsia="Times New Roman" w:hint="default"/>
                <w:sz w:val="18"/>
                <w:szCs w:val="18"/>
              </w:rPr>
            </w:pPr>
            <w:r>
              <w:rPr>
                <w:rFonts w:ascii="Times New Roman"/>
                <w:sz w:val="18"/>
              </w:rPr>
              <w:t>GRINDR</w:t>
            </w:r>
            <w:r>
              <w:rPr>
                <w:rFonts w:ascii="Times New Roman"/>
                <w:w w:val="99"/>
                <w:sz w:val="18"/>
              </w:rPr>
              <w:t> </w:t>
            </w:r>
            <w:r>
              <w:rPr>
                <w:rFonts w:ascii="Times New Roman"/>
                <w:sz w:val="18"/>
              </w:rPr>
              <w:t>LLC</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443,069,673.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98</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62,075,202.0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57,219,519.1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73,422,463.6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286,488,516.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35,751,944.5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2,309,404.44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7,850,207.87</w:t>
            </w:r>
          </w:p>
        </w:tc>
      </w:tr>
      <w:tr>
        <w:trPr>
          <w:trHeight w:val="1026"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6"/>
              <w:jc w:val="both"/>
              <w:rPr>
                <w:rFonts w:ascii="宋体" w:hAnsi="宋体" w:cs="宋体" w:eastAsia="宋体" w:hint="default"/>
                <w:sz w:val="18"/>
                <w:szCs w:val="18"/>
              </w:rPr>
            </w:pPr>
            <w:r>
              <w:rPr>
                <w:rFonts w:ascii="宋体" w:hAnsi="宋体" w:cs="宋体" w:eastAsia="宋体" w:hint="default"/>
                <w:sz w:val="18"/>
                <w:szCs w:val="18"/>
              </w:rPr>
              <w:t>北京闲徕互 娱网络科技 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1,380,287,77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2.00</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812,308,526.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59</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812,308,526.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681,777,948.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61</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6"/>
              <w:jc w:val="left"/>
              <w:rPr>
                <w:rFonts w:ascii="宋体" w:hAnsi="宋体" w:cs="宋体" w:eastAsia="宋体" w:hint="default"/>
                <w:sz w:val="18"/>
                <w:szCs w:val="18"/>
              </w:rPr>
            </w:pPr>
            <w:r>
              <w:rPr>
                <w:rFonts w:ascii="宋体" w:hAnsi="宋体" w:cs="宋体" w:eastAsia="宋体" w:hint="default"/>
                <w:sz w:val="18"/>
                <w:szCs w:val="18"/>
              </w:rPr>
              <w:t>成都杰蛙科 技有限公司</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-1,968,543.44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-1,968,543.44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-1,993,150.96</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4）使用企业集团资产和清偿企业集团债务的重大限制" w:id="439"/>
      <w:bookmarkEnd w:id="439"/>
      <w:r>
        <w:rPr>
          <w:b w:val="0"/>
          <w:bCs w:val="0"/>
        </w:rPr>
      </w:r>
      <w:r>
        <w:rPr/>
        <w:t>（</w:t>
      </w:r>
      <w:r>
        <w:rPr>
          <w:rFonts w:ascii="Times New Roman" w:hAnsi="Times New Roman" w:cs="Times New Roman" w:eastAsia="Times New Roman" w:hint="default"/>
        </w:rPr>
        <w:t>4</w:t>
      </w:r>
      <w:r>
        <w:rPr/>
        <w:t>）使用企业集团资产和清偿企业集团债务的重大限制</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5）向纳入合并财务报表范围的结构化主体提供的财务支持或其他支持" w:id="440"/>
      <w:bookmarkEnd w:id="440"/>
      <w:r>
        <w:rPr>
          <w:b w:val="0"/>
          <w:bCs w:val="0"/>
        </w:rPr>
      </w:r>
      <w:r>
        <w:rPr/>
        <w:t>（</w:t>
      </w:r>
      <w:r>
        <w:rPr>
          <w:rFonts w:ascii="Times New Roman" w:hAnsi="Times New Roman" w:cs="Times New Roman" w:eastAsia="Times New Roman" w:hint="default"/>
        </w:rPr>
        <w:t>5</w:t>
      </w:r>
      <w:r>
        <w:rPr/>
        <w:t>）向纳入合并财务报表范围的结构化主体提供的财务支持或其他支持</w:t>
      </w:r>
      <w:r>
        <w:rPr>
          <w:b w:val="0"/>
          <w:bCs w:val="0"/>
        </w:rPr>
      </w:r>
    </w:p>
    <w:p>
      <w:pPr>
        <w:spacing w:line="240" w:lineRule="auto" w:before="8"/>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2、在子公司的所有者权益份额发生变化且仍控制子公司的交易" w:id="441"/>
      <w:bookmarkEnd w:id="441"/>
      <w:r>
        <w:rPr>
          <w:b w:val="0"/>
          <w:bCs w:val="0"/>
        </w:rPr>
      </w: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left="1133" w:right="998"/>
        <w:jc w:val="left"/>
        <w:rPr>
          <w:b w:val="0"/>
          <w:bCs w:val="0"/>
        </w:rPr>
      </w:pPr>
      <w:bookmarkStart w:name="（1）在子公司所有者权益份额发生变化的情况说明" w:id="442"/>
      <w:bookmarkEnd w:id="442"/>
      <w:r>
        <w:rPr>
          <w:b w:val="0"/>
          <w:bCs w:val="0"/>
        </w:rPr>
      </w:r>
      <w:r>
        <w:rPr/>
        <w:t>（</w:t>
      </w:r>
      <w:r>
        <w:rPr>
          <w:rFonts w:ascii="Times New Roman" w:hAnsi="Times New Roman" w:cs="Times New Roman" w:eastAsia="Times New Roman" w:hint="default"/>
        </w:rPr>
        <w:t>1</w:t>
      </w:r>
      <w:r>
        <w:rPr/>
        <w:t>）在子公司所有者权益份额发生变化的情况说明</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2）交易对于少数股东权益及归属于母公司所有者权益的影响" w:id="443"/>
      <w:bookmarkEnd w:id="443"/>
      <w:r>
        <w:rPr>
          <w:b w:val="0"/>
          <w:bCs w:val="0"/>
        </w:rPr>
      </w:r>
      <w:r>
        <w:rPr/>
        <w:t>（</w:t>
      </w:r>
      <w:r>
        <w:rPr>
          <w:rFonts w:ascii="Times New Roman" w:hAnsi="Times New Roman" w:cs="Times New Roman" w:eastAsia="Times New Roman" w:hint="default"/>
        </w:rPr>
        <w:t>2</w:t>
      </w:r>
      <w:r>
        <w:rPr/>
        <w:t>）交易对于少数股东权益及归属于母公司所有者权益的影响</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8"/>
        <w:rPr>
          <w:rFonts w:ascii="宋体" w:hAnsi="宋体" w:cs="宋体" w:eastAsia="宋体" w:hint="default"/>
          <w:sz w:val="7"/>
          <w:szCs w:val="7"/>
        </w:rPr>
      </w:pPr>
    </w:p>
    <w:p>
      <w:pPr>
        <w:spacing w:line="421" w:lineRule="exact"/>
        <w:ind w:left="112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pt;mso-position-horizontal-relative:char;mso-position-vertical-relative:line" coordorigin="0,0" coordsize="9579,422">
            <v:group style="position:absolute;left:21;top:14;width:2;height:393" coordorigin="21,14" coordsize="2,393">
              <v:shape style="position:absolute;left:21;top:14;width:2;height:393" coordorigin="21,14" coordsize="0,393" path="m21,14l21,407e" filled="false" stroked="true" strokeweight="1.140pt" strokecolor="#d2d2d2">
                <v:path arrowok="t"/>
              </v:shape>
            </v:group>
            <v:group style="position:absolute;left:4773;top:14;width:2;height:393" coordorigin="4773,14" coordsize="2,393">
              <v:shape style="position:absolute;left:4773;top:14;width:2;height:393" coordorigin="4773,14" coordsize="0,393" path="m4773,14l4773,407e" filled="false" stroked="true" strokeweight="1.140pt" strokecolor="#d2d2d2">
                <v:path arrowok="t"/>
              </v:shape>
            </v:group>
            <v:group style="position:absolute;left:32;top:14;width:4729;height:393" coordorigin="32,14" coordsize="4729,393">
              <v:shape style="position:absolute;left:32;top:14;width:4729;height:393" coordorigin="32,14" coordsize="4729,393" path="m32,407l4761,407,4761,14,32,14,32,407xe" filled="true" fillcolor="#d2d2d2" stroked="false">
                <v:path arrowok="t"/>
                <v:fill type="solid"/>
              </v:shape>
            </v:group>
            <v:group style="position:absolute;left:4806;top:14;width:2;height:393" coordorigin="4806,14" coordsize="2,393">
              <v:shape style="position:absolute;left:4806;top:14;width:2;height:393" coordorigin="4806,14" coordsize="0,393" path="m4806,14l4806,407e" filled="false" stroked="true" strokeweight="1.140pt" strokecolor="#e0ffff">
                <v:path arrowok="t"/>
              </v:shape>
            </v:group>
            <v:group style="position:absolute;left:9557;top:14;width:2;height:393" coordorigin="9557,14" coordsize="2,393">
              <v:shape style="position:absolute;left:9557;top:14;width:2;height:393" coordorigin="9557,14" coordsize="0,393" path="m9557,14l9557,407e" filled="false" stroked="true" strokeweight="1.140pt" strokecolor="#e0ffff">
                <v:path arrowok="t"/>
              </v:shape>
            </v:group>
            <v:group style="position:absolute;left:4818;top:14;width:4729;height:393" coordorigin="4818,14" coordsize="4729,393">
              <v:shape style="position:absolute;left:4818;top:14;width:4729;height:393" coordorigin="4818,14" coordsize="4729,393" path="m4818,407l9546,407,9546,14,4818,14,481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8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8pt" strokecolor="#000000">
                <v:path arrowok="t"/>
              </v:shape>
            </v:group>
            <v:group style="position:absolute;left:5;top:5;width:2;height:412" coordorigin="5,5" coordsize="2,412">
              <v:shape style="position:absolute;left:5;top:5;width:2;height:412" coordorigin="5,5" coordsize="0,412" path="m5,5l5,416e" filled="false" stroked="true" strokeweight=".48pt" strokecolor="#000000">
                <v:path arrowok="t"/>
              </v:shape>
            </v:group>
            <v:group style="position:absolute;left:10;top:412;width:4776;height:2" coordorigin="10,412" coordsize="4776,2">
              <v:shape style="position:absolute;left:10;top:412;width:4776;height:2" coordorigin="10,412" coordsize="4776,0" path="m10,412l4785,412e" filled="false" stroked="true" strokeweight=".48pt" strokecolor="#000000">
                <v:path arrowok="t"/>
              </v:shape>
            </v:group>
            <v:group style="position:absolute;left:4790;top:5;width:2;height:412" coordorigin="4790,5" coordsize="2,412">
              <v:shape style="position:absolute;left:4790;top:5;width:2;height:412" coordorigin="4790,5" coordsize="0,412" path="m4790,5l4790,416e" filled="false" stroked="true" strokeweight=".48pt" strokecolor="#000000">
                <v:path arrowok="t"/>
              </v:shape>
            </v:group>
            <v:group style="position:absolute;left:4795;top:412;width:4774;height:2" coordorigin="4795,412" coordsize="4774,2">
              <v:shape style="position:absolute;left:4795;top:412;width:4774;height:2" coordorigin="4795,412" coordsize="4774,0" path="m4795,412l9569,412e" filled="false" stroked="true" strokeweight=".48pt" strokecolor="#000000">
                <v:path arrowok="t"/>
              </v:shape>
            </v:group>
            <v:group style="position:absolute;left:9574;top:5;width:2;height:412" coordorigin="9574,5" coordsize="2,412">
              <v:shape style="position:absolute;left:9574;top:5;width:2;height:412" coordorigin="9574,5" coordsize="0,412" path="m9574,5l9574,416e" filled="false" stroked="true" strokeweight=".48pt" strokecolor="#000000">
                <v:path arrowok="t"/>
              </v:shape>
            </v:group>
          </v:group>
        </w:pict>
      </w:r>
      <w:r>
        <w:rPr>
          <w:rFonts w:ascii="宋体" w:hAnsi="宋体" w:cs="宋体" w:eastAsia="宋体" w:hint="default"/>
          <w:position w:val="-7"/>
          <w:sz w:val="20"/>
          <w:szCs w:val="20"/>
        </w:rPr>
      </w:r>
    </w:p>
    <w:p>
      <w:pPr>
        <w:spacing w:before="46"/>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3、在合营安排或联营企业中的权益" w:id="444"/>
      <w:bookmarkEnd w:id="444"/>
      <w:r>
        <w:rPr>
          <w:b w:val="0"/>
          <w:bCs w:val="0"/>
        </w:rPr>
      </w:r>
      <w:r>
        <w:rPr>
          <w:rFonts w:ascii="Times New Roman" w:hAnsi="Times New Roman" w:cs="Times New Roman" w:eastAsia="Times New Roman" w:hint="default"/>
        </w:rPr>
        <w:t>3</w:t>
      </w:r>
      <w:r>
        <w:rPr/>
        <w:t>、在合营安排或联营企业中的权益</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left="1133" w:right="998"/>
        <w:jc w:val="left"/>
        <w:rPr>
          <w:b w:val="0"/>
          <w:bCs w:val="0"/>
        </w:rPr>
      </w:pPr>
      <w:bookmarkStart w:name="（1）重要的合营企业或联营企业" w:id="445"/>
      <w:bookmarkEnd w:id="445"/>
      <w:r>
        <w:rPr>
          <w:b w:val="0"/>
          <w:bCs w:val="0"/>
        </w:rPr>
      </w: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402" w:hRule="exact"/>
        </w:trPr>
        <w:tc>
          <w:tcPr>
            <w:tcW w:w="13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20" w:right="51" w:hanging="270"/>
              <w:jc w:val="left"/>
              <w:rPr>
                <w:rFonts w:ascii="宋体" w:hAnsi="宋体" w:cs="宋体" w:eastAsia="宋体" w:hint="default"/>
                <w:sz w:val="18"/>
                <w:szCs w:val="18"/>
              </w:rPr>
            </w:pPr>
            <w:r>
              <w:rPr>
                <w:rFonts w:ascii="宋体" w:hAnsi="宋体" w:cs="宋体" w:eastAsia="宋体" w:hint="default"/>
                <w:sz w:val="18"/>
                <w:szCs w:val="18"/>
              </w:rPr>
              <w:t>合营企业或联营 企业名称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48" w:right="47"/>
              <w:jc w:val="center"/>
              <w:rPr>
                <w:rFonts w:ascii="宋体" w:hAnsi="宋体" w:cs="宋体" w:eastAsia="宋体" w:hint="default"/>
                <w:sz w:val="18"/>
                <w:szCs w:val="18"/>
              </w:rPr>
            </w:pPr>
            <w:r>
              <w:rPr>
                <w:rFonts w:ascii="宋体" w:hAnsi="宋体" w:cs="宋体" w:eastAsia="宋体" w:hint="default"/>
                <w:sz w:val="18"/>
                <w:szCs w:val="18"/>
              </w:rPr>
              <w:t>对合营企业或联 营企业投资的会 计处理方法</w:t>
            </w:r>
          </w:p>
        </w:tc>
      </w:tr>
      <w:tr>
        <w:trPr>
          <w:trHeight w:val="624" w:hRule="exact"/>
        </w:trPr>
        <w:tc>
          <w:tcPr>
            <w:tcW w:w="1372"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广州酷麦信息科 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移动互联网娱乐 社交产品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北京艺动网络科 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VR</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产品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12.00%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62"/>
              <w:jc w:val="left"/>
              <w:rPr>
                <w:rFonts w:ascii="Times New Roman" w:hAnsi="Times New Roman" w:cs="Times New Roman" w:eastAsia="Times New Roman" w:hint="default"/>
                <w:sz w:val="18"/>
                <w:szCs w:val="18"/>
              </w:rPr>
            </w:pPr>
            <w:r>
              <w:rPr>
                <w:rFonts w:ascii="Times New Roman"/>
                <w:sz w:val="18"/>
              </w:rPr>
              <w:t>Kunhoo</w:t>
            </w:r>
            <w:r>
              <w:rPr>
                <w:rFonts w:ascii="Times New Roman"/>
                <w:spacing w:val="-1"/>
                <w:sz w:val="18"/>
              </w:rPr>
              <w:t> </w:t>
            </w:r>
            <w:r>
              <w:rPr>
                <w:rFonts w:ascii="Times New Roman"/>
                <w:sz w:val="18"/>
              </w:rPr>
              <w:t>Software</w:t>
            </w:r>
            <w:r>
              <w:rPr>
                <w:rFonts w:ascii="Times New Roman"/>
                <w:w w:val="99"/>
                <w:sz w:val="18"/>
              </w:rPr>
              <w:t> </w:t>
            </w:r>
            <w:r>
              <w:rPr>
                <w:rFonts w:ascii="Times New Roman"/>
                <w:sz w:val="18"/>
              </w:rPr>
              <w:t>LLC</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开曼</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开曼</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投资管理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33.33%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北京徒子文化有 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网络漫画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18.00%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浙江太梦科技有 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浙江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浙江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网络技术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21.00%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在合营企业或联营企业的持股比例不同于表决权比例的说明：</w:t>
      </w:r>
    </w:p>
    <w:p>
      <w:pPr>
        <w:spacing w:before="117"/>
        <w:ind w:left="1134" w:right="998" w:firstLine="0"/>
        <w:jc w:val="left"/>
        <w:rPr>
          <w:rFonts w:ascii="宋体" w:hAnsi="宋体" w:cs="宋体" w:eastAsia="宋体" w:hint="default"/>
          <w:sz w:val="18"/>
          <w:szCs w:val="18"/>
        </w:rPr>
      </w:pPr>
      <w:r>
        <w:rPr>
          <w:rFonts w:ascii="宋体" w:hAnsi="宋体" w:cs="宋体" w:eastAsia="宋体" w:hint="default"/>
          <w:sz w:val="18"/>
          <w:szCs w:val="18"/>
        </w:rPr>
        <w:t>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以下表决权但具有重大影响，或者持有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或以上表决权但不具有重大影响的依据：</w:t>
      </w:r>
    </w:p>
    <w:p>
      <w:pPr>
        <w:pStyle w:val="BodyText"/>
        <w:spacing w:line="240" w:lineRule="auto" w:before="75"/>
        <w:ind w:left="2410" w:right="0"/>
        <w:jc w:val="left"/>
      </w:pPr>
      <w:r>
        <w:rPr/>
        <w:t>持有</w:t>
      </w:r>
      <w:r>
        <w:rPr>
          <w:rFonts w:ascii="Times New Roman" w:hAnsi="Times New Roman" w:cs="Times New Roman" w:eastAsia="Times New Roman" w:hint="default"/>
        </w:rPr>
        <w:t>20%</w:t>
      </w:r>
      <w:r>
        <w:rPr/>
        <w:t>以下表决权但具有重大影响，或者持有</w:t>
      </w:r>
      <w:r>
        <w:rPr>
          <w:rFonts w:ascii="Times New Roman" w:hAnsi="Times New Roman" w:cs="Times New Roman" w:eastAsia="Times New Roman" w:hint="default"/>
        </w:rPr>
        <w:t>20%</w:t>
      </w:r>
      <w:r>
        <w:rPr/>
        <w:t>或以上表决权但不具有重大影响的依据：</w:t>
      </w:r>
    </w:p>
    <w:p>
      <w:pPr>
        <w:pStyle w:val="BodyText"/>
        <w:spacing w:line="256" w:lineRule="auto" w:before="21"/>
        <w:ind w:left="2409" w:right="1182"/>
        <w:jc w:val="left"/>
      </w:pPr>
      <w:r>
        <w:rPr/>
        <w:t>（</w:t>
      </w:r>
      <w:r>
        <w:rPr>
          <w:rFonts w:ascii="Times New Roman" w:hAnsi="Times New Roman" w:cs="Times New Roman" w:eastAsia="Times New Roman" w:hint="default"/>
        </w:rPr>
        <w:t>1</w:t>
      </w:r>
      <w:r>
        <w:rPr/>
        <w:t>）公司投资的北京艺动网络科技有限公司董事会</w:t>
      </w:r>
      <w:r>
        <w:rPr>
          <w:rFonts w:ascii="Times New Roman" w:hAnsi="Times New Roman" w:cs="Times New Roman" w:eastAsia="Times New Roman" w:hint="default"/>
        </w:rPr>
        <w:t>7</w:t>
      </w:r>
      <w:r>
        <w:rPr/>
        <w:t>名成员，其中</w:t>
      </w:r>
      <w:r>
        <w:rPr>
          <w:rFonts w:ascii="Times New Roman" w:hAnsi="Times New Roman" w:cs="Times New Roman" w:eastAsia="Times New Roman" w:hint="default"/>
        </w:rPr>
        <w:t>1</w:t>
      </w:r>
      <w:r>
        <w:rPr/>
        <w:t>名董事为本公司派出， 对其具有重大影响。</w:t>
      </w:r>
    </w:p>
    <w:p>
      <w:pPr>
        <w:pStyle w:val="BodyText"/>
        <w:spacing w:line="256" w:lineRule="auto" w:before="22"/>
        <w:ind w:left="2410" w:right="1181"/>
        <w:jc w:val="left"/>
      </w:pPr>
      <w:r>
        <w:rPr/>
        <w:t>（</w:t>
      </w:r>
      <w:r>
        <w:rPr>
          <w:rFonts w:ascii="Times New Roman" w:hAnsi="Times New Roman" w:cs="Times New Roman" w:eastAsia="Times New Roman" w:hint="default"/>
        </w:rPr>
        <w:t>2</w:t>
      </w:r>
      <w:r>
        <w:rPr/>
        <w:t>）公司投资的北京徒子文化有限公司董事会</w:t>
      </w:r>
      <w:r>
        <w:rPr>
          <w:rFonts w:ascii="Times New Roman" w:hAnsi="Times New Roman" w:cs="Times New Roman" w:eastAsia="Times New Roman" w:hint="default"/>
        </w:rPr>
        <w:t>5</w:t>
      </w:r>
      <w:r>
        <w:rPr/>
        <w:t>名成员，其中</w:t>
      </w:r>
      <w:r>
        <w:rPr>
          <w:rFonts w:ascii="Times New Roman" w:hAnsi="Times New Roman" w:cs="Times New Roman" w:eastAsia="Times New Roman" w:hint="default"/>
        </w:rPr>
        <w:t>1</w:t>
      </w:r>
      <w:r>
        <w:rPr/>
        <w:t>名董事为本公司派出，对其 具有重大影响。</w:t>
      </w:r>
    </w:p>
    <w:p>
      <w:pPr>
        <w:pStyle w:val="BodyText"/>
        <w:spacing w:line="256" w:lineRule="auto" w:before="22"/>
        <w:ind w:left="2409" w:right="1182"/>
        <w:jc w:val="left"/>
      </w:pPr>
      <w:r>
        <w:rPr/>
        <w:t>（</w:t>
      </w:r>
      <w:r>
        <w:rPr>
          <w:rFonts w:ascii="Times New Roman" w:hAnsi="Times New Roman" w:cs="Times New Roman" w:eastAsia="Times New Roman" w:hint="default"/>
        </w:rPr>
        <w:t>3</w:t>
      </w:r>
      <w:r>
        <w:rPr/>
        <w:t>）公司投资的广州酷麦信息科技有限公司董事会</w:t>
      </w:r>
      <w:r>
        <w:rPr>
          <w:rFonts w:ascii="Times New Roman" w:hAnsi="Times New Roman" w:cs="Times New Roman" w:eastAsia="Times New Roman" w:hint="default"/>
        </w:rPr>
        <w:t>3</w:t>
      </w:r>
      <w:r>
        <w:rPr/>
        <w:t>名成员，其中</w:t>
      </w:r>
      <w:r>
        <w:rPr>
          <w:rFonts w:ascii="Times New Roman" w:hAnsi="Times New Roman" w:cs="Times New Roman" w:eastAsia="Times New Roman" w:hint="default"/>
        </w:rPr>
        <w:t>1</w:t>
      </w:r>
      <w:r>
        <w:rPr/>
        <w:t>名董事为本公司派出， 对其具有重大影响。</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pStyle w:val="Heading6"/>
        <w:spacing w:line="240" w:lineRule="auto"/>
        <w:ind w:left="1133" w:right="998"/>
        <w:jc w:val="left"/>
        <w:rPr>
          <w:b w:val="0"/>
          <w:bCs w:val="0"/>
        </w:rPr>
      </w:pPr>
      <w:bookmarkStart w:name="（2）重要合营企业的主要财务信息" w:id="446"/>
      <w:bookmarkEnd w:id="446"/>
      <w:r>
        <w:rPr>
          <w:b w:val="0"/>
          <w:bCs w:val="0"/>
        </w:rPr>
      </w: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9"/>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179"/>
        <w:gridCol w:w="3191"/>
        <w:gridCol w:w="3179"/>
      </w:tblGrid>
      <w:tr>
        <w:trPr>
          <w:trHeight w:val="402"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13" w:space="0" w:color="D2D2D2"/>
              <w:bottom w:val="single" w:sz="4" w:space="0" w:color="000000"/>
              <w:right w:val="single" w:sz="4" w:space="0" w:color="000000"/>
            </w:tcBorders>
            <w:shd w:val="clear" w:color="auto" w:fill="E0FFFF"/>
          </w:tcPr>
          <w:p>
            <w:pPr/>
          </w:p>
        </w:tc>
        <w:tc>
          <w:tcPr>
            <w:tcW w:w="3179" w:type="dxa"/>
            <w:tcBorders>
              <w:top w:val="single" w:sz="4" w:space="0" w:color="000000"/>
              <w:left w:val="single" w:sz="4" w:space="0" w:color="000000"/>
              <w:bottom w:val="single" w:sz="4" w:space="0" w:color="000000"/>
              <w:right w:val="single" w:sz="4" w:space="0" w:color="000000"/>
            </w:tcBorders>
            <w:shd w:val="clear" w:color="auto" w:fill="E0FFFF"/>
          </w:tcPr>
          <w:p>
            <w:pP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3）重要联营企业的主要财务信息" w:id="447"/>
      <w:bookmarkEnd w:id="447"/>
      <w:r>
        <w:rPr>
          <w:b w:val="0"/>
          <w:bCs w:val="0"/>
        </w:rPr>
      </w: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052"/>
        <w:gridCol w:w="1064"/>
        <w:gridCol w:w="1063"/>
        <w:gridCol w:w="1062"/>
        <w:gridCol w:w="1063"/>
        <w:gridCol w:w="1063"/>
        <w:gridCol w:w="1064"/>
        <w:gridCol w:w="1063"/>
        <w:gridCol w:w="1063"/>
      </w:tblGrid>
      <w:tr>
        <w:trPr>
          <w:trHeight w:val="402" w:hRule="exact"/>
        </w:trPr>
        <w:tc>
          <w:tcPr>
            <w:tcW w:w="105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316" w:type="dxa"/>
            <w:gridSpan w:val="5"/>
            <w:tcBorders>
              <w:top w:val="single" w:sz="4" w:space="0" w:color="000000"/>
              <w:left w:val="single" w:sz="4" w:space="0" w:color="000000"/>
              <w:bottom w:val="single" w:sz="8" w:space="0" w:color="E0FFFF"/>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89" w:type="dxa"/>
            <w:gridSpan w:val="3"/>
            <w:tcBorders>
              <w:top w:val="single" w:sz="4" w:space="0" w:color="000000"/>
              <w:left w:val="single" w:sz="4" w:space="0" w:color="000000"/>
              <w:bottom w:val="single" w:sz="8" w:space="0" w:color="E0FFFF"/>
              <w:right w:val="single" w:sz="4" w:space="0" w:color="000000"/>
            </w:tcBorders>
            <w:shd w:val="clear" w:color="auto" w:fill="D2D2D2"/>
          </w:tcPr>
          <w:p>
            <w:pPr>
              <w:pStyle w:val="TableParagraph"/>
              <w:spacing w:line="240" w:lineRule="auto" w:before="51"/>
              <w:ind w:left="75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161" w:hRule="exact"/>
        </w:trPr>
        <w:tc>
          <w:tcPr>
            <w:tcW w:w="1052" w:type="dxa"/>
            <w:tcBorders>
              <w:top w:val="single" w:sz="4" w:space="0" w:color="000000"/>
              <w:left w:val="single" w:sz="4" w:space="0" w:color="000000"/>
              <w:bottom w:val="nil" w:sz="6" w:space="0" w:color="auto"/>
              <w:right w:val="single" w:sz="13" w:space="0" w:color="E0FFFF"/>
            </w:tcBorders>
            <w:shd w:val="clear" w:color="auto" w:fill="D2D2D2"/>
          </w:tcPr>
          <w:p>
            <w:pPr/>
          </w:p>
        </w:tc>
        <w:tc>
          <w:tcPr>
            <w:tcW w:w="1064" w:type="dxa"/>
            <w:vMerge w:val="restart"/>
            <w:tcBorders>
              <w:top w:val="single" w:sz="4" w:space="0" w:color="000000"/>
              <w:left w:val="single" w:sz="10" w:space="0" w:color="D2D2D2"/>
              <w:right w:val="single" w:sz="4" w:space="0" w:color="000000"/>
            </w:tcBorders>
            <w:shd w:val="clear" w:color="auto" w:fill="E0FFFF"/>
          </w:tcPr>
          <w:p>
            <w:pPr>
              <w:pStyle w:val="TableParagraph"/>
              <w:spacing w:line="316" w:lineRule="auto" w:before="71"/>
              <w:ind w:left="69" w:right="77"/>
              <w:jc w:val="left"/>
              <w:rPr>
                <w:rFonts w:ascii="宋体" w:hAnsi="宋体" w:cs="宋体" w:eastAsia="宋体" w:hint="default"/>
                <w:sz w:val="18"/>
                <w:szCs w:val="18"/>
              </w:rPr>
            </w:pPr>
            <w:r>
              <w:rPr>
                <w:rFonts w:ascii="宋体" w:hAnsi="宋体" w:cs="宋体" w:eastAsia="宋体" w:hint="default"/>
                <w:sz w:val="18"/>
                <w:szCs w:val="18"/>
              </w:rPr>
              <w:t>广州酷麦信 息科技有限</w:t>
            </w:r>
          </w:p>
        </w:tc>
        <w:tc>
          <w:tcPr>
            <w:tcW w:w="1063" w:type="dxa"/>
            <w:vMerge w:val="restart"/>
            <w:tcBorders>
              <w:top w:val="single" w:sz="4" w:space="0" w:color="000000"/>
              <w:left w:val="single" w:sz="4" w:space="0" w:color="000000"/>
              <w:right w:val="single" w:sz="4" w:space="0" w:color="000000"/>
            </w:tcBorders>
            <w:shd w:val="clear" w:color="auto" w:fill="E0FFFF"/>
          </w:tcPr>
          <w:p>
            <w:pPr>
              <w:pStyle w:val="TableParagraph"/>
              <w:spacing w:line="316" w:lineRule="auto" w:before="71"/>
              <w:ind w:left="75" w:right="77"/>
              <w:jc w:val="left"/>
              <w:rPr>
                <w:rFonts w:ascii="宋体" w:hAnsi="宋体" w:cs="宋体" w:eastAsia="宋体" w:hint="default"/>
                <w:sz w:val="18"/>
                <w:szCs w:val="18"/>
              </w:rPr>
            </w:pPr>
            <w:r>
              <w:rPr>
                <w:rFonts w:ascii="宋体" w:hAnsi="宋体" w:cs="宋体" w:eastAsia="宋体" w:hint="default"/>
                <w:sz w:val="18"/>
                <w:szCs w:val="18"/>
              </w:rPr>
              <w:t>北京艺动网 络科技有限</w:t>
            </w:r>
          </w:p>
        </w:tc>
        <w:tc>
          <w:tcPr>
            <w:tcW w:w="1062" w:type="dxa"/>
            <w:vMerge w:val="restart"/>
            <w:tcBorders>
              <w:top w:val="single" w:sz="4" w:space="0" w:color="000000"/>
              <w:left w:val="single" w:sz="4" w:space="0" w:color="000000"/>
              <w:right w:val="single" w:sz="4" w:space="0" w:color="000000"/>
            </w:tcBorders>
            <w:shd w:val="clear" w:color="auto" w:fill="E0FFFF"/>
          </w:tcPr>
          <w:p>
            <w:pPr>
              <w:pStyle w:val="TableParagraph"/>
              <w:spacing w:line="362" w:lineRule="auto" w:before="91"/>
              <w:ind w:left="181" w:right="85" w:hanging="95"/>
              <w:jc w:val="left"/>
              <w:rPr>
                <w:rFonts w:ascii="Times New Roman" w:hAnsi="Times New Roman" w:cs="Times New Roman" w:eastAsia="Times New Roman" w:hint="default"/>
                <w:sz w:val="18"/>
                <w:szCs w:val="18"/>
              </w:rPr>
            </w:pPr>
            <w:r>
              <w:rPr>
                <w:rFonts w:ascii="Times New Roman"/>
                <w:sz w:val="18"/>
              </w:rPr>
              <w:t>KunhooSoft</w:t>
            </w:r>
            <w:r>
              <w:rPr>
                <w:rFonts w:ascii="Times New Roman"/>
                <w:w w:val="99"/>
                <w:sz w:val="18"/>
              </w:rPr>
              <w:t> </w:t>
            </w:r>
            <w:r>
              <w:rPr>
                <w:rFonts w:ascii="Times New Roman"/>
                <w:sz w:val="18"/>
              </w:rPr>
              <w:t>wareLLC</w:t>
            </w:r>
          </w:p>
        </w:tc>
        <w:tc>
          <w:tcPr>
            <w:tcW w:w="1063" w:type="dxa"/>
            <w:vMerge w:val="restart"/>
            <w:tcBorders>
              <w:top w:val="single" w:sz="4" w:space="0" w:color="000000"/>
              <w:left w:val="single" w:sz="4" w:space="0" w:color="000000"/>
              <w:right w:val="single" w:sz="4" w:space="0" w:color="000000"/>
            </w:tcBorders>
            <w:shd w:val="clear" w:color="auto" w:fill="E0FFFF"/>
          </w:tcPr>
          <w:p>
            <w:pPr>
              <w:pStyle w:val="TableParagraph"/>
              <w:spacing w:line="319" w:lineRule="auto" w:before="51"/>
              <w:ind w:left="76" w:right="74"/>
              <w:jc w:val="left"/>
              <w:rPr>
                <w:rFonts w:ascii="宋体" w:hAnsi="宋体" w:cs="宋体" w:eastAsia="宋体" w:hint="default"/>
                <w:sz w:val="18"/>
                <w:szCs w:val="18"/>
              </w:rPr>
            </w:pPr>
            <w:r>
              <w:rPr>
                <w:rFonts w:ascii="宋体" w:hAnsi="宋体" w:cs="宋体" w:eastAsia="宋体" w:hint="default"/>
                <w:sz w:val="18"/>
                <w:szCs w:val="18"/>
              </w:rPr>
              <w:t>北京徒子文 化有限公司</w:t>
            </w:r>
          </w:p>
        </w:tc>
        <w:tc>
          <w:tcPr>
            <w:tcW w:w="1063" w:type="dxa"/>
            <w:vMerge w:val="restart"/>
            <w:tcBorders>
              <w:top w:val="single" w:sz="4" w:space="0" w:color="000000"/>
              <w:left w:val="single" w:sz="4" w:space="0" w:color="000000"/>
              <w:right w:val="single" w:sz="4" w:space="0" w:color="000000"/>
            </w:tcBorders>
            <w:shd w:val="clear" w:color="auto" w:fill="E0FFFF"/>
          </w:tcPr>
          <w:p>
            <w:pPr>
              <w:pStyle w:val="TableParagraph"/>
              <w:spacing w:line="319" w:lineRule="auto" w:before="51"/>
              <w:ind w:left="75" w:right="77"/>
              <w:jc w:val="left"/>
              <w:rPr>
                <w:rFonts w:ascii="宋体" w:hAnsi="宋体" w:cs="宋体" w:eastAsia="宋体" w:hint="default"/>
                <w:sz w:val="18"/>
                <w:szCs w:val="18"/>
              </w:rPr>
            </w:pPr>
            <w:r>
              <w:rPr>
                <w:rFonts w:ascii="宋体" w:hAnsi="宋体" w:cs="宋体" w:eastAsia="宋体" w:hint="default"/>
                <w:sz w:val="18"/>
                <w:szCs w:val="18"/>
              </w:rPr>
              <w:t>浙江太梦科 技有限公司</w:t>
            </w:r>
          </w:p>
        </w:tc>
        <w:tc>
          <w:tcPr>
            <w:tcW w:w="1064" w:type="dxa"/>
            <w:vMerge w:val="restart"/>
            <w:tcBorders>
              <w:top w:val="single" w:sz="4" w:space="0" w:color="000000"/>
              <w:left w:val="single" w:sz="4" w:space="0" w:color="000000"/>
              <w:right w:val="single" w:sz="4" w:space="0" w:color="000000"/>
            </w:tcBorders>
            <w:shd w:val="clear" w:color="auto" w:fill="E0FFFF"/>
          </w:tcPr>
          <w:p>
            <w:pPr>
              <w:pStyle w:val="TableParagraph"/>
              <w:spacing w:line="316" w:lineRule="auto" w:before="71"/>
              <w:ind w:left="75" w:right="76"/>
              <w:jc w:val="left"/>
              <w:rPr>
                <w:rFonts w:ascii="宋体" w:hAnsi="宋体" w:cs="宋体" w:eastAsia="宋体" w:hint="default"/>
                <w:sz w:val="18"/>
                <w:szCs w:val="18"/>
              </w:rPr>
            </w:pPr>
            <w:r>
              <w:rPr>
                <w:rFonts w:ascii="宋体" w:hAnsi="宋体" w:cs="宋体" w:eastAsia="宋体" w:hint="default"/>
                <w:sz w:val="18"/>
                <w:szCs w:val="18"/>
              </w:rPr>
              <w:t>广州酷麦信 息科技有限</w:t>
            </w:r>
          </w:p>
        </w:tc>
        <w:tc>
          <w:tcPr>
            <w:tcW w:w="1063" w:type="dxa"/>
            <w:vMerge w:val="restart"/>
            <w:tcBorders>
              <w:top w:val="single" w:sz="4" w:space="0" w:color="000000"/>
              <w:left w:val="single" w:sz="4" w:space="0" w:color="000000"/>
              <w:right w:val="single" w:sz="4" w:space="0" w:color="000000"/>
            </w:tcBorders>
            <w:shd w:val="clear" w:color="auto" w:fill="E0FFFF"/>
          </w:tcPr>
          <w:p>
            <w:pPr>
              <w:pStyle w:val="TableParagraph"/>
              <w:spacing w:line="316" w:lineRule="auto" w:before="71"/>
              <w:ind w:left="75" w:right="77"/>
              <w:jc w:val="left"/>
              <w:rPr>
                <w:rFonts w:ascii="宋体" w:hAnsi="宋体" w:cs="宋体" w:eastAsia="宋体" w:hint="default"/>
                <w:sz w:val="18"/>
                <w:szCs w:val="18"/>
              </w:rPr>
            </w:pPr>
            <w:r>
              <w:rPr>
                <w:rFonts w:ascii="宋体" w:hAnsi="宋体" w:cs="宋体" w:eastAsia="宋体" w:hint="default"/>
                <w:sz w:val="18"/>
                <w:szCs w:val="18"/>
              </w:rPr>
              <w:t>北京艺动网 络科技有限</w:t>
            </w:r>
          </w:p>
        </w:tc>
        <w:tc>
          <w:tcPr>
            <w:tcW w:w="1063" w:type="dxa"/>
            <w:vMerge w:val="restart"/>
            <w:tcBorders>
              <w:top w:val="single" w:sz="4" w:space="0" w:color="000000"/>
              <w:left w:val="single" w:sz="4" w:space="0" w:color="000000"/>
              <w:right w:val="single" w:sz="4" w:space="0" w:color="000000"/>
            </w:tcBorders>
            <w:shd w:val="clear" w:color="auto" w:fill="E0FFFF"/>
          </w:tcPr>
          <w:p>
            <w:pPr>
              <w:pStyle w:val="TableParagraph"/>
              <w:spacing w:line="362" w:lineRule="auto" w:before="91"/>
              <w:ind w:left="181" w:right="85" w:hanging="95"/>
              <w:jc w:val="left"/>
              <w:rPr>
                <w:rFonts w:ascii="Times New Roman" w:hAnsi="Times New Roman" w:cs="Times New Roman" w:eastAsia="Times New Roman" w:hint="default"/>
                <w:sz w:val="18"/>
                <w:szCs w:val="18"/>
              </w:rPr>
            </w:pPr>
            <w:r>
              <w:rPr>
                <w:rFonts w:ascii="Times New Roman"/>
                <w:sz w:val="18"/>
              </w:rPr>
              <w:t>KunhooSoft</w:t>
            </w:r>
            <w:r>
              <w:rPr>
                <w:rFonts w:ascii="Times New Roman"/>
                <w:w w:val="99"/>
                <w:sz w:val="18"/>
              </w:rPr>
              <w:t> </w:t>
            </w:r>
            <w:r>
              <w:rPr>
                <w:rFonts w:ascii="Times New Roman"/>
                <w:sz w:val="18"/>
              </w:rPr>
              <w:t>wareLLC</w:t>
            </w:r>
          </w:p>
        </w:tc>
      </w:tr>
      <w:tr>
        <w:trPr>
          <w:trHeight w:val="392" w:hRule="exact"/>
        </w:trPr>
        <w:tc>
          <w:tcPr>
            <w:tcW w:w="1052" w:type="dxa"/>
            <w:tcBorders>
              <w:top w:val="nil" w:sz="6" w:space="0" w:color="auto"/>
              <w:left w:val="single" w:sz="4" w:space="0" w:color="000000"/>
              <w:bottom w:val="nil" w:sz="6" w:space="0" w:color="auto"/>
              <w:right w:val="single" w:sz="13" w:space="0" w:color="E0FFFF"/>
            </w:tcBorders>
            <w:shd w:val="clear" w:color="auto" w:fill="D2D2D2"/>
          </w:tcPr>
          <w:p>
            <w:pPr/>
          </w:p>
        </w:tc>
        <w:tc>
          <w:tcPr>
            <w:tcW w:w="1064" w:type="dxa"/>
            <w:vMerge/>
            <w:tcBorders>
              <w:left w:val="single" w:sz="10" w:space="0" w:color="D2D2D2"/>
              <w:right w:val="single" w:sz="4" w:space="0" w:color="000000"/>
            </w:tcBorders>
            <w:shd w:val="clear" w:color="auto" w:fill="E0FFFF"/>
          </w:tcPr>
          <w:p>
            <w:pPr/>
          </w:p>
        </w:tc>
        <w:tc>
          <w:tcPr>
            <w:tcW w:w="1063" w:type="dxa"/>
            <w:vMerge/>
            <w:tcBorders>
              <w:left w:val="single" w:sz="4" w:space="0" w:color="000000"/>
              <w:right w:val="single" w:sz="4" w:space="0" w:color="000000"/>
            </w:tcBorders>
            <w:shd w:val="clear" w:color="auto" w:fill="E0FFFF"/>
          </w:tcPr>
          <w:p>
            <w:pPr/>
          </w:p>
        </w:tc>
        <w:tc>
          <w:tcPr>
            <w:tcW w:w="1062" w:type="dxa"/>
            <w:vMerge/>
            <w:tcBorders>
              <w:left w:val="single" w:sz="4" w:space="0" w:color="000000"/>
              <w:right w:val="single" w:sz="4" w:space="0" w:color="000000"/>
            </w:tcBorders>
            <w:shd w:val="clear" w:color="auto" w:fill="E0FFFF"/>
          </w:tcPr>
          <w:p>
            <w:pPr/>
          </w:p>
        </w:tc>
        <w:tc>
          <w:tcPr>
            <w:tcW w:w="1063" w:type="dxa"/>
            <w:vMerge/>
            <w:tcBorders>
              <w:left w:val="single" w:sz="4" w:space="0" w:color="000000"/>
              <w:right w:val="single" w:sz="4" w:space="0" w:color="000000"/>
            </w:tcBorders>
            <w:shd w:val="clear" w:color="auto" w:fill="E0FFFF"/>
          </w:tcPr>
          <w:p>
            <w:pPr/>
          </w:p>
        </w:tc>
        <w:tc>
          <w:tcPr>
            <w:tcW w:w="1063" w:type="dxa"/>
            <w:vMerge/>
            <w:tcBorders>
              <w:left w:val="single" w:sz="4" w:space="0" w:color="000000"/>
              <w:right w:val="single" w:sz="4" w:space="0" w:color="000000"/>
            </w:tcBorders>
            <w:shd w:val="clear" w:color="auto" w:fill="E0FFFF"/>
          </w:tcPr>
          <w:p>
            <w:pPr/>
          </w:p>
        </w:tc>
        <w:tc>
          <w:tcPr>
            <w:tcW w:w="1064" w:type="dxa"/>
            <w:vMerge/>
            <w:tcBorders>
              <w:left w:val="single" w:sz="4" w:space="0" w:color="000000"/>
              <w:right w:val="single" w:sz="4" w:space="0" w:color="000000"/>
            </w:tcBorders>
            <w:shd w:val="clear" w:color="auto" w:fill="E0FFFF"/>
          </w:tcPr>
          <w:p>
            <w:pPr/>
          </w:p>
        </w:tc>
        <w:tc>
          <w:tcPr>
            <w:tcW w:w="1063" w:type="dxa"/>
            <w:vMerge/>
            <w:tcBorders>
              <w:left w:val="single" w:sz="4" w:space="0" w:color="000000"/>
              <w:right w:val="single" w:sz="4" w:space="0" w:color="000000"/>
            </w:tcBorders>
            <w:shd w:val="clear" w:color="auto" w:fill="E0FFFF"/>
          </w:tcPr>
          <w:p>
            <w:pPr/>
          </w:p>
        </w:tc>
        <w:tc>
          <w:tcPr>
            <w:tcW w:w="1063" w:type="dxa"/>
            <w:vMerge/>
            <w:tcBorders>
              <w:left w:val="single" w:sz="4" w:space="0" w:color="000000"/>
              <w:right w:val="single" w:sz="4" w:space="0" w:color="000000"/>
            </w:tcBorders>
            <w:shd w:val="clear" w:color="auto" w:fill="E0FFFF"/>
          </w:tcPr>
          <w:p>
            <w:pPr/>
          </w:p>
        </w:tc>
      </w:tr>
      <w:tr>
        <w:trPr>
          <w:trHeight w:val="156" w:hRule="exact"/>
        </w:trPr>
        <w:tc>
          <w:tcPr>
            <w:tcW w:w="1052" w:type="dxa"/>
            <w:tcBorders>
              <w:top w:val="nil" w:sz="6" w:space="0" w:color="auto"/>
              <w:left w:val="single" w:sz="4" w:space="0" w:color="000000"/>
              <w:bottom w:val="single" w:sz="4" w:space="0" w:color="000000"/>
              <w:right w:val="single" w:sz="13" w:space="0" w:color="E0FFFF"/>
            </w:tcBorders>
            <w:shd w:val="clear" w:color="auto" w:fill="D2D2D2"/>
          </w:tcPr>
          <w:p>
            <w:pPr/>
          </w:p>
        </w:tc>
        <w:tc>
          <w:tcPr>
            <w:tcW w:w="1064" w:type="dxa"/>
            <w:vMerge/>
            <w:tcBorders>
              <w:left w:val="single" w:sz="10" w:space="0" w:color="D2D2D2"/>
              <w:bottom w:val="single" w:sz="4" w:space="0" w:color="000000"/>
              <w:right w:val="single" w:sz="4" w:space="0" w:color="000000"/>
            </w:tcBorders>
            <w:shd w:val="clear" w:color="auto" w:fill="E0FFFF"/>
          </w:tcPr>
          <w:p>
            <w:pPr/>
          </w:p>
        </w:tc>
        <w:tc>
          <w:tcPr>
            <w:tcW w:w="1063" w:type="dxa"/>
            <w:vMerge/>
            <w:tcBorders>
              <w:left w:val="single" w:sz="4" w:space="0" w:color="000000"/>
              <w:bottom w:val="single" w:sz="4" w:space="0" w:color="000000"/>
              <w:right w:val="single" w:sz="4" w:space="0" w:color="000000"/>
            </w:tcBorders>
            <w:shd w:val="clear" w:color="auto" w:fill="E0FFFF"/>
          </w:tcPr>
          <w:p>
            <w:pPr/>
          </w:p>
        </w:tc>
        <w:tc>
          <w:tcPr>
            <w:tcW w:w="1062" w:type="dxa"/>
            <w:vMerge/>
            <w:tcBorders>
              <w:left w:val="single" w:sz="4" w:space="0" w:color="000000"/>
              <w:bottom w:val="single" w:sz="4" w:space="0" w:color="000000"/>
              <w:right w:val="single" w:sz="4" w:space="0" w:color="000000"/>
            </w:tcBorders>
            <w:shd w:val="clear" w:color="auto" w:fill="E0FFFF"/>
          </w:tcPr>
          <w:p>
            <w:pPr/>
          </w:p>
        </w:tc>
        <w:tc>
          <w:tcPr>
            <w:tcW w:w="1063" w:type="dxa"/>
            <w:vMerge/>
            <w:tcBorders>
              <w:left w:val="single" w:sz="4" w:space="0" w:color="000000"/>
              <w:bottom w:val="single" w:sz="4" w:space="0" w:color="000000"/>
              <w:right w:val="single" w:sz="4" w:space="0" w:color="000000"/>
            </w:tcBorders>
            <w:shd w:val="clear" w:color="auto" w:fill="E0FFFF"/>
          </w:tcPr>
          <w:p>
            <w:pPr/>
          </w:p>
        </w:tc>
        <w:tc>
          <w:tcPr>
            <w:tcW w:w="1063" w:type="dxa"/>
            <w:vMerge/>
            <w:tcBorders>
              <w:left w:val="single" w:sz="4" w:space="0" w:color="000000"/>
              <w:bottom w:val="single" w:sz="4" w:space="0" w:color="000000"/>
              <w:right w:val="single" w:sz="4" w:space="0" w:color="000000"/>
            </w:tcBorders>
            <w:shd w:val="clear" w:color="auto" w:fill="E0FFFF"/>
          </w:tcPr>
          <w:p>
            <w:pPr/>
          </w:p>
        </w:tc>
        <w:tc>
          <w:tcPr>
            <w:tcW w:w="1064" w:type="dxa"/>
            <w:vMerge/>
            <w:tcBorders>
              <w:left w:val="single" w:sz="4" w:space="0" w:color="000000"/>
              <w:bottom w:val="single" w:sz="4" w:space="0" w:color="000000"/>
              <w:right w:val="single" w:sz="4" w:space="0" w:color="000000"/>
            </w:tcBorders>
            <w:shd w:val="clear" w:color="auto" w:fill="E0FFFF"/>
          </w:tcPr>
          <w:p>
            <w:pPr/>
          </w:p>
        </w:tc>
        <w:tc>
          <w:tcPr>
            <w:tcW w:w="1063" w:type="dxa"/>
            <w:vMerge/>
            <w:tcBorders>
              <w:left w:val="single" w:sz="4" w:space="0" w:color="000000"/>
              <w:bottom w:val="single" w:sz="4" w:space="0" w:color="000000"/>
              <w:right w:val="single" w:sz="4" w:space="0" w:color="000000"/>
            </w:tcBorders>
            <w:shd w:val="clear" w:color="auto" w:fill="E0FFFF"/>
          </w:tcPr>
          <w:p>
            <w:pPr/>
          </w:p>
        </w:tc>
        <w:tc>
          <w:tcPr>
            <w:tcW w:w="1063" w:type="dxa"/>
            <w:vMerge/>
            <w:tcBorders>
              <w:left w:val="single" w:sz="4" w:space="0" w:color="000000"/>
              <w:bottom w:val="single" w:sz="4" w:space="0" w:color="000000"/>
              <w:right w:val="single" w:sz="4" w:space="0" w:color="000000"/>
            </w:tcBorders>
            <w:shd w:val="clear" w:color="auto" w:fill="E0FFFF"/>
          </w:tcPr>
          <w:p>
            <w:pPr/>
          </w:p>
        </w:tc>
      </w:tr>
    </w:tbl>
    <w:p>
      <w:pPr>
        <w:spacing w:after="0"/>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1064"/>
        <w:gridCol w:w="1063"/>
        <w:gridCol w:w="1063"/>
        <w:gridCol w:w="1062"/>
        <w:gridCol w:w="1063"/>
        <w:gridCol w:w="1063"/>
        <w:gridCol w:w="1064"/>
        <w:gridCol w:w="1063"/>
        <w:gridCol w:w="1063"/>
      </w:tblGrid>
      <w:tr>
        <w:trPr>
          <w:trHeight w:val="362" w:hRule="exact"/>
        </w:trPr>
        <w:tc>
          <w:tcPr>
            <w:tcW w:w="1064" w:type="dxa"/>
            <w:tcBorders>
              <w:top w:val="single" w:sz="4" w:space="0" w:color="000000"/>
              <w:left w:val="single" w:sz="4" w:space="0" w:color="000000"/>
              <w:bottom w:val="single" w:sz="4" w:space="0" w:color="000000"/>
              <w:right w:val="single" w:sz="13" w:space="0" w:color="E0FFFF"/>
            </w:tcBorders>
            <w:shd w:val="clear" w:color="auto" w:fill="D2D2D2"/>
          </w:tcPr>
          <w:p>
            <w:pPr/>
          </w:p>
        </w:tc>
        <w:tc>
          <w:tcPr>
            <w:tcW w:w="1063"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1"/>
              <w:ind w:left="34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063"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1"/>
              <w:ind w:left="34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063"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063"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1"/>
              <w:ind w:left="34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063"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1"/>
              <w:ind w:left="34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063" w:type="dxa"/>
            <w:tcBorders>
              <w:top w:val="single" w:sz="4" w:space="0" w:color="000000"/>
              <w:left w:val="single" w:sz="4" w:space="0" w:color="000000"/>
              <w:bottom w:val="single" w:sz="4" w:space="0" w:color="000000"/>
              <w:right w:val="single" w:sz="4" w:space="0" w:color="000000"/>
            </w:tcBorders>
            <w:shd w:val="clear" w:color="auto" w:fill="E0FFFF"/>
          </w:tcPr>
          <w:p>
            <w:pP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1,478,865.21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1,653,194.07</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470,308,113.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29,833,442.7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1,800,561.74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4,848,610.87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7,044,956.70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535,032,714.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28</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61,520.88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35,643.87</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3,656,277,97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6.90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590,527.97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22,200.00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39,592.97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48,165.71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3,874,127,24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8.24</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1,540,386.09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1,688,837.94</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4,126,586,09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30,423,970.7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1,822,761.74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4,888,203.84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7,093,122.41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4,409,159,96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2.52</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287,131.60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372,795.49</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236,697,834.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783,081.97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108,928.31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471,717.36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849,545.06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375,272,423.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95</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89,899,157.6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71,723,436.1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287,131.60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372,795.49</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326,596,991.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783,081.97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108,928.31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471,717.36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849,545.06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446,995,860.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10</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29"/>
              <w:jc w:val="left"/>
              <w:rPr>
                <w:rFonts w:ascii="宋体" w:hAnsi="宋体" w:cs="宋体" w:eastAsia="宋体" w:hint="default"/>
                <w:sz w:val="18"/>
                <w:szCs w:val="18"/>
              </w:rPr>
            </w:pPr>
            <w:r>
              <w:rPr>
                <w:rFonts w:ascii="宋体" w:hAnsi="宋体" w:cs="宋体" w:eastAsia="宋体" w:hint="default"/>
                <w:sz w:val="18"/>
                <w:szCs w:val="18"/>
              </w:rPr>
              <w:t>归属于母公 司股东权益</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1,253,254.49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1,316,042.45</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3,799,989,09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8.14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29,640,888.7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1,713,833.43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4,416,486.48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6,243,577.35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3,962,177,97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6.43</w:t>
            </w: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按持股比例 计算的净资 产份额</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250,650.90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157,925.09</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1,266,536,36</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6.41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5,335,359.98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359,905.02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883,297.30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749,229.28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1,320,593,91</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9.54</w:t>
            </w: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对联营企业 权益投资的 账面价值</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8,561,874.36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4,948,979.57</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1,302,641,28</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0.98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13,422,458.7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2,018,905.02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9,194,520.76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5,540,283.75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1,285,794,07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5.66</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998,299.89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288,846.24</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887,191,647.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7,475,142.71</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943,396.22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130,187,663.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01</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-3,163,231.99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-4,927,534.90</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27,493,985.9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-3,208,562.30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-386,166.57</w:t>
            </w:r>
            <w:r>
              <w:rPr>
                <w:rFonts w:ascii="Times New Roman"/>
                <w:sz w:val="18"/>
              </w:rPr>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-5,031,688.58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-4,756,422.65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-6,823,211.37</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29"/>
              <w:jc w:val="left"/>
              <w:rPr>
                <w:rFonts w:ascii="宋体" w:hAnsi="宋体" w:cs="宋体" w:eastAsia="宋体" w:hint="default"/>
                <w:sz w:val="18"/>
                <w:szCs w:val="18"/>
              </w:rPr>
            </w:pPr>
            <w:r>
              <w:rPr>
                <w:rFonts w:ascii="宋体" w:hAnsi="宋体" w:cs="宋体" w:eastAsia="宋体" w:hint="default"/>
                <w:sz w:val="18"/>
                <w:szCs w:val="18"/>
              </w:rPr>
              <w:t>其他综合收 益</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23,052,684.6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11,297,799.3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29"/>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-3,163,231.99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-4,927,534.90</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50,546,670.6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-3,208,562.30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-386,166.57</w:t>
            </w:r>
            <w:r>
              <w:rPr>
                <w:rFonts w:ascii="Times New Roman"/>
                <w:sz w:val="18"/>
              </w:rPr>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-5,031,688.58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-4,756,422.65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4,164,153.46</w:t>
            </w:r>
          </w:p>
        </w:tc>
      </w:tr>
    </w:tbl>
    <w:p>
      <w:pPr>
        <w:spacing w:line="357" w:lineRule="auto" w:before="51"/>
        <w:ind w:left="1133" w:right="10033"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2"/>
        <w:rPr>
          <w:rFonts w:ascii="宋体" w:hAnsi="宋体" w:cs="宋体" w:eastAsia="宋体" w:hint="default"/>
          <w:sz w:val="20"/>
          <w:szCs w:val="20"/>
        </w:rPr>
      </w:pPr>
    </w:p>
    <w:p>
      <w:pPr>
        <w:pStyle w:val="Heading6"/>
        <w:spacing w:line="240" w:lineRule="auto"/>
        <w:ind w:right="998"/>
        <w:jc w:val="left"/>
        <w:rPr>
          <w:b w:val="0"/>
          <w:bCs w:val="0"/>
        </w:rPr>
      </w:pPr>
      <w:bookmarkStart w:name="（4）不重要的合营企业和联营企业的汇总财务信息" w:id="448"/>
      <w:bookmarkEnd w:id="448"/>
      <w:r>
        <w:rPr>
          <w:b w:val="0"/>
          <w:bCs w:val="0"/>
        </w:rPr>
      </w: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324"/>
        <w:gridCol w:w="3059"/>
        <w:gridCol w:w="3175"/>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6" w:type="dxa"/>
        <w:tblLayout w:type="fixed"/>
        <w:tblCellMar>
          <w:top w:w="0" w:type="dxa"/>
          <w:left w:w="0" w:type="dxa"/>
          <w:bottom w:w="0" w:type="dxa"/>
          <w:right w:w="0" w:type="dxa"/>
        </w:tblCellMar>
        <w:tblLook w:val="01E0"/>
      </w:tblPr>
      <w:tblGrid>
        <w:gridCol w:w="3327"/>
        <w:gridCol w:w="3059"/>
        <w:gridCol w:w="3175"/>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r>
    </w:tbl>
    <w:p>
      <w:pPr>
        <w:spacing w:line="357" w:lineRule="auto" w:before="51"/>
        <w:ind w:left="1133" w:right="10033"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3"/>
        <w:rPr>
          <w:rFonts w:ascii="宋体" w:hAnsi="宋体" w:cs="宋体" w:eastAsia="宋体" w:hint="default"/>
          <w:sz w:val="20"/>
          <w:szCs w:val="20"/>
        </w:rPr>
      </w:pPr>
    </w:p>
    <w:p>
      <w:pPr>
        <w:pStyle w:val="Heading6"/>
        <w:spacing w:line="240" w:lineRule="auto"/>
        <w:ind w:right="998"/>
        <w:jc w:val="left"/>
        <w:rPr>
          <w:b w:val="0"/>
          <w:bCs w:val="0"/>
        </w:rPr>
      </w:pPr>
      <w:bookmarkStart w:name="（5）合营企业或联营企业向本公司转移资金的能力存在重大限制的说明" w:id="449"/>
      <w:bookmarkEnd w:id="449"/>
      <w:r>
        <w:rPr>
          <w:b w:val="0"/>
          <w:bCs w:val="0"/>
        </w:rPr>
      </w:r>
      <w:r>
        <w:rPr/>
        <w:t>（</w:t>
      </w:r>
      <w:r>
        <w:rPr>
          <w:rFonts w:ascii="Times New Roman" w:hAnsi="Times New Roman" w:cs="Times New Roman" w:eastAsia="Times New Roman" w:hint="default"/>
        </w:rPr>
        <w:t>5</w:t>
      </w:r>
      <w:r>
        <w:rPr/>
        <w:t>）合营企业或联营企业向本公司转移资金的能力存在重大限制的说明</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6）合营企业或联营企业发生的超额亏损" w:id="450"/>
      <w:bookmarkEnd w:id="450"/>
      <w:r>
        <w:rPr>
          <w:b w:val="0"/>
          <w:bCs w:val="0"/>
        </w:rPr>
      </w:r>
      <w:r>
        <w:rPr/>
        <w:t>（</w:t>
      </w:r>
      <w:r>
        <w:rPr>
          <w:rFonts w:ascii="Times New Roman" w:hAnsi="Times New Roman" w:cs="Times New Roman" w:eastAsia="Times New Roman" w:hint="default"/>
        </w:rPr>
        <w:t>6</w:t>
      </w:r>
      <w:r>
        <w:rPr/>
        <w:t>）合营企业或联营企业发生的超额亏损</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391"/>
        <w:gridCol w:w="2392"/>
        <w:gridCol w:w="2392"/>
        <w:gridCol w:w="2394"/>
      </w:tblGrid>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9"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00" w:right="111" w:hanging="990"/>
              <w:jc w:val="left"/>
              <w:rPr>
                <w:rFonts w:ascii="宋体" w:hAnsi="宋体" w:cs="宋体" w:eastAsia="宋体" w:hint="default"/>
                <w:sz w:val="18"/>
                <w:szCs w:val="18"/>
              </w:rPr>
            </w:pPr>
            <w:r>
              <w:rPr>
                <w:rFonts w:ascii="宋体" w:hAnsi="宋体" w:cs="宋体" w:eastAsia="宋体" w:hint="default"/>
                <w:sz w:val="18"/>
                <w:szCs w:val="18"/>
              </w:rPr>
              <w:t>累积未确认前期累计认的损 失</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50" w:right="21" w:hanging="628"/>
              <w:jc w:val="left"/>
              <w:rPr>
                <w:rFonts w:ascii="宋体" w:hAnsi="宋体" w:cs="宋体" w:eastAsia="宋体" w:hint="default"/>
                <w:sz w:val="18"/>
                <w:szCs w:val="18"/>
              </w:rPr>
            </w:pPr>
            <w:r>
              <w:rPr>
                <w:rFonts w:ascii="宋体" w:hAnsi="宋体" w:cs="宋体" w:eastAsia="宋体" w:hint="default"/>
                <w:sz w:val="18"/>
                <w:szCs w:val="18"/>
              </w:rPr>
              <w:t>本期未确认的损失（或本期分 享的净利润）</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本期末累积未确认的损失</w:t>
            </w:r>
          </w:p>
        </w:tc>
      </w:tr>
    </w:tbl>
    <w:p>
      <w:pPr>
        <w:spacing w:line="357" w:lineRule="auto" w:before="52"/>
        <w:ind w:left="1133" w:right="10033"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2"/>
        <w:rPr>
          <w:rFonts w:ascii="宋体" w:hAnsi="宋体" w:cs="宋体" w:eastAsia="宋体" w:hint="default"/>
          <w:sz w:val="20"/>
          <w:szCs w:val="20"/>
        </w:rPr>
      </w:pPr>
    </w:p>
    <w:p>
      <w:pPr>
        <w:pStyle w:val="Heading6"/>
        <w:spacing w:line="240" w:lineRule="auto"/>
        <w:ind w:right="998"/>
        <w:jc w:val="left"/>
        <w:rPr>
          <w:b w:val="0"/>
          <w:bCs w:val="0"/>
        </w:rPr>
      </w:pPr>
      <w:bookmarkStart w:name="（7）与合营企业投资相关的未确认承诺" w:id="451"/>
      <w:bookmarkEnd w:id="451"/>
      <w:r>
        <w:rPr>
          <w:b w:val="0"/>
          <w:bCs w:val="0"/>
        </w:rPr>
      </w:r>
      <w:r>
        <w:rPr/>
        <w:t>（</w:t>
      </w:r>
      <w:r>
        <w:rPr>
          <w:rFonts w:ascii="Times New Roman" w:hAnsi="Times New Roman" w:cs="Times New Roman" w:eastAsia="Times New Roman" w:hint="default"/>
        </w:rPr>
        <w:t>7</w:t>
      </w:r>
      <w:r>
        <w:rPr/>
        <w:t>）与合营企业投资相关的未确认承诺</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8）与合营企业或联营企业投资相关的或有负债" w:id="452"/>
      <w:bookmarkEnd w:id="452"/>
      <w:r>
        <w:rPr>
          <w:b w:val="0"/>
          <w:bCs w:val="0"/>
        </w:rPr>
      </w:r>
      <w:r>
        <w:rPr/>
        <w:t>（</w:t>
      </w:r>
      <w:r>
        <w:rPr>
          <w:rFonts w:ascii="Times New Roman" w:hAnsi="Times New Roman" w:cs="Times New Roman" w:eastAsia="Times New Roman" w:hint="default"/>
        </w:rPr>
        <w:t>8</w:t>
      </w:r>
      <w:r>
        <w:rPr/>
        <w:t>）与合营企业或联营企业投资相关的或有负债</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4、重要的共同经营" w:id="453"/>
      <w:bookmarkEnd w:id="453"/>
      <w:r>
        <w:rPr>
          <w:b w:val="0"/>
          <w:bCs w:val="0"/>
        </w:rPr>
      </w:r>
      <w:r>
        <w:rPr>
          <w:rFonts w:ascii="Times New Roman" w:hAnsi="Times New Roman" w:cs="Times New Roman" w:eastAsia="Times New Roman" w:hint="default"/>
        </w:rPr>
        <w:t>4</w:t>
      </w:r>
      <w:r>
        <w:rPr/>
        <w:t>、重要的共同经营</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1598"/>
        <w:gridCol w:w="1594"/>
        <w:gridCol w:w="1595"/>
        <w:gridCol w:w="1594"/>
        <w:gridCol w:w="1594"/>
        <w:gridCol w:w="1594"/>
      </w:tblGrid>
      <w:tr>
        <w:trPr>
          <w:trHeight w:val="402" w:hRule="exact"/>
        </w:trPr>
        <w:tc>
          <w:tcPr>
            <w:tcW w:w="15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53" w:right="0"/>
              <w:jc w:val="left"/>
              <w:rPr>
                <w:rFonts w:ascii="宋体" w:hAnsi="宋体" w:cs="宋体" w:eastAsia="宋体" w:hint="default"/>
                <w:sz w:val="18"/>
                <w:szCs w:val="18"/>
              </w:rPr>
            </w:pPr>
            <w:r>
              <w:rPr>
                <w:rFonts w:ascii="宋体" w:hAnsi="宋体" w:cs="宋体" w:eastAsia="宋体" w:hint="default"/>
                <w:sz w:val="18"/>
                <w:szCs w:val="18"/>
              </w:rPr>
              <w:t>共同经营名称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41"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521"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2"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享有的份额</w:t>
            </w:r>
          </w:p>
        </w:tc>
      </w:tr>
      <w:tr>
        <w:trPr>
          <w:trHeight w:val="402" w:hRule="exact"/>
        </w:trPr>
        <w:tc>
          <w:tcPr>
            <w:tcW w:w="1598"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间接</w:t>
            </w:r>
          </w:p>
        </w:tc>
      </w:tr>
    </w:tbl>
    <w:p>
      <w:pPr>
        <w:spacing w:line="357" w:lineRule="auto" w:before="51"/>
        <w:ind w:left="1133" w:right="5533" w:firstLine="0"/>
        <w:jc w:val="left"/>
        <w:rPr>
          <w:rFonts w:ascii="宋体" w:hAnsi="宋体" w:cs="宋体" w:eastAsia="宋体" w:hint="default"/>
          <w:sz w:val="18"/>
          <w:szCs w:val="18"/>
        </w:rPr>
      </w:pPr>
      <w:r>
        <w:rPr>
          <w:rFonts w:ascii="宋体" w:hAnsi="宋体" w:cs="宋体" w:eastAsia="宋体" w:hint="default"/>
          <w:sz w:val="18"/>
          <w:szCs w:val="18"/>
        </w:rPr>
        <w:t>在共同经营中的持股比例或享有的份额不同于表决权比例的说明： 无</w:t>
      </w:r>
    </w:p>
    <w:p>
      <w:pPr>
        <w:spacing w:line="357" w:lineRule="auto" w:before="29"/>
        <w:ind w:left="1134" w:right="6792" w:firstLine="0"/>
        <w:jc w:val="left"/>
        <w:rPr>
          <w:rFonts w:ascii="宋体" w:hAnsi="宋体" w:cs="宋体" w:eastAsia="宋体" w:hint="default"/>
          <w:sz w:val="18"/>
          <w:szCs w:val="18"/>
        </w:rPr>
      </w:pPr>
      <w:r>
        <w:rPr>
          <w:rFonts w:ascii="宋体" w:hAnsi="宋体" w:cs="宋体" w:eastAsia="宋体" w:hint="default"/>
          <w:sz w:val="18"/>
          <w:szCs w:val="18"/>
        </w:rPr>
        <w:t>共同经营为单独主体的，分类为共同经营的依据： 无</w:t>
      </w:r>
    </w:p>
    <w:p>
      <w:pPr>
        <w:spacing w:line="357" w:lineRule="auto" w:before="29"/>
        <w:ind w:left="1133" w:right="10033"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2"/>
        <w:rPr>
          <w:rFonts w:ascii="宋体" w:hAnsi="宋体" w:cs="宋体" w:eastAsia="宋体" w:hint="default"/>
          <w:sz w:val="20"/>
          <w:szCs w:val="20"/>
        </w:rPr>
      </w:pPr>
    </w:p>
    <w:p>
      <w:pPr>
        <w:pStyle w:val="Heading6"/>
        <w:spacing w:line="240" w:lineRule="auto"/>
        <w:ind w:right="998"/>
        <w:jc w:val="left"/>
        <w:rPr>
          <w:b w:val="0"/>
          <w:bCs w:val="0"/>
        </w:rPr>
      </w:pPr>
      <w:bookmarkStart w:name="5、在未纳入合并财务报表范围的结构化主体中的权益" w:id="454"/>
      <w:bookmarkEnd w:id="454"/>
      <w:r>
        <w:rPr>
          <w:b w:val="0"/>
          <w:bCs w:val="0"/>
        </w:rPr>
      </w:r>
      <w:r>
        <w:rPr>
          <w:rFonts w:ascii="Times New Roman" w:hAnsi="Times New Roman" w:cs="Times New Roman" w:eastAsia="Times New Roman" w:hint="default"/>
        </w:rPr>
        <w:t>5</w:t>
      </w:r>
      <w:r>
        <w:rPr/>
        <w:t>、在未纳入合并财务报表范围的结构化主体中的权益</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未纳入合并财务报表范围的结构化主体的相关说明：</w:t>
      </w:r>
    </w:p>
    <w:p>
      <w:pPr>
        <w:spacing w:line="240" w:lineRule="auto" w:before="10"/>
        <w:rPr>
          <w:rFonts w:ascii="宋体" w:hAnsi="宋体" w:cs="宋体" w:eastAsia="宋体" w:hint="default"/>
          <w:sz w:val="26"/>
          <w:szCs w:val="26"/>
        </w:rPr>
      </w:pPr>
    </w:p>
    <w:p>
      <w:pPr>
        <w:pStyle w:val="Heading6"/>
        <w:spacing w:line="240" w:lineRule="auto"/>
        <w:ind w:right="998"/>
        <w:jc w:val="left"/>
        <w:rPr>
          <w:b w:val="0"/>
          <w:bCs w:val="0"/>
        </w:rPr>
      </w:pPr>
      <w:bookmarkStart w:name="6、其他" w:id="455"/>
      <w:bookmarkEnd w:id="455"/>
      <w:r>
        <w:rPr>
          <w:b w:val="0"/>
          <w:bCs w:val="0"/>
        </w:rPr>
      </w:r>
      <w:r>
        <w:rPr>
          <w:rFonts w:ascii="Times New Roman" w:hAnsi="Times New Roman" w:cs="Times New Roman" w:eastAsia="Times New Roman" w:hint="default"/>
        </w:rPr>
        <w:t>6</w:t>
      </w:r>
      <w:r>
        <w:rPr/>
        <w:t>、其他</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9"/>
        <w:rPr>
          <w:rFonts w:ascii="宋体" w:hAnsi="宋体" w:cs="宋体" w:eastAsia="宋体" w:hint="default"/>
          <w:sz w:val="23"/>
          <w:szCs w:val="23"/>
        </w:rPr>
      </w:pPr>
    </w:p>
    <w:p>
      <w:pPr>
        <w:pStyle w:val="Heading4"/>
        <w:spacing w:line="240" w:lineRule="auto" w:before="26"/>
        <w:ind w:right="998"/>
        <w:jc w:val="left"/>
        <w:rPr>
          <w:b w:val="0"/>
          <w:bCs w:val="0"/>
        </w:rPr>
      </w:pPr>
      <w:bookmarkStart w:name="十、与金融工具相关的风险" w:id="456"/>
      <w:bookmarkEnd w:id="456"/>
      <w:r>
        <w:rPr>
          <w:b w:val="0"/>
          <w:bCs w:val="0"/>
        </w:rPr>
      </w:r>
      <w:r>
        <w:rPr/>
        <w:t>十、与金融工具相关的风险</w:t>
      </w:r>
      <w:r>
        <w:rPr>
          <w:b w:val="0"/>
          <w:bCs w:val="0"/>
        </w:rPr>
      </w:r>
    </w:p>
    <w:p>
      <w:pPr>
        <w:spacing w:line="240" w:lineRule="auto" w:before="7"/>
        <w:rPr>
          <w:rFonts w:ascii="宋体" w:hAnsi="宋体" w:cs="宋体" w:eastAsia="宋体" w:hint="default"/>
          <w:b/>
          <w:bCs/>
          <w:sz w:val="24"/>
          <w:szCs w:val="24"/>
        </w:rPr>
      </w:pPr>
    </w:p>
    <w:p>
      <w:pPr>
        <w:pStyle w:val="BodyText"/>
        <w:spacing w:line="273" w:lineRule="auto"/>
        <w:ind w:left="1848" w:right="1218"/>
        <w:jc w:val="left"/>
      </w:pPr>
      <w:r>
        <w:rPr/>
        <w:t>本公司的主要金融工具包括应收账款、预付账款、其他应收款、可供出售金融资产、应付账款、 其他应付款等，各项金融工具的详细情况说明见本附注五相关项目，以及本公司为降低这些风险 所采取的风险管理政策如下所述。本公司管理层对这些风险敞口进行管理和监控以确保将上述风 险控制在限定的范围内。 本公司在经营过程中面临各种金融风险：信用风险、市场风险和流动性风险。公司董事会全面负 责风险管理目标和政策的确定，并对风险管理目标和政策承担最终责任。本公司风险管理的总体 目标是在不过度影响公司竞争力和应变力的情况下，制定尽可能降低风险的风险管理政策。</w:t>
      </w:r>
    </w:p>
    <w:p>
      <w:pPr>
        <w:spacing w:line="240" w:lineRule="auto" w:before="6"/>
        <w:rPr>
          <w:rFonts w:ascii="宋体" w:hAnsi="宋体" w:cs="宋体" w:eastAsia="宋体" w:hint="default"/>
          <w:sz w:val="24"/>
          <w:szCs w:val="24"/>
        </w:rPr>
      </w:pPr>
    </w:p>
    <w:p>
      <w:pPr>
        <w:pStyle w:val="Heading6"/>
        <w:spacing w:line="240" w:lineRule="auto"/>
        <w:ind w:left="1483" w:right="998"/>
        <w:jc w:val="left"/>
        <w:rPr>
          <w:b w:val="0"/>
          <w:bCs w:val="0"/>
        </w:rPr>
      </w:pPr>
      <w:r>
        <w:rPr>
          <w:rFonts w:ascii="宋体" w:hAnsi="宋体" w:cs="宋体" w:eastAsia="宋体" w:hint="default"/>
        </w:rPr>
        <w:t>1.</w:t>
      </w:r>
      <w:r>
        <w:rPr>
          <w:rFonts w:ascii="宋体" w:hAnsi="宋体" w:cs="宋体" w:eastAsia="宋体" w:hint="default"/>
          <w:spacing w:val="42"/>
        </w:rPr>
        <w:t> </w:t>
      </w:r>
      <w:r>
        <w:rPr/>
        <w:t>信用风险</w:t>
      </w:r>
      <w:r>
        <w:rPr>
          <w:b w:val="0"/>
          <w:bCs w:val="0"/>
        </w:rPr>
      </w:r>
    </w:p>
    <w:p>
      <w:pPr>
        <w:pStyle w:val="BodyText"/>
        <w:spacing w:line="273" w:lineRule="auto" w:before="37"/>
        <w:ind w:left="1848" w:right="1235"/>
        <w:jc w:val="both"/>
      </w:pPr>
      <w:r>
        <w:rPr/>
        <w:t>信用风险是指金融工具的一方不履行义务，造成另一方发生财务损失的风险。本公司主要面临可 能的最大信用风险敞口主要来自于合同另一方未能履行义务而导致本公司金融资产产生的损失。 为了降低信用风险，本公司于每个资产负债表日审核每一单位应收款的回收情况，以确保就无法 回收的应收款项计提充分的坏账准备。因此，本公司管理层认为本公司所承担的信用风险已大幅 降低。</w:t>
      </w:r>
    </w:p>
    <w:p>
      <w:pPr>
        <w:spacing w:line="240" w:lineRule="auto" w:before="6"/>
        <w:rPr>
          <w:rFonts w:ascii="宋体" w:hAnsi="宋体" w:cs="宋体" w:eastAsia="宋体" w:hint="default"/>
          <w:sz w:val="24"/>
          <w:szCs w:val="24"/>
        </w:rPr>
      </w:pPr>
    </w:p>
    <w:p>
      <w:pPr>
        <w:pStyle w:val="Heading6"/>
        <w:spacing w:line="240" w:lineRule="auto"/>
        <w:ind w:left="1483" w:right="998"/>
        <w:jc w:val="left"/>
        <w:rPr>
          <w:b w:val="0"/>
          <w:bCs w:val="0"/>
        </w:rPr>
      </w:pPr>
      <w:r>
        <w:rPr>
          <w:rFonts w:ascii="宋体" w:hAnsi="宋体" w:cs="宋体" w:eastAsia="宋体" w:hint="default"/>
        </w:rPr>
        <w:t>1.</w:t>
      </w:r>
      <w:r>
        <w:rPr>
          <w:rFonts w:ascii="宋体" w:hAnsi="宋体" w:cs="宋体" w:eastAsia="宋体" w:hint="default"/>
          <w:spacing w:val="42"/>
        </w:rPr>
        <w:t> </w:t>
      </w:r>
      <w:r>
        <w:rPr/>
        <w:t>市场风险</w:t>
      </w:r>
      <w:r>
        <w:rPr>
          <w:b w:val="0"/>
          <w:bCs w:val="0"/>
        </w:rPr>
      </w:r>
    </w:p>
    <w:p>
      <w:pPr>
        <w:pStyle w:val="BodyText"/>
        <w:spacing w:line="273" w:lineRule="auto" w:before="37"/>
        <w:ind w:left="1848" w:right="1218"/>
        <w:jc w:val="left"/>
      </w:pPr>
      <w:r>
        <w:rPr/>
        <w:t>金融工具的市场风险，是指金融工具的公允价值或未来现金流量因市场价格变动而发生波动的风 险，包括汇率风险、利率风险和其他价格风险。</w:t>
      </w:r>
    </w:p>
    <w:p>
      <w:pPr>
        <w:pStyle w:val="BodyText"/>
        <w:spacing w:line="268" w:lineRule="auto" w:before="7"/>
        <w:ind w:left="1848" w:right="1218"/>
        <w:jc w:val="left"/>
      </w:pPr>
      <w:r>
        <w:rPr/>
        <w:t>（</w:t>
      </w:r>
      <w:r>
        <w:rPr>
          <w:rFonts w:ascii="Times New Roman" w:hAnsi="Times New Roman" w:cs="Times New Roman" w:eastAsia="Times New Roman" w:hint="default"/>
        </w:rPr>
        <w:t>1</w:t>
      </w:r>
      <w:r>
        <w:rPr/>
        <w:t>）利率风险 利率风险，是指金融工具的公允价值或未来现金流量因市场利率变动而发生波动的风险。本公司 面临的利率风险主要来源于银行短期期借款以及应付债券。公司目前的政策是固定利率借款占外 部借款的</w:t>
      </w:r>
      <w:r>
        <w:rPr>
          <w:rFonts w:ascii="Times New Roman" w:hAnsi="Times New Roman" w:cs="Times New Roman" w:eastAsia="Times New Roman" w:hint="default"/>
        </w:rPr>
        <w:t>100%</w:t>
      </w:r>
      <w:r>
        <w:rPr/>
        <w:t>。</w:t>
      </w:r>
    </w:p>
    <w:p>
      <w:pPr>
        <w:spacing w:line="240" w:lineRule="auto" w:before="4"/>
        <w:rPr>
          <w:rFonts w:ascii="宋体" w:hAnsi="宋体" w:cs="宋体" w:eastAsia="宋体" w:hint="default"/>
          <w:sz w:val="23"/>
          <w:szCs w:val="23"/>
        </w:rPr>
      </w:pPr>
    </w:p>
    <w:p>
      <w:pPr>
        <w:pStyle w:val="BodyText"/>
        <w:spacing w:line="266" w:lineRule="auto"/>
        <w:ind w:left="1848" w:right="1218"/>
        <w:jc w:val="left"/>
      </w:pPr>
      <w:r>
        <w:rPr/>
        <w:t>（</w:t>
      </w:r>
      <w:r>
        <w:rPr>
          <w:rFonts w:ascii="Times New Roman" w:hAnsi="Times New Roman" w:cs="Times New Roman" w:eastAsia="Times New Roman" w:hint="default"/>
        </w:rPr>
        <w:t>2</w:t>
      </w:r>
      <w:r>
        <w:rPr/>
        <w:t>）汇率风险 汇率风险，是指金融工具的公允价值或未来现金流量因外汇汇率变动而发生波动的风险。本公司 尽可能将外币收入与外币支出相匹配以降低汇率风险。此外，公司还可能签署远期外汇合约或货 币互换合约以达到规避汇率风险的目的。于</w:t>
      </w:r>
      <w:r>
        <w:rPr>
          <w:rFonts w:ascii="Times New Roman" w:hAnsi="Times New Roman" w:cs="Times New Roman" w:eastAsia="Times New Roman" w:hint="default"/>
        </w:rPr>
        <w:t>2017</w:t>
      </w:r>
      <w:r>
        <w:rPr/>
        <w:t>年度及</w:t>
      </w:r>
      <w:r>
        <w:rPr>
          <w:rFonts w:ascii="Times New Roman" w:hAnsi="Times New Roman" w:cs="Times New Roman" w:eastAsia="Times New Roman" w:hint="default"/>
        </w:rPr>
        <w:t>2016</w:t>
      </w:r>
      <w:r>
        <w:rPr/>
        <w:t>年度，本公司未签署任何远期外汇合 约或货币互换合约。 本公司面临的汇率风险主要来源于以美元、港元、林吉特、韩元和英镑等计价的金融资产和金融 负债，外币金融资产和外币金融负债折算成人民币的金额列示如下：</w:t>
      </w:r>
    </w:p>
    <w:p>
      <w:pPr>
        <w:spacing w:line="240" w:lineRule="auto" w:before="1"/>
        <w:rPr>
          <w:rFonts w:ascii="宋体" w:hAnsi="宋体" w:cs="宋体" w:eastAsia="宋体" w:hint="default"/>
          <w:sz w:val="26"/>
          <w:szCs w:val="26"/>
        </w:rPr>
      </w:pPr>
    </w:p>
    <w:tbl>
      <w:tblPr>
        <w:tblW w:w="0" w:type="auto"/>
        <w:jc w:val="left"/>
        <w:tblInd w:w="1836" w:type="dxa"/>
        <w:tblLayout w:type="fixed"/>
        <w:tblCellMar>
          <w:top w:w="0" w:type="dxa"/>
          <w:left w:w="0" w:type="dxa"/>
          <w:bottom w:w="0" w:type="dxa"/>
          <w:right w:w="0" w:type="dxa"/>
        </w:tblCellMar>
        <w:tblLook w:val="01E0"/>
      </w:tblPr>
      <w:tblGrid>
        <w:gridCol w:w="2410"/>
        <w:gridCol w:w="2552"/>
        <w:gridCol w:w="2694"/>
      </w:tblGrid>
      <w:tr>
        <w:trPr>
          <w:trHeight w:val="355" w:hRule="exact"/>
        </w:trPr>
        <w:tc>
          <w:tcPr>
            <w:tcW w:w="241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55"/>
                <w:sz w:val="18"/>
                <w:szCs w:val="18"/>
              </w:rPr>
              <w:t> </w:t>
            </w:r>
            <w:r>
              <w:rPr>
                <w:rFonts w:ascii="宋体" w:hAnsi="宋体" w:cs="宋体" w:eastAsia="宋体" w:hint="default"/>
                <w:sz w:val="18"/>
                <w:szCs w:val="18"/>
              </w:rPr>
              <w:t>目</w:t>
            </w:r>
          </w:p>
        </w:tc>
        <w:tc>
          <w:tcPr>
            <w:tcW w:w="25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694"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21"/>
              <w:ind w:right="6"/>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b/>
                <w:bCs/>
                <w:sz w:val="18"/>
                <w:szCs w:val="18"/>
              </w:rPr>
              <w:t>现金及现金等价物</w:t>
            </w:r>
            <w:r>
              <w:rPr>
                <w:rFonts w:ascii="宋体" w:hAnsi="宋体" w:cs="宋体" w:eastAsia="宋体" w:hint="default"/>
                <w:sz w:val="18"/>
                <w:szCs w:val="18"/>
              </w:rPr>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2"/>
              <w:jc w:val="right"/>
              <w:rPr>
                <w:rFonts w:ascii="Times New Roman" w:hAnsi="Times New Roman" w:cs="Times New Roman" w:eastAsia="Times New Roman" w:hint="default"/>
                <w:sz w:val="18"/>
                <w:szCs w:val="18"/>
              </w:rPr>
            </w:pPr>
            <w:r>
              <w:rPr>
                <w:rFonts w:ascii="Times New Roman"/>
                <w:spacing w:val="-1"/>
                <w:sz w:val="18"/>
              </w:rPr>
              <w:t>1,311,964,092.02</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350,288,378.83</w:t>
            </w: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2"/>
              <w:jc w:val="right"/>
              <w:rPr>
                <w:rFonts w:ascii="Times New Roman" w:hAnsi="Times New Roman" w:cs="Times New Roman" w:eastAsia="Times New Roman" w:hint="default"/>
                <w:sz w:val="18"/>
                <w:szCs w:val="18"/>
              </w:rPr>
            </w:pPr>
            <w:r>
              <w:rPr>
                <w:rFonts w:ascii="Times New Roman"/>
                <w:spacing w:val="-1"/>
                <w:sz w:val="18"/>
              </w:rPr>
              <w:t>1,197,173,110.87</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304,875,057.44</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461,903.03</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4,433,736.43</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62,084,203.80</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2,959,902.95</w:t>
            </w: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36,402,440.01</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31,846,050.66</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1"/>
              <w:ind w:left="2"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13,734,544.20</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4,299,146.86</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527,440.99</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1,695,550.95</w:t>
            </w: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林吉特</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607,048.63</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7"/>
              <w:jc w:val="right"/>
              <w:rPr>
                <w:rFonts w:ascii="Times New Roman" w:hAnsi="Times New Roman" w:cs="Times New Roman" w:eastAsia="Times New Roman" w:hint="default"/>
                <w:sz w:val="18"/>
                <w:szCs w:val="18"/>
              </w:rPr>
            </w:pPr>
            <w:r>
              <w:rPr>
                <w:rFonts w:ascii="Times New Roman"/>
                <w:sz w:val="18"/>
              </w:rPr>
              <w:t>55.89</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台币</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731,501.25</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29,478.91</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836" w:type="dxa"/>
        <w:tblLayout w:type="fixed"/>
        <w:tblCellMar>
          <w:top w:w="0" w:type="dxa"/>
          <w:left w:w="0" w:type="dxa"/>
          <w:bottom w:w="0" w:type="dxa"/>
          <w:right w:w="0" w:type="dxa"/>
        </w:tblCellMar>
        <w:tblLook w:val="01E0"/>
      </w:tblPr>
      <w:tblGrid>
        <w:gridCol w:w="2410"/>
        <w:gridCol w:w="2552"/>
        <w:gridCol w:w="2694"/>
      </w:tblGrid>
      <w:tr>
        <w:trPr>
          <w:trHeight w:val="355" w:hRule="exact"/>
        </w:trPr>
        <w:tc>
          <w:tcPr>
            <w:tcW w:w="241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越南盾</w:t>
            </w:r>
          </w:p>
        </w:tc>
        <w:tc>
          <w:tcPr>
            <w:tcW w:w="25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213,724.50</w:t>
            </w:r>
          </w:p>
        </w:tc>
        <w:tc>
          <w:tcPr>
            <w:tcW w:w="2694"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61"/>
              <w:ind w:right="8"/>
              <w:jc w:val="right"/>
              <w:rPr>
                <w:rFonts w:ascii="Times New Roman" w:hAnsi="Times New Roman" w:cs="Times New Roman" w:eastAsia="Times New Roman" w:hint="default"/>
                <w:sz w:val="18"/>
                <w:szCs w:val="18"/>
              </w:rPr>
            </w:pPr>
            <w:r>
              <w:rPr>
                <w:rFonts w:ascii="Times New Roman"/>
                <w:sz w:val="18"/>
              </w:rPr>
              <w:t>131,508.14</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泰铢</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28,173.78</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17,890.60</w:t>
            </w: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澳元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0.97</w:t>
            </w:r>
          </w:p>
        </w:tc>
        <w:tc>
          <w:tcPr>
            <w:tcW w:w="2694"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b/>
                <w:bCs/>
                <w:sz w:val="18"/>
                <w:szCs w:val="18"/>
              </w:rPr>
              <w:t>应收账款</w:t>
            </w:r>
            <w:r>
              <w:rPr>
                <w:rFonts w:ascii="宋体" w:hAnsi="宋体" w:cs="宋体" w:eastAsia="宋体" w:hint="default"/>
                <w:sz w:val="18"/>
                <w:szCs w:val="18"/>
              </w:rPr>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493,948,370.16</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489,525,105.37</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147,095,733.08</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5,738,381.83</w:t>
            </w: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755,638.89</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5,679,148.78</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226,877,334.23</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288,335,935.77</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林吉特</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621,091.33</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791,249.20</w:t>
            </w: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台币</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84,849,862.15</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74,687,878.11</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卢布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8,000,528.52</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8,644,105.67</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泰铢</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4,885,900.12</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8,315,762.69</w:t>
            </w: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越南盾</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19,870,484.03</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5,486,857.32</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菲律宾比索</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330,612.16</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912,514.89</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58,399.90</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275,273.53</w:t>
            </w: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552" w:type="dxa"/>
            <w:tcBorders>
              <w:top w:val="single" w:sz="12" w:space="0" w:color="000000"/>
              <w:left w:val="single" w:sz="6" w:space="0" w:color="000000"/>
              <w:bottom w:val="single" w:sz="12" w:space="0" w:color="000000"/>
              <w:right w:val="single" w:sz="6" w:space="0" w:color="000000"/>
            </w:tcBorders>
          </w:tcPr>
          <w:p>
            <w:pP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58,469.14</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印尼卢比</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602,785.75</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90,568,531.33</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552" w:type="dxa"/>
            <w:tcBorders>
              <w:top w:val="single" w:sz="12" w:space="0" w:color="000000"/>
              <w:left w:val="single" w:sz="6" w:space="0" w:color="000000"/>
              <w:bottom w:val="single" w:sz="12" w:space="0" w:color="000000"/>
              <w:right w:val="single" w:sz="6" w:space="0" w:color="000000"/>
            </w:tcBorders>
          </w:tcPr>
          <w:p>
            <w:pP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30,997.11</w:t>
            </w: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b/>
                <w:bCs/>
                <w:sz w:val="18"/>
                <w:szCs w:val="18"/>
              </w:rPr>
              <w:t>其他应收款</w:t>
            </w:r>
            <w:r>
              <w:rPr>
                <w:rFonts w:ascii="宋体" w:hAnsi="宋体" w:cs="宋体" w:eastAsia="宋体" w:hint="default"/>
                <w:sz w:val="18"/>
                <w:szCs w:val="18"/>
              </w:rPr>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2"/>
              <w:jc w:val="right"/>
              <w:rPr>
                <w:rFonts w:ascii="Times New Roman" w:hAnsi="Times New Roman" w:cs="Times New Roman" w:eastAsia="Times New Roman" w:hint="default"/>
                <w:sz w:val="18"/>
                <w:szCs w:val="18"/>
              </w:rPr>
            </w:pPr>
            <w:r>
              <w:rPr>
                <w:rFonts w:ascii="Times New Roman"/>
                <w:spacing w:val="-1"/>
                <w:sz w:val="18"/>
              </w:rPr>
              <w:t>7,039,323,366.01</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234,631,099.23</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2"/>
              <w:jc w:val="right"/>
              <w:rPr>
                <w:rFonts w:ascii="Times New Roman" w:hAnsi="Times New Roman" w:cs="Times New Roman" w:eastAsia="Times New Roman" w:hint="default"/>
                <w:sz w:val="18"/>
                <w:szCs w:val="18"/>
              </w:rPr>
            </w:pPr>
            <w:r>
              <w:rPr>
                <w:rFonts w:ascii="Times New Roman"/>
                <w:spacing w:val="-1"/>
                <w:sz w:val="18"/>
              </w:rPr>
              <w:t>2,482,787,374.56</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46,294,880.30</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2"/>
              <w:jc w:val="right"/>
              <w:rPr>
                <w:rFonts w:ascii="Times New Roman" w:hAnsi="Times New Roman" w:cs="Times New Roman" w:eastAsia="Times New Roman" w:hint="default"/>
                <w:sz w:val="18"/>
                <w:szCs w:val="18"/>
              </w:rPr>
            </w:pPr>
            <w:r>
              <w:rPr>
                <w:rFonts w:ascii="Times New Roman"/>
                <w:spacing w:val="-1"/>
                <w:sz w:val="18"/>
              </w:rPr>
              <w:t>1,203,363,510.28</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90,199.62</w:t>
            </w: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881,002,546.01</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2,244,665.55</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林吉特</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2"/>
              <w:jc w:val="right"/>
              <w:rPr>
                <w:rFonts w:ascii="Times New Roman" w:hAnsi="Times New Roman" w:cs="Times New Roman" w:eastAsia="Times New Roman" w:hint="default"/>
                <w:sz w:val="18"/>
                <w:szCs w:val="18"/>
              </w:rPr>
            </w:pPr>
            <w:r>
              <w:rPr>
                <w:rFonts w:ascii="Times New Roman"/>
                <w:spacing w:val="-1"/>
                <w:sz w:val="18"/>
              </w:rPr>
              <w:t>1,916,397,044.67</w:t>
            </w:r>
          </w:p>
        </w:tc>
        <w:tc>
          <w:tcPr>
            <w:tcW w:w="2694"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81,781,542.69</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135,080.88</w:t>
            </w: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台币</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85,368,196.47</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102,789.14</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泰铢</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1,426,204.61</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1,336,264.96</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382,043,969.34</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184,427,218.78</w:t>
            </w: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5,152,977.38</w:t>
            </w:r>
          </w:p>
        </w:tc>
        <w:tc>
          <w:tcPr>
            <w:tcW w:w="2694"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b/>
                <w:bCs/>
                <w:sz w:val="18"/>
                <w:szCs w:val="18"/>
              </w:rPr>
              <w:t>应付账款</w:t>
            </w:r>
            <w:r>
              <w:rPr>
                <w:rFonts w:ascii="宋体" w:hAnsi="宋体" w:cs="宋体" w:eastAsia="宋体" w:hint="default"/>
                <w:sz w:val="18"/>
                <w:szCs w:val="18"/>
              </w:rPr>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320,899,324.65</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291,566,399.51</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185,708,903.65</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242,420,919.08</w:t>
            </w: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95,065,146.93</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48,748,910.33</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林吉特</w:t>
            </w:r>
          </w:p>
        </w:tc>
        <w:tc>
          <w:tcPr>
            <w:tcW w:w="2552" w:type="dxa"/>
            <w:tcBorders>
              <w:top w:val="single" w:sz="12" w:space="0" w:color="000000"/>
              <w:left w:val="single" w:sz="6" w:space="0" w:color="000000"/>
              <w:bottom w:val="single" w:sz="12" w:space="0" w:color="000000"/>
              <w:right w:val="single" w:sz="6" w:space="0" w:color="000000"/>
            </w:tcBorders>
          </w:tcPr>
          <w:p>
            <w:pPr/>
          </w:p>
        </w:tc>
        <w:tc>
          <w:tcPr>
            <w:tcW w:w="2694"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40,088,889.10</w:t>
            </w:r>
          </w:p>
        </w:tc>
        <w:tc>
          <w:tcPr>
            <w:tcW w:w="2694" w:type="dxa"/>
            <w:tcBorders>
              <w:top w:val="single" w:sz="12" w:space="0" w:color="000000"/>
              <w:left w:val="single" w:sz="6" w:space="0" w:color="000000"/>
              <w:bottom w:val="single" w:sz="12" w:space="0" w:color="000000"/>
              <w:right w:val="nil" w:sz="6" w:space="0" w:color="auto"/>
            </w:tcBorders>
          </w:tcPr>
          <w:p>
            <w:pP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552" w:type="dxa"/>
            <w:tcBorders>
              <w:top w:val="single" w:sz="12" w:space="0" w:color="000000"/>
              <w:left w:val="single" w:sz="6" w:space="0" w:color="000000"/>
              <w:bottom w:val="single" w:sz="12" w:space="0" w:color="000000"/>
              <w:right w:val="single" w:sz="6" w:space="0" w:color="000000"/>
            </w:tcBorders>
          </w:tcPr>
          <w:p>
            <w:pP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18,285.98</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泰铢</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36,384.97</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148,180.67</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552" w:type="dxa"/>
            <w:tcBorders>
              <w:top w:val="single" w:sz="12" w:space="0" w:color="000000"/>
              <w:left w:val="single" w:sz="6" w:space="0" w:color="000000"/>
              <w:bottom w:val="single" w:sz="12" w:space="0" w:color="000000"/>
              <w:right w:val="single" w:sz="6" w:space="0" w:color="000000"/>
            </w:tcBorders>
          </w:tcPr>
          <w:p>
            <w:pP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230,103.45</w:t>
            </w: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b/>
                <w:bCs/>
                <w:sz w:val="18"/>
                <w:szCs w:val="18"/>
              </w:rPr>
              <w:t>其他应付款</w:t>
            </w:r>
            <w:r>
              <w:rPr>
                <w:rFonts w:ascii="宋体" w:hAnsi="宋体" w:cs="宋体" w:eastAsia="宋体" w:hint="default"/>
                <w:sz w:val="18"/>
                <w:szCs w:val="18"/>
              </w:rPr>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2"/>
              <w:jc w:val="right"/>
              <w:rPr>
                <w:rFonts w:ascii="Times New Roman" w:hAnsi="Times New Roman" w:cs="Times New Roman" w:eastAsia="Times New Roman" w:hint="default"/>
                <w:sz w:val="18"/>
                <w:szCs w:val="18"/>
              </w:rPr>
            </w:pPr>
            <w:r>
              <w:rPr>
                <w:rFonts w:ascii="Times New Roman"/>
                <w:spacing w:val="-1"/>
                <w:sz w:val="18"/>
              </w:rPr>
              <w:t>1,169,391,836.34</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27,670,098.58</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2"/>
              <w:jc w:val="right"/>
              <w:rPr>
                <w:rFonts w:ascii="Times New Roman" w:hAnsi="Times New Roman" w:cs="Times New Roman" w:eastAsia="Times New Roman" w:hint="default"/>
                <w:sz w:val="18"/>
                <w:szCs w:val="18"/>
              </w:rPr>
            </w:pPr>
            <w:r>
              <w:rPr>
                <w:rFonts w:ascii="Times New Roman"/>
                <w:spacing w:val="-1"/>
                <w:sz w:val="18"/>
              </w:rPr>
              <w:t>1,160,401,447.95</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22,934,732.71</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港元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4,362,691.44</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386,350.76</w:t>
            </w: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195,141.11</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399,290.11</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836" w:type="dxa"/>
        <w:tblLayout w:type="fixed"/>
        <w:tblCellMar>
          <w:top w:w="0" w:type="dxa"/>
          <w:left w:w="0" w:type="dxa"/>
          <w:bottom w:w="0" w:type="dxa"/>
          <w:right w:w="0" w:type="dxa"/>
        </w:tblCellMar>
        <w:tblLook w:val="01E0"/>
      </w:tblPr>
      <w:tblGrid>
        <w:gridCol w:w="2410"/>
        <w:gridCol w:w="2552"/>
        <w:gridCol w:w="2694"/>
      </w:tblGrid>
      <w:tr>
        <w:trPr>
          <w:trHeight w:val="355" w:hRule="exact"/>
        </w:trPr>
        <w:tc>
          <w:tcPr>
            <w:tcW w:w="241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5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4,432,555.84</w:t>
            </w:r>
          </w:p>
        </w:tc>
        <w:tc>
          <w:tcPr>
            <w:tcW w:w="2694"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61"/>
              <w:ind w:right="8"/>
              <w:jc w:val="right"/>
              <w:rPr>
                <w:rFonts w:ascii="Times New Roman" w:hAnsi="Times New Roman" w:cs="Times New Roman" w:eastAsia="Times New Roman" w:hint="default"/>
                <w:sz w:val="18"/>
                <w:szCs w:val="18"/>
              </w:rPr>
            </w:pPr>
            <w:r>
              <w:rPr>
                <w:rFonts w:ascii="Times New Roman"/>
                <w:spacing w:val="-1"/>
                <w:sz w:val="18"/>
              </w:rPr>
              <w:t>3,826,377.15</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台币</w:t>
            </w:r>
          </w:p>
        </w:tc>
        <w:tc>
          <w:tcPr>
            <w:tcW w:w="2552" w:type="dxa"/>
            <w:tcBorders>
              <w:top w:val="single" w:sz="12" w:space="0" w:color="000000"/>
              <w:left w:val="single" w:sz="6" w:space="0" w:color="000000"/>
              <w:bottom w:val="single" w:sz="12" w:space="0" w:color="000000"/>
              <w:right w:val="single" w:sz="6" w:space="0" w:color="000000"/>
            </w:tcBorders>
          </w:tcPr>
          <w:p>
            <w:pP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46,737.72</w:t>
            </w:r>
          </w:p>
        </w:tc>
      </w:tr>
      <w:tr>
        <w:trPr>
          <w:trHeight w:val="353"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2552" w:type="dxa"/>
            <w:tcBorders>
              <w:top w:val="single" w:sz="12" w:space="0" w:color="000000"/>
              <w:left w:val="single" w:sz="6" w:space="0" w:color="000000"/>
              <w:bottom w:val="single" w:sz="12" w:space="0" w:color="000000"/>
              <w:right w:val="single" w:sz="6" w:space="0" w:color="000000"/>
            </w:tcBorders>
          </w:tcPr>
          <w:p>
            <w:pP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z w:val="18"/>
              </w:rPr>
              <w:t>76,610.13</w:t>
            </w: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b/>
                <w:bCs/>
                <w:sz w:val="18"/>
                <w:szCs w:val="18"/>
              </w:rPr>
              <w:t>短期借款</w:t>
            </w:r>
            <w:r>
              <w:rPr>
                <w:rFonts w:ascii="宋体" w:hAnsi="宋体" w:cs="宋体" w:eastAsia="宋体" w:hint="default"/>
                <w:sz w:val="18"/>
                <w:szCs w:val="18"/>
              </w:rPr>
            </w:r>
          </w:p>
        </w:tc>
        <w:tc>
          <w:tcPr>
            <w:tcW w:w="2552" w:type="dxa"/>
            <w:tcBorders>
              <w:top w:val="single" w:sz="12" w:space="0" w:color="000000"/>
              <w:left w:val="single" w:sz="6" w:space="0" w:color="000000"/>
              <w:bottom w:val="single" w:sz="12" w:space="0" w:color="000000"/>
              <w:right w:val="single" w:sz="6" w:space="0" w:color="000000"/>
            </w:tcBorders>
          </w:tcPr>
          <w:p>
            <w:pPr/>
          </w:p>
        </w:tc>
        <w:tc>
          <w:tcPr>
            <w:tcW w:w="2694"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241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255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50"/>
              <w:ind w:right="1"/>
              <w:jc w:val="right"/>
              <w:rPr>
                <w:rFonts w:ascii="Times New Roman" w:hAnsi="Times New Roman" w:cs="Times New Roman" w:eastAsia="Times New Roman" w:hint="default"/>
                <w:sz w:val="18"/>
                <w:szCs w:val="18"/>
              </w:rPr>
            </w:pPr>
            <w:r>
              <w:rPr>
                <w:rFonts w:ascii="Times New Roman"/>
                <w:spacing w:val="-1"/>
                <w:sz w:val="18"/>
              </w:rPr>
              <w:t>274,436,400.00</w:t>
            </w:r>
          </w:p>
        </w:tc>
        <w:tc>
          <w:tcPr>
            <w:tcW w:w="269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50"/>
              <w:ind w:right="8"/>
              <w:jc w:val="right"/>
              <w:rPr>
                <w:rFonts w:ascii="Times New Roman" w:hAnsi="Times New Roman" w:cs="Times New Roman" w:eastAsia="Times New Roman" w:hint="default"/>
                <w:sz w:val="18"/>
                <w:szCs w:val="18"/>
              </w:rPr>
            </w:pPr>
            <w:r>
              <w:rPr>
                <w:rFonts w:ascii="Times New Roman"/>
                <w:spacing w:val="-1"/>
                <w:sz w:val="18"/>
              </w:rPr>
              <w:t>312,902,879.96</w:t>
            </w:r>
          </w:p>
        </w:tc>
      </w:tr>
    </w:tbl>
    <w:p>
      <w:pPr>
        <w:spacing w:line="240" w:lineRule="auto" w:before="9"/>
        <w:rPr>
          <w:rFonts w:ascii="Times New Roman" w:hAnsi="Times New Roman" w:cs="Times New Roman" w:eastAsia="Times New Roman" w:hint="default"/>
          <w:sz w:val="22"/>
          <w:szCs w:val="22"/>
        </w:rPr>
      </w:pPr>
    </w:p>
    <w:p>
      <w:pPr>
        <w:pStyle w:val="BodyText"/>
        <w:spacing w:line="264" w:lineRule="auto" w:before="35"/>
        <w:ind w:left="1848" w:right="1218"/>
        <w:jc w:val="left"/>
      </w:pPr>
      <w:r>
        <w:rPr/>
        <w:t>（</w:t>
      </w:r>
      <w:r>
        <w:rPr>
          <w:rFonts w:ascii="Times New Roman" w:hAnsi="Times New Roman" w:cs="Times New Roman" w:eastAsia="Times New Roman" w:hint="default"/>
        </w:rPr>
        <w:t>3</w:t>
      </w:r>
      <w:r>
        <w:rPr/>
        <w:t>）其他价格风险 本公司持有其他上市公司的权益投资，管理层认为这些投资活动面临的市场价格风险是可以接受 的。</w:t>
      </w:r>
    </w:p>
    <w:p>
      <w:pPr>
        <w:pStyle w:val="BodyText"/>
        <w:spacing w:line="240" w:lineRule="auto" w:before="16"/>
        <w:ind w:left="1848" w:right="998"/>
        <w:jc w:val="left"/>
      </w:pPr>
      <w:r>
        <w:rPr/>
        <w:t>本公司持有的上市公司权益投资列示如下：</w:t>
      </w:r>
    </w:p>
    <w:p>
      <w:pPr>
        <w:spacing w:line="240" w:lineRule="auto" w:before="11"/>
        <w:rPr>
          <w:rFonts w:ascii="宋体" w:hAnsi="宋体" w:cs="宋体" w:eastAsia="宋体" w:hint="default"/>
          <w:sz w:val="27"/>
          <w:szCs w:val="27"/>
        </w:rPr>
      </w:pPr>
    </w:p>
    <w:tbl>
      <w:tblPr>
        <w:tblW w:w="0" w:type="auto"/>
        <w:jc w:val="left"/>
        <w:tblInd w:w="1733" w:type="dxa"/>
        <w:tblLayout w:type="fixed"/>
        <w:tblCellMar>
          <w:top w:w="0" w:type="dxa"/>
          <w:left w:w="0" w:type="dxa"/>
          <w:bottom w:w="0" w:type="dxa"/>
          <w:right w:w="0" w:type="dxa"/>
        </w:tblCellMar>
        <w:tblLook w:val="01E0"/>
      </w:tblPr>
      <w:tblGrid>
        <w:gridCol w:w="4324"/>
        <w:gridCol w:w="1658"/>
        <w:gridCol w:w="1832"/>
      </w:tblGrid>
      <w:tr>
        <w:trPr>
          <w:trHeight w:val="356" w:hRule="exact"/>
        </w:trPr>
        <w:tc>
          <w:tcPr>
            <w:tcW w:w="4324"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right="1943"/>
              <w:jc w:val="right"/>
              <w:rPr>
                <w:rFonts w:ascii="宋体" w:hAnsi="宋体" w:cs="宋体" w:eastAsia="宋体" w:hint="default"/>
                <w:sz w:val="21"/>
                <w:szCs w:val="21"/>
              </w:rPr>
            </w:pPr>
            <w:r>
              <w:rPr>
                <w:rFonts w:ascii="宋体" w:hAnsi="宋体" w:cs="宋体" w:eastAsia="宋体" w:hint="default"/>
                <w:sz w:val="21"/>
                <w:szCs w:val="21"/>
              </w:rPr>
              <w:t>项目</w:t>
            </w:r>
          </w:p>
        </w:tc>
        <w:tc>
          <w:tcPr>
            <w:tcW w:w="1658"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left="401"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832" w:type="dxa"/>
            <w:tcBorders>
              <w:top w:val="single" w:sz="6" w:space="0" w:color="000000"/>
              <w:left w:val="single" w:sz="6" w:space="0" w:color="000000"/>
              <w:bottom w:val="single" w:sz="12" w:space="0" w:color="000000"/>
              <w:right w:val="nil" w:sz="6" w:space="0" w:color="auto"/>
            </w:tcBorders>
          </w:tcPr>
          <w:p>
            <w:pPr>
              <w:pStyle w:val="TableParagraph"/>
              <w:spacing w:line="271" w:lineRule="exact"/>
              <w:ind w:left="487"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664" w:hRule="exact"/>
        </w:trPr>
        <w:tc>
          <w:tcPr>
            <w:tcW w:w="432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以公允价值计量且其变动计入当期损益的金融</w:t>
            </w:r>
          </w:p>
          <w:p>
            <w:pPr>
              <w:pStyle w:val="TableParagraph"/>
              <w:spacing w:line="240" w:lineRule="auto" w:before="37"/>
              <w:ind w:left="2"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1658" w:type="dxa"/>
            <w:tcBorders>
              <w:top w:val="single" w:sz="12" w:space="0" w:color="000000"/>
              <w:left w:val="single" w:sz="6" w:space="0" w:color="000000"/>
              <w:bottom w:val="single" w:sz="12" w:space="0" w:color="000000"/>
              <w:right w:val="single" w:sz="6" w:space="0" w:color="000000"/>
            </w:tcBorders>
          </w:tcPr>
          <w:p>
            <w:pPr/>
          </w:p>
        </w:tc>
        <w:tc>
          <w:tcPr>
            <w:tcW w:w="1832"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432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65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0"/>
              <w:jc w:val="right"/>
              <w:rPr>
                <w:rFonts w:ascii="Times New Roman" w:hAnsi="Times New Roman" w:cs="Times New Roman" w:eastAsia="Times New Roman" w:hint="default"/>
                <w:sz w:val="21"/>
                <w:szCs w:val="21"/>
              </w:rPr>
            </w:pPr>
            <w:r>
              <w:rPr>
                <w:rFonts w:ascii="Times New Roman"/>
                <w:spacing w:val="-1"/>
                <w:sz w:val="21"/>
              </w:rPr>
              <w:t>4,556,104,587.97</w:t>
            </w:r>
          </w:p>
        </w:tc>
        <w:tc>
          <w:tcPr>
            <w:tcW w:w="1832"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8"/>
              <w:jc w:val="right"/>
              <w:rPr>
                <w:rFonts w:ascii="Times New Roman" w:hAnsi="Times New Roman" w:cs="Times New Roman" w:eastAsia="Times New Roman" w:hint="default"/>
                <w:sz w:val="21"/>
                <w:szCs w:val="21"/>
              </w:rPr>
            </w:pPr>
            <w:r>
              <w:rPr>
                <w:rFonts w:ascii="Times New Roman"/>
                <w:sz w:val="21"/>
              </w:rPr>
              <w:t>36,227,655.00</w:t>
            </w:r>
          </w:p>
        </w:tc>
      </w:tr>
      <w:tr>
        <w:trPr>
          <w:trHeight w:val="353" w:hRule="exact"/>
        </w:trPr>
        <w:tc>
          <w:tcPr>
            <w:tcW w:w="432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943"/>
              <w:jc w:val="right"/>
              <w:rPr>
                <w:rFonts w:ascii="宋体" w:hAnsi="宋体" w:cs="宋体" w:eastAsia="宋体" w:hint="default"/>
                <w:sz w:val="21"/>
                <w:szCs w:val="21"/>
              </w:rPr>
            </w:pPr>
            <w:r>
              <w:rPr>
                <w:rFonts w:ascii="宋体" w:hAnsi="宋体" w:cs="宋体" w:eastAsia="宋体" w:hint="default"/>
                <w:sz w:val="21"/>
                <w:szCs w:val="21"/>
              </w:rPr>
              <w:t>合计</w:t>
            </w:r>
          </w:p>
        </w:tc>
        <w:tc>
          <w:tcPr>
            <w:tcW w:w="165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0"/>
              <w:jc w:val="right"/>
              <w:rPr>
                <w:rFonts w:ascii="Times New Roman" w:hAnsi="Times New Roman" w:cs="Times New Roman" w:eastAsia="Times New Roman" w:hint="default"/>
                <w:sz w:val="21"/>
                <w:szCs w:val="21"/>
              </w:rPr>
            </w:pPr>
            <w:r>
              <w:rPr>
                <w:rFonts w:ascii="Times New Roman"/>
                <w:spacing w:val="-1"/>
                <w:sz w:val="21"/>
              </w:rPr>
              <w:t>4,556,104,587.97</w:t>
            </w:r>
          </w:p>
        </w:tc>
        <w:tc>
          <w:tcPr>
            <w:tcW w:w="1832"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8"/>
              <w:jc w:val="right"/>
              <w:rPr>
                <w:rFonts w:ascii="Times New Roman" w:hAnsi="Times New Roman" w:cs="Times New Roman" w:eastAsia="Times New Roman" w:hint="default"/>
                <w:sz w:val="21"/>
                <w:szCs w:val="21"/>
              </w:rPr>
            </w:pPr>
            <w:r>
              <w:rPr>
                <w:rFonts w:ascii="Times New Roman"/>
                <w:sz w:val="21"/>
              </w:rPr>
              <w:t>36,227,655.00</w:t>
            </w:r>
          </w:p>
        </w:tc>
      </w:tr>
    </w:tbl>
    <w:p>
      <w:pPr>
        <w:pStyle w:val="BodyText"/>
        <w:spacing w:line="276" w:lineRule="exact"/>
        <w:ind w:left="1848" w:right="998"/>
        <w:jc w:val="left"/>
      </w:pPr>
      <w:r>
        <w:rPr>
          <w:spacing w:val="-3"/>
        </w:rPr>
        <w:t>于</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日，在所有其他变量保持不变的情况下，如果权益工具的价值上涨或下跌</w:t>
      </w:r>
      <w:r>
        <w:rPr>
          <w:rFonts w:ascii="Times New Roman" w:hAnsi="Times New Roman" w:cs="Times New Roman" w:eastAsia="Times New Roman" w:hint="default"/>
          <w:spacing w:val="-3"/>
        </w:rPr>
        <w:t>10%</w:t>
      </w:r>
      <w:r>
        <w:rPr>
          <w:spacing w:val="-3"/>
        </w:rPr>
        <w:t>，则</w:t>
      </w:r>
      <w:r>
        <w:rPr/>
      </w:r>
    </w:p>
    <w:p>
      <w:pPr>
        <w:pStyle w:val="BodyText"/>
        <w:spacing w:line="256" w:lineRule="auto" w:before="21"/>
        <w:ind w:left="1848" w:right="1200"/>
        <w:jc w:val="left"/>
      </w:pPr>
      <w:r>
        <w:rPr/>
        <w:t>本公司将增加或减少其他综合收益</w:t>
      </w:r>
      <w:r>
        <w:rPr>
          <w:rFonts w:ascii="Times New Roman" w:hAnsi="Times New Roman" w:cs="Times New Roman" w:eastAsia="Times New Roman" w:hint="default"/>
        </w:rPr>
        <w:t>455,610,458.80</w:t>
      </w:r>
      <w:r>
        <w:rPr/>
        <w:t>元。管理层认为</w:t>
      </w:r>
      <w:r>
        <w:rPr>
          <w:rFonts w:ascii="Times New Roman" w:hAnsi="Times New Roman" w:cs="Times New Roman" w:eastAsia="Times New Roman" w:hint="default"/>
        </w:rPr>
        <w:t>10%</w:t>
      </w:r>
      <w:r>
        <w:rPr/>
        <w:t>合理反映了下一年度权益工 具价值可能发生变动的合理范围。</w:t>
      </w:r>
    </w:p>
    <w:p>
      <w:pPr>
        <w:spacing w:line="240" w:lineRule="auto" w:before="7"/>
        <w:rPr>
          <w:rFonts w:ascii="宋体" w:hAnsi="宋体" w:cs="宋体" w:eastAsia="宋体" w:hint="default"/>
          <w:sz w:val="25"/>
          <w:szCs w:val="25"/>
        </w:rPr>
      </w:pPr>
    </w:p>
    <w:p>
      <w:pPr>
        <w:pStyle w:val="BodyText"/>
        <w:spacing w:line="268" w:lineRule="auto"/>
        <w:ind w:left="1848" w:right="1218" w:hanging="366"/>
        <w:jc w:val="left"/>
      </w:pPr>
      <w:r>
        <w:rPr>
          <w:rFonts w:ascii="宋体" w:hAnsi="宋体" w:cs="宋体" w:eastAsia="宋体" w:hint="default"/>
          <w:b/>
          <w:bCs/>
        </w:rPr>
        <w:t>1.</w:t>
      </w:r>
      <w:r>
        <w:rPr>
          <w:rFonts w:ascii="宋体" w:hAnsi="宋体" w:cs="宋体" w:eastAsia="宋体" w:hint="default"/>
          <w:b/>
          <w:bCs/>
          <w:spacing w:val="42"/>
        </w:rPr>
        <w:t> </w:t>
      </w:r>
      <w:r>
        <w:rPr>
          <w:rFonts w:ascii="宋体" w:hAnsi="宋体" w:cs="宋体" w:eastAsia="宋体" w:hint="default"/>
          <w:b/>
          <w:bCs/>
        </w:rPr>
        <w:t>流动性风险</w:t>
      </w:r>
      <w:r>
        <w:rPr>
          <w:rFonts w:ascii="宋体" w:hAnsi="宋体" w:cs="宋体" w:eastAsia="宋体" w:hint="default"/>
          <w:b/>
          <w:bCs/>
          <w:w w:val="99"/>
        </w:rPr>
        <w:t> </w:t>
      </w:r>
      <w:r>
        <w:rPr/>
        <w:t>流动性风险，是指企业在履行以交付现金或其他金融资产的方式结算的义务时发生资金短缺的风 险。本公司的政策是确保拥有充足的现金以偿还到期债务。流动性风险由本公司的财务部门集中 控制。财务部门通过监控现金余额、可随时变现的有价证券以及对未来</w:t>
      </w:r>
      <w:r>
        <w:rPr>
          <w:rFonts w:ascii="Times New Roman" w:hAnsi="Times New Roman" w:cs="Times New Roman" w:eastAsia="Times New Roman" w:hint="default"/>
        </w:rPr>
        <w:t>12</w:t>
      </w:r>
      <w:r>
        <w:rPr/>
        <w:t>个月现金流量的滚动预 测，确保公司在所有合理预测的情况下拥有充足的资金偿还债务。 本公司各项金融负债以未折现的合同现金流量按到期日列示如下：</w:t>
      </w:r>
    </w:p>
    <w:p>
      <w:pPr>
        <w:spacing w:line="240" w:lineRule="auto" w:before="12"/>
        <w:rPr>
          <w:rFonts w:ascii="宋体" w:hAnsi="宋体" w:cs="宋体" w:eastAsia="宋体" w:hint="default"/>
          <w:sz w:val="25"/>
          <w:szCs w:val="25"/>
        </w:rPr>
      </w:pPr>
    </w:p>
    <w:tbl>
      <w:tblPr>
        <w:tblW w:w="0" w:type="auto"/>
        <w:jc w:val="left"/>
        <w:tblInd w:w="1733" w:type="dxa"/>
        <w:tblLayout w:type="fixed"/>
        <w:tblCellMar>
          <w:top w:w="0" w:type="dxa"/>
          <w:left w:w="0" w:type="dxa"/>
          <w:bottom w:w="0" w:type="dxa"/>
          <w:right w:w="0" w:type="dxa"/>
        </w:tblCellMar>
        <w:tblLook w:val="01E0"/>
      </w:tblPr>
      <w:tblGrid>
        <w:gridCol w:w="1378"/>
        <w:gridCol w:w="1670"/>
        <w:gridCol w:w="1600"/>
        <w:gridCol w:w="1601"/>
        <w:gridCol w:w="1565"/>
      </w:tblGrid>
      <w:tr>
        <w:trPr>
          <w:trHeight w:val="355" w:hRule="exact"/>
        </w:trPr>
        <w:tc>
          <w:tcPr>
            <w:tcW w:w="1378" w:type="dxa"/>
            <w:vMerge w:val="restart"/>
            <w:tcBorders>
              <w:top w:val="single" w:sz="6" w:space="0" w:color="000000"/>
              <w:left w:val="single" w:sz="6" w:space="0" w:color="000000"/>
              <w:right w:val="single" w:sz="6"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6436" w:type="dxa"/>
            <w:gridSpan w:val="4"/>
            <w:tcBorders>
              <w:top w:val="single" w:sz="6" w:space="0" w:color="000000"/>
              <w:left w:val="single" w:sz="6" w:space="0" w:color="000000"/>
              <w:bottom w:val="single" w:sz="12" w:space="0" w:color="000000"/>
              <w:right w:val="nil" w:sz="6" w:space="0" w:color="auto"/>
            </w:tcBorders>
          </w:tcPr>
          <w:p>
            <w:pPr>
              <w:pStyle w:val="TableParagraph"/>
              <w:spacing w:line="270" w:lineRule="exact"/>
              <w:ind w:right="6"/>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352" w:hRule="exact"/>
        </w:trPr>
        <w:tc>
          <w:tcPr>
            <w:tcW w:w="1378" w:type="dxa"/>
            <w:vMerge/>
            <w:tcBorders>
              <w:left w:val="single" w:sz="6" w:space="0" w:color="000000"/>
              <w:bottom w:val="single" w:sz="12" w:space="0" w:color="000000"/>
              <w:right w:val="single" w:sz="6" w:space="0" w:color="000000"/>
            </w:tcBorders>
          </w:tcPr>
          <w:p>
            <w:pPr/>
          </w:p>
        </w:tc>
        <w:tc>
          <w:tcPr>
            <w:tcW w:w="1670" w:type="dxa"/>
            <w:tcBorders>
              <w:top w:val="single" w:sz="12" w:space="0" w:color="000000"/>
              <w:left w:val="single" w:sz="6" w:space="0" w:color="000000"/>
              <w:bottom w:val="single" w:sz="12" w:space="0" w:color="000000"/>
              <w:right w:val="single" w:sz="6" w:space="0" w:color="000000"/>
            </w:tcBorders>
          </w:tcPr>
          <w:p>
            <w:pPr>
              <w:pStyle w:val="TableParagraph"/>
              <w:spacing w:line="276" w:lineRule="exact"/>
              <w:ind w:left="46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年以内</w:t>
            </w:r>
          </w:p>
        </w:tc>
        <w:tc>
          <w:tcPr>
            <w:tcW w:w="1600" w:type="dxa"/>
            <w:tcBorders>
              <w:top w:val="single" w:sz="12" w:space="0" w:color="000000"/>
              <w:left w:val="single" w:sz="6" w:space="0" w:color="000000"/>
              <w:bottom w:val="single" w:sz="12" w:space="0" w:color="000000"/>
              <w:right w:val="single" w:sz="6" w:space="0" w:color="000000"/>
            </w:tcBorders>
          </w:tcPr>
          <w:p>
            <w:pPr>
              <w:pStyle w:val="TableParagraph"/>
              <w:spacing w:line="276"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1-5</w:t>
            </w:r>
            <w:r>
              <w:rPr>
                <w:rFonts w:ascii="宋体" w:hAnsi="宋体" w:cs="宋体" w:eastAsia="宋体" w:hint="default"/>
                <w:sz w:val="21"/>
                <w:szCs w:val="21"/>
              </w:rPr>
              <w:t>年</w:t>
            </w:r>
          </w:p>
        </w:tc>
        <w:tc>
          <w:tcPr>
            <w:tcW w:w="1601" w:type="dxa"/>
            <w:tcBorders>
              <w:top w:val="single" w:sz="12" w:space="0" w:color="000000"/>
              <w:left w:val="single" w:sz="6" w:space="0" w:color="000000"/>
              <w:bottom w:val="single" w:sz="12" w:space="0" w:color="000000"/>
              <w:right w:val="single" w:sz="6" w:space="0" w:color="000000"/>
            </w:tcBorders>
          </w:tcPr>
          <w:p>
            <w:pPr>
              <w:pStyle w:val="TableParagraph"/>
              <w:spacing w:line="276" w:lineRule="exact"/>
              <w:ind w:left="42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年以上</w:t>
            </w:r>
          </w:p>
        </w:tc>
        <w:tc>
          <w:tcPr>
            <w:tcW w:w="1565"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4"/>
              <w:jc w:val="center"/>
              <w:rPr>
                <w:rFonts w:ascii="宋体" w:hAnsi="宋体" w:cs="宋体" w:eastAsia="宋体" w:hint="default"/>
                <w:sz w:val="21"/>
                <w:szCs w:val="21"/>
              </w:rPr>
            </w:pPr>
            <w:r>
              <w:rPr>
                <w:rFonts w:ascii="宋体" w:hAnsi="宋体" w:cs="宋体" w:eastAsia="宋体" w:hint="default"/>
                <w:sz w:val="21"/>
                <w:szCs w:val="21"/>
              </w:rPr>
              <w:t>合计</w:t>
            </w:r>
          </w:p>
        </w:tc>
      </w:tr>
      <w:tr>
        <w:trPr>
          <w:trHeight w:val="352" w:hRule="exact"/>
        </w:trPr>
        <w:tc>
          <w:tcPr>
            <w:tcW w:w="137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67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0"/>
              <w:jc w:val="right"/>
              <w:rPr>
                <w:rFonts w:ascii="Times New Roman" w:hAnsi="Times New Roman" w:cs="Times New Roman" w:eastAsia="Times New Roman" w:hint="default"/>
                <w:sz w:val="21"/>
                <w:szCs w:val="21"/>
              </w:rPr>
            </w:pPr>
            <w:r>
              <w:rPr>
                <w:rFonts w:ascii="Times New Roman"/>
                <w:spacing w:val="-1"/>
                <w:sz w:val="21"/>
              </w:rPr>
              <w:t>1,144,367,076.67</w:t>
            </w:r>
          </w:p>
        </w:tc>
        <w:tc>
          <w:tcPr>
            <w:tcW w:w="1600" w:type="dxa"/>
            <w:tcBorders>
              <w:top w:val="single" w:sz="12" w:space="0" w:color="000000"/>
              <w:left w:val="single" w:sz="6" w:space="0" w:color="000000"/>
              <w:bottom w:val="single" w:sz="12" w:space="0" w:color="000000"/>
              <w:right w:val="single" w:sz="6" w:space="0" w:color="000000"/>
            </w:tcBorders>
          </w:tcPr>
          <w:p>
            <w:pPr/>
          </w:p>
        </w:tc>
        <w:tc>
          <w:tcPr>
            <w:tcW w:w="1601" w:type="dxa"/>
            <w:tcBorders>
              <w:top w:val="single" w:sz="12" w:space="0" w:color="000000"/>
              <w:left w:val="single" w:sz="6" w:space="0" w:color="000000"/>
              <w:bottom w:val="single" w:sz="12" w:space="0" w:color="000000"/>
              <w:right w:val="single" w:sz="6" w:space="0" w:color="000000"/>
            </w:tcBorders>
          </w:tcPr>
          <w:p>
            <w:pPr/>
          </w:p>
        </w:tc>
        <w:tc>
          <w:tcPr>
            <w:tcW w:w="1565"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9"/>
              <w:jc w:val="right"/>
              <w:rPr>
                <w:rFonts w:ascii="Times New Roman" w:hAnsi="Times New Roman" w:cs="Times New Roman" w:eastAsia="Times New Roman" w:hint="default"/>
                <w:sz w:val="21"/>
                <w:szCs w:val="21"/>
              </w:rPr>
            </w:pPr>
            <w:r>
              <w:rPr>
                <w:rFonts w:ascii="Times New Roman"/>
                <w:spacing w:val="-1"/>
                <w:sz w:val="21"/>
              </w:rPr>
              <w:t>1,144,367,076.67</w:t>
            </w:r>
          </w:p>
        </w:tc>
      </w:tr>
      <w:tr>
        <w:trPr>
          <w:trHeight w:val="353" w:hRule="exact"/>
        </w:trPr>
        <w:tc>
          <w:tcPr>
            <w:tcW w:w="137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67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242,184,967.74</w:t>
            </w:r>
          </w:p>
        </w:tc>
        <w:tc>
          <w:tcPr>
            <w:tcW w:w="1600" w:type="dxa"/>
            <w:tcBorders>
              <w:top w:val="single" w:sz="12" w:space="0" w:color="000000"/>
              <w:left w:val="single" w:sz="6" w:space="0" w:color="000000"/>
              <w:bottom w:val="single" w:sz="12" w:space="0" w:color="000000"/>
              <w:right w:val="single" w:sz="6" w:space="0" w:color="000000"/>
            </w:tcBorders>
          </w:tcPr>
          <w:p>
            <w:pPr/>
          </w:p>
        </w:tc>
        <w:tc>
          <w:tcPr>
            <w:tcW w:w="1601" w:type="dxa"/>
            <w:tcBorders>
              <w:top w:val="single" w:sz="12" w:space="0" w:color="000000"/>
              <w:left w:val="single" w:sz="6" w:space="0" w:color="000000"/>
              <w:bottom w:val="single" w:sz="12" w:space="0" w:color="000000"/>
              <w:right w:val="single" w:sz="6" w:space="0" w:color="000000"/>
            </w:tcBorders>
          </w:tcPr>
          <w:p>
            <w:pPr/>
          </w:p>
        </w:tc>
        <w:tc>
          <w:tcPr>
            <w:tcW w:w="1565"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6"/>
              <w:jc w:val="right"/>
              <w:rPr>
                <w:rFonts w:ascii="Times New Roman" w:hAnsi="Times New Roman" w:cs="Times New Roman" w:eastAsia="Times New Roman" w:hint="default"/>
                <w:sz w:val="21"/>
                <w:szCs w:val="21"/>
              </w:rPr>
            </w:pPr>
            <w:r>
              <w:rPr>
                <w:rFonts w:ascii="Times New Roman"/>
                <w:spacing w:val="-1"/>
                <w:sz w:val="21"/>
              </w:rPr>
              <w:t>242,184,967.74</w:t>
            </w:r>
          </w:p>
        </w:tc>
      </w:tr>
      <w:tr>
        <w:trPr>
          <w:trHeight w:val="352" w:hRule="exact"/>
        </w:trPr>
        <w:tc>
          <w:tcPr>
            <w:tcW w:w="137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67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147,118,628.65</w:t>
            </w:r>
          </w:p>
        </w:tc>
        <w:tc>
          <w:tcPr>
            <w:tcW w:w="1600" w:type="dxa"/>
            <w:tcBorders>
              <w:top w:val="single" w:sz="12" w:space="0" w:color="000000"/>
              <w:left w:val="single" w:sz="6" w:space="0" w:color="000000"/>
              <w:bottom w:val="single" w:sz="12" w:space="0" w:color="000000"/>
              <w:right w:val="single" w:sz="6" w:space="0" w:color="000000"/>
            </w:tcBorders>
          </w:tcPr>
          <w:p>
            <w:pPr/>
          </w:p>
        </w:tc>
        <w:tc>
          <w:tcPr>
            <w:tcW w:w="1601" w:type="dxa"/>
            <w:tcBorders>
              <w:top w:val="single" w:sz="12" w:space="0" w:color="000000"/>
              <w:left w:val="single" w:sz="6" w:space="0" w:color="000000"/>
              <w:bottom w:val="single" w:sz="12" w:space="0" w:color="000000"/>
              <w:right w:val="single" w:sz="6" w:space="0" w:color="000000"/>
            </w:tcBorders>
          </w:tcPr>
          <w:p>
            <w:pPr/>
          </w:p>
        </w:tc>
        <w:tc>
          <w:tcPr>
            <w:tcW w:w="1565"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6"/>
              <w:jc w:val="right"/>
              <w:rPr>
                <w:rFonts w:ascii="Times New Roman" w:hAnsi="Times New Roman" w:cs="Times New Roman" w:eastAsia="Times New Roman" w:hint="default"/>
                <w:sz w:val="21"/>
                <w:szCs w:val="21"/>
              </w:rPr>
            </w:pPr>
            <w:r>
              <w:rPr>
                <w:rFonts w:ascii="Times New Roman"/>
                <w:spacing w:val="-1"/>
                <w:sz w:val="21"/>
              </w:rPr>
              <w:t>147,118,628.65</w:t>
            </w:r>
          </w:p>
        </w:tc>
      </w:tr>
      <w:tr>
        <w:trPr>
          <w:trHeight w:val="352" w:hRule="exact"/>
        </w:trPr>
        <w:tc>
          <w:tcPr>
            <w:tcW w:w="137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670" w:type="dxa"/>
            <w:tcBorders>
              <w:top w:val="single" w:sz="12" w:space="0" w:color="000000"/>
              <w:left w:val="single" w:sz="6" w:space="0" w:color="000000"/>
              <w:bottom w:val="single" w:sz="12" w:space="0" w:color="000000"/>
              <w:right w:val="single" w:sz="6" w:space="0" w:color="000000"/>
            </w:tcBorders>
          </w:tcPr>
          <w:p>
            <w:pPr/>
          </w:p>
        </w:tc>
        <w:tc>
          <w:tcPr>
            <w:tcW w:w="160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962,777,761.81</w:t>
            </w:r>
          </w:p>
        </w:tc>
        <w:tc>
          <w:tcPr>
            <w:tcW w:w="1601" w:type="dxa"/>
            <w:tcBorders>
              <w:top w:val="single" w:sz="12" w:space="0" w:color="000000"/>
              <w:left w:val="single" w:sz="6" w:space="0" w:color="000000"/>
              <w:bottom w:val="single" w:sz="12" w:space="0" w:color="000000"/>
              <w:right w:val="single" w:sz="6" w:space="0" w:color="000000"/>
            </w:tcBorders>
          </w:tcPr>
          <w:p>
            <w:pPr/>
          </w:p>
        </w:tc>
        <w:tc>
          <w:tcPr>
            <w:tcW w:w="1565"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6"/>
              <w:jc w:val="right"/>
              <w:rPr>
                <w:rFonts w:ascii="Times New Roman" w:hAnsi="Times New Roman" w:cs="Times New Roman" w:eastAsia="Times New Roman" w:hint="default"/>
                <w:sz w:val="21"/>
                <w:szCs w:val="21"/>
              </w:rPr>
            </w:pPr>
            <w:r>
              <w:rPr>
                <w:rFonts w:ascii="Times New Roman"/>
                <w:spacing w:val="-1"/>
                <w:sz w:val="21"/>
              </w:rPr>
              <w:t>962,777,761.81</w:t>
            </w:r>
          </w:p>
        </w:tc>
      </w:tr>
      <w:tr>
        <w:trPr>
          <w:trHeight w:val="353" w:hRule="exact"/>
        </w:trPr>
        <w:tc>
          <w:tcPr>
            <w:tcW w:w="137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67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36,544,842.20</w:t>
            </w:r>
          </w:p>
        </w:tc>
        <w:tc>
          <w:tcPr>
            <w:tcW w:w="1600" w:type="dxa"/>
            <w:tcBorders>
              <w:top w:val="single" w:sz="12" w:space="0" w:color="000000"/>
              <w:left w:val="single" w:sz="6" w:space="0" w:color="000000"/>
              <w:bottom w:val="single" w:sz="12" w:space="0" w:color="000000"/>
              <w:right w:val="single" w:sz="6" w:space="0" w:color="000000"/>
            </w:tcBorders>
          </w:tcPr>
          <w:p>
            <w:pPr/>
          </w:p>
        </w:tc>
        <w:tc>
          <w:tcPr>
            <w:tcW w:w="1601" w:type="dxa"/>
            <w:tcBorders>
              <w:top w:val="single" w:sz="12" w:space="0" w:color="000000"/>
              <w:left w:val="single" w:sz="6" w:space="0" w:color="000000"/>
              <w:bottom w:val="single" w:sz="12" w:space="0" w:color="000000"/>
              <w:right w:val="single" w:sz="6" w:space="0" w:color="000000"/>
            </w:tcBorders>
          </w:tcPr>
          <w:p>
            <w:pPr/>
          </w:p>
        </w:tc>
        <w:tc>
          <w:tcPr>
            <w:tcW w:w="1565"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z w:val="21"/>
              </w:rPr>
              <w:t>36,544,842.20</w:t>
            </w:r>
          </w:p>
        </w:tc>
      </w:tr>
      <w:tr>
        <w:trPr>
          <w:trHeight w:val="352" w:hRule="exact"/>
        </w:trPr>
        <w:tc>
          <w:tcPr>
            <w:tcW w:w="137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67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75,788,888.87</w:t>
            </w:r>
          </w:p>
        </w:tc>
        <w:tc>
          <w:tcPr>
            <w:tcW w:w="160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106,075,000.03</w:t>
            </w:r>
          </w:p>
        </w:tc>
        <w:tc>
          <w:tcPr>
            <w:tcW w:w="1601" w:type="dxa"/>
            <w:tcBorders>
              <w:top w:val="single" w:sz="12" w:space="0" w:color="000000"/>
              <w:left w:val="single" w:sz="6" w:space="0" w:color="000000"/>
              <w:bottom w:val="single" w:sz="12" w:space="0" w:color="000000"/>
              <w:right w:val="single" w:sz="6" w:space="0" w:color="000000"/>
            </w:tcBorders>
          </w:tcPr>
          <w:p>
            <w:pPr/>
          </w:p>
        </w:tc>
        <w:tc>
          <w:tcPr>
            <w:tcW w:w="1565"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pacing w:val="-1"/>
                <w:sz w:val="21"/>
              </w:rPr>
              <w:t>181,863,888.90</w:t>
            </w:r>
          </w:p>
        </w:tc>
      </w:tr>
      <w:tr>
        <w:trPr>
          <w:trHeight w:val="352" w:hRule="exact"/>
        </w:trPr>
        <w:tc>
          <w:tcPr>
            <w:tcW w:w="137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7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0"/>
              <w:jc w:val="right"/>
              <w:rPr>
                <w:rFonts w:ascii="Times New Roman" w:hAnsi="Times New Roman" w:cs="Times New Roman" w:eastAsia="Times New Roman" w:hint="default"/>
                <w:sz w:val="21"/>
                <w:szCs w:val="21"/>
              </w:rPr>
            </w:pPr>
            <w:r>
              <w:rPr>
                <w:rFonts w:ascii="Times New Roman"/>
                <w:spacing w:val="-1"/>
                <w:sz w:val="21"/>
              </w:rPr>
              <w:t>1,646,004,404.13</w:t>
            </w:r>
          </w:p>
        </w:tc>
        <w:tc>
          <w:tcPr>
            <w:tcW w:w="160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0"/>
              <w:jc w:val="right"/>
              <w:rPr>
                <w:rFonts w:ascii="Times New Roman" w:hAnsi="Times New Roman" w:cs="Times New Roman" w:eastAsia="Times New Roman" w:hint="default"/>
                <w:sz w:val="21"/>
                <w:szCs w:val="21"/>
              </w:rPr>
            </w:pPr>
            <w:r>
              <w:rPr>
                <w:rFonts w:ascii="Times New Roman"/>
                <w:spacing w:val="-1"/>
                <w:sz w:val="21"/>
              </w:rPr>
              <w:t>1,068,852,761.84</w:t>
            </w:r>
          </w:p>
        </w:tc>
        <w:tc>
          <w:tcPr>
            <w:tcW w:w="1601" w:type="dxa"/>
            <w:tcBorders>
              <w:top w:val="single" w:sz="12" w:space="0" w:color="000000"/>
              <w:left w:val="single" w:sz="6" w:space="0" w:color="000000"/>
              <w:bottom w:val="single" w:sz="12" w:space="0" w:color="000000"/>
              <w:right w:val="single" w:sz="6" w:space="0" w:color="000000"/>
            </w:tcBorders>
          </w:tcPr>
          <w:p>
            <w:pPr/>
          </w:p>
        </w:tc>
        <w:tc>
          <w:tcPr>
            <w:tcW w:w="1565"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9"/>
              <w:jc w:val="right"/>
              <w:rPr>
                <w:rFonts w:ascii="Times New Roman" w:hAnsi="Times New Roman" w:cs="Times New Roman" w:eastAsia="Times New Roman" w:hint="default"/>
                <w:sz w:val="21"/>
                <w:szCs w:val="21"/>
              </w:rPr>
            </w:pPr>
            <w:r>
              <w:rPr>
                <w:rFonts w:ascii="Times New Roman"/>
                <w:spacing w:val="-1"/>
                <w:sz w:val="21"/>
              </w:rPr>
              <w:t>2,714,857,165.97</w:t>
            </w:r>
          </w:p>
        </w:tc>
      </w:tr>
    </w:tbl>
    <w:p>
      <w:pPr>
        <w:spacing w:line="240" w:lineRule="auto" w:before="11"/>
        <w:rPr>
          <w:rFonts w:ascii="宋体" w:hAnsi="宋体" w:cs="宋体" w:eastAsia="宋体" w:hint="default"/>
          <w:sz w:val="23"/>
          <w:szCs w:val="23"/>
        </w:rPr>
      </w:pPr>
    </w:p>
    <w:tbl>
      <w:tblPr>
        <w:tblW w:w="0" w:type="auto"/>
        <w:jc w:val="left"/>
        <w:tblInd w:w="1733" w:type="dxa"/>
        <w:tblLayout w:type="fixed"/>
        <w:tblCellMar>
          <w:top w:w="0" w:type="dxa"/>
          <w:left w:w="0" w:type="dxa"/>
          <w:bottom w:w="0" w:type="dxa"/>
          <w:right w:w="0" w:type="dxa"/>
        </w:tblCellMar>
        <w:tblLook w:val="01E0"/>
      </w:tblPr>
      <w:tblGrid>
        <w:gridCol w:w="1351"/>
        <w:gridCol w:w="1697"/>
        <w:gridCol w:w="1600"/>
        <w:gridCol w:w="1601"/>
        <w:gridCol w:w="1565"/>
      </w:tblGrid>
      <w:tr>
        <w:trPr>
          <w:trHeight w:val="356" w:hRule="exact"/>
        </w:trPr>
        <w:tc>
          <w:tcPr>
            <w:tcW w:w="1351" w:type="dxa"/>
            <w:vMerge w:val="restart"/>
            <w:tcBorders>
              <w:top w:val="single" w:sz="6" w:space="0" w:color="000000"/>
              <w:left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6463" w:type="dxa"/>
            <w:gridSpan w:val="4"/>
            <w:tcBorders>
              <w:top w:val="single" w:sz="6" w:space="0" w:color="000000"/>
              <w:left w:val="single" w:sz="6" w:space="0" w:color="000000"/>
              <w:bottom w:val="single" w:sz="12" w:space="0" w:color="000000"/>
              <w:right w:val="nil" w:sz="6" w:space="0" w:color="auto"/>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352" w:hRule="exact"/>
        </w:trPr>
        <w:tc>
          <w:tcPr>
            <w:tcW w:w="1351" w:type="dxa"/>
            <w:vMerge/>
            <w:tcBorders>
              <w:left w:val="single" w:sz="6" w:space="0" w:color="000000"/>
              <w:bottom w:val="single" w:sz="12" w:space="0" w:color="000000"/>
              <w:right w:val="single" w:sz="6" w:space="0" w:color="000000"/>
            </w:tcBorders>
          </w:tcPr>
          <w:p>
            <w:pPr/>
          </w:p>
        </w:tc>
        <w:tc>
          <w:tcPr>
            <w:tcW w:w="1697" w:type="dxa"/>
            <w:tcBorders>
              <w:top w:val="single" w:sz="12" w:space="0" w:color="000000"/>
              <w:left w:val="single" w:sz="6" w:space="0" w:color="000000"/>
              <w:bottom w:val="single" w:sz="12" w:space="0" w:color="000000"/>
              <w:right w:val="single" w:sz="6" w:space="0" w:color="000000"/>
            </w:tcBorders>
          </w:tcPr>
          <w:p>
            <w:pPr>
              <w:pStyle w:val="TableParagraph"/>
              <w:spacing w:line="276" w:lineRule="exact"/>
              <w:ind w:left="47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年以内</w:t>
            </w:r>
          </w:p>
        </w:tc>
        <w:tc>
          <w:tcPr>
            <w:tcW w:w="1600" w:type="dxa"/>
            <w:tcBorders>
              <w:top w:val="single" w:sz="12" w:space="0" w:color="000000"/>
              <w:left w:val="single" w:sz="6" w:space="0" w:color="000000"/>
              <w:bottom w:val="single" w:sz="12" w:space="0" w:color="000000"/>
              <w:right w:val="single" w:sz="6" w:space="0" w:color="000000"/>
            </w:tcBorders>
          </w:tcPr>
          <w:p>
            <w:pPr>
              <w:pStyle w:val="TableParagraph"/>
              <w:spacing w:line="276"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1-5</w:t>
            </w:r>
            <w:r>
              <w:rPr>
                <w:rFonts w:ascii="宋体" w:hAnsi="宋体" w:cs="宋体" w:eastAsia="宋体" w:hint="default"/>
                <w:sz w:val="21"/>
                <w:szCs w:val="21"/>
              </w:rPr>
              <w:t>年</w:t>
            </w:r>
          </w:p>
        </w:tc>
        <w:tc>
          <w:tcPr>
            <w:tcW w:w="1601" w:type="dxa"/>
            <w:tcBorders>
              <w:top w:val="single" w:sz="12" w:space="0" w:color="000000"/>
              <w:left w:val="single" w:sz="6" w:space="0" w:color="000000"/>
              <w:bottom w:val="single" w:sz="12" w:space="0" w:color="000000"/>
              <w:right w:val="single" w:sz="6" w:space="0" w:color="000000"/>
            </w:tcBorders>
          </w:tcPr>
          <w:p>
            <w:pPr>
              <w:pStyle w:val="TableParagraph"/>
              <w:spacing w:line="276" w:lineRule="exact"/>
              <w:ind w:left="42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年以上</w:t>
            </w:r>
          </w:p>
        </w:tc>
        <w:tc>
          <w:tcPr>
            <w:tcW w:w="1565"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4"/>
              <w:jc w:val="center"/>
              <w:rPr>
                <w:rFonts w:ascii="宋体" w:hAnsi="宋体" w:cs="宋体" w:eastAsia="宋体" w:hint="default"/>
                <w:sz w:val="21"/>
                <w:szCs w:val="21"/>
              </w:rPr>
            </w:pPr>
            <w:r>
              <w:rPr>
                <w:rFonts w:ascii="宋体" w:hAnsi="宋体" w:cs="宋体" w:eastAsia="宋体" w:hint="default"/>
                <w:sz w:val="21"/>
                <w:szCs w:val="21"/>
              </w:rPr>
              <w:t>合计</w:t>
            </w:r>
          </w:p>
        </w:tc>
      </w:tr>
      <w:tr>
        <w:trPr>
          <w:trHeight w:val="352" w:hRule="exact"/>
        </w:trPr>
        <w:tc>
          <w:tcPr>
            <w:tcW w:w="135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69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982,902,879.96</w:t>
            </w:r>
          </w:p>
        </w:tc>
        <w:tc>
          <w:tcPr>
            <w:tcW w:w="1600" w:type="dxa"/>
            <w:tcBorders>
              <w:top w:val="single" w:sz="12" w:space="0" w:color="000000"/>
              <w:left w:val="single" w:sz="6" w:space="0" w:color="000000"/>
              <w:bottom w:val="single" w:sz="12" w:space="0" w:color="000000"/>
              <w:right w:val="single" w:sz="6" w:space="0" w:color="000000"/>
            </w:tcBorders>
          </w:tcPr>
          <w:p>
            <w:pPr/>
          </w:p>
        </w:tc>
        <w:tc>
          <w:tcPr>
            <w:tcW w:w="1601" w:type="dxa"/>
            <w:tcBorders>
              <w:top w:val="single" w:sz="12" w:space="0" w:color="000000"/>
              <w:left w:val="single" w:sz="6" w:space="0" w:color="000000"/>
              <w:bottom w:val="single" w:sz="12" w:space="0" w:color="000000"/>
              <w:right w:val="single" w:sz="6" w:space="0" w:color="000000"/>
            </w:tcBorders>
          </w:tcPr>
          <w:p>
            <w:pPr/>
          </w:p>
        </w:tc>
        <w:tc>
          <w:tcPr>
            <w:tcW w:w="1565"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6"/>
              <w:jc w:val="right"/>
              <w:rPr>
                <w:rFonts w:ascii="Times New Roman" w:hAnsi="Times New Roman" w:cs="Times New Roman" w:eastAsia="Times New Roman" w:hint="default"/>
                <w:sz w:val="21"/>
                <w:szCs w:val="21"/>
              </w:rPr>
            </w:pPr>
            <w:r>
              <w:rPr>
                <w:rFonts w:ascii="Times New Roman"/>
                <w:spacing w:val="-1"/>
                <w:sz w:val="21"/>
              </w:rPr>
              <w:t>982,902,879.96</w:t>
            </w:r>
          </w:p>
        </w:tc>
      </w:tr>
      <w:tr>
        <w:trPr>
          <w:trHeight w:val="353" w:hRule="exact"/>
        </w:trPr>
        <w:tc>
          <w:tcPr>
            <w:tcW w:w="135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69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350,480,107.65</w:t>
            </w:r>
          </w:p>
        </w:tc>
        <w:tc>
          <w:tcPr>
            <w:tcW w:w="1600" w:type="dxa"/>
            <w:tcBorders>
              <w:top w:val="single" w:sz="12" w:space="0" w:color="000000"/>
              <w:left w:val="single" w:sz="6" w:space="0" w:color="000000"/>
              <w:bottom w:val="single" w:sz="12" w:space="0" w:color="000000"/>
              <w:right w:val="single" w:sz="6" w:space="0" w:color="000000"/>
            </w:tcBorders>
          </w:tcPr>
          <w:p>
            <w:pPr/>
          </w:p>
        </w:tc>
        <w:tc>
          <w:tcPr>
            <w:tcW w:w="1601" w:type="dxa"/>
            <w:tcBorders>
              <w:top w:val="single" w:sz="12" w:space="0" w:color="000000"/>
              <w:left w:val="single" w:sz="6" w:space="0" w:color="000000"/>
              <w:bottom w:val="single" w:sz="12" w:space="0" w:color="000000"/>
              <w:right w:val="single" w:sz="6" w:space="0" w:color="000000"/>
            </w:tcBorders>
          </w:tcPr>
          <w:p>
            <w:pPr/>
          </w:p>
        </w:tc>
        <w:tc>
          <w:tcPr>
            <w:tcW w:w="1565"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6"/>
              <w:jc w:val="right"/>
              <w:rPr>
                <w:rFonts w:ascii="Times New Roman" w:hAnsi="Times New Roman" w:cs="Times New Roman" w:eastAsia="Times New Roman" w:hint="default"/>
                <w:sz w:val="21"/>
                <w:szCs w:val="21"/>
              </w:rPr>
            </w:pPr>
            <w:r>
              <w:rPr>
                <w:rFonts w:ascii="Times New Roman"/>
                <w:spacing w:val="-1"/>
                <w:sz w:val="21"/>
              </w:rPr>
              <w:t>350,480,107.65</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733" w:type="dxa"/>
        <w:tblLayout w:type="fixed"/>
        <w:tblCellMar>
          <w:top w:w="0" w:type="dxa"/>
          <w:left w:w="0" w:type="dxa"/>
          <w:bottom w:w="0" w:type="dxa"/>
          <w:right w:w="0" w:type="dxa"/>
        </w:tblCellMar>
        <w:tblLook w:val="01E0"/>
      </w:tblPr>
      <w:tblGrid>
        <w:gridCol w:w="1351"/>
        <w:gridCol w:w="1697"/>
        <w:gridCol w:w="1600"/>
        <w:gridCol w:w="1601"/>
        <w:gridCol w:w="1565"/>
      </w:tblGrid>
      <w:tr>
        <w:trPr>
          <w:trHeight w:val="355" w:hRule="exact"/>
        </w:trPr>
        <w:tc>
          <w:tcPr>
            <w:tcW w:w="1351"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69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645,043,746.34</w:t>
            </w:r>
          </w:p>
        </w:tc>
        <w:tc>
          <w:tcPr>
            <w:tcW w:w="1600" w:type="dxa"/>
            <w:tcBorders>
              <w:top w:val="single" w:sz="6" w:space="0" w:color="000000"/>
              <w:left w:val="single" w:sz="6" w:space="0" w:color="000000"/>
              <w:bottom w:val="single" w:sz="12" w:space="0" w:color="000000"/>
              <w:right w:val="single" w:sz="6" w:space="0" w:color="000000"/>
            </w:tcBorders>
          </w:tcPr>
          <w:p>
            <w:pPr/>
          </w:p>
        </w:tc>
        <w:tc>
          <w:tcPr>
            <w:tcW w:w="1601" w:type="dxa"/>
            <w:tcBorders>
              <w:top w:val="single" w:sz="6" w:space="0" w:color="000000"/>
              <w:left w:val="single" w:sz="6" w:space="0" w:color="000000"/>
              <w:bottom w:val="single" w:sz="12" w:space="0" w:color="000000"/>
              <w:right w:val="single" w:sz="6" w:space="0" w:color="000000"/>
            </w:tcBorders>
          </w:tcPr>
          <w:p>
            <w:pPr/>
          </w:p>
        </w:tc>
        <w:tc>
          <w:tcPr>
            <w:tcW w:w="1565"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45"/>
              <w:ind w:right="6"/>
              <w:jc w:val="right"/>
              <w:rPr>
                <w:rFonts w:ascii="Times New Roman" w:hAnsi="Times New Roman" w:cs="Times New Roman" w:eastAsia="Times New Roman" w:hint="default"/>
                <w:sz w:val="21"/>
                <w:szCs w:val="21"/>
              </w:rPr>
            </w:pPr>
            <w:r>
              <w:rPr>
                <w:rFonts w:ascii="Times New Roman"/>
                <w:spacing w:val="-1"/>
                <w:sz w:val="21"/>
              </w:rPr>
              <w:t>645,043,746.34</w:t>
            </w:r>
          </w:p>
        </w:tc>
      </w:tr>
      <w:tr>
        <w:trPr>
          <w:trHeight w:val="353" w:hRule="exact"/>
        </w:trPr>
        <w:tc>
          <w:tcPr>
            <w:tcW w:w="135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697" w:type="dxa"/>
            <w:tcBorders>
              <w:top w:val="single" w:sz="12" w:space="0" w:color="000000"/>
              <w:left w:val="single" w:sz="6" w:space="0" w:color="000000"/>
              <w:bottom w:val="single" w:sz="12" w:space="0" w:color="000000"/>
              <w:right w:val="single" w:sz="6" w:space="0" w:color="000000"/>
            </w:tcBorders>
          </w:tcPr>
          <w:p>
            <w:pPr/>
          </w:p>
        </w:tc>
        <w:tc>
          <w:tcPr>
            <w:tcW w:w="160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730,000,000.00</w:t>
            </w:r>
          </w:p>
        </w:tc>
        <w:tc>
          <w:tcPr>
            <w:tcW w:w="1601" w:type="dxa"/>
            <w:tcBorders>
              <w:top w:val="single" w:sz="12" w:space="0" w:color="000000"/>
              <w:left w:val="single" w:sz="6" w:space="0" w:color="000000"/>
              <w:bottom w:val="single" w:sz="12" w:space="0" w:color="000000"/>
              <w:right w:val="single" w:sz="6" w:space="0" w:color="000000"/>
            </w:tcBorders>
          </w:tcPr>
          <w:p>
            <w:pPr/>
          </w:p>
        </w:tc>
        <w:tc>
          <w:tcPr>
            <w:tcW w:w="1565"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6"/>
              <w:jc w:val="right"/>
              <w:rPr>
                <w:rFonts w:ascii="Times New Roman" w:hAnsi="Times New Roman" w:cs="Times New Roman" w:eastAsia="Times New Roman" w:hint="default"/>
                <w:sz w:val="21"/>
                <w:szCs w:val="21"/>
              </w:rPr>
            </w:pPr>
            <w:r>
              <w:rPr>
                <w:rFonts w:ascii="Times New Roman"/>
                <w:spacing w:val="-1"/>
                <w:sz w:val="21"/>
              </w:rPr>
              <w:t>730,000,000.00</w:t>
            </w:r>
          </w:p>
        </w:tc>
      </w:tr>
      <w:tr>
        <w:trPr>
          <w:trHeight w:val="352" w:hRule="exact"/>
        </w:trPr>
        <w:tc>
          <w:tcPr>
            <w:tcW w:w="135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69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30,561,771.30</w:t>
            </w:r>
          </w:p>
        </w:tc>
        <w:tc>
          <w:tcPr>
            <w:tcW w:w="1600" w:type="dxa"/>
            <w:tcBorders>
              <w:top w:val="single" w:sz="12" w:space="0" w:color="000000"/>
              <w:left w:val="single" w:sz="6" w:space="0" w:color="000000"/>
              <w:bottom w:val="single" w:sz="12" w:space="0" w:color="000000"/>
              <w:right w:val="single" w:sz="6" w:space="0" w:color="000000"/>
            </w:tcBorders>
          </w:tcPr>
          <w:p>
            <w:pPr/>
          </w:p>
        </w:tc>
        <w:tc>
          <w:tcPr>
            <w:tcW w:w="1601" w:type="dxa"/>
            <w:tcBorders>
              <w:top w:val="single" w:sz="12" w:space="0" w:color="000000"/>
              <w:left w:val="single" w:sz="6" w:space="0" w:color="000000"/>
              <w:bottom w:val="single" w:sz="12" w:space="0" w:color="000000"/>
              <w:right w:val="single" w:sz="6" w:space="0" w:color="000000"/>
            </w:tcBorders>
          </w:tcPr>
          <w:p>
            <w:pPr/>
          </w:p>
        </w:tc>
        <w:tc>
          <w:tcPr>
            <w:tcW w:w="1565"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z w:val="21"/>
              </w:rPr>
              <w:t>30,561,771.30</w:t>
            </w:r>
          </w:p>
        </w:tc>
      </w:tr>
      <w:tr>
        <w:trPr>
          <w:trHeight w:val="352" w:hRule="exact"/>
        </w:trPr>
        <w:tc>
          <w:tcPr>
            <w:tcW w:w="135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9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0"/>
              <w:jc w:val="right"/>
              <w:rPr>
                <w:rFonts w:ascii="Times New Roman" w:hAnsi="Times New Roman" w:cs="Times New Roman" w:eastAsia="Times New Roman" w:hint="default"/>
                <w:sz w:val="21"/>
                <w:szCs w:val="21"/>
              </w:rPr>
            </w:pPr>
            <w:r>
              <w:rPr>
                <w:rFonts w:ascii="Times New Roman"/>
                <w:spacing w:val="-1"/>
                <w:sz w:val="21"/>
              </w:rPr>
              <w:t>2,008,988,505.25</w:t>
            </w:r>
          </w:p>
        </w:tc>
        <w:tc>
          <w:tcPr>
            <w:tcW w:w="160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730,000,000.00</w:t>
            </w:r>
          </w:p>
        </w:tc>
        <w:tc>
          <w:tcPr>
            <w:tcW w:w="1601" w:type="dxa"/>
            <w:tcBorders>
              <w:top w:val="single" w:sz="12" w:space="0" w:color="000000"/>
              <w:left w:val="single" w:sz="6" w:space="0" w:color="000000"/>
              <w:bottom w:val="single" w:sz="12" w:space="0" w:color="000000"/>
              <w:right w:val="single" w:sz="6" w:space="0" w:color="000000"/>
            </w:tcBorders>
          </w:tcPr>
          <w:p>
            <w:pPr/>
          </w:p>
        </w:tc>
        <w:tc>
          <w:tcPr>
            <w:tcW w:w="1565"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9"/>
              <w:jc w:val="right"/>
              <w:rPr>
                <w:rFonts w:ascii="Times New Roman" w:hAnsi="Times New Roman" w:cs="Times New Roman" w:eastAsia="Times New Roman" w:hint="default"/>
                <w:sz w:val="21"/>
                <w:szCs w:val="21"/>
              </w:rPr>
            </w:pPr>
            <w:r>
              <w:rPr>
                <w:rFonts w:ascii="Times New Roman"/>
                <w:spacing w:val="-1"/>
                <w:sz w:val="21"/>
              </w:rPr>
              <w:t>2,738,988,505.25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p>
      <w:pPr>
        <w:pStyle w:val="Heading4"/>
        <w:spacing w:line="240" w:lineRule="auto" w:before="26"/>
        <w:ind w:left="1134" w:right="998"/>
        <w:jc w:val="left"/>
        <w:rPr>
          <w:b w:val="0"/>
          <w:bCs w:val="0"/>
        </w:rPr>
      </w:pPr>
      <w:bookmarkStart w:name="十一、公允价值的披露" w:id="457"/>
      <w:bookmarkEnd w:id="457"/>
      <w:r>
        <w:rPr>
          <w:b w:val="0"/>
          <w:bCs w:val="0"/>
        </w:rPr>
      </w:r>
      <w:r>
        <w:rPr/>
        <w:t>十一、公允价值的披露</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以公允价值计量的资产和负债的期末公允价值" w:id="458"/>
      <w:bookmarkEnd w:id="458"/>
      <w:r>
        <w:rPr>
          <w:b w:val="0"/>
          <w:bCs w:val="0"/>
        </w:rPr>
      </w:r>
      <w:r>
        <w:rPr>
          <w:rFonts w:ascii="Times New Roman" w:hAnsi="Times New Roman" w:cs="Times New Roman" w:eastAsia="Times New Roman" w:hint="default"/>
        </w:rPr>
        <w:t>1</w:t>
      </w:r>
      <w:r>
        <w:rPr/>
        <w:t>、以公允价值计量的资产和负债的期末公允价值</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1971"/>
        <w:gridCol w:w="1850"/>
        <w:gridCol w:w="1913"/>
        <w:gridCol w:w="1913"/>
        <w:gridCol w:w="1913"/>
      </w:tblGrid>
      <w:tr>
        <w:trPr>
          <w:trHeight w:val="402" w:hRule="exact"/>
        </w:trPr>
        <w:tc>
          <w:tcPr>
            <w:tcW w:w="1971" w:type="dxa"/>
            <w:tcBorders>
              <w:top w:val="single" w:sz="4" w:space="0" w:color="000000"/>
              <w:left w:val="single" w:sz="4" w:space="0" w:color="000000"/>
              <w:bottom w:val="nil" w:sz="6" w:space="0" w:color="auto"/>
              <w:right w:val="single" w:sz="4" w:space="0" w:color="000000"/>
            </w:tcBorders>
            <w:shd w:val="clear" w:color="auto" w:fill="D2D2D2"/>
          </w:tcPr>
          <w:p>
            <w:pPr/>
          </w:p>
        </w:tc>
        <w:tc>
          <w:tcPr>
            <w:tcW w:w="758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期末公允价值</w:t>
            </w:r>
          </w:p>
        </w:tc>
      </w:tr>
      <w:tr>
        <w:trPr>
          <w:trHeight w:val="161" w:hRule="exact"/>
        </w:trPr>
        <w:tc>
          <w:tcPr>
            <w:tcW w:w="197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85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835" w:right="102" w:hanging="720"/>
              <w:jc w:val="left"/>
              <w:rPr>
                <w:rFonts w:ascii="宋体" w:hAnsi="宋体" w:cs="宋体" w:eastAsia="宋体" w:hint="default"/>
                <w:sz w:val="18"/>
                <w:szCs w:val="18"/>
              </w:rPr>
            </w:pPr>
            <w:r>
              <w:rPr>
                <w:rFonts w:ascii="宋体" w:hAnsi="宋体" w:cs="宋体" w:eastAsia="宋体" w:hint="default"/>
                <w:sz w:val="18"/>
                <w:szCs w:val="18"/>
              </w:rPr>
              <w:t>第一层次公允价值计 量</w:t>
            </w:r>
          </w:p>
        </w:tc>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1971" w:type="dxa"/>
            <w:vMerge/>
            <w:tcBorders>
              <w:left w:val="single" w:sz="4" w:space="0" w:color="000000"/>
              <w:bottom w:val="nil" w:sz="6" w:space="0" w:color="auto"/>
              <w:right w:val="single" w:sz="4" w:space="0" w:color="000000"/>
            </w:tcBorders>
            <w:shd w:val="clear" w:color="auto" w:fill="D2D2D2"/>
          </w:tcPr>
          <w:p>
            <w:pPr/>
          </w:p>
        </w:tc>
        <w:tc>
          <w:tcPr>
            <w:tcW w:w="1850" w:type="dxa"/>
            <w:vMerge/>
            <w:tcBorders>
              <w:left w:val="single" w:sz="4" w:space="0" w:color="000000"/>
              <w:right w:val="single" w:sz="4" w:space="0" w:color="000000"/>
            </w:tcBorders>
            <w:shd w:val="clear" w:color="auto" w:fill="D2D2D2"/>
          </w:tcPr>
          <w:p>
            <w:pPr/>
          </w:p>
        </w:tc>
        <w:tc>
          <w:tcPr>
            <w:tcW w:w="19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51" w:right="0"/>
              <w:jc w:val="left"/>
              <w:rPr>
                <w:rFonts w:ascii="宋体" w:hAnsi="宋体" w:cs="宋体" w:eastAsia="宋体" w:hint="default"/>
                <w:sz w:val="18"/>
                <w:szCs w:val="18"/>
              </w:rPr>
            </w:pPr>
            <w:r>
              <w:rPr>
                <w:rFonts w:ascii="宋体" w:hAnsi="宋体" w:cs="宋体" w:eastAsia="宋体" w:hint="default"/>
                <w:sz w:val="18"/>
                <w:szCs w:val="18"/>
              </w:rPr>
              <w:t>第二层次公允价值计量</w:t>
            </w:r>
          </w:p>
        </w:tc>
        <w:tc>
          <w:tcPr>
            <w:tcW w:w="19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51" w:right="0"/>
              <w:jc w:val="left"/>
              <w:rPr>
                <w:rFonts w:ascii="宋体" w:hAnsi="宋体" w:cs="宋体" w:eastAsia="宋体" w:hint="default"/>
                <w:sz w:val="18"/>
                <w:szCs w:val="18"/>
              </w:rPr>
            </w:pPr>
            <w:r>
              <w:rPr>
                <w:rFonts w:ascii="宋体" w:hAnsi="宋体" w:cs="宋体" w:eastAsia="宋体" w:hint="default"/>
                <w:sz w:val="18"/>
                <w:szCs w:val="18"/>
              </w:rPr>
              <w:t>第三层次公允价值计量</w:t>
            </w:r>
          </w:p>
        </w:tc>
        <w:tc>
          <w:tcPr>
            <w:tcW w:w="19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202" w:hRule="exact"/>
        </w:trPr>
        <w:tc>
          <w:tcPr>
            <w:tcW w:w="1971" w:type="dxa"/>
            <w:vMerge w:val="restart"/>
            <w:tcBorders>
              <w:top w:val="nil" w:sz="6" w:space="0" w:color="auto"/>
              <w:left w:val="single" w:sz="4" w:space="0" w:color="000000"/>
              <w:right w:val="single" w:sz="4" w:space="0" w:color="000000"/>
            </w:tcBorders>
            <w:shd w:val="clear" w:color="auto" w:fill="D2D2D2"/>
          </w:tcPr>
          <w:p>
            <w:pPr/>
          </w:p>
        </w:tc>
        <w:tc>
          <w:tcPr>
            <w:tcW w:w="1850" w:type="dxa"/>
            <w:vMerge/>
            <w:tcBorders>
              <w:left w:val="single" w:sz="4" w:space="0" w:color="000000"/>
              <w:right w:val="single" w:sz="4" w:space="0" w:color="000000"/>
            </w:tcBorders>
            <w:shd w:val="clear" w:color="auto" w:fill="D2D2D2"/>
          </w:tcPr>
          <w:p>
            <w:pPr/>
          </w:p>
        </w:tc>
        <w:tc>
          <w:tcPr>
            <w:tcW w:w="1913" w:type="dxa"/>
            <w:vMerge/>
            <w:tcBorders>
              <w:left w:val="single" w:sz="4" w:space="0" w:color="000000"/>
              <w:bottom w:val="nil" w:sz="6" w:space="0" w:color="auto"/>
              <w:right w:val="single" w:sz="4" w:space="0" w:color="000000"/>
            </w:tcBorders>
            <w:shd w:val="clear" w:color="auto" w:fill="D2D2D2"/>
          </w:tcPr>
          <w:p>
            <w:pPr/>
          </w:p>
        </w:tc>
        <w:tc>
          <w:tcPr>
            <w:tcW w:w="1913" w:type="dxa"/>
            <w:vMerge/>
            <w:tcBorders>
              <w:left w:val="single" w:sz="4" w:space="0" w:color="000000"/>
              <w:bottom w:val="nil" w:sz="6" w:space="0" w:color="auto"/>
              <w:right w:val="single" w:sz="4" w:space="0" w:color="000000"/>
            </w:tcBorders>
            <w:shd w:val="clear" w:color="auto" w:fill="D2D2D2"/>
          </w:tcPr>
          <w:p>
            <w:pPr/>
          </w:p>
        </w:tc>
        <w:tc>
          <w:tcPr>
            <w:tcW w:w="1913"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1971" w:type="dxa"/>
            <w:vMerge/>
            <w:tcBorders>
              <w:left w:val="single" w:sz="4" w:space="0" w:color="000000"/>
              <w:bottom w:val="single" w:sz="4" w:space="0" w:color="000000"/>
              <w:right w:val="single" w:sz="4" w:space="0" w:color="000000"/>
            </w:tcBorders>
            <w:shd w:val="clear" w:color="auto" w:fill="D2D2D2"/>
          </w:tcPr>
          <w:p>
            <w:pPr/>
          </w:p>
        </w:tc>
        <w:tc>
          <w:tcPr>
            <w:tcW w:w="1850" w:type="dxa"/>
            <w:vMerge/>
            <w:tcBorders>
              <w:left w:val="single" w:sz="4" w:space="0" w:color="000000"/>
              <w:bottom w:val="single" w:sz="4" w:space="0" w:color="000000"/>
              <w:right w:val="single" w:sz="4" w:space="0" w:color="000000"/>
            </w:tcBorders>
            <w:shd w:val="clear" w:color="auto" w:fill="D2D2D2"/>
          </w:tcPr>
          <w:p>
            <w:pPr/>
          </w:p>
        </w:tc>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4"/>
                <w:sz w:val="18"/>
                <w:szCs w:val="18"/>
              </w:rPr>
              <w:t>一、持续的公允价值计量</w:t>
            </w:r>
          </w:p>
        </w:tc>
        <w:tc>
          <w:tcPr>
            <w:tcW w:w="1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4"/>
                <w:sz w:val="18"/>
                <w:szCs w:val="18"/>
              </w:rPr>
              <w:t>（二）可供出售金融资产</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4,556,104,587.97</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4,556,104,587.97</w:t>
            </w: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）权益工具投资</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4,556,104,587.97</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4,556,104,587.97</w:t>
            </w:r>
          </w:p>
        </w:tc>
      </w:tr>
      <w:tr>
        <w:trPr>
          <w:trHeight w:val="161" w:hRule="exact"/>
        </w:trPr>
        <w:tc>
          <w:tcPr>
            <w:tcW w:w="197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1" w:right="11"/>
              <w:jc w:val="left"/>
              <w:rPr>
                <w:rFonts w:ascii="宋体" w:hAnsi="宋体" w:cs="宋体" w:eastAsia="宋体" w:hint="default"/>
                <w:sz w:val="18"/>
                <w:szCs w:val="18"/>
              </w:rPr>
            </w:pPr>
            <w:r>
              <w:rPr>
                <w:rFonts w:ascii="宋体" w:hAnsi="宋体" w:cs="宋体" w:eastAsia="宋体" w:hint="default"/>
                <w:spacing w:val="-4"/>
                <w:sz w:val="18"/>
                <w:szCs w:val="18"/>
              </w:rPr>
              <w:t>二、非持续的公允价值计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量</w:t>
            </w:r>
          </w:p>
        </w:tc>
        <w:tc>
          <w:tcPr>
            <w:tcW w:w="1850"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1971" w:type="dxa"/>
            <w:vMerge/>
            <w:tcBorders>
              <w:left w:val="single" w:sz="4" w:space="0" w:color="000000"/>
              <w:right w:val="single" w:sz="4" w:space="0" w:color="000000"/>
            </w:tcBorders>
            <w:shd w:val="clear" w:color="auto" w:fill="D2D2D2"/>
          </w:tcPr>
          <w:p>
            <w:pPr/>
          </w:p>
        </w:tc>
        <w:tc>
          <w:tcPr>
            <w:tcW w:w="185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1971" w:type="dxa"/>
            <w:vMerge/>
            <w:tcBorders>
              <w:left w:val="single" w:sz="4" w:space="0" w:color="000000"/>
              <w:bottom w:val="single" w:sz="4" w:space="0" w:color="000000"/>
              <w:right w:val="single" w:sz="4" w:space="0" w:color="000000"/>
            </w:tcBorders>
            <w:shd w:val="clear" w:color="auto" w:fill="D2D2D2"/>
          </w:tcPr>
          <w:p>
            <w:pPr/>
          </w:p>
        </w:tc>
        <w:tc>
          <w:tcPr>
            <w:tcW w:w="1850"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r>
    </w:tbl>
    <w:p>
      <w:pPr>
        <w:spacing w:line="240" w:lineRule="auto" w:before="2"/>
        <w:rPr>
          <w:rFonts w:ascii="宋体" w:hAnsi="宋体" w:cs="宋体" w:eastAsia="宋体" w:hint="default"/>
          <w:sz w:val="19"/>
          <w:szCs w:val="19"/>
        </w:rPr>
      </w:pPr>
    </w:p>
    <w:p>
      <w:pPr>
        <w:spacing w:line="506" w:lineRule="auto" w:before="35"/>
        <w:ind w:left="1134" w:right="2653" w:firstLine="0"/>
        <w:jc w:val="left"/>
        <w:rPr>
          <w:rFonts w:ascii="宋体" w:hAnsi="宋体" w:cs="宋体" w:eastAsia="宋体" w:hint="default"/>
          <w:sz w:val="21"/>
          <w:szCs w:val="21"/>
        </w:rPr>
      </w:pPr>
      <w:bookmarkStart w:name="2、持续和非持续第一层次公允价值计量项目市价的确定依据" w:id="459"/>
      <w:bookmarkEnd w:id="459"/>
      <w:r>
        <w:rPr/>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、持续和非持续第一层次公允价值计量项目市价的确定依据</w:t>
      </w:r>
      <w:r>
        <w:rPr>
          <w:rFonts w:ascii="宋体" w:hAnsi="宋体" w:cs="宋体" w:eastAsia="宋体" w:hint="default"/>
          <w:b/>
          <w:bCs/>
          <w:spacing w:val="71"/>
          <w:w w:val="95"/>
          <w:sz w:val="21"/>
          <w:szCs w:val="21"/>
        </w:rPr>
        <w:t> </w:t>
      </w:r>
      <w:r>
        <w:rPr>
          <w:rFonts w:ascii="宋体" w:hAnsi="宋体" w:cs="宋体" w:eastAsia="宋体" w:hint="default"/>
          <w:b/>
          <w:bCs/>
          <w:spacing w:val="71"/>
          <w:w w:val="95"/>
          <w:sz w:val="21"/>
          <w:szCs w:val="21"/>
        </w:rPr>
      </w:r>
      <w:r>
        <w:rPr>
          <w:rFonts w:ascii="宋体" w:hAnsi="宋体" w:cs="宋体" w:eastAsia="宋体" w:hint="default"/>
          <w:sz w:val="21"/>
          <w:szCs w:val="21"/>
        </w:rPr>
        <w:t>能够取得活跃市场的公开报价。</w:t>
      </w:r>
    </w:p>
    <w:p>
      <w:pPr>
        <w:spacing w:line="240" w:lineRule="auto" w:before="0"/>
        <w:rPr>
          <w:rFonts w:ascii="宋体" w:hAnsi="宋体" w:cs="宋体" w:eastAsia="宋体" w:hint="default"/>
          <w:sz w:val="20"/>
          <w:szCs w:val="20"/>
        </w:rPr>
      </w:pPr>
    </w:p>
    <w:p>
      <w:pPr>
        <w:pStyle w:val="Heading6"/>
        <w:spacing w:line="240" w:lineRule="auto" w:before="155"/>
        <w:ind w:right="998"/>
        <w:jc w:val="left"/>
        <w:rPr>
          <w:b w:val="0"/>
          <w:bCs w:val="0"/>
        </w:rPr>
      </w:pPr>
      <w:bookmarkStart w:name="3、持续和非持续第二层次公允价值计量项目，采用的估值技术和重要参数的定性及定量信" w:id="460"/>
      <w:bookmarkEnd w:id="460"/>
      <w:r>
        <w:rPr>
          <w:b w:val="0"/>
          <w:bCs w:val="0"/>
        </w:rPr>
      </w:r>
      <w:r>
        <w:rPr>
          <w:rFonts w:ascii="Times New Roman" w:hAnsi="Times New Roman" w:cs="Times New Roman" w:eastAsia="Times New Roman" w:hint="default"/>
        </w:rPr>
        <w:t>3</w:t>
      </w:r>
      <w:r>
        <w:rPr/>
        <w:t>、持续和非持续第二层次公允价值计量项目，采用的估值技术和重要参数的定性及定量信息</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4、持续和非持续第三层次公允价值计量项目，采用的估值技术和重要参数的定性及定量信" w:id="461"/>
      <w:bookmarkEnd w:id="461"/>
      <w:r>
        <w:rPr>
          <w:b w:val="0"/>
          <w:bCs w:val="0"/>
        </w:rPr>
      </w:r>
      <w:r>
        <w:rPr>
          <w:rFonts w:ascii="Times New Roman" w:hAnsi="Times New Roman" w:cs="Times New Roman" w:eastAsia="Times New Roman" w:hint="default"/>
        </w:rPr>
        <w:t>4</w:t>
      </w:r>
      <w:r>
        <w:rPr/>
        <w:t>、持续和非持续第三层次公允价值计量项目，采用的估值技术和重要参数的定性及定量信息</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5、持续的第三层次公允价值计量项目，期初与期末账面价值间的调节信息及不可观察参数" w:id="462"/>
      <w:bookmarkEnd w:id="462"/>
      <w:r>
        <w:rPr>
          <w:b w:val="0"/>
          <w:bCs w:val="0"/>
        </w:rPr>
      </w:r>
      <w:r>
        <w:rPr>
          <w:rFonts w:ascii="Times New Roman" w:hAnsi="Times New Roman" w:cs="Times New Roman" w:eastAsia="Times New Roman" w:hint="default"/>
        </w:rPr>
        <w:t>5</w:t>
      </w:r>
      <w:r>
        <w:rPr/>
        <w:t>、持续的第三层次公允价值计量项目，期初与期末账面价值间的调节信息及不可观察参数敏感性分析</w:t>
      </w:r>
      <w:r>
        <w:rPr>
          <w:b w:val="0"/>
          <w:bCs w:val="0"/>
        </w:rPr>
      </w:r>
    </w:p>
    <w:p>
      <w:pPr>
        <w:spacing w:line="240" w:lineRule="auto" w:before="7"/>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6、持续的公允价值计量项目，本期内发生各层级之间转换的，转换的原因及确定转换时点" w:id="463"/>
      <w:bookmarkEnd w:id="463"/>
      <w:r>
        <w:rPr>
          <w:b w:val="0"/>
          <w:bCs w:val="0"/>
        </w:rPr>
      </w:r>
      <w:r>
        <w:rPr>
          <w:rFonts w:ascii="Times New Roman" w:hAnsi="Times New Roman" w:cs="Times New Roman" w:eastAsia="Times New Roman" w:hint="default"/>
        </w:rPr>
        <w:t>6</w:t>
      </w:r>
      <w:r>
        <w:rPr/>
        <w:t>、持续的公允价值计量项目，本期内发生各层级之间转换的，转换的原因及确定转换时点的政策</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7、本期内发生的估值技术变更及变更原因" w:id="464"/>
      <w:bookmarkEnd w:id="464"/>
      <w:r>
        <w:rPr>
          <w:b w:val="0"/>
          <w:bCs w:val="0"/>
        </w:rPr>
      </w:r>
      <w:r>
        <w:rPr>
          <w:rFonts w:ascii="Times New Roman" w:hAnsi="Times New Roman" w:cs="Times New Roman" w:eastAsia="Times New Roman" w:hint="default"/>
        </w:rPr>
        <w:t>7</w:t>
      </w:r>
      <w:r>
        <w:rPr/>
        <w:t>、本期内发生的估值技术变更及变更原因</w:t>
      </w:r>
      <w:r>
        <w:rPr>
          <w:b w:val="0"/>
          <w:bCs w:val="0"/>
        </w:rPr>
      </w:r>
    </w:p>
    <w:p>
      <w:pPr>
        <w:spacing w:line="240" w:lineRule="auto" w:before="7"/>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8、不以公允价值计量的金融资产和金融负债的公允价值情况" w:id="465"/>
      <w:bookmarkEnd w:id="465"/>
      <w:r>
        <w:rPr>
          <w:b w:val="0"/>
          <w:bCs w:val="0"/>
        </w:rPr>
      </w:r>
      <w:r>
        <w:rPr>
          <w:rFonts w:ascii="Times New Roman" w:hAnsi="Times New Roman" w:cs="Times New Roman" w:eastAsia="Times New Roman" w:hint="default"/>
        </w:rPr>
        <w:t>8</w:t>
      </w:r>
      <w:r>
        <w:rPr/>
        <w:t>、不以公允价值计量的金融资产和金融负债的公允价值情况</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9、其他" w:id="466"/>
      <w:bookmarkEnd w:id="466"/>
      <w:r>
        <w:rPr>
          <w:b w:val="0"/>
          <w:bCs w:val="0"/>
        </w:rPr>
      </w:r>
      <w:r>
        <w:rPr>
          <w:rFonts w:ascii="Times New Roman" w:hAnsi="Times New Roman" w:cs="Times New Roman" w:eastAsia="Times New Roman" w:hint="default"/>
        </w:rPr>
        <w:t>9</w:t>
      </w:r>
      <w:r>
        <w:rPr/>
        <w:t>、其他</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2"/>
        <w:rPr>
          <w:rFonts w:ascii="宋体" w:hAnsi="宋体" w:cs="宋体" w:eastAsia="宋体" w:hint="default"/>
          <w:sz w:val="25"/>
          <w:szCs w:val="25"/>
        </w:rPr>
      </w:pPr>
    </w:p>
    <w:p>
      <w:pPr>
        <w:pStyle w:val="Heading4"/>
        <w:spacing w:line="240" w:lineRule="auto"/>
        <w:ind w:left="1134" w:right="998"/>
        <w:jc w:val="left"/>
        <w:rPr>
          <w:b w:val="0"/>
          <w:bCs w:val="0"/>
        </w:rPr>
      </w:pPr>
      <w:bookmarkStart w:name="十二、关联方及关联交易" w:id="467"/>
      <w:bookmarkEnd w:id="467"/>
      <w:r>
        <w:rPr>
          <w:b w:val="0"/>
          <w:bCs w:val="0"/>
        </w:rPr>
      </w:r>
      <w:r>
        <w:rPr/>
        <w:t>十二、关联方及关联交易</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本企业的母公司情况" w:id="468"/>
      <w:bookmarkEnd w:id="468"/>
      <w:r>
        <w:rPr>
          <w:b w:val="0"/>
          <w:bCs w:val="0"/>
        </w:rPr>
      </w:r>
      <w:r>
        <w:rPr>
          <w:rFonts w:ascii="Times New Roman" w:hAnsi="Times New Roman" w:cs="Times New Roman" w:eastAsia="Times New Roman" w:hint="default"/>
        </w:rPr>
        <w:t>1</w:t>
      </w:r>
      <w:r>
        <w:rPr/>
        <w:t>、本企业的母公司情况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1595"/>
        <w:gridCol w:w="1595"/>
        <w:gridCol w:w="1594"/>
        <w:gridCol w:w="1594"/>
        <w:gridCol w:w="1595"/>
        <w:gridCol w:w="1595"/>
      </w:tblGrid>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342" w:right="0"/>
              <w:jc w:val="left"/>
              <w:rPr>
                <w:rFonts w:ascii="宋体" w:hAnsi="宋体" w:cs="宋体" w:eastAsia="宋体" w:hint="default"/>
                <w:sz w:val="18"/>
                <w:szCs w:val="18"/>
              </w:rPr>
            </w:pPr>
            <w:r>
              <w:rPr>
                <w:rFonts w:ascii="宋体" w:hAnsi="宋体" w:cs="宋体" w:eastAsia="宋体" w:hint="default"/>
                <w:sz w:val="18"/>
                <w:szCs w:val="18"/>
              </w:rPr>
              <w:t>母公司名称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2" w:right="71" w:hanging="360"/>
              <w:jc w:val="left"/>
              <w:rPr>
                <w:rFonts w:ascii="宋体" w:hAnsi="宋体" w:cs="宋体" w:eastAsia="宋体" w:hint="default"/>
                <w:sz w:val="18"/>
                <w:szCs w:val="18"/>
              </w:rPr>
            </w:pPr>
            <w:r>
              <w:rPr>
                <w:rFonts w:ascii="宋体" w:hAnsi="宋体" w:cs="宋体" w:eastAsia="宋体" w:hint="default"/>
                <w:sz w:val="18"/>
                <w:szCs w:val="18"/>
              </w:rPr>
              <w:t>母公司对本企业的 持股比例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41" w:right="71" w:hanging="270"/>
              <w:jc w:val="left"/>
              <w:rPr>
                <w:rFonts w:ascii="宋体" w:hAnsi="宋体" w:cs="宋体" w:eastAsia="宋体" w:hint="default"/>
                <w:sz w:val="18"/>
                <w:szCs w:val="18"/>
              </w:rPr>
            </w:pPr>
            <w:r>
              <w:rPr>
                <w:rFonts w:ascii="宋体" w:hAnsi="宋体" w:cs="宋体" w:eastAsia="宋体" w:hint="default"/>
                <w:sz w:val="18"/>
                <w:szCs w:val="18"/>
              </w:rPr>
              <w:t>母公司对本企业的 表决权比例</w:t>
            </w:r>
          </w:p>
        </w:tc>
      </w:tr>
    </w:tbl>
    <w:p>
      <w:pPr>
        <w:spacing w:line="360" w:lineRule="auto" w:before="52"/>
        <w:ind w:left="1133" w:right="8413" w:firstLine="0"/>
        <w:jc w:val="left"/>
        <w:rPr>
          <w:rFonts w:ascii="宋体" w:hAnsi="宋体" w:cs="宋体" w:eastAsia="宋体" w:hint="default"/>
          <w:sz w:val="18"/>
          <w:szCs w:val="18"/>
        </w:rPr>
      </w:pPr>
      <w:r>
        <w:rPr>
          <w:rFonts w:ascii="宋体" w:hAnsi="宋体" w:cs="宋体" w:eastAsia="宋体" w:hint="default"/>
          <w:sz w:val="18"/>
          <w:szCs w:val="18"/>
        </w:rPr>
        <w:t>本企业的母公司情况的说明 本企业最终控制方是周亚辉。 其他说明：</w:t>
      </w:r>
    </w:p>
    <w:p>
      <w:pPr>
        <w:spacing w:line="240" w:lineRule="auto" w:before="12"/>
        <w:rPr>
          <w:rFonts w:ascii="宋体" w:hAnsi="宋体" w:cs="宋体" w:eastAsia="宋体" w:hint="default"/>
          <w:sz w:val="19"/>
          <w:szCs w:val="19"/>
        </w:rPr>
      </w:pPr>
    </w:p>
    <w:p>
      <w:pPr>
        <w:pStyle w:val="Heading6"/>
        <w:spacing w:line="240" w:lineRule="auto"/>
        <w:ind w:left="1133" w:right="998"/>
        <w:jc w:val="left"/>
        <w:rPr>
          <w:b w:val="0"/>
          <w:bCs w:val="0"/>
        </w:rPr>
      </w:pPr>
      <w:bookmarkStart w:name="2、本企业的子公司情况" w:id="469"/>
      <w:bookmarkEnd w:id="469"/>
      <w:r>
        <w:rPr>
          <w:b w:val="0"/>
          <w:bCs w:val="0"/>
        </w:rPr>
      </w:r>
      <w:r>
        <w:rPr>
          <w:rFonts w:ascii="Times New Roman" w:hAnsi="Times New Roman" w:cs="Times New Roman" w:eastAsia="Times New Roman" w:hint="default"/>
        </w:rPr>
        <w:t>2</w:t>
      </w:r>
      <w:r>
        <w:rPr/>
        <w:t>、本企业的子公司情况</w:t>
      </w:r>
      <w:r>
        <w:rPr>
          <w:b w:val="0"/>
          <w:bCs w:val="0"/>
        </w:rPr>
      </w:r>
    </w:p>
    <w:p>
      <w:pPr>
        <w:spacing w:line="240" w:lineRule="auto" w:before="9"/>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本企业子公司的情况详见附注七、在其他主体中的权益。</w:t>
      </w:r>
    </w:p>
    <w:p>
      <w:pPr>
        <w:spacing w:line="240" w:lineRule="auto" w:before="10"/>
        <w:rPr>
          <w:rFonts w:ascii="宋体" w:hAnsi="宋体" w:cs="宋体" w:eastAsia="宋体" w:hint="default"/>
          <w:sz w:val="26"/>
          <w:szCs w:val="26"/>
        </w:rPr>
      </w:pPr>
    </w:p>
    <w:p>
      <w:pPr>
        <w:pStyle w:val="Heading6"/>
        <w:spacing w:line="240" w:lineRule="auto"/>
        <w:ind w:right="998"/>
        <w:jc w:val="left"/>
        <w:rPr>
          <w:b w:val="0"/>
          <w:bCs w:val="0"/>
        </w:rPr>
      </w:pPr>
      <w:bookmarkStart w:name="3、本企业合营和联营企业情况" w:id="470"/>
      <w:bookmarkEnd w:id="470"/>
      <w:r>
        <w:rPr>
          <w:b w:val="0"/>
          <w:bCs w:val="0"/>
        </w:rPr>
      </w:r>
      <w:r>
        <w:rPr>
          <w:rFonts w:ascii="Times New Roman" w:hAnsi="Times New Roman" w:cs="Times New Roman" w:eastAsia="Times New Roman" w:hint="default"/>
        </w:rPr>
        <w:t>3</w:t>
      </w:r>
      <w:r>
        <w:rPr/>
        <w:t>、本企业合营和联营企业情况</w:t>
      </w:r>
      <w:r>
        <w:rPr>
          <w:b w:val="0"/>
          <w:bCs w:val="0"/>
        </w:rPr>
      </w:r>
    </w:p>
    <w:p>
      <w:pPr>
        <w:spacing w:line="240" w:lineRule="auto" w:before="9"/>
        <w:rPr>
          <w:rFonts w:ascii="宋体" w:hAnsi="宋体" w:cs="宋体" w:eastAsia="宋体" w:hint="default"/>
          <w:b/>
          <w:bCs/>
          <w:sz w:val="26"/>
          <w:szCs w:val="26"/>
        </w:rPr>
      </w:pPr>
    </w:p>
    <w:p>
      <w:pPr>
        <w:spacing w:line="357" w:lineRule="auto" w:before="0"/>
        <w:ind w:left="1133" w:right="2293" w:firstLine="0"/>
        <w:jc w:val="left"/>
        <w:rPr>
          <w:rFonts w:ascii="宋体" w:hAnsi="宋体" w:cs="宋体" w:eastAsia="宋体" w:hint="default"/>
          <w:sz w:val="18"/>
          <w:szCs w:val="18"/>
        </w:rPr>
      </w:pPr>
      <w:r>
        <w:rPr>
          <w:rFonts w:ascii="宋体" w:hAnsi="宋体" w:cs="宋体" w:eastAsia="宋体" w:hint="default"/>
          <w:sz w:val="18"/>
          <w:szCs w:val="18"/>
        </w:rPr>
        <w:t>本企业重要的合营或联营企业详见附注七、在其他主体中的权益。 本期与本公司发生关联方交易，或前期与本公司发生关联方交易形成余额的其他合营或联营企业情况如下：</w:t>
      </w:r>
    </w:p>
    <w:tbl>
      <w:tblPr>
        <w:tblW w:w="0" w:type="auto"/>
        <w:jc w:val="left"/>
        <w:tblInd w:w="112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6" w:right="0"/>
              <w:jc w:val="left"/>
              <w:rPr>
                <w:rFonts w:ascii="宋体" w:hAnsi="宋体" w:cs="宋体" w:eastAsia="宋体" w:hint="default"/>
                <w:sz w:val="18"/>
                <w:szCs w:val="18"/>
              </w:rPr>
            </w:pPr>
            <w:r>
              <w:rPr>
                <w:rFonts w:ascii="宋体" w:hAnsi="宋体" w:cs="宋体" w:eastAsia="宋体" w:hint="default"/>
                <w:sz w:val="18"/>
                <w:szCs w:val="18"/>
              </w:rPr>
              <w:t>合营或联营企业名称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bl>
    <w:p>
      <w:pPr>
        <w:spacing w:before="68"/>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4、其他关联方情况" w:id="471"/>
      <w:bookmarkEnd w:id="471"/>
      <w:r>
        <w:rPr>
          <w:b w:val="0"/>
          <w:bCs w:val="0"/>
        </w:rPr>
      </w:r>
      <w:r>
        <w:rPr>
          <w:rFonts w:ascii="Times New Roman" w:hAnsi="Times New Roman" w:cs="Times New Roman" w:eastAsia="Times New Roman" w:hint="default"/>
        </w:rPr>
        <w:t>4</w:t>
      </w:r>
      <w:r>
        <w:rPr/>
        <w:t>、其他关联方情况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4783"/>
        <w:gridCol w:w="4786"/>
      </w:tblGrid>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97"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摩比神奇（北京）信息技术有限公司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其股东王立伟为本公司董事、副总经理</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Future Holding </w:t>
            </w:r>
            <w:r>
              <w:rPr>
                <w:rFonts w:ascii="Times New Roman"/>
                <w:spacing w:val="-6"/>
                <w:sz w:val="18"/>
              </w:rPr>
              <w:t>L.P.</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实际控制人周亚辉控制的其他企业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Keeneyes Future Holding</w:t>
            </w:r>
            <w:r>
              <w:rPr>
                <w:rFonts w:ascii="Times New Roman"/>
                <w:spacing w:val="-5"/>
                <w:sz w:val="18"/>
              </w:rPr>
              <w:t> </w:t>
            </w:r>
            <w:r>
              <w:rPr>
                <w:rFonts w:ascii="Times New Roman"/>
                <w:sz w:val="18"/>
              </w:rPr>
              <w:t>Inc</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实际控制人周亚辉控制的其他企业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Everyone happy entertainment</w:t>
            </w:r>
            <w:r>
              <w:rPr>
                <w:rFonts w:ascii="Times New Roman"/>
                <w:spacing w:val="-9"/>
                <w:sz w:val="18"/>
              </w:rPr>
              <w:t> </w:t>
            </w:r>
            <w:r>
              <w:rPr>
                <w:rFonts w:ascii="Times New Roman"/>
                <w:sz w:val="18"/>
              </w:rPr>
              <w:t>limited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实际控制人周亚辉控制的其他企业</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王立伟</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副总经理、董事</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b/>
          <w:bCs/>
          <w:sz w:val="28"/>
          <w:szCs w:val="28"/>
        </w:rPr>
      </w:pPr>
    </w:p>
    <w:tbl>
      <w:tblPr>
        <w:tblW w:w="0" w:type="auto"/>
        <w:jc w:val="left"/>
        <w:tblInd w:w="112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方汉</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公司原副总经理</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欧普拉件技术（北京）有限公司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公司联营企业</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Kunhoo</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Software LLC</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控制的企业</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6"/>
        <w:spacing w:line="240" w:lineRule="auto"/>
        <w:ind w:left="1133" w:right="998"/>
        <w:jc w:val="left"/>
        <w:rPr>
          <w:b w:val="0"/>
          <w:bCs w:val="0"/>
        </w:rPr>
      </w:pPr>
      <w:bookmarkStart w:name="5、关联交易情况" w:id="472"/>
      <w:bookmarkEnd w:id="472"/>
      <w:r>
        <w:rPr>
          <w:b w:val="0"/>
          <w:bCs w:val="0"/>
        </w:rPr>
      </w:r>
      <w:r>
        <w:rPr>
          <w:rFonts w:ascii="Times New Roman" w:hAnsi="Times New Roman" w:cs="Times New Roman" w:eastAsia="Times New Roman" w:hint="default"/>
        </w:rPr>
        <w:t>5</w:t>
      </w:r>
      <w:r>
        <w:rPr/>
        <w:t>、关联交易情况</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right="998"/>
        <w:jc w:val="left"/>
        <w:rPr>
          <w:b w:val="0"/>
          <w:bCs w:val="0"/>
        </w:rPr>
      </w:pPr>
      <w:bookmarkStart w:name="（1）购销商品、提供和接受劳务的关联交易" w:id="473"/>
      <w:bookmarkEnd w:id="473"/>
      <w:r>
        <w:rPr>
          <w:b w:val="0"/>
          <w:bCs w:val="0"/>
        </w:rPr>
      </w: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3"/>
        <w:rPr>
          <w:rFonts w:ascii="宋体" w:hAnsi="宋体" w:cs="宋体" w:eastAsia="宋体" w:hint="default"/>
          <w:b/>
          <w:bCs/>
          <w:sz w:val="23"/>
          <w:szCs w:val="23"/>
        </w:rPr>
      </w:pPr>
    </w:p>
    <w:p>
      <w:pPr>
        <w:spacing w:before="44"/>
        <w:ind w:left="1134" w:right="998" w:firstLine="0"/>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接受劳务情况表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540"/>
        <w:gridCol w:w="1454"/>
        <w:gridCol w:w="1455"/>
        <w:gridCol w:w="1706"/>
        <w:gridCol w:w="1708"/>
        <w:gridCol w:w="1695"/>
      </w:tblGrid>
      <w:tr>
        <w:trPr>
          <w:trHeight w:val="402" w:hRule="exact"/>
        </w:trPr>
        <w:tc>
          <w:tcPr>
            <w:tcW w:w="1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8"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6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9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2"/>
        <w:ind w:left="1134" w:right="998" w:firstLine="0"/>
        <w:jc w:val="left"/>
        <w:rPr>
          <w:rFonts w:ascii="宋体" w:hAnsi="宋体" w:cs="宋体" w:eastAsia="宋体" w:hint="default"/>
          <w:sz w:val="18"/>
          <w:szCs w:val="18"/>
        </w:rPr>
      </w:pPr>
      <w:r>
        <w:rPr>
          <w:rFonts w:ascii="宋体" w:hAnsi="宋体" w:cs="宋体" w:eastAsia="宋体" w:hint="default"/>
          <w:sz w:val="18"/>
          <w:szCs w:val="18"/>
        </w:rPr>
        <w:t>出售商品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提供劳务情况表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398"/>
        <w:gridCol w:w="2259"/>
        <w:gridCol w:w="2260"/>
        <w:gridCol w:w="2652"/>
      </w:tblGrid>
      <w:tr>
        <w:trPr>
          <w:trHeight w:val="402" w:hRule="exact"/>
        </w:trPr>
        <w:tc>
          <w:tcPr>
            <w:tcW w:w="23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4"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7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购销商品、提供和接受劳务的关联交易说明</w:t>
      </w:r>
    </w:p>
    <w:p>
      <w:pPr>
        <w:spacing w:line="240" w:lineRule="auto" w:before="11"/>
        <w:rPr>
          <w:rFonts w:ascii="宋体" w:hAnsi="宋体" w:cs="宋体" w:eastAsia="宋体" w:hint="default"/>
          <w:sz w:val="26"/>
          <w:szCs w:val="26"/>
        </w:rPr>
      </w:pPr>
    </w:p>
    <w:p>
      <w:pPr>
        <w:pStyle w:val="Heading6"/>
        <w:spacing w:line="240" w:lineRule="auto"/>
        <w:ind w:right="998"/>
        <w:jc w:val="left"/>
        <w:rPr>
          <w:b w:val="0"/>
          <w:bCs w:val="0"/>
        </w:rPr>
      </w:pPr>
      <w:bookmarkStart w:name="（2）关联受托管理/承包及委托管理/出包情况" w:id="474"/>
      <w:bookmarkEnd w:id="474"/>
      <w:r>
        <w:rPr>
          <w:b w:val="0"/>
          <w:bCs w:val="0"/>
        </w:rPr>
      </w:r>
      <w:r>
        <w:rPr/>
        <w:t>（</w:t>
      </w:r>
      <w:r>
        <w:rPr>
          <w:rFonts w:ascii="Times New Roman" w:hAnsi="Times New Roman" w:cs="Times New Roman" w:eastAsia="Times New Roman" w:hint="default"/>
        </w:rPr>
        <w:t>2</w:t>
      </w:r>
      <w:r>
        <w:rPr/>
        <w:t>）关联受托管理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spacing w:line="240" w:lineRule="auto" w:before="4"/>
        <w:rPr>
          <w:rFonts w:ascii="宋体" w:hAnsi="宋体" w:cs="宋体" w:eastAsia="宋体" w:hint="default"/>
          <w:b/>
          <w:bCs/>
          <w:sz w:val="23"/>
          <w:szCs w:val="23"/>
        </w:rPr>
      </w:pPr>
    </w:p>
    <w:p>
      <w:pPr>
        <w:spacing w:before="44"/>
        <w:ind w:left="1134" w:right="998" w:firstLine="0"/>
        <w:jc w:val="left"/>
        <w:rPr>
          <w:rFonts w:ascii="宋体" w:hAnsi="宋体" w:cs="宋体" w:eastAsia="宋体" w:hint="default"/>
          <w:sz w:val="18"/>
          <w:szCs w:val="18"/>
        </w:rPr>
      </w:pPr>
      <w:r>
        <w:rPr>
          <w:rFonts w:ascii="宋体" w:hAnsi="宋体" w:cs="宋体" w:eastAsia="宋体" w:hint="default"/>
          <w:sz w:val="18"/>
          <w:szCs w:val="18"/>
        </w:rPr>
        <w:t>本公司受托管理</w:t>
      </w:r>
      <w:r>
        <w:rPr>
          <w:rFonts w:ascii="Times New Roman" w:hAnsi="Times New Roman" w:cs="Times New Roman" w:eastAsia="Times New Roman" w:hint="default"/>
          <w:sz w:val="18"/>
          <w:szCs w:val="18"/>
        </w:rPr>
        <w:t>/</w:t>
      </w:r>
      <w:r>
        <w:rPr>
          <w:rFonts w:ascii="宋体" w:hAnsi="宋体" w:cs="宋体" w:eastAsia="宋体" w:hint="default"/>
          <w:sz w:val="18"/>
          <w:szCs w:val="18"/>
        </w:rPr>
        <w:t>承包情况表：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368"/>
        <w:gridCol w:w="1367"/>
        <w:gridCol w:w="1368"/>
        <w:gridCol w:w="1367"/>
        <w:gridCol w:w="1368"/>
        <w:gridCol w:w="1367"/>
        <w:gridCol w:w="1367"/>
      </w:tblGrid>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588" w:right="23" w:hanging="566"/>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出包方名 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587" w:right="23" w:hanging="566"/>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承包方名 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588" w:right="23" w:hanging="566"/>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承包资产类 型</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承包起始日</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承包终止日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28" w:right="23" w:hanging="206"/>
              <w:jc w:val="left"/>
              <w:rPr>
                <w:rFonts w:ascii="宋体" w:hAnsi="宋体" w:cs="宋体" w:eastAsia="宋体" w:hint="default"/>
                <w:sz w:val="18"/>
                <w:szCs w:val="18"/>
              </w:rPr>
            </w:pPr>
            <w:r>
              <w:rPr>
                <w:rFonts w:ascii="宋体" w:hAnsi="宋体" w:cs="宋体" w:eastAsia="宋体" w:hint="default"/>
                <w:sz w:val="18"/>
                <w:szCs w:val="18"/>
              </w:rPr>
              <w:t>托管收益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承包收 益定价依据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2" w:right="47" w:hanging="65"/>
              <w:jc w:val="left"/>
              <w:rPr>
                <w:rFonts w:ascii="宋体" w:hAnsi="宋体" w:cs="宋体" w:eastAsia="宋体" w:hint="default"/>
                <w:sz w:val="18"/>
                <w:szCs w:val="18"/>
              </w:rPr>
            </w:pPr>
            <w:r>
              <w:rPr>
                <w:rFonts w:ascii="宋体" w:hAnsi="宋体" w:cs="宋体" w:eastAsia="宋体" w:hint="default"/>
                <w:sz w:val="18"/>
                <w:szCs w:val="18"/>
              </w:rPr>
              <w:t>本期确认的托管 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承包收益</w:t>
            </w:r>
          </w:p>
        </w:tc>
      </w:tr>
    </w:tbl>
    <w:p>
      <w:pPr>
        <w:spacing w:after="0" w:line="316" w:lineRule="auto"/>
        <w:jc w:val="left"/>
        <w:rPr>
          <w:rFonts w:ascii="宋体" w:hAnsi="宋体" w:cs="宋体" w:eastAsia="宋体" w:hint="default"/>
          <w:sz w:val="18"/>
          <w:szCs w:val="18"/>
        </w:rPr>
        <w:sectPr>
          <w:pgSz w:w="11910" w:h="16840"/>
          <w:pgMar w:header="877" w:footer="979" w:top="1060" w:bottom="1160" w:left="0" w:right="0"/>
        </w:sectPr>
      </w:pPr>
    </w:p>
    <w:p>
      <w:pPr>
        <w:spacing w:line="338" w:lineRule="auto" w:before="52"/>
        <w:ind w:left="1134" w:right="-20" w:firstLine="0"/>
        <w:jc w:val="left"/>
        <w:rPr>
          <w:rFonts w:ascii="宋体" w:hAnsi="宋体" w:cs="宋体" w:eastAsia="宋体" w:hint="default"/>
          <w:sz w:val="18"/>
          <w:szCs w:val="18"/>
        </w:rPr>
      </w:pPr>
      <w:r>
        <w:rPr>
          <w:rFonts w:ascii="宋体" w:hAnsi="宋体" w:cs="宋体" w:eastAsia="宋体" w:hint="default"/>
          <w:sz w:val="18"/>
          <w:szCs w:val="18"/>
        </w:rPr>
        <w:t>关联托管</w:t>
      </w:r>
      <w:r>
        <w:rPr>
          <w:rFonts w:ascii="Times New Roman" w:hAnsi="Times New Roman" w:cs="Times New Roman" w:eastAsia="Times New Roman" w:hint="default"/>
          <w:sz w:val="18"/>
          <w:szCs w:val="18"/>
        </w:rPr>
        <w:t>/</w:t>
      </w:r>
      <w:r>
        <w:rPr>
          <w:rFonts w:ascii="宋体" w:hAnsi="宋体" w:cs="宋体" w:eastAsia="宋体" w:hint="default"/>
          <w:sz w:val="18"/>
          <w:szCs w:val="18"/>
        </w:rPr>
        <w:t>承包情况说明 本公司委托管理</w:t>
      </w:r>
      <w:r>
        <w:rPr>
          <w:rFonts w:ascii="Times New Roman" w:hAnsi="Times New Roman" w:cs="Times New Roman" w:eastAsia="Times New Roman" w:hint="default"/>
          <w:sz w:val="18"/>
          <w:szCs w:val="18"/>
        </w:rPr>
        <w:t>/</w:t>
      </w:r>
      <w:r>
        <w:rPr>
          <w:rFonts w:ascii="宋体" w:hAnsi="宋体" w:cs="宋体" w:eastAsia="宋体" w:hint="default"/>
          <w:sz w:val="18"/>
          <w:szCs w:val="18"/>
        </w:rPr>
        <w:t>出包情况表：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 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3525" w:space="5304"/>
            <w:col w:w="3081"/>
          </w:cols>
        </w:sectPr>
      </w:pP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368"/>
        <w:gridCol w:w="1367"/>
        <w:gridCol w:w="1368"/>
        <w:gridCol w:w="1367"/>
        <w:gridCol w:w="1368"/>
        <w:gridCol w:w="1367"/>
        <w:gridCol w:w="1367"/>
      </w:tblGrid>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588" w:right="23" w:hanging="566"/>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出包方名 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587" w:right="23" w:hanging="566"/>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承包方名 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588" w:right="23" w:hanging="566"/>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出包资产类 型</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出包起始日</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出包终止日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408" w:right="23" w:hanging="386"/>
              <w:jc w:val="left"/>
              <w:rPr>
                <w:rFonts w:ascii="宋体" w:hAnsi="宋体" w:cs="宋体" w:eastAsia="宋体" w:hint="default"/>
                <w:sz w:val="18"/>
                <w:szCs w:val="18"/>
              </w:rPr>
            </w:pPr>
            <w:r>
              <w:rPr>
                <w:rFonts w:ascii="宋体" w:hAnsi="宋体" w:cs="宋体" w:eastAsia="宋体" w:hint="default"/>
                <w:sz w:val="18"/>
                <w:szCs w:val="18"/>
              </w:rPr>
              <w:t>托管费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出包费定 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92" w:right="47" w:hanging="245"/>
              <w:jc w:val="left"/>
              <w:rPr>
                <w:rFonts w:ascii="宋体" w:hAnsi="宋体" w:cs="宋体" w:eastAsia="宋体" w:hint="default"/>
                <w:sz w:val="18"/>
                <w:szCs w:val="18"/>
              </w:rPr>
            </w:pPr>
            <w:r>
              <w:rPr>
                <w:rFonts w:ascii="宋体" w:hAnsi="宋体" w:cs="宋体" w:eastAsia="宋体" w:hint="default"/>
                <w:sz w:val="18"/>
                <w:szCs w:val="18"/>
              </w:rPr>
              <w:t>本期确认的托管 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关联管理</w:t>
      </w:r>
      <w:r>
        <w:rPr>
          <w:rFonts w:ascii="Times New Roman" w:hAnsi="Times New Roman" w:cs="Times New Roman" w:eastAsia="Times New Roman" w:hint="default"/>
          <w:sz w:val="18"/>
          <w:szCs w:val="18"/>
        </w:rPr>
        <w:t>/</w:t>
      </w:r>
      <w:r>
        <w:rPr>
          <w:rFonts w:ascii="宋体" w:hAnsi="宋体" w:cs="宋体" w:eastAsia="宋体" w:hint="default"/>
          <w:sz w:val="18"/>
          <w:szCs w:val="18"/>
        </w:rPr>
        <w:t>出包情况说明</w:t>
      </w:r>
    </w:p>
    <w:p>
      <w:pPr>
        <w:spacing w:line="240" w:lineRule="auto" w:before="10"/>
        <w:rPr>
          <w:rFonts w:ascii="宋体" w:hAnsi="宋体" w:cs="宋体" w:eastAsia="宋体" w:hint="default"/>
          <w:sz w:val="25"/>
          <w:szCs w:val="25"/>
        </w:rPr>
      </w:pPr>
    </w:p>
    <w:p>
      <w:pPr>
        <w:pStyle w:val="Heading6"/>
        <w:spacing w:line="240" w:lineRule="auto"/>
        <w:ind w:right="998"/>
        <w:jc w:val="left"/>
        <w:rPr>
          <w:b w:val="0"/>
          <w:bCs w:val="0"/>
        </w:rPr>
      </w:pPr>
      <w:bookmarkStart w:name="（3）关联租赁情况" w:id="475"/>
      <w:bookmarkEnd w:id="475"/>
      <w:r>
        <w:rPr>
          <w:b w:val="0"/>
          <w:bCs w:val="0"/>
        </w:rPr>
      </w:r>
      <w:r>
        <w:rPr/>
        <w:t>（</w:t>
      </w:r>
      <w:r>
        <w:rPr>
          <w:rFonts w:ascii="Times New Roman" w:hAnsi="Times New Roman" w:cs="Times New Roman" w:eastAsia="Times New Roman" w:hint="default"/>
        </w:rPr>
        <w:t>3</w:t>
      </w:r>
      <w:r>
        <w:rPr/>
        <w:t>）关联租赁情况</w:t>
      </w:r>
      <w:r>
        <w:rPr>
          <w:b w:val="0"/>
          <w:bCs w:val="0"/>
        </w:rPr>
      </w:r>
    </w:p>
    <w:p>
      <w:pPr>
        <w:spacing w:line="240" w:lineRule="auto" w:before="4"/>
        <w:rPr>
          <w:rFonts w:ascii="宋体" w:hAnsi="宋体" w:cs="宋体" w:eastAsia="宋体" w:hint="default"/>
          <w:b/>
          <w:bCs/>
          <w:sz w:val="23"/>
          <w:szCs w:val="23"/>
        </w:rPr>
      </w:pPr>
    </w:p>
    <w:p>
      <w:pPr>
        <w:spacing w:before="44"/>
        <w:ind w:left="1134" w:right="998" w:firstLine="0"/>
        <w:jc w:val="left"/>
        <w:rPr>
          <w:rFonts w:ascii="宋体" w:hAnsi="宋体" w:cs="宋体" w:eastAsia="宋体" w:hint="default"/>
          <w:sz w:val="18"/>
          <w:szCs w:val="18"/>
        </w:rPr>
      </w:pPr>
      <w:r>
        <w:rPr>
          <w:rFonts w:ascii="宋体" w:hAnsi="宋体" w:cs="宋体" w:eastAsia="宋体" w:hint="default"/>
          <w:sz w:val="18"/>
          <w:szCs w:val="18"/>
        </w:rPr>
        <w:t>本公司作为出租方：</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388"/>
        <w:gridCol w:w="2394"/>
        <w:gridCol w:w="2393"/>
        <w:gridCol w:w="2393"/>
      </w:tblGrid>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8"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1"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1"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1"/>
              <w:jc w:val="left"/>
              <w:rPr>
                <w:rFonts w:ascii="宋体" w:hAnsi="宋体" w:cs="宋体" w:eastAsia="宋体" w:hint="default"/>
                <w:sz w:val="18"/>
                <w:szCs w:val="18"/>
              </w:rPr>
            </w:pPr>
            <w:r>
              <w:rPr>
                <w:rFonts w:ascii="宋体" w:hAnsi="宋体" w:cs="宋体" w:eastAsia="宋体" w:hint="default"/>
                <w:sz w:val="18"/>
                <w:szCs w:val="18"/>
              </w:rPr>
              <w:t>摩比神奇（北京）信息技术有 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办公场所</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7,195,910.76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6,167,614.39</w:t>
            </w:r>
          </w:p>
        </w:tc>
      </w:tr>
      <w:tr>
        <w:trPr>
          <w:trHeight w:val="716"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2" w:right="22"/>
              <w:jc w:val="left"/>
              <w:rPr>
                <w:rFonts w:ascii="宋体" w:hAnsi="宋体" w:cs="宋体" w:eastAsia="宋体" w:hint="default"/>
                <w:sz w:val="18"/>
                <w:szCs w:val="18"/>
              </w:rPr>
            </w:pPr>
            <w:r>
              <w:rPr>
                <w:rFonts w:ascii="宋体" w:hAnsi="宋体" w:cs="宋体" w:eastAsia="宋体" w:hint="default"/>
                <w:spacing w:val="-1"/>
                <w:sz w:val="18"/>
                <w:szCs w:val="18"/>
              </w:rPr>
              <w:t>欧普拉软件技术（北京）有限</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办公场所</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8,764,692.75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1,463,640.88</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本公司作为承租方：</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type w:val="continuous"/>
          <w:pgSz w:w="11910" w:h="16840"/>
          <w:pgMar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1"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本期确认的租赁费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上期确认的租赁费</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关联租赁情况说明</w:t>
      </w:r>
    </w:p>
    <w:p>
      <w:pPr>
        <w:spacing w:line="240" w:lineRule="auto" w:before="11"/>
        <w:rPr>
          <w:rFonts w:ascii="宋体" w:hAnsi="宋体" w:cs="宋体" w:eastAsia="宋体" w:hint="default"/>
          <w:sz w:val="26"/>
          <w:szCs w:val="26"/>
        </w:rPr>
      </w:pPr>
    </w:p>
    <w:p>
      <w:pPr>
        <w:pStyle w:val="Heading6"/>
        <w:spacing w:line="240" w:lineRule="auto"/>
        <w:ind w:right="998"/>
        <w:jc w:val="left"/>
        <w:rPr>
          <w:b w:val="0"/>
          <w:bCs w:val="0"/>
        </w:rPr>
      </w:pPr>
      <w:bookmarkStart w:name="（4）关联担保情况" w:id="476"/>
      <w:bookmarkEnd w:id="476"/>
      <w:r>
        <w:rPr>
          <w:b w:val="0"/>
          <w:bCs w:val="0"/>
        </w:rPr>
      </w:r>
      <w:r>
        <w:rPr/>
        <w:t>（</w:t>
      </w:r>
      <w:r>
        <w:rPr>
          <w:rFonts w:ascii="Times New Roman" w:hAnsi="Times New Roman" w:cs="Times New Roman" w:eastAsia="Times New Roman" w:hint="default"/>
        </w:rPr>
        <w:t>4</w:t>
      </w:r>
      <w:r>
        <w:rPr/>
        <w:t>）关联担保情况</w:t>
      </w:r>
      <w:r>
        <w:rPr>
          <w:b w:val="0"/>
          <w:bCs w:val="0"/>
        </w:rPr>
      </w:r>
    </w:p>
    <w:p>
      <w:pPr>
        <w:spacing w:line="240" w:lineRule="auto" w:before="4"/>
        <w:rPr>
          <w:rFonts w:ascii="宋体" w:hAnsi="宋体" w:cs="宋体" w:eastAsia="宋体" w:hint="default"/>
          <w:b/>
          <w:bCs/>
          <w:sz w:val="23"/>
          <w:szCs w:val="23"/>
        </w:rPr>
      </w:pPr>
    </w:p>
    <w:p>
      <w:pPr>
        <w:spacing w:before="44"/>
        <w:ind w:left="1134" w:right="998" w:firstLine="0"/>
        <w:jc w:val="left"/>
        <w:rPr>
          <w:rFonts w:ascii="宋体" w:hAnsi="宋体" w:cs="宋体" w:eastAsia="宋体" w:hint="default"/>
          <w:sz w:val="18"/>
          <w:szCs w:val="18"/>
        </w:rPr>
      </w:pPr>
      <w:r>
        <w:rPr>
          <w:rFonts w:ascii="宋体" w:hAnsi="宋体" w:cs="宋体" w:eastAsia="宋体" w:hint="default"/>
          <w:sz w:val="18"/>
          <w:szCs w:val="18"/>
        </w:rPr>
        <w:t>本公司作为担保方</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913"/>
        <w:gridCol w:w="1916"/>
        <w:gridCol w:w="1914"/>
        <w:gridCol w:w="1914"/>
        <w:gridCol w:w="1903"/>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被担保方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1"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bl>
    <w:p>
      <w:pPr>
        <w:spacing w:before="52"/>
        <w:ind w:left="1134" w:right="998" w:firstLine="0"/>
        <w:jc w:val="left"/>
        <w:rPr>
          <w:rFonts w:ascii="宋体" w:hAnsi="宋体" w:cs="宋体" w:eastAsia="宋体" w:hint="default"/>
          <w:sz w:val="18"/>
          <w:szCs w:val="18"/>
        </w:rPr>
      </w:pPr>
      <w:r>
        <w:rPr>
          <w:rFonts w:ascii="宋体" w:hAnsi="宋体" w:cs="宋体" w:eastAsia="宋体" w:hint="default"/>
          <w:sz w:val="18"/>
          <w:szCs w:val="18"/>
        </w:rPr>
        <w:t>本公司作为被担保方</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周亚辉</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关联担保情况说明</w:t>
      </w:r>
    </w:p>
    <w:p>
      <w:pPr>
        <w:pStyle w:val="BodyText"/>
        <w:spacing w:line="240" w:lineRule="auto" w:before="90"/>
        <w:ind w:left="2410" w:right="0"/>
        <w:jc w:val="both"/>
      </w:pPr>
      <w:r>
        <w:rPr/>
        <w:t>关联担保情况说明：</w:t>
      </w:r>
    </w:p>
    <w:p>
      <w:pPr>
        <w:pStyle w:val="BodyText"/>
        <w:spacing w:line="256" w:lineRule="auto" w:before="37"/>
        <w:ind w:left="2409" w:right="1132"/>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29</w:t>
      </w:r>
      <w:r>
        <w:rPr/>
        <w:t>日，公司与江苏银行股份有限公司北京中关村支行签订了编号为 </w:t>
      </w:r>
      <w:r>
        <w:rPr>
          <w:rFonts w:ascii="Times New Roman" w:hAnsi="Times New Roman" w:cs="Times New Roman" w:eastAsia="Times New Roman" w:hint="default"/>
        </w:rPr>
        <w:t>323017CF011</w:t>
      </w:r>
      <w:r>
        <w:rPr/>
        <w:t>的《最高额综合授信合同》，综合授信额度</w:t>
      </w:r>
      <w:r>
        <w:rPr>
          <w:rFonts w:ascii="Times New Roman" w:hAnsi="Times New Roman" w:cs="Times New Roman" w:eastAsia="Times New Roman" w:hint="default"/>
        </w:rPr>
        <w:t>3.4</w:t>
      </w:r>
      <w:r>
        <w:rPr/>
        <w:t>亿元。</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25</w:t>
      </w:r>
      <w:r>
        <w:rPr/>
        <w:t>日签订了编 </w:t>
      </w:r>
      <w:r>
        <w:rPr>
          <w:spacing w:val="-1"/>
        </w:rPr>
        <w:t>号为</w:t>
      </w:r>
      <w:r>
        <w:rPr>
          <w:rFonts w:ascii="Times New Roman" w:hAnsi="Times New Roman" w:cs="Times New Roman" w:eastAsia="Times New Roman" w:hint="default"/>
          <w:spacing w:val="-1"/>
        </w:rPr>
        <w:t>323017CF011-001BZ</w:t>
      </w:r>
      <w:r>
        <w:rPr>
          <w:spacing w:val="-1"/>
        </w:rPr>
        <w:t>的《最高额个人连带责任保证书》，由实际控制人周亚辉提供个人</w:t>
      </w:r>
      <w:r>
        <w:rPr>
          <w:spacing w:val="-66"/>
        </w:rPr>
        <w:t> </w:t>
      </w:r>
      <w:r>
        <w:rPr>
          <w:spacing w:val="-66"/>
        </w:rPr>
      </w:r>
      <w:r>
        <w:rPr/>
        <w:t>担保。</w:t>
      </w:r>
    </w:p>
    <w:p>
      <w:pPr>
        <w:pStyle w:val="BodyText"/>
        <w:spacing w:line="256" w:lineRule="auto" w:before="22"/>
        <w:ind w:left="2410" w:right="1130"/>
        <w:jc w:val="both"/>
      </w:pPr>
      <w:r>
        <w:rPr>
          <w:spacing w:val="-2"/>
        </w:rPr>
        <w:t>（</w:t>
      </w:r>
      <w:r>
        <w:rPr>
          <w:rFonts w:ascii="Times New Roman" w:hAnsi="Times New Roman" w:cs="Times New Roman" w:eastAsia="Times New Roman" w:hint="default"/>
          <w:spacing w:val="-2"/>
        </w:rPr>
        <w:t>2</w:t>
      </w:r>
      <w:r>
        <w:rPr>
          <w:spacing w:val="-2"/>
        </w:rPr>
        <w:t>）</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30</w:t>
      </w:r>
      <w:r>
        <w:rPr>
          <w:spacing w:val="-2"/>
        </w:rPr>
        <w:t>日，公司与华夏银行股份有限公司北京知春支行签订了编号为</w:t>
      </w:r>
      <w:r>
        <w:rPr>
          <w:rFonts w:ascii="Times New Roman" w:hAnsi="Times New Roman" w:cs="Times New Roman" w:eastAsia="Times New Roman" w:hint="default"/>
          <w:spacing w:val="-2"/>
        </w:rPr>
        <w:t>yyB26</w:t>
      </w:r>
      <w:r>
        <w:rPr>
          <w:spacing w:val="-2"/>
        </w:rPr>
        <w:t>（融</w:t>
      </w:r>
      <w:r>
        <w:rPr>
          <w:spacing w:val="-91"/>
        </w:rPr>
        <w:t> </w:t>
      </w:r>
      <w:r>
        <w:rPr/>
        <w:t>资）</w:t>
      </w:r>
      <w:r>
        <w:rPr>
          <w:rFonts w:ascii="Times New Roman" w:hAnsi="Times New Roman" w:cs="Times New Roman" w:eastAsia="Times New Roman" w:hint="default"/>
        </w:rPr>
        <w:t>20170031</w:t>
      </w:r>
      <w:r>
        <w:rPr/>
        <w:t>的《最高额融资合同》，最高融资额度为</w:t>
      </w:r>
      <w:r>
        <w:rPr>
          <w:rFonts w:ascii="Times New Roman" w:hAnsi="Times New Roman" w:cs="Times New Roman" w:eastAsia="Times New Roman" w:hint="default"/>
        </w:rPr>
        <w:t>2</w:t>
      </w:r>
      <w:r>
        <w:rPr/>
        <w:t>亿元，同时签订了《个人最高额保 证合同》，由实际控制人周亚辉提供个人担保。</w:t>
      </w:r>
    </w:p>
    <w:p>
      <w:pPr>
        <w:pStyle w:val="BodyText"/>
        <w:spacing w:line="256" w:lineRule="auto" w:before="22"/>
        <w:ind w:left="2409" w:right="1131"/>
        <w:jc w:val="both"/>
      </w:pPr>
      <w:r>
        <w:rPr>
          <w:spacing w:val="-1"/>
        </w:rPr>
        <w:t>（</w:t>
      </w:r>
      <w:r>
        <w:rPr>
          <w:rFonts w:ascii="Times New Roman" w:hAnsi="Times New Roman" w:cs="Times New Roman" w:eastAsia="Times New Roman" w:hint="default"/>
          <w:spacing w:val="-1"/>
        </w:rPr>
        <w:t>3</w:t>
      </w:r>
      <w:r>
        <w:rPr>
          <w:spacing w:val="-1"/>
        </w:rPr>
        <w:t>）</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16</w:t>
      </w:r>
      <w:r>
        <w:rPr>
          <w:spacing w:val="-1"/>
        </w:rPr>
        <w:t>日，公司与平安银行股份有限公司北京分行签订了编号为平银电子信息产</w:t>
      </w:r>
      <w:r>
        <w:rPr>
          <w:spacing w:val="-103"/>
        </w:rPr>
        <w:t> </w:t>
      </w:r>
      <w:r>
        <w:rPr>
          <w:spacing w:val="-103"/>
        </w:rPr>
      </w:r>
      <w:r>
        <w:rPr>
          <w:spacing w:val="-1"/>
        </w:rPr>
        <w:t>业综字</w:t>
      </w:r>
      <w:r>
        <w:rPr>
          <w:rFonts w:ascii="Times New Roman" w:hAnsi="Times New Roman" w:cs="Times New Roman" w:eastAsia="Times New Roman" w:hint="default"/>
          <w:spacing w:val="-1"/>
        </w:rPr>
        <w:t>20170428</w:t>
      </w:r>
      <w:r>
        <w:rPr>
          <w:spacing w:val="-1"/>
        </w:rPr>
        <w:t>第</w:t>
      </w:r>
      <w:r>
        <w:rPr>
          <w:rFonts w:ascii="Times New Roman" w:hAnsi="Times New Roman" w:cs="Times New Roman" w:eastAsia="Times New Roman" w:hint="default"/>
          <w:spacing w:val="-1"/>
        </w:rPr>
        <w:t>001</w:t>
      </w:r>
      <w:r>
        <w:rPr>
          <w:spacing w:val="-1"/>
        </w:rPr>
        <w:t>的《综合授信额度合同》，综合授信额度</w:t>
      </w:r>
      <w:r>
        <w:rPr>
          <w:rFonts w:ascii="Times New Roman" w:hAnsi="Times New Roman" w:cs="Times New Roman" w:eastAsia="Times New Roman" w:hint="default"/>
          <w:spacing w:val="-1"/>
        </w:rPr>
        <w:t>4</w:t>
      </w:r>
      <w:r>
        <w:rPr>
          <w:spacing w:val="-1"/>
        </w:rPr>
        <w:t>亿元，同时签订了编号为平</w:t>
      </w:r>
      <w:r>
        <w:rPr>
          <w:spacing w:val="-100"/>
        </w:rPr>
        <w:t> </w:t>
      </w:r>
      <w:r>
        <w:rPr>
          <w:spacing w:val="-100"/>
        </w:rPr>
      </w:r>
      <w:r>
        <w:rPr/>
        <w:t>银电子信息产业额保字</w:t>
      </w:r>
      <w:r>
        <w:rPr>
          <w:rFonts w:ascii="Times New Roman" w:hAnsi="Times New Roman" w:cs="Times New Roman" w:eastAsia="Times New Roman" w:hint="default"/>
        </w:rPr>
        <w:t>20170428</w:t>
      </w:r>
      <w:r>
        <w:rPr/>
        <w:t>第</w:t>
      </w:r>
      <w:r>
        <w:rPr>
          <w:rFonts w:ascii="Times New Roman" w:hAnsi="Times New Roman" w:cs="Times New Roman" w:eastAsia="Times New Roman" w:hint="default"/>
        </w:rPr>
        <w:t>001</w:t>
      </w:r>
      <w:r>
        <w:rPr/>
        <w:t>号《最高额保证担保合同》，由实际控制人周亚辉提 供个人担保。</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pStyle w:val="Heading6"/>
        <w:spacing w:line="240" w:lineRule="auto"/>
        <w:ind w:right="998"/>
        <w:jc w:val="left"/>
        <w:rPr>
          <w:b w:val="0"/>
          <w:bCs w:val="0"/>
        </w:rPr>
      </w:pPr>
      <w:bookmarkStart w:name="（5）关联方资金拆借" w:id="477"/>
      <w:bookmarkEnd w:id="477"/>
      <w:r>
        <w:rPr>
          <w:b w:val="0"/>
          <w:bCs w:val="0"/>
        </w:rPr>
      </w:r>
      <w:r>
        <w:rPr/>
        <w:t>（</w:t>
      </w:r>
      <w:r>
        <w:rPr>
          <w:rFonts w:ascii="Times New Roman" w:hAnsi="Times New Roman" w:cs="Times New Roman" w:eastAsia="Times New Roman" w:hint="default"/>
        </w:rPr>
        <w:t>5</w:t>
      </w:r>
      <w:r>
        <w:rPr/>
        <w:t>）关联方资金拆借</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913"/>
        <w:gridCol w:w="1914"/>
        <w:gridCol w:w="1915"/>
        <w:gridCol w:w="1914"/>
        <w:gridCol w:w="1903"/>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拆借金额</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到期日</w:t>
            </w:r>
          </w:p>
        </w:tc>
        <w:tc>
          <w:tcPr>
            <w:tcW w:w="19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956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拆入</w:t>
            </w:r>
          </w:p>
        </w:tc>
      </w:tr>
      <w:tr>
        <w:trPr>
          <w:trHeight w:val="402" w:hRule="exact"/>
        </w:trPr>
        <w:tc>
          <w:tcPr>
            <w:tcW w:w="956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拆出</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6）关联方资产转让、债务重组情况" w:id="478"/>
      <w:bookmarkEnd w:id="478"/>
      <w:r>
        <w:rPr>
          <w:b w:val="0"/>
          <w:bCs w:val="0"/>
        </w:rPr>
      </w:r>
      <w:r>
        <w:rPr/>
        <w:t>（</w:t>
      </w:r>
      <w:r>
        <w:rPr>
          <w:rFonts w:ascii="Times New Roman" w:hAnsi="Times New Roman" w:cs="Times New Roman" w:eastAsia="Times New Roman" w:hint="default"/>
        </w:rPr>
        <w:t>6</w:t>
      </w:r>
      <w:r>
        <w:rPr/>
        <w:t>）关联方资产转让、债务重组情况</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1"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7）关键管理人员报酬" w:id="479"/>
      <w:bookmarkEnd w:id="479"/>
      <w:r>
        <w:rPr>
          <w:b w:val="0"/>
          <w:bCs w:val="0"/>
        </w:rPr>
      </w:r>
      <w:r>
        <w:rPr/>
        <w:t>（</w:t>
      </w:r>
      <w:r>
        <w:rPr>
          <w:rFonts w:ascii="Times New Roman" w:hAnsi="Times New Roman" w:cs="Times New Roman" w:eastAsia="Times New Roman" w:hint="default"/>
        </w:rPr>
        <w:t>7</w:t>
      </w:r>
      <w:r>
        <w:rPr/>
        <w:t>）关键管理人员报酬</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关键管理人员薪酬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5,825,027.00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3,094,421.42</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8）其他关联交易" w:id="480"/>
      <w:bookmarkEnd w:id="480"/>
      <w:r>
        <w:rPr>
          <w:b w:val="0"/>
          <w:bCs w:val="0"/>
        </w:rPr>
      </w:r>
      <w:r>
        <w:rPr/>
        <w:t>（</w:t>
      </w:r>
      <w:r>
        <w:rPr>
          <w:rFonts w:ascii="Times New Roman" w:hAnsi="Times New Roman" w:cs="Times New Roman" w:eastAsia="Times New Roman" w:hint="default"/>
        </w:rPr>
        <w:t>8</w:t>
      </w:r>
      <w:r>
        <w:rPr/>
        <w:t>）其他关联交易</w:t>
      </w:r>
      <w:r>
        <w:rPr>
          <w:b w:val="0"/>
          <w:bCs w:val="0"/>
        </w:rPr>
      </w:r>
    </w:p>
    <w:p>
      <w:pPr>
        <w:spacing w:line="240" w:lineRule="auto" w:before="7"/>
        <w:rPr>
          <w:rFonts w:ascii="宋体" w:hAnsi="宋体" w:cs="宋体" w:eastAsia="宋体" w:hint="default"/>
          <w:b/>
          <w:bCs/>
          <w:sz w:val="24"/>
          <w:szCs w:val="24"/>
        </w:rPr>
      </w:pPr>
    </w:p>
    <w:p>
      <w:pPr>
        <w:pStyle w:val="BodyText"/>
        <w:spacing w:line="261" w:lineRule="auto"/>
        <w:ind w:left="2410" w:right="1128"/>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13</w:t>
      </w:r>
      <w:r>
        <w:rPr/>
        <w:t>日，公司与王立伟签订《股权转让协议》。根据协议，王立伟出资 </w:t>
      </w:r>
      <w:r>
        <w:rPr>
          <w:rFonts w:ascii="Times New Roman" w:hAnsi="Times New Roman" w:cs="Times New Roman" w:eastAsia="Times New Roman" w:hint="default"/>
        </w:rPr>
        <w:t>30,000,000.00</w:t>
      </w:r>
      <w:r>
        <w:rPr/>
        <w:t>元人民币，购买公司持有的北京信达天下科技有限公司的</w:t>
      </w:r>
      <w:r>
        <w:rPr>
          <w:rFonts w:ascii="Times New Roman" w:hAnsi="Times New Roman" w:cs="Times New Roman" w:eastAsia="Times New Roman" w:hint="default"/>
        </w:rPr>
        <w:t>15%</w:t>
      </w:r>
      <w:r>
        <w:rPr/>
        <w:t>股权，本次关联 交易会产生投资收益</w:t>
      </w:r>
      <w:r>
        <w:rPr>
          <w:rFonts w:ascii="Times New Roman" w:hAnsi="Times New Roman" w:cs="Times New Roman" w:eastAsia="Times New Roman" w:hint="default"/>
        </w:rPr>
        <w:t>17,401,907.52</w:t>
      </w:r>
      <w:r>
        <w:rPr/>
        <w:t>元。因股权受让人王立伟为公司董事、副总经理，本次交 </w:t>
      </w:r>
      <w:r>
        <w:rPr>
          <w:spacing w:val="-2"/>
        </w:rPr>
        <w:t>易构成关联交易。本次关联交易已经独立董事发表独立意见、保荐机构发表核查意见，并提</w:t>
      </w:r>
      <w:r>
        <w:rPr>
          <w:spacing w:val="-66"/>
        </w:rPr>
        <w:t> </w:t>
      </w:r>
      <w:r>
        <w:rPr>
          <w:spacing w:val="-66"/>
        </w:rPr>
      </w:r>
      <w:r>
        <w:rPr/>
        <w:t>交董事会审议批准。以上交易在本期完成，确认投资收益</w:t>
      </w:r>
      <w:r>
        <w:rPr>
          <w:rFonts w:ascii="Times New Roman" w:hAnsi="Times New Roman" w:cs="Times New Roman" w:eastAsia="Times New Roman" w:hint="default"/>
        </w:rPr>
        <w:t>17,401,907.52</w:t>
      </w:r>
      <w:r>
        <w:rPr/>
        <w:t>元。</w:t>
      </w:r>
    </w:p>
    <w:p>
      <w:pPr>
        <w:pStyle w:val="BodyText"/>
        <w:spacing w:line="259" w:lineRule="auto"/>
        <w:ind w:left="2409" w:right="1083"/>
        <w:jc w:val="left"/>
      </w:pPr>
      <w:r>
        <w:rPr>
          <w:spacing w:val="-6"/>
        </w:rPr>
        <w:t>（</w:t>
      </w:r>
      <w:r>
        <w:rPr>
          <w:rFonts w:ascii="Times New Roman" w:hAnsi="Times New Roman" w:cs="Times New Roman" w:eastAsia="Times New Roman" w:hint="default"/>
          <w:spacing w:val="-6"/>
        </w:rPr>
        <w:t>2</w:t>
      </w:r>
      <w:r>
        <w:rPr>
          <w:spacing w:val="-6"/>
        </w:rPr>
        <w:t>）</w:t>
      </w:r>
      <w:r>
        <w:rPr>
          <w:rFonts w:ascii="Times New Roman" w:hAnsi="Times New Roman" w:cs="Times New Roman" w:eastAsia="Times New Roman" w:hint="default"/>
          <w:spacing w:val="-6"/>
        </w:rPr>
        <w:t>2016</w:t>
      </w:r>
      <w:r>
        <w:rPr>
          <w:spacing w:val="-6"/>
        </w:rPr>
        <w:t>年</w:t>
      </w:r>
      <w:r>
        <w:rPr>
          <w:rFonts w:ascii="Times New Roman" w:hAnsi="Times New Roman" w:cs="Times New Roman" w:eastAsia="Times New Roman" w:hint="default"/>
          <w:spacing w:val="-6"/>
        </w:rPr>
        <w:t>12</w:t>
      </w:r>
      <w:r>
        <w:rPr>
          <w:spacing w:val="-6"/>
        </w:rPr>
        <w:t>月</w:t>
      </w:r>
      <w:r>
        <w:rPr>
          <w:rFonts w:ascii="Times New Roman" w:hAnsi="Times New Roman" w:cs="Times New Roman" w:eastAsia="Times New Roman" w:hint="default"/>
          <w:spacing w:val="-6"/>
        </w:rPr>
        <w:t>14</w:t>
      </w:r>
      <w:r>
        <w:rPr>
          <w:spacing w:val="-6"/>
        </w:rPr>
        <w:t>日，公司以全资子公司西藏昆诺赢展创业投资有限责任公司（以下简称</w:t>
      </w:r>
      <w:r>
        <w:rPr>
          <w:rFonts w:ascii="Times New Roman" w:hAnsi="Times New Roman" w:cs="Times New Roman" w:eastAsia="Times New Roman" w:hint="default"/>
          <w:spacing w:val="-6"/>
        </w:rPr>
        <w:t>“</w:t>
      </w:r>
      <w:r>
        <w:rPr>
          <w:spacing w:val="-6"/>
        </w:rPr>
        <w:t>西</w:t>
      </w:r>
      <w:r>
        <w:rPr>
          <w:spacing w:val="-73"/>
        </w:rPr>
        <w:t> </w:t>
      </w:r>
      <w:r>
        <w:rPr>
          <w:spacing w:val="-4"/>
        </w:rPr>
        <w:t>藏昆诺</w:t>
      </w:r>
      <w:r>
        <w:rPr>
          <w:rFonts w:ascii="Times New Roman" w:hAnsi="Times New Roman" w:cs="Times New Roman" w:eastAsia="Times New Roman" w:hint="default"/>
          <w:spacing w:val="-4"/>
        </w:rPr>
        <w:t>”</w:t>
      </w:r>
      <w:r>
        <w:rPr>
          <w:spacing w:val="-4"/>
        </w:rPr>
        <w:t>）作为收购主体，与宁波梅山保税港区辰海科译创业投资合伙企业（有限合伙）（以</w:t>
      </w:r>
      <w:r>
        <w:rPr>
          <w:spacing w:val="-75"/>
        </w:rPr>
        <w:t> </w:t>
      </w:r>
      <w:r>
        <w:rPr>
          <w:spacing w:val="-75"/>
        </w:rPr>
      </w:r>
      <w:r>
        <w:rPr/>
        <w:t>下简称</w:t>
      </w:r>
      <w:r>
        <w:rPr>
          <w:rFonts w:ascii="Times New Roman" w:hAnsi="Times New Roman" w:cs="Times New Roman" w:eastAsia="Times New Roman" w:hint="default"/>
        </w:rPr>
        <w:t>“</w:t>
      </w:r>
      <w:r>
        <w:rPr/>
        <w:t>辰海科译</w:t>
      </w:r>
      <w:r>
        <w:rPr>
          <w:rFonts w:ascii="Times New Roman" w:hAnsi="Times New Roman" w:cs="Times New Roman" w:eastAsia="Times New Roman" w:hint="default"/>
        </w:rPr>
        <w:t>”</w:t>
      </w:r>
      <w:r>
        <w:rPr/>
        <w:t>，与西藏昆诺合称</w:t>
      </w:r>
      <w:r>
        <w:rPr>
          <w:rFonts w:ascii="Times New Roman" w:hAnsi="Times New Roman" w:cs="Times New Roman" w:eastAsia="Times New Roman" w:hint="default"/>
        </w:rPr>
        <w:t>“</w:t>
      </w:r>
      <w:r>
        <w:rPr/>
        <w:t>收购人</w:t>
      </w:r>
      <w:r>
        <w:rPr>
          <w:rFonts w:ascii="Times New Roman" w:hAnsi="Times New Roman" w:cs="Times New Roman" w:eastAsia="Times New Roman" w:hint="default"/>
        </w:rPr>
        <w:t>”</w:t>
      </w:r>
      <w:r>
        <w:rPr/>
        <w:t>）以</w:t>
      </w:r>
      <w:r>
        <w:rPr>
          <w:rFonts w:ascii="Times New Roman" w:hAnsi="Times New Roman" w:cs="Times New Roman" w:eastAsia="Times New Roman" w:hint="default"/>
        </w:rPr>
        <w:t>20</w:t>
      </w:r>
      <w:r>
        <w:rPr/>
        <w:t>亿元人民币的对价，共同购买北京闲徕 互娱网络科技有限公司（以下简称</w:t>
      </w:r>
      <w:r>
        <w:rPr>
          <w:rFonts w:ascii="Times New Roman" w:hAnsi="Times New Roman" w:cs="Times New Roman" w:eastAsia="Times New Roman" w:hint="default"/>
        </w:rPr>
        <w:t>“</w:t>
      </w:r>
      <w:r>
        <w:rPr/>
        <w:t>闲徕互娱</w:t>
      </w:r>
      <w:r>
        <w:rPr>
          <w:rFonts w:ascii="Times New Roman" w:hAnsi="Times New Roman" w:cs="Times New Roman" w:eastAsia="Times New Roman" w:hint="default"/>
        </w:rPr>
        <w:t>”</w:t>
      </w:r>
      <w:r>
        <w:rPr/>
        <w:t>或</w:t>
      </w:r>
      <w:r>
        <w:rPr>
          <w:rFonts w:ascii="Times New Roman" w:hAnsi="Times New Roman" w:cs="Times New Roman" w:eastAsia="Times New Roman" w:hint="default"/>
        </w:rPr>
        <w:t>“</w:t>
      </w:r>
      <w:r>
        <w:rPr/>
        <w:t>标的公司</w:t>
      </w:r>
      <w:r>
        <w:rPr>
          <w:rFonts w:ascii="Times New Roman" w:hAnsi="Times New Roman" w:cs="Times New Roman" w:eastAsia="Times New Roman" w:hint="default"/>
        </w:rPr>
        <w:t>”</w:t>
      </w:r>
      <w:r>
        <w:rPr/>
        <w:t>）原股东谭星、谭炎、彭啸、高 </w:t>
      </w:r>
      <w:r>
        <w:rPr>
          <w:spacing w:val="-4"/>
        </w:rPr>
        <w:t>大伟、司伟博所持有的</w:t>
      </w:r>
      <w:r>
        <w:rPr>
          <w:rFonts w:ascii="Times New Roman" w:hAnsi="Times New Roman" w:cs="Times New Roman" w:eastAsia="Times New Roman" w:hint="default"/>
          <w:spacing w:val="-4"/>
        </w:rPr>
        <w:t>100%</w:t>
      </w:r>
      <w:r>
        <w:rPr>
          <w:spacing w:val="-4"/>
        </w:rPr>
        <w:t>标的公司股权。</w:t>
      </w:r>
      <w:r>
        <w:rPr>
          <w:rFonts w:ascii="Times New Roman" w:hAnsi="Times New Roman" w:cs="Times New Roman" w:eastAsia="Times New Roman" w:hint="default"/>
          <w:spacing w:val="-4"/>
        </w:rPr>
        <w:t>2017</w:t>
      </w:r>
      <w:r>
        <w:rPr>
          <w:spacing w:val="-4"/>
        </w:rPr>
        <w:t>年</w:t>
      </w:r>
      <w:r>
        <w:rPr>
          <w:rFonts w:ascii="Times New Roman" w:hAnsi="Times New Roman" w:cs="Times New Roman" w:eastAsia="Times New Roman" w:hint="default"/>
          <w:spacing w:val="-4"/>
        </w:rPr>
        <w:t>1</w:t>
      </w:r>
      <w:r>
        <w:rPr>
          <w:spacing w:val="-4"/>
        </w:rPr>
        <w:t>月收购完成后昆仑万维取得闲徕互娱</w:t>
      </w:r>
      <w:r>
        <w:rPr>
          <w:rFonts w:ascii="Times New Roman" w:hAnsi="Times New Roman" w:cs="Times New Roman" w:eastAsia="Times New Roman" w:hint="default"/>
          <w:spacing w:val="-4"/>
        </w:rPr>
        <w:t>51%</w:t>
      </w:r>
      <w:r>
        <w:rPr>
          <w:rFonts w:ascii="Times New Roman" w:hAnsi="Times New Roman" w:cs="Times New Roman" w:eastAsia="Times New Roman" w:hint="default"/>
          <w:spacing w:val="-49"/>
        </w:rPr>
        <w:t> </w:t>
      </w:r>
      <w:r>
        <w:rPr/>
        <w:t>的股权，辰海科译持有闲徕互娱</w:t>
      </w:r>
      <w:r>
        <w:rPr>
          <w:rFonts w:ascii="Times New Roman" w:hAnsi="Times New Roman" w:cs="Times New Roman" w:eastAsia="Times New Roman" w:hint="default"/>
        </w:rPr>
        <w:t>49%</w:t>
      </w:r>
      <w:r>
        <w:rPr/>
        <w:t>的股权，闲徕互娱为昆仑万维控股子公司。 </w:t>
      </w:r>
      <w:r>
        <w:rPr>
          <w:spacing w:val="-1"/>
        </w:rPr>
        <w:t>此后，辰海科译于上述收购交易项下进行股权转让交易，将其在本次收购交易中取得的闲徕</w:t>
      </w:r>
      <w:r>
        <w:rPr/>
        <w:t> 互娱股权进行原价转让。 辰海科译将其持有的闲徕互娱</w:t>
      </w:r>
      <w:r>
        <w:rPr>
          <w:rFonts w:ascii="Times New Roman" w:hAnsi="Times New Roman" w:cs="Times New Roman" w:eastAsia="Times New Roman" w:hint="default"/>
        </w:rPr>
        <w:t>10%</w:t>
      </w:r>
      <w:r>
        <w:rPr/>
        <w:t>的股权，以</w:t>
      </w:r>
      <w:r>
        <w:rPr>
          <w:rFonts w:ascii="Times New Roman" w:hAnsi="Times New Roman" w:cs="Times New Roman" w:eastAsia="Times New Roman" w:hint="default"/>
        </w:rPr>
        <w:t>2</w:t>
      </w:r>
      <w:r>
        <w:rPr/>
        <w:t>亿元的对价转让给周亚辉先生；将其持有的 闲徕互娱</w:t>
      </w:r>
      <w:r>
        <w:rPr>
          <w:rFonts w:ascii="Times New Roman" w:hAnsi="Times New Roman" w:cs="Times New Roman" w:eastAsia="Times New Roman" w:hint="default"/>
        </w:rPr>
        <w:t>5%</w:t>
      </w:r>
      <w:r>
        <w:rPr/>
        <w:t>的股权，以</w:t>
      </w:r>
      <w:r>
        <w:rPr>
          <w:rFonts w:ascii="Times New Roman" w:hAnsi="Times New Roman" w:cs="Times New Roman" w:eastAsia="Times New Roman" w:hint="default"/>
        </w:rPr>
        <w:t>1</w:t>
      </w:r>
      <w:r>
        <w:rPr/>
        <w:t>亿元的对价转让给摩比神奇（北京）信息技术有限公司（以下简称 </w:t>
      </w:r>
      <w:r>
        <w:rPr>
          <w:rFonts w:ascii="Times New Roman" w:hAnsi="Times New Roman" w:cs="Times New Roman" w:eastAsia="Times New Roman" w:hint="default"/>
          <w:spacing w:val="-2"/>
        </w:rPr>
        <w:t>“</w:t>
      </w:r>
      <w:r>
        <w:rPr>
          <w:spacing w:val="-2"/>
        </w:rPr>
        <w:t>摩比神奇</w:t>
      </w:r>
      <w:r>
        <w:rPr>
          <w:rFonts w:ascii="Times New Roman" w:hAnsi="Times New Roman" w:cs="Times New Roman" w:eastAsia="Times New Roman" w:hint="default"/>
          <w:spacing w:val="-2"/>
        </w:rPr>
        <w:t>”</w:t>
      </w:r>
      <w:r>
        <w:rPr>
          <w:spacing w:val="-2"/>
        </w:rPr>
        <w:t>）；将其持有的闲徕互娱</w:t>
      </w:r>
      <w:r>
        <w:rPr>
          <w:rFonts w:ascii="Times New Roman" w:hAnsi="Times New Roman" w:cs="Times New Roman" w:eastAsia="Times New Roman" w:hint="default"/>
          <w:spacing w:val="-2"/>
        </w:rPr>
        <w:t>0.5%</w:t>
      </w:r>
      <w:r>
        <w:rPr>
          <w:spacing w:val="-2"/>
        </w:rPr>
        <w:t>的股权，以</w:t>
      </w:r>
      <w:r>
        <w:rPr>
          <w:rFonts w:ascii="Times New Roman" w:hAnsi="Times New Roman" w:cs="Times New Roman" w:eastAsia="Times New Roman" w:hint="default"/>
          <w:spacing w:val="-2"/>
        </w:rPr>
        <w:t>1,000</w:t>
      </w:r>
      <w:r>
        <w:rPr>
          <w:spacing w:val="-2"/>
        </w:rPr>
        <w:t>万元的对价转让给深圳富海创新创</w:t>
      </w:r>
      <w:r>
        <w:rPr>
          <w:spacing w:val="-101"/>
        </w:rPr>
        <w:t> </w:t>
      </w:r>
      <w:r>
        <w:rPr>
          <w:spacing w:val="-101"/>
        </w:rPr>
      </w:r>
      <w:r>
        <w:rPr/>
        <w:t>业投资基金企业（有限合伙）（以下简称</w:t>
      </w:r>
      <w:r>
        <w:rPr>
          <w:rFonts w:ascii="Times New Roman" w:hAnsi="Times New Roman" w:cs="Times New Roman" w:eastAsia="Times New Roman" w:hint="default"/>
        </w:rPr>
        <w:t>“</w:t>
      </w:r>
      <w:r>
        <w:rPr/>
        <w:t>深圳富海</w:t>
      </w:r>
      <w:r>
        <w:rPr>
          <w:rFonts w:ascii="Times New Roman" w:hAnsi="Times New Roman" w:cs="Times New Roman" w:eastAsia="Times New Roman" w:hint="default"/>
        </w:rPr>
        <w:t>”</w:t>
      </w:r>
      <w:r>
        <w:rPr/>
        <w:t>）；将其持有的闲徕互娱</w:t>
      </w:r>
      <w:r>
        <w:rPr>
          <w:rFonts w:ascii="Times New Roman" w:hAnsi="Times New Roman" w:cs="Times New Roman" w:eastAsia="Times New Roman" w:hint="default"/>
        </w:rPr>
        <w:t>0.5%</w:t>
      </w:r>
      <w:r>
        <w:rPr/>
        <w:t>的股权， 以 </w:t>
      </w:r>
      <w:r>
        <w:rPr>
          <w:rFonts w:ascii="Times New Roman" w:hAnsi="Times New Roman" w:cs="Times New Roman" w:eastAsia="Times New Roman" w:hint="default"/>
          <w:spacing w:val="-8"/>
          <w:w w:val="100"/>
        </w:rPr>
        <w:t>1,000</w:t>
      </w:r>
      <w:r>
        <w:rPr>
          <w:spacing w:val="-8"/>
          <w:w w:val="100"/>
        </w:rPr>
        <w:t>万元的对价转让给珠海富海华金创业投资基金（有限合伙）（以下简称</w:t>
      </w:r>
      <w:r>
        <w:rPr>
          <w:rFonts w:ascii="Times New Roman" w:hAnsi="Times New Roman" w:cs="Times New Roman" w:eastAsia="Times New Roman" w:hint="default"/>
          <w:spacing w:val="-8"/>
          <w:w w:val="100"/>
        </w:rPr>
        <w:t>“</w:t>
      </w:r>
      <w:r>
        <w:rPr>
          <w:spacing w:val="-8"/>
          <w:w w:val="100"/>
        </w:rPr>
        <w:t>珠海富海</w:t>
      </w:r>
      <w:r>
        <w:rPr>
          <w:rFonts w:ascii="Times New Roman" w:hAnsi="Times New Roman" w:cs="Times New Roman" w:eastAsia="Times New Roman" w:hint="default"/>
          <w:spacing w:val="-8"/>
          <w:w w:val="100"/>
        </w:rPr>
        <w:t>”</w:t>
      </w:r>
      <w:r>
        <w:rPr>
          <w:spacing w:val="-8"/>
          <w:w w:val="100"/>
        </w:rPr>
        <w:t>）；</w:t>
      </w:r>
      <w:r>
        <w:rPr>
          <w:spacing w:val="-97"/>
          <w:w w:val="100"/>
        </w:rPr>
        <w:t> </w:t>
      </w:r>
      <w:r>
        <w:rPr/>
        <w:t>将其持有的闲徕互娱</w:t>
      </w:r>
      <w:r>
        <w:rPr>
          <w:spacing w:val="-18"/>
        </w:rPr>
        <w:t> </w:t>
      </w:r>
      <w:r>
        <w:rPr>
          <w:rFonts w:ascii="Times New Roman" w:hAnsi="Times New Roman" w:cs="Times New Roman" w:eastAsia="Times New Roman" w:hint="default"/>
          <w:spacing w:val="-3"/>
        </w:rPr>
        <w:t>5%</w:t>
      </w:r>
      <w:r>
        <w:rPr>
          <w:spacing w:val="-3"/>
        </w:rPr>
        <w:t>的股权，以</w:t>
      </w:r>
      <w:r>
        <w:rPr>
          <w:rFonts w:ascii="Times New Roman" w:hAnsi="Times New Roman" w:cs="Times New Roman" w:eastAsia="Times New Roman" w:hint="default"/>
          <w:spacing w:val="-3"/>
        </w:rPr>
        <w:t>1</w:t>
      </w:r>
      <w:r>
        <w:rPr>
          <w:spacing w:val="-3"/>
        </w:rPr>
        <w:t>亿元的对价转让给北京蜜莱坞网络科技有限公司（以下</w:t>
      </w:r>
      <w:r>
        <w:rPr>
          <w:spacing w:val="-103"/>
        </w:rPr>
        <w:t> </w:t>
      </w:r>
      <w:r>
        <w:rPr>
          <w:spacing w:val="-103"/>
        </w:rPr>
      </w:r>
      <w:r>
        <w:rPr/>
        <w:t>简称</w:t>
      </w:r>
      <w:r>
        <w:rPr>
          <w:rFonts w:ascii="Times New Roman" w:hAnsi="Times New Roman" w:cs="Times New Roman" w:eastAsia="Times New Roman" w:hint="default"/>
        </w:rPr>
        <w:t>“</w:t>
      </w:r>
      <w:r>
        <w:rPr/>
        <w:t>蜜莱坞</w:t>
      </w:r>
      <w:r>
        <w:rPr>
          <w:rFonts w:ascii="Times New Roman" w:hAnsi="Times New Roman" w:cs="Times New Roman" w:eastAsia="Times New Roman" w:hint="default"/>
        </w:rPr>
        <w:t>”</w:t>
      </w:r>
      <w:r>
        <w:rPr/>
        <w:t>）。因周亚辉先生为公司董事长、实际控制人，摩比神奇的董事、股东王立伟</w:t>
      </w:r>
    </w:p>
    <w:p>
      <w:pPr>
        <w:pStyle w:val="BodyText"/>
        <w:spacing w:line="266" w:lineRule="auto" w:before="2"/>
        <w:ind w:left="2410" w:right="1115"/>
        <w:jc w:val="both"/>
      </w:pPr>
      <w:r>
        <w:rPr>
          <w:spacing w:val="-2"/>
        </w:rPr>
        <w:t>（持股比例：</w:t>
      </w:r>
      <w:r>
        <w:rPr>
          <w:rFonts w:ascii="Times New Roman" w:hAnsi="Times New Roman" w:cs="Times New Roman" w:eastAsia="Times New Roman" w:hint="default"/>
          <w:spacing w:val="-2"/>
        </w:rPr>
        <w:t>45.08%</w:t>
      </w:r>
      <w:r>
        <w:rPr>
          <w:spacing w:val="-2"/>
        </w:rPr>
        <w:t>）为公司董事、副总经理，深圳富海和珠海富海的执行事务合伙人委派</w:t>
      </w:r>
      <w:r>
        <w:rPr>
          <w:spacing w:val="-78"/>
        </w:rPr>
        <w:t> </w:t>
      </w:r>
      <w:r>
        <w:rPr>
          <w:spacing w:val="-78"/>
        </w:rPr>
      </w:r>
      <w:r>
        <w:rPr>
          <w:spacing w:val="-1"/>
        </w:rPr>
        <w:t>代表黄国强先生为昆仑万维董事，蜜莱坞的前任董事周亚辉先生为昆仑万维实际控制人、董</w:t>
      </w:r>
      <w:r>
        <w:rPr/>
        <w:t> 事长（周亚辉先生已于</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9</w:t>
      </w:r>
      <w:r>
        <w:rPr>
          <w:rFonts w:ascii="Times New Roman" w:hAnsi="Times New Roman" w:cs="Times New Roman" w:eastAsia="Times New Roman" w:hint="default"/>
          <w:spacing w:val="29"/>
        </w:rPr>
        <w:t> </w:t>
      </w:r>
      <w:r>
        <w:rPr/>
        <w:t>月卸任蜜莱坞董事一职，此后对蜜莱坞不构成重大影响）， </w:t>
      </w:r>
      <w:r>
        <w:rPr>
          <w:spacing w:val="-1"/>
        </w:rPr>
        <w:t>而且辰海科译持股时间较短，本次收购交易实质上构成公司与关联方共同投资。本次关联交</w:t>
      </w:r>
      <w:r>
        <w:rPr/>
        <w:t> </w:t>
      </w:r>
      <w:r>
        <w:rPr>
          <w:spacing w:val="-2"/>
        </w:rPr>
        <w:t>易经过董事会审议批准、独立董事发表独立意见，保荐机构发表核查意见，并股东大会审议</w:t>
      </w:r>
      <w:r>
        <w:rPr>
          <w:spacing w:val="-66"/>
        </w:rPr>
        <w:t> </w:t>
      </w:r>
      <w:r>
        <w:rPr>
          <w:spacing w:val="-66"/>
        </w:rPr>
      </w:r>
      <w:r>
        <w:rPr/>
        <w:t>批准。</w:t>
      </w:r>
    </w:p>
    <w:p>
      <w:pPr>
        <w:spacing w:line="240" w:lineRule="auto" w:before="1"/>
        <w:rPr>
          <w:rFonts w:ascii="宋体" w:hAnsi="宋体" w:cs="宋体" w:eastAsia="宋体" w:hint="default"/>
          <w:sz w:val="24"/>
          <w:szCs w:val="24"/>
        </w:rPr>
      </w:pPr>
    </w:p>
    <w:p>
      <w:pPr>
        <w:pStyle w:val="Heading6"/>
        <w:spacing w:line="240" w:lineRule="auto"/>
        <w:ind w:right="998"/>
        <w:jc w:val="left"/>
        <w:rPr>
          <w:b w:val="0"/>
          <w:bCs w:val="0"/>
        </w:rPr>
      </w:pPr>
      <w:bookmarkStart w:name="6、关联方应收应付款项" w:id="481"/>
      <w:bookmarkEnd w:id="481"/>
      <w:r>
        <w:rPr>
          <w:b w:val="0"/>
          <w:bCs w:val="0"/>
        </w:rPr>
      </w:r>
      <w:r>
        <w:rPr>
          <w:rFonts w:ascii="Times New Roman" w:hAnsi="Times New Roman" w:cs="Times New Roman" w:eastAsia="Times New Roman" w:hint="default"/>
        </w:rPr>
        <w:t>6</w:t>
      </w:r>
      <w:r>
        <w:rPr/>
        <w:t>、关联方应收应付款项</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应收项目" w:id="482"/>
      <w:bookmarkEnd w:id="482"/>
      <w:r>
        <w:rPr>
          <w:b w:val="0"/>
          <w:bCs w:val="0"/>
        </w:rPr>
      </w:r>
      <w:r>
        <w:rPr/>
        <w:t>（</w:t>
      </w:r>
      <w:r>
        <w:rPr>
          <w:rFonts w:ascii="Times New Roman" w:hAnsi="Times New Roman" w:cs="Times New Roman" w:eastAsia="Times New Roman" w:hint="default"/>
        </w:rPr>
        <w:t>1</w:t>
      </w:r>
      <w:r>
        <w:rPr/>
        <w:t>）应收项目</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2" w:hRule="exact"/>
        </w:trPr>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403"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345"/>
              <w:jc w:val="left"/>
              <w:rPr>
                <w:rFonts w:ascii="Times New Roman" w:hAnsi="Times New Roman" w:cs="Times New Roman" w:eastAsia="Times New Roman" w:hint="default"/>
                <w:sz w:val="18"/>
                <w:szCs w:val="18"/>
              </w:rPr>
            </w:pPr>
            <w:r>
              <w:rPr>
                <w:rFonts w:ascii="Times New Roman"/>
                <w:sz w:val="18"/>
              </w:rPr>
              <w:t>Keeneyes</w:t>
            </w:r>
            <w:r>
              <w:rPr>
                <w:rFonts w:ascii="Times New Roman"/>
                <w:spacing w:val="-2"/>
                <w:sz w:val="18"/>
              </w:rPr>
              <w:t> </w:t>
            </w:r>
            <w:r>
              <w:rPr>
                <w:rFonts w:ascii="Times New Roman"/>
                <w:sz w:val="18"/>
              </w:rPr>
              <w:t>Future</w:t>
            </w:r>
            <w:r>
              <w:rPr>
                <w:rFonts w:ascii="Times New Roman"/>
                <w:sz w:val="18"/>
              </w:rPr>
              <w:t> Holding Inc</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27,152,309.17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1,357,615.46</w:t>
            </w:r>
          </w:p>
        </w:tc>
      </w:tr>
      <w:tr>
        <w:trPr>
          <w:trHeight w:val="402"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59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386"/>
              <w:jc w:val="left"/>
              <w:rPr>
                <w:rFonts w:ascii="Times New Roman" w:hAnsi="Times New Roman" w:cs="Times New Roman" w:eastAsia="Times New Roman" w:hint="default"/>
                <w:sz w:val="18"/>
                <w:szCs w:val="18"/>
              </w:rPr>
            </w:pPr>
            <w:r>
              <w:rPr>
                <w:rFonts w:ascii="Times New Roman"/>
                <w:sz w:val="18"/>
              </w:rPr>
              <w:t>Everyone</w:t>
            </w:r>
            <w:r>
              <w:rPr>
                <w:rFonts w:ascii="Times New Roman"/>
                <w:spacing w:val="-3"/>
                <w:sz w:val="18"/>
              </w:rPr>
              <w:t> </w:t>
            </w:r>
            <w:r>
              <w:rPr>
                <w:rFonts w:ascii="Times New Roman"/>
                <w:sz w:val="18"/>
              </w:rPr>
              <w:t>happy</w:t>
            </w:r>
            <w:r>
              <w:rPr>
                <w:rFonts w:ascii="Times New Roman"/>
                <w:sz w:val="18"/>
              </w:rPr>
              <w:t> entertainment limited</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10,298,425.29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514,921.26</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2）应付项目" w:id="483"/>
      <w:bookmarkEnd w:id="483"/>
      <w:r>
        <w:rPr>
          <w:b w:val="0"/>
          <w:bCs w:val="0"/>
        </w:rPr>
      </w:r>
      <w:r>
        <w:rPr/>
        <w:t>（</w:t>
      </w:r>
      <w:r>
        <w:rPr>
          <w:rFonts w:ascii="Times New Roman" w:hAnsi="Times New Roman" w:cs="Times New Roman" w:eastAsia="Times New Roman" w:hint="default"/>
        </w:rPr>
        <w:t>2</w:t>
      </w:r>
      <w:r>
        <w:rPr/>
        <w:t>）应付项目</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z w:val="18"/>
                <w:szCs w:val="18"/>
              </w:rPr>
              <w:t>摩比神奇（北京）信息技术有 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14" w:right="0"/>
              <w:jc w:val="left"/>
              <w:rPr>
                <w:rFonts w:ascii="Times New Roman" w:hAnsi="Times New Roman" w:cs="Times New Roman" w:eastAsia="Times New Roman" w:hint="default"/>
                <w:sz w:val="18"/>
                <w:szCs w:val="18"/>
              </w:rPr>
            </w:pPr>
            <w:r>
              <w:rPr>
                <w:rFonts w:ascii="Times New Roman"/>
                <w:sz w:val="18"/>
              </w:rPr>
              <w:t>2,609,586.00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14" w:right="0"/>
              <w:jc w:val="left"/>
              <w:rPr>
                <w:rFonts w:ascii="Times New Roman" w:hAnsi="Times New Roman" w:cs="Times New Roman" w:eastAsia="Times New Roman" w:hint="default"/>
                <w:sz w:val="18"/>
                <w:szCs w:val="18"/>
              </w:rPr>
            </w:pPr>
            <w:r>
              <w:rPr>
                <w:rFonts w:ascii="Times New Roman"/>
                <w:sz w:val="18"/>
              </w:rPr>
              <w:t>2,609,586.00</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7、关联方承诺" w:id="484"/>
      <w:bookmarkEnd w:id="484"/>
      <w:r>
        <w:rPr>
          <w:b w:val="0"/>
          <w:bCs w:val="0"/>
        </w:rPr>
      </w:r>
      <w:r>
        <w:rPr>
          <w:rFonts w:ascii="Times New Roman" w:hAnsi="Times New Roman" w:cs="Times New Roman" w:eastAsia="Times New Roman" w:hint="default"/>
        </w:rPr>
        <w:t>7</w:t>
      </w:r>
      <w:r>
        <w:rPr/>
        <w:t>、关联方承诺</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8、其他" w:id="485"/>
      <w:bookmarkEnd w:id="485"/>
      <w:r>
        <w:rPr>
          <w:b w:val="0"/>
          <w:bCs w:val="0"/>
        </w:rPr>
      </w:r>
      <w:r>
        <w:rPr>
          <w:rFonts w:ascii="Times New Roman" w:hAnsi="Times New Roman" w:cs="Times New Roman" w:eastAsia="Times New Roman" w:hint="default"/>
        </w:rPr>
        <w:t>8</w:t>
      </w:r>
      <w:r>
        <w:rPr/>
        <w:t>、其他</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2"/>
        <w:rPr>
          <w:rFonts w:ascii="宋体" w:hAnsi="宋体" w:cs="宋体" w:eastAsia="宋体" w:hint="default"/>
          <w:sz w:val="25"/>
          <w:szCs w:val="25"/>
        </w:rPr>
      </w:pPr>
    </w:p>
    <w:p>
      <w:pPr>
        <w:pStyle w:val="Heading4"/>
        <w:spacing w:line="240" w:lineRule="auto"/>
        <w:ind w:left="1134" w:right="998"/>
        <w:jc w:val="left"/>
        <w:rPr>
          <w:b w:val="0"/>
          <w:bCs w:val="0"/>
        </w:rPr>
      </w:pPr>
      <w:bookmarkStart w:name="十三、股份支付" w:id="486"/>
      <w:bookmarkEnd w:id="486"/>
      <w:r>
        <w:rPr>
          <w:b w:val="0"/>
          <w:bCs w:val="0"/>
        </w:rPr>
      </w:r>
      <w:r>
        <w:rPr/>
        <w:t>十三、股份支付</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股份支付总体情况" w:id="487"/>
      <w:bookmarkEnd w:id="487"/>
      <w:r>
        <w:rPr>
          <w:b w:val="0"/>
          <w:bCs w:val="0"/>
        </w:rPr>
      </w:r>
      <w:r>
        <w:rPr>
          <w:rFonts w:ascii="Times New Roman" w:hAnsi="Times New Roman" w:cs="Times New Roman" w:eastAsia="Times New Roman" w:hint="default"/>
        </w:rPr>
        <w:t>1</w:t>
      </w:r>
      <w:r>
        <w:rPr/>
        <w:t>、股份支付总体情况</w:t>
      </w:r>
      <w:r>
        <w:rPr>
          <w:b w:val="0"/>
          <w:bCs w:val="0"/>
        </w:rPr>
      </w:r>
    </w:p>
    <w:p>
      <w:pPr>
        <w:spacing w:line="240" w:lineRule="auto" w:before="3"/>
        <w:rPr>
          <w:rFonts w:ascii="宋体" w:hAnsi="宋体" w:cs="宋体" w:eastAsia="宋体" w:hint="default"/>
          <w:b/>
          <w:bCs/>
          <w:sz w:val="23"/>
          <w:szCs w:val="23"/>
        </w:rPr>
      </w:pPr>
    </w:p>
    <w:p>
      <w:pPr>
        <w:spacing w:before="44"/>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5455"/>
        <w:gridCol w:w="4114"/>
      </w:tblGrid>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6,781,494.00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7,226,923.00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公司期末发行在外的股票期权行权价格的范围和合同剩余期限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行权价格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79.46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元，合同剩余期限</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公司期末发行在外的其他权益工具行权价格的范围和合同剩余期限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行权价格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36.69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元，合同剩余期限</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40" w:lineRule="auto" w:before="90"/>
        <w:ind w:right="998"/>
        <w:jc w:val="left"/>
      </w:pPr>
      <w:r>
        <w:rPr/>
        <w:t>无</w:t>
      </w:r>
    </w:p>
    <w:p>
      <w:pPr>
        <w:spacing w:after="0" w:line="240" w:lineRule="auto"/>
        <w:jc w:val="left"/>
        <w:sectPr>
          <w:pgSz w:w="11910" w:h="16840"/>
          <w:pgMar w:header="87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2、以权益结算的股份支付情况" w:id="488"/>
      <w:bookmarkEnd w:id="488"/>
      <w:r>
        <w:rPr>
          <w:b w:val="0"/>
          <w:bCs w:val="0"/>
        </w:rPr>
      </w:r>
      <w:r>
        <w:rPr>
          <w:rFonts w:ascii="Times New Roman" w:hAnsi="Times New Roman" w:cs="Times New Roman" w:eastAsia="Times New Roman" w:hint="default"/>
        </w:rPr>
        <w:t>2</w:t>
      </w:r>
      <w:r>
        <w:rPr/>
        <w:t>、以权益结算的股份支付情况</w:t>
      </w:r>
      <w:r>
        <w:rPr>
          <w:b w:val="0"/>
          <w:bCs w:val="0"/>
        </w:rPr>
      </w:r>
    </w:p>
    <w:p>
      <w:pPr>
        <w:spacing w:line="240" w:lineRule="auto" w:before="3"/>
        <w:rPr>
          <w:rFonts w:ascii="宋体" w:hAnsi="宋体" w:cs="宋体" w:eastAsia="宋体" w:hint="default"/>
          <w:b/>
          <w:bCs/>
          <w:sz w:val="23"/>
          <w:szCs w:val="23"/>
        </w:rPr>
      </w:pPr>
    </w:p>
    <w:p>
      <w:pPr>
        <w:spacing w:before="44"/>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4984"/>
        <w:gridCol w:w="4585"/>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Black-Scholes</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模型</w:t>
            </w:r>
          </w:p>
        </w:tc>
      </w:tr>
      <w:tr>
        <w:trPr>
          <w:trHeight w:val="714"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51"/>
              <w:jc w:val="left"/>
              <w:rPr>
                <w:rFonts w:ascii="宋体" w:hAnsi="宋体" w:cs="宋体" w:eastAsia="宋体" w:hint="default"/>
                <w:sz w:val="18"/>
                <w:szCs w:val="18"/>
              </w:rPr>
            </w:pPr>
            <w:r>
              <w:rPr>
                <w:rFonts w:ascii="宋体" w:hAnsi="宋体" w:cs="宋体" w:eastAsia="宋体" w:hint="default"/>
                <w:sz w:val="18"/>
                <w:szCs w:val="18"/>
              </w:rPr>
              <w:t>根据资产负债表日取得的可行权与可解锁人数变动、业绩 指标完成情况等后续信息进行确定。</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第一期业绩未达标，注销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6,928,662.00 </w:t>
            </w:r>
            <w:r>
              <w:rPr>
                <w:rFonts w:ascii="宋体" w:hAnsi="宋体" w:cs="宋体" w:eastAsia="宋体" w:hint="default"/>
                <w:sz w:val="18"/>
                <w:szCs w:val="18"/>
              </w:rPr>
              <w:t>股。</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64,627,285.28</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-32,702,159.88</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40" w:lineRule="auto" w:before="90"/>
        <w:ind w:right="998"/>
        <w:jc w:val="left"/>
      </w:pPr>
      <w:r>
        <w:rPr/>
        <w:t>无</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pStyle w:val="Heading6"/>
        <w:spacing w:line="240" w:lineRule="auto"/>
        <w:ind w:right="998"/>
        <w:jc w:val="left"/>
        <w:rPr>
          <w:b w:val="0"/>
          <w:bCs w:val="0"/>
        </w:rPr>
      </w:pPr>
      <w:bookmarkStart w:name="3、以现金结算的股份支付情况" w:id="489"/>
      <w:bookmarkEnd w:id="489"/>
      <w:r>
        <w:rPr>
          <w:b w:val="0"/>
          <w:bCs w:val="0"/>
        </w:rPr>
      </w:r>
      <w:r>
        <w:rPr>
          <w:rFonts w:ascii="Times New Roman" w:hAnsi="Times New Roman" w:cs="Times New Roman" w:eastAsia="Times New Roman" w:hint="default"/>
        </w:rPr>
        <w:t>3</w:t>
      </w:r>
      <w:r>
        <w:rPr/>
        <w:t>、以现金结算的股份支付情况</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spacing w:line="506" w:lineRule="auto" w:before="0"/>
        <w:ind w:left="1133" w:right="998" w:firstLine="0"/>
        <w:jc w:val="left"/>
        <w:rPr>
          <w:rFonts w:ascii="宋体" w:hAnsi="宋体" w:cs="宋体" w:eastAsia="宋体" w:hint="default"/>
          <w:sz w:val="21"/>
          <w:szCs w:val="21"/>
        </w:rPr>
      </w:pPr>
      <w:bookmarkStart w:name="4、股份支付的修改、终止情况" w:id="490"/>
      <w:bookmarkEnd w:id="490"/>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、股份支付的修改、终止情况</w:t>
      </w:r>
      <w:r>
        <w:rPr>
          <w:rFonts w:ascii="宋体" w:hAnsi="宋体" w:cs="宋体" w:eastAsia="宋体" w:hint="default"/>
          <w:b/>
          <w:bCs/>
          <w:w w:val="99"/>
          <w:sz w:val="21"/>
          <w:szCs w:val="21"/>
        </w:rPr>
        <w:t> </w:t>
      </w:r>
      <w:r>
        <w:rPr>
          <w:rFonts w:ascii="宋体" w:hAnsi="宋体" w:cs="宋体" w:eastAsia="宋体" w:hint="default"/>
          <w:spacing w:val="-2"/>
          <w:sz w:val="21"/>
          <w:szCs w:val="21"/>
        </w:rPr>
        <w:t>本期因第一期业绩未达标，注销限制性股票</w:t>
      </w:r>
      <w:r>
        <w:rPr>
          <w:rFonts w:ascii="Times New Roman" w:hAnsi="Times New Roman" w:cs="Times New Roman" w:eastAsia="Times New Roman" w:hint="default"/>
          <w:spacing w:val="-2"/>
          <w:sz w:val="21"/>
          <w:szCs w:val="21"/>
        </w:rPr>
        <w:t>6,928,662.00</w:t>
      </w:r>
      <w:r>
        <w:rPr>
          <w:rFonts w:ascii="宋体" w:hAnsi="宋体" w:cs="宋体" w:eastAsia="宋体" w:hint="default"/>
          <w:spacing w:val="-2"/>
          <w:sz w:val="21"/>
          <w:szCs w:val="21"/>
        </w:rPr>
        <w:t>股；因个别被授予对象离职回购注销</w:t>
      </w:r>
      <w:r>
        <w:rPr>
          <w:rFonts w:ascii="Times New Roman" w:hAnsi="Times New Roman" w:cs="Times New Roman" w:eastAsia="Times New Roman" w:hint="default"/>
          <w:spacing w:val="-2"/>
          <w:sz w:val="21"/>
          <w:szCs w:val="21"/>
        </w:rPr>
        <w:t>298,261.00</w:t>
      </w:r>
      <w:r>
        <w:rPr>
          <w:rFonts w:ascii="宋体" w:hAnsi="宋体" w:cs="宋体" w:eastAsia="宋体" w:hint="default"/>
          <w:spacing w:val="-2"/>
          <w:sz w:val="21"/>
          <w:szCs w:val="21"/>
        </w:rPr>
        <w:t>股。</w:t>
      </w:r>
    </w:p>
    <w:p>
      <w:pPr>
        <w:spacing w:line="240" w:lineRule="auto" w:before="10"/>
        <w:rPr>
          <w:rFonts w:ascii="宋体" w:hAnsi="宋体" w:cs="宋体" w:eastAsia="宋体" w:hint="default"/>
          <w:sz w:val="28"/>
          <w:szCs w:val="28"/>
        </w:rPr>
      </w:pPr>
    </w:p>
    <w:p>
      <w:pPr>
        <w:pStyle w:val="Heading6"/>
        <w:spacing w:line="240" w:lineRule="auto"/>
        <w:ind w:left="1133" w:right="998"/>
        <w:jc w:val="left"/>
        <w:rPr>
          <w:b w:val="0"/>
          <w:bCs w:val="0"/>
        </w:rPr>
      </w:pPr>
      <w:bookmarkStart w:name="5、其他" w:id="491"/>
      <w:bookmarkEnd w:id="491"/>
      <w:r>
        <w:rPr>
          <w:b w:val="0"/>
          <w:bCs w:val="0"/>
        </w:rPr>
      </w:r>
      <w:r>
        <w:rPr>
          <w:rFonts w:ascii="Times New Roman" w:hAnsi="Times New Roman" w:cs="Times New Roman" w:eastAsia="Times New Roman" w:hint="default"/>
        </w:rPr>
        <w:t>5</w:t>
      </w:r>
      <w:r>
        <w:rPr/>
        <w:t>、其他</w:t>
      </w:r>
      <w:r>
        <w:rPr>
          <w:b w:val="0"/>
          <w:bCs w:val="0"/>
        </w:rPr>
      </w:r>
    </w:p>
    <w:p>
      <w:pPr>
        <w:spacing w:line="240" w:lineRule="auto" w:before="7"/>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2"/>
        <w:rPr>
          <w:rFonts w:ascii="宋体" w:hAnsi="宋体" w:cs="宋体" w:eastAsia="宋体" w:hint="default"/>
          <w:sz w:val="25"/>
          <w:szCs w:val="25"/>
        </w:rPr>
      </w:pPr>
    </w:p>
    <w:p>
      <w:pPr>
        <w:pStyle w:val="Heading4"/>
        <w:spacing w:line="240" w:lineRule="auto"/>
        <w:ind w:left="1134" w:right="998"/>
        <w:jc w:val="left"/>
        <w:rPr>
          <w:b w:val="0"/>
          <w:bCs w:val="0"/>
        </w:rPr>
      </w:pPr>
      <w:bookmarkStart w:name="十四、承诺及或有事项" w:id="492"/>
      <w:bookmarkEnd w:id="492"/>
      <w:r>
        <w:rPr>
          <w:b w:val="0"/>
          <w:bCs w:val="0"/>
        </w:rPr>
      </w:r>
      <w:r>
        <w:rPr/>
        <w:t>十四、承诺及或有事项</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重要承诺事项" w:id="493"/>
      <w:bookmarkEnd w:id="493"/>
      <w:r>
        <w:rPr>
          <w:b w:val="0"/>
          <w:bCs w:val="0"/>
        </w:rPr>
      </w:r>
      <w:r>
        <w:rPr>
          <w:rFonts w:ascii="Times New Roman" w:hAnsi="Times New Roman" w:cs="Times New Roman" w:eastAsia="Times New Roman" w:hint="default"/>
        </w:rPr>
        <w:t>1</w:t>
      </w:r>
      <w:r>
        <w:rPr/>
        <w:t>、重要承诺事项</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资产负债表日存在的重要承诺</w:t>
      </w:r>
    </w:p>
    <w:p>
      <w:pPr>
        <w:pStyle w:val="Heading6"/>
        <w:spacing w:line="240" w:lineRule="auto" w:before="89"/>
        <w:ind w:left="2050" w:right="998"/>
        <w:jc w:val="left"/>
        <w:rPr>
          <w:b w:val="0"/>
          <w:bCs w:val="0"/>
        </w:rPr>
      </w:pPr>
      <w:r>
        <w:rPr>
          <w:rFonts w:ascii="宋体" w:hAnsi="宋体" w:cs="宋体" w:eastAsia="宋体" w:hint="default"/>
        </w:rPr>
        <w:t>1.</w:t>
      </w:r>
      <w:r>
        <w:rPr>
          <w:rFonts w:ascii="宋体" w:hAnsi="宋体" w:cs="宋体" w:eastAsia="宋体" w:hint="default"/>
          <w:spacing w:val="38"/>
        </w:rPr>
        <w:t> </w:t>
      </w:r>
      <w:r>
        <w:rPr/>
        <w:t>资产负债表日存在的重要承诺</w:t>
      </w:r>
      <w:r>
        <w:rPr>
          <w:b w:val="0"/>
          <w:bCs w:val="0"/>
        </w:rPr>
      </w:r>
    </w:p>
    <w:p>
      <w:pPr>
        <w:pStyle w:val="BodyText"/>
        <w:spacing w:line="256" w:lineRule="auto" w:before="37"/>
        <w:ind w:left="2410" w:right="1116"/>
        <w:jc w:val="both"/>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21</w:t>
      </w:r>
      <w:r>
        <w:rPr/>
        <w:t>日，公司签订北京世相科技文化有限公司投资协议，根据协议规定公司 向其增加投资</w:t>
      </w:r>
      <w:r>
        <w:rPr>
          <w:rFonts w:ascii="Times New Roman" w:hAnsi="Times New Roman" w:cs="Times New Roman" w:eastAsia="Times New Roman" w:hint="default"/>
        </w:rPr>
        <w:t>50,000,000.00</w:t>
      </w:r>
      <w:r>
        <w:rPr/>
        <w:t>元，认购其</w:t>
      </w:r>
      <w:r>
        <w:rPr>
          <w:rFonts w:ascii="Times New Roman" w:hAnsi="Times New Roman" w:cs="Times New Roman" w:eastAsia="Times New Roman" w:hint="default"/>
        </w:rPr>
        <w:t>7.05%</w:t>
      </w:r>
      <w:r>
        <w:rPr/>
        <w:t>的股权，截止资产负债表日，公司已支付投资 款</w:t>
      </w:r>
      <w:r>
        <w:rPr>
          <w:rFonts w:ascii="Times New Roman" w:hAnsi="Times New Roman" w:cs="Times New Roman" w:eastAsia="Times New Roman" w:hint="default"/>
        </w:rPr>
        <w:t>20,000,000.00</w:t>
      </w:r>
      <w:r>
        <w:rPr/>
        <w:t>元，剩余承诺出资款为</w:t>
      </w:r>
      <w:r>
        <w:rPr>
          <w:rFonts w:ascii="Times New Roman" w:hAnsi="Times New Roman" w:cs="Times New Roman" w:eastAsia="Times New Roman" w:hint="default"/>
        </w:rPr>
        <w:t>30,000,000.00</w:t>
      </w:r>
      <w:r>
        <w:rPr/>
        <w:t>元。</w:t>
      </w:r>
    </w:p>
    <w:p>
      <w:pPr>
        <w:spacing w:line="240" w:lineRule="auto" w:before="3"/>
        <w:rPr>
          <w:rFonts w:ascii="宋体" w:hAnsi="宋体" w:cs="宋体" w:eastAsia="宋体" w:hint="default"/>
          <w:sz w:val="24"/>
          <w:szCs w:val="24"/>
        </w:rPr>
      </w:pPr>
    </w:p>
    <w:p>
      <w:pPr>
        <w:pStyle w:val="BodyText"/>
        <w:spacing w:line="256" w:lineRule="auto"/>
        <w:ind w:left="2410" w:right="1116"/>
        <w:jc w:val="both"/>
      </w:pPr>
      <w:r>
        <w:rPr/>
        <w:t>其中，与关联方相关的未确认承诺事项详见本附注</w:t>
      </w:r>
      <w:r>
        <w:rPr>
          <w:rFonts w:ascii="Times New Roman" w:hAnsi="Times New Roman" w:cs="Times New Roman" w:eastAsia="Times New Roman" w:hint="default"/>
        </w:rPr>
        <w:t>“</w:t>
      </w:r>
      <w:r>
        <w:rPr/>
        <w:t>十、关联方及关联交易</w:t>
      </w:r>
      <w:r>
        <w:rPr>
          <w:rFonts w:ascii="Times New Roman" w:hAnsi="Times New Roman" w:cs="Times New Roman" w:eastAsia="Times New Roman" w:hint="default"/>
        </w:rPr>
        <w:t>”</w:t>
      </w:r>
      <w:r>
        <w:rPr/>
        <w:t>部分相应内容； 与合营企业投资相关的未确认承诺详见本附注</w:t>
      </w:r>
      <w:r>
        <w:rPr>
          <w:rFonts w:ascii="Times New Roman" w:hAnsi="Times New Roman" w:cs="Times New Roman" w:eastAsia="Times New Roman" w:hint="default"/>
        </w:rPr>
        <w:t>“</w:t>
      </w:r>
      <w:r>
        <w:rPr/>
        <w:t>七、在其他主体中的权益</w:t>
      </w:r>
      <w:r>
        <w:rPr>
          <w:rFonts w:ascii="Times New Roman" w:hAnsi="Times New Roman" w:cs="Times New Roman" w:eastAsia="Times New Roman" w:hint="default"/>
        </w:rPr>
        <w:t>”</w:t>
      </w:r>
      <w:r>
        <w:rPr/>
        <w:t>部分相应内容。</w:t>
      </w:r>
    </w:p>
    <w:p>
      <w:pPr>
        <w:spacing w:after="0" w:line="256" w:lineRule="auto"/>
        <w:jc w:val="both"/>
        <w:sectPr>
          <w:pgSz w:w="11910" w:h="16840"/>
          <w:pgMar w:header="87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2、或有事项" w:id="494"/>
      <w:bookmarkEnd w:id="494"/>
      <w:r>
        <w:rPr>
          <w:b w:val="0"/>
          <w:bCs w:val="0"/>
        </w:rPr>
      </w:r>
      <w:r>
        <w:rPr>
          <w:rFonts w:ascii="Times New Roman" w:hAnsi="Times New Roman" w:cs="Times New Roman" w:eastAsia="Times New Roman" w:hint="default"/>
        </w:rPr>
        <w:t>2</w:t>
      </w:r>
      <w:r>
        <w:rPr/>
        <w:t>、或有事项</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资产负债表日存在的重要或有事项" w:id="495"/>
      <w:bookmarkEnd w:id="495"/>
      <w:r>
        <w:rPr>
          <w:b w:val="0"/>
          <w:bCs w:val="0"/>
        </w:rPr>
      </w:r>
      <w:r>
        <w:rPr/>
        <w:t>（</w:t>
      </w:r>
      <w:r>
        <w:rPr>
          <w:rFonts w:ascii="Times New Roman" w:hAnsi="Times New Roman" w:cs="Times New Roman" w:eastAsia="Times New Roman" w:hint="default"/>
        </w:rPr>
        <w:t>1</w:t>
      </w:r>
      <w:r>
        <w:rPr/>
        <w:t>）资产负债表日存在的重要或有事项</w:t>
      </w:r>
      <w:r>
        <w:rPr>
          <w:b w:val="0"/>
          <w:bCs w:val="0"/>
        </w:rPr>
      </w:r>
    </w:p>
    <w:p>
      <w:pPr>
        <w:spacing w:line="240" w:lineRule="auto" w:before="8"/>
        <w:rPr>
          <w:rFonts w:ascii="宋体" w:hAnsi="宋体" w:cs="宋体" w:eastAsia="宋体" w:hint="default"/>
          <w:b/>
          <w:bCs/>
          <w:sz w:val="24"/>
          <w:szCs w:val="24"/>
        </w:rPr>
      </w:pPr>
    </w:p>
    <w:p>
      <w:pPr>
        <w:pStyle w:val="BodyText"/>
        <w:spacing w:line="256" w:lineRule="auto"/>
        <w:ind w:left="2409" w:right="1017" w:hanging="360"/>
        <w:jc w:val="left"/>
      </w:pPr>
      <w:r>
        <w:rPr>
          <w:rFonts w:ascii="宋体" w:hAnsi="宋体" w:cs="宋体" w:eastAsia="宋体" w:hint="default"/>
        </w:rPr>
        <w:t>1.</w:t>
      </w:r>
      <w:r>
        <w:rPr>
          <w:rFonts w:ascii="宋体" w:hAnsi="宋体" w:cs="宋体" w:eastAsia="宋体" w:hint="default"/>
          <w:spacing w:val="41"/>
        </w:rPr>
        <w:t> </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19</w:t>
      </w:r>
      <w:r>
        <w:rPr/>
        <w:t>日，公司收到北京市第一中级人民法院的（</w:t>
      </w:r>
      <w:r>
        <w:rPr>
          <w:rFonts w:ascii="Times New Roman" w:hAnsi="Times New Roman" w:cs="Times New Roman" w:eastAsia="Times New Roman" w:hint="default"/>
        </w:rPr>
        <w:t>2014</w:t>
      </w:r>
      <w:r>
        <w:rPr/>
        <w:t>）一中民初字第</w:t>
      </w:r>
      <w:r>
        <w:rPr>
          <w:rFonts w:ascii="Times New Roman" w:hAnsi="Times New Roman" w:cs="Times New Roman" w:eastAsia="Times New Roman" w:hint="default"/>
        </w:rPr>
        <w:t>5146</w:t>
      </w:r>
      <w:r>
        <w:rPr/>
        <w:t>号《民事 </w:t>
      </w:r>
      <w:r>
        <w:rPr>
          <w:spacing w:val="-3"/>
        </w:rPr>
        <w:t>应诉通知书》以及明河社出版有限公司、完美世界（北京）软件有限公司（以下合称</w:t>
      </w:r>
      <w:r>
        <w:rPr>
          <w:rFonts w:ascii="Times New Roman" w:hAnsi="Times New Roman" w:cs="Times New Roman" w:eastAsia="Times New Roman" w:hint="default"/>
          <w:spacing w:val="-3"/>
        </w:rPr>
        <w:t>“</w:t>
      </w:r>
      <w:r>
        <w:rPr>
          <w:spacing w:val="-3"/>
        </w:rPr>
        <w:t>原告</w:t>
      </w:r>
      <w:r>
        <w:rPr>
          <w:rFonts w:ascii="Times New Roman" w:hAnsi="Times New Roman" w:cs="Times New Roman" w:eastAsia="Times New Roman" w:hint="default"/>
          <w:spacing w:val="-3"/>
        </w:rPr>
        <w:t>”</w:t>
      </w:r>
      <w:r>
        <w:rPr>
          <w:spacing w:val="-3"/>
        </w:rPr>
        <w:t>）</w:t>
      </w:r>
      <w:r>
        <w:rPr/>
        <w:t> 起诉北京火谷网络科技有限责任公司、本公司、昆仑在线及昆仑乐享（以下合称</w:t>
      </w:r>
      <w:r>
        <w:rPr>
          <w:rFonts w:ascii="Times New Roman" w:hAnsi="Times New Roman" w:cs="Times New Roman" w:eastAsia="Times New Roman" w:hint="default"/>
        </w:rPr>
        <w:t>“</w:t>
      </w:r>
      <w:r>
        <w:rPr/>
        <w:t>被告</w:t>
      </w:r>
      <w:r>
        <w:rPr>
          <w:rFonts w:ascii="Times New Roman" w:hAnsi="Times New Roman" w:cs="Times New Roman" w:eastAsia="Times New Roman" w:hint="default"/>
        </w:rPr>
        <w:t>”</w:t>
      </w:r>
      <w:r>
        <w:rPr/>
        <w:t>）所</w:t>
      </w:r>
      <w:r>
        <w:rPr>
          <w:spacing w:val="-4"/>
        </w:rPr>
        <w:t> </w:t>
      </w:r>
      <w:r>
        <w:rPr>
          <w:spacing w:val="-3"/>
        </w:rPr>
        <w:t>运营的网络游戏《武侠</w:t>
      </w:r>
      <w:r>
        <w:rPr>
          <w:rFonts w:ascii="Times New Roman" w:hAnsi="Times New Roman" w:cs="Times New Roman" w:eastAsia="Times New Roman" w:hint="default"/>
          <w:spacing w:val="-3"/>
        </w:rPr>
        <w:t>Q</w:t>
      </w:r>
      <w:r>
        <w:rPr>
          <w:spacing w:val="-3"/>
        </w:rPr>
        <w:t>传》侵犯其著作权并构成不正当竞争行为的《民事起诉状》，要求：</w:t>
      </w:r>
    </w:p>
    <w:p>
      <w:pPr>
        <w:pStyle w:val="BodyText"/>
        <w:spacing w:line="261" w:lineRule="auto" w:before="5"/>
        <w:ind w:left="2409" w:right="1117"/>
        <w:jc w:val="left"/>
      </w:pPr>
      <w:r>
        <w:rPr>
          <w:spacing w:val="-4"/>
        </w:rPr>
        <w:t>（</w:t>
      </w:r>
      <w:r>
        <w:rPr>
          <w:rFonts w:ascii="Times New Roman" w:hAnsi="Times New Roman" w:cs="Times New Roman" w:eastAsia="Times New Roman" w:hint="default"/>
          <w:spacing w:val="-4"/>
        </w:rPr>
        <w:t>1</w:t>
      </w:r>
      <w:r>
        <w:rPr>
          <w:spacing w:val="-4"/>
        </w:rPr>
        <w:t>）被告立即停止侵权原告著作权及不正当竞争行为（包括立即停止运营侵权网络游戏《武</w:t>
      </w:r>
      <w:r>
        <w:rPr>
          <w:spacing w:val="-88"/>
        </w:rPr>
        <w:t> </w:t>
      </w:r>
      <w:r>
        <w:rPr>
          <w:spacing w:val="-88"/>
        </w:rPr>
      </w:r>
      <w:r>
        <w:rPr/>
        <w:t>侠</w:t>
      </w:r>
      <w:r>
        <w:rPr>
          <w:rFonts w:ascii="Times New Roman" w:hAnsi="Times New Roman" w:cs="Times New Roman" w:eastAsia="Times New Roman" w:hint="default"/>
        </w:rPr>
        <w:t>Q</w:t>
      </w:r>
      <w:r>
        <w:rPr/>
        <w:t>传》，立即去除《武侠</w:t>
      </w:r>
      <w:r>
        <w:rPr>
          <w:rFonts w:ascii="Times New Roman" w:hAnsi="Times New Roman" w:cs="Times New Roman" w:eastAsia="Times New Roman" w:hint="default"/>
        </w:rPr>
        <w:t>Q</w:t>
      </w:r>
      <w:r>
        <w:rPr/>
        <w:t>传》游戏中的全部侵权内容，立即从本公司、昆仑在线官方网 站服务器删除《武侠</w:t>
      </w:r>
      <w:r>
        <w:rPr>
          <w:rFonts w:ascii="Times New Roman" w:hAnsi="Times New Roman" w:cs="Times New Roman" w:eastAsia="Times New Roman" w:hint="default"/>
        </w:rPr>
        <w:t>Q</w:t>
      </w:r>
      <w:r>
        <w:rPr/>
        <w:t>传》及停止该游戏客户端下载服务，立即停止向渠道商提供《武侠</w:t>
      </w:r>
      <w:r>
        <w:rPr>
          <w:rFonts w:ascii="Times New Roman" w:hAnsi="Times New Roman" w:cs="Times New Roman" w:eastAsia="Times New Roman" w:hint="default"/>
        </w:rPr>
        <w:t>Q</w:t>
      </w:r>
      <w:r>
        <w:rPr>
          <w:rFonts w:ascii="Times New Roman" w:hAnsi="Times New Roman" w:cs="Times New Roman" w:eastAsia="Times New Roman" w:hint="default"/>
          <w:w w:val="99"/>
        </w:rPr>
        <w:t> </w:t>
      </w:r>
      <w:r>
        <w:rPr>
          <w:spacing w:val="-1"/>
        </w:rPr>
        <w:t>传》客户端及通过渠道商提供客户端下载服务，立即删除侵犯原告著作权及不正当竞争的内</w:t>
      </w:r>
      <w:r>
        <w:rPr/>
        <w:t> </w:t>
      </w:r>
      <w:r>
        <w:rPr>
          <w:spacing w:val="-1"/>
        </w:rPr>
        <w:t>容表述；（</w:t>
      </w:r>
      <w:r>
        <w:rPr>
          <w:rFonts w:ascii="Times New Roman" w:hAnsi="Times New Roman" w:cs="Times New Roman" w:eastAsia="Times New Roman" w:hint="default"/>
          <w:spacing w:val="-1"/>
        </w:rPr>
        <w:t>2</w:t>
      </w:r>
      <w:r>
        <w:rPr>
          <w:spacing w:val="-1"/>
        </w:rPr>
        <w:t>）被告在媒体上向原告公开赔礼道歉并消除影响；（</w:t>
      </w:r>
      <w:r>
        <w:rPr>
          <w:rFonts w:ascii="Times New Roman" w:hAnsi="Times New Roman" w:cs="Times New Roman" w:eastAsia="Times New Roman" w:hint="default"/>
          <w:spacing w:val="-1"/>
        </w:rPr>
        <w:t>3</w:t>
      </w:r>
      <w:r>
        <w:rPr>
          <w:spacing w:val="-1"/>
        </w:rPr>
        <w:t>）被告向原告赔偿损失共</w:t>
      </w:r>
      <w:r>
        <w:rPr/>
        <w:t> 计</w:t>
      </w:r>
      <w:r>
        <w:rPr>
          <w:rFonts w:ascii="Times New Roman" w:hAnsi="Times New Roman" w:cs="Times New Roman" w:eastAsia="Times New Roman" w:hint="default"/>
        </w:rPr>
        <w:t>14,499,176.66</w:t>
      </w:r>
      <w:r>
        <w:rPr/>
        <w:t>元，并向原告赔偿合理支出</w:t>
      </w:r>
      <w:r>
        <w:rPr>
          <w:rFonts w:ascii="Times New Roman" w:hAnsi="Times New Roman" w:cs="Times New Roman" w:eastAsia="Times New Roman" w:hint="default"/>
        </w:rPr>
        <w:t>319,650.80</w:t>
      </w:r>
      <w:r>
        <w:rPr/>
        <w:t>元；（</w:t>
      </w:r>
      <w:r>
        <w:rPr>
          <w:rFonts w:ascii="Times New Roman" w:hAnsi="Times New Roman" w:cs="Times New Roman" w:eastAsia="Times New Roman" w:hint="default"/>
        </w:rPr>
        <w:t>4</w:t>
      </w:r>
      <w:r>
        <w:rPr/>
        <w:t>）被告承担相关诉讼费用。</w:t>
      </w:r>
    </w:p>
    <w:p>
      <w:pPr>
        <w:pStyle w:val="BodyText"/>
        <w:spacing w:line="266" w:lineRule="auto"/>
        <w:ind w:left="2410" w:right="1116" w:hanging="360"/>
        <w:jc w:val="left"/>
      </w:pPr>
      <w:r>
        <w:rPr>
          <w:rFonts w:ascii="宋体" w:hAnsi="宋体" w:cs="宋体" w:eastAsia="宋体" w:hint="default"/>
        </w:rPr>
        <w:t>2.</w:t>
      </w:r>
      <w:r>
        <w:rPr>
          <w:rFonts w:ascii="宋体" w:hAnsi="宋体" w:cs="宋体" w:eastAsia="宋体" w:hint="default"/>
          <w:spacing w:val="42"/>
        </w:rPr>
        <w:t> </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21</w:t>
      </w:r>
      <w:r>
        <w:rPr/>
        <w:t>日，该案在北京市第一中级人民法院进行了第一次开庭审理，原告律师当庭提 交了新的诉状，要求四被告共同赔偿原告损失的金额调整为人民币</w:t>
      </w:r>
      <w:r>
        <w:rPr>
          <w:rFonts w:ascii="Times New Roman" w:hAnsi="Times New Roman" w:cs="Times New Roman" w:eastAsia="Times New Roman" w:hint="default"/>
        </w:rPr>
        <w:t>1</w:t>
      </w:r>
      <w:r>
        <w:rPr/>
        <w:t>亿元；被告律师针对原 </w:t>
      </w:r>
      <w:r>
        <w:rPr>
          <w:spacing w:val="-1"/>
        </w:rPr>
        <w:t>告诉讼请求及理由方面存在的诸多模糊及瑕疵之处，提出了异议并要求原告进行明确，否则</w:t>
      </w:r>
      <w:r>
        <w:rPr/>
        <w:t> </w:t>
      </w:r>
      <w:r>
        <w:rPr>
          <w:spacing w:val="-1"/>
        </w:rPr>
        <w:t>庭审无法有效进行；针对原告变更诉讼请求的新情况，被告律师表示需要新的答辩期重新组</w:t>
      </w:r>
      <w:r>
        <w:rPr/>
        <w:t> 织答辩，法院同意了被告律师的请求，本案将择期再次开庭审理。 </w:t>
      </w:r>
      <w:r>
        <w:rPr>
          <w:rFonts w:ascii="Times New Roman" w:hAnsi="Times New Roman" w:cs="Times New Roman" w:eastAsia="Times New Roman" w:hint="default"/>
          <w:spacing w:val="-1"/>
        </w:rPr>
        <w:t>2015</w:t>
      </w:r>
      <w:r>
        <w:rPr>
          <w:spacing w:val="-1"/>
        </w:rPr>
        <w:t>年</w:t>
      </w:r>
      <w:r>
        <w:rPr>
          <w:rFonts w:ascii="Times New Roman" w:hAnsi="Times New Roman" w:cs="Times New Roman" w:eastAsia="Times New Roman" w:hint="default"/>
          <w:spacing w:val="-1"/>
        </w:rPr>
        <w:t>8</w:t>
      </w:r>
      <w:r>
        <w:rPr>
          <w:spacing w:val="-1"/>
        </w:rPr>
        <w:t>月</w:t>
      </w:r>
      <w:r>
        <w:rPr>
          <w:rFonts w:ascii="Times New Roman" w:hAnsi="Times New Roman" w:cs="Times New Roman" w:eastAsia="Times New Roman" w:hint="default"/>
          <w:spacing w:val="-1"/>
        </w:rPr>
        <w:t>27</w:t>
      </w:r>
      <w:r>
        <w:rPr>
          <w:spacing w:val="-1"/>
        </w:rPr>
        <w:t>日进行了第二次开庭，原告被告双方进行了质证；</w:t>
      </w:r>
      <w:r>
        <w:rPr>
          <w:rFonts w:ascii="Times New Roman" w:hAnsi="Times New Roman" w:cs="Times New Roman" w:eastAsia="Times New Roman" w:hint="default"/>
          <w:spacing w:val="-1"/>
        </w:rPr>
        <w:t>2015</w:t>
      </w:r>
      <w:r>
        <w:rPr>
          <w:spacing w:val="-1"/>
        </w:rPr>
        <w:t>年</w:t>
      </w:r>
      <w:r>
        <w:rPr>
          <w:rFonts w:ascii="Times New Roman" w:hAnsi="Times New Roman" w:cs="Times New Roman" w:eastAsia="Times New Roman" w:hint="default"/>
          <w:spacing w:val="-1"/>
        </w:rPr>
        <w:t>10</w:t>
      </w:r>
      <w:r>
        <w:rPr>
          <w:spacing w:val="-1"/>
        </w:rPr>
        <w:t>月</w:t>
      </w:r>
      <w:r>
        <w:rPr>
          <w:rFonts w:ascii="Times New Roman" w:hAnsi="Times New Roman" w:cs="Times New Roman" w:eastAsia="Times New Roman" w:hint="default"/>
          <w:spacing w:val="-1"/>
        </w:rPr>
        <w:t>14</w:t>
      </w:r>
      <w:r>
        <w:rPr>
          <w:spacing w:val="-1"/>
        </w:rPr>
        <w:t>日和</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3</w:t>
      </w:r>
      <w:r>
        <w:rPr>
          <w:spacing w:val="-1"/>
        </w:rPr>
        <w:t>月</w:t>
      </w:r>
    </w:p>
    <w:p>
      <w:pPr>
        <w:pStyle w:val="BodyText"/>
        <w:spacing w:line="286" w:lineRule="exact"/>
        <w:ind w:left="2410" w:right="998"/>
        <w:jc w:val="left"/>
      </w:pPr>
      <w:r>
        <w:rPr>
          <w:rFonts w:ascii="Times New Roman" w:hAnsi="Times New Roman" w:cs="Times New Roman" w:eastAsia="Times New Roman" w:hint="default"/>
        </w:rPr>
        <w:t>9</w:t>
      </w:r>
      <w:r>
        <w:rPr/>
        <w:t>日分别进行了第三次和第四次开庭，双方进行了法庭调查和法庭辩论。</w:t>
      </w:r>
    </w:p>
    <w:p>
      <w:pPr>
        <w:pStyle w:val="BodyText"/>
        <w:spacing w:line="264" w:lineRule="auto" w:before="21"/>
        <w:ind w:left="2409" w:right="1094" w:hanging="360"/>
        <w:jc w:val="both"/>
      </w:pPr>
      <w:r>
        <w:rPr>
          <w:rFonts w:ascii="宋体" w:hAnsi="宋体" w:cs="宋体" w:eastAsia="宋体" w:hint="default"/>
        </w:rPr>
        <w:t>1.</w:t>
      </w:r>
      <w:r>
        <w:rPr>
          <w:rFonts w:ascii="宋体" w:hAnsi="宋体" w:cs="宋体" w:eastAsia="宋体" w:hint="default"/>
          <w:spacing w:val="42"/>
        </w:rPr>
        <w:t> </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17</w:t>
      </w:r>
      <w:r>
        <w:rPr/>
        <w:t>日，公司收到北京市第一中级人民法院的一审《民事判决书》【（</w:t>
      </w:r>
      <w:r>
        <w:rPr>
          <w:rFonts w:ascii="Times New Roman" w:hAnsi="Times New Roman" w:cs="Times New Roman" w:eastAsia="Times New Roman" w:hint="default"/>
        </w:rPr>
        <w:t>2014</w:t>
      </w:r>
      <w:r>
        <w:rPr/>
        <w:t>）一中 民初字第</w:t>
      </w:r>
      <w:r>
        <w:rPr>
          <w:rFonts w:ascii="Times New Roman" w:hAnsi="Times New Roman" w:cs="Times New Roman" w:eastAsia="Times New Roman" w:hint="default"/>
        </w:rPr>
        <w:t>5146</w:t>
      </w:r>
      <w:r>
        <w:rPr/>
        <w:t>号】，判决如下：（</w:t>
      </w:r>
      <w:r>
        <w:rPr>
          <w:rFonts w:ascii="Times New Roman" w:hAnsi="Times New Roman" w:cs="Times New Roman" w:eastAsia="Times New Roman" w:hint="default"/>
        </w:rPr>
        <w:t>1</w:t>
      </w:r>
      <w:r>
        <w:rPr/>
        <w:t>）被告北京火谷网络科技股份有限公司、北京昆仑万维 科技股份有限公司、北京昆仑乐享网络技术有限公司自本判决生效之日起，停止在武侠</w:t>
      </w:r>
      <w:r>
        <w:rPr>
          <w:rFonts w:ascii="Times New Roman" w:hAnsi="Times New Roman" w:cs="Times New Roman" w:eastAsia="Times New Roman" w:hint="default"/>
        </w:rPr>
        <w:t>Q</w:t>
      </w:r>
      <w:r>
        <w:rPr/>
        <w:t>传 </w:t>
      </w:r>
      <w:r>
        <w:rPr>
          <w:spacing w:val="-2"/>
        </w:rPr>
        <w:t>游戏软件中使用与《射雕英雄传》、《倚天屠龙记》、《神雕侠侣》、《笑傲江湖》四部小</w:t>
      </w:r>
      <w:r>
        <w:rPr/>
        <w:t> 说有关的元素，在删除与《射雕英雄传》、《倚天屠龙记》、《神雕侠侣》、《笑傲江湖》 四部小说有关的元素之前，不得自行或授权他人提供武侠</w:t>
      </w:r>
      <w:r>
        <w:rPr>
          <w:rFonts w:ascii="Times New Roman" w:hAnsi="Times New Roman" w:cs="Times New Roman" w:eastAsia="Times New Roman" w:hint="default"/>
        </w:rPr>
        <w:t>Q</w:t>
      </w:r>
      <w:r>
        <w:rPr/>
        <w:t>传游戏客户端的下载服务；</w:t>
      </w:r>
    </w:p>
    <w:p>
      <w:pPr>
        <w:pStyle w:val="BodyText"/>
        <w:spacing w:line="266" w:lineRule="auto"/>
        <w:ind w:left="2410" w:right="1116"/>
        <w:jc w:val="left"/>
      </w:pPr>
      <w:r>
        <w:rPr/>
        <w:t>（</w:t>
      </w:r>
      <w:r>
        <w:rPr>
          <w:rFonts w:ascii="Times New Roman" w:hAnsi="Times New Roman" w:cs="Times New Roman" w:eastAsia="Times New Roman" w:hint="default"/>
        </w:rPr>
        <w:t>2</w:t>
      </w:r>
      <w:r>
        <w:rPr/>
        <w:t>）被告北京火谷网络科技股份有限公司、北京昆仑万维科技股份有限公司、北京昆仑乐 享网络技术有限公司自本判决生效之日起十日内就其实施的不正当竞争行为分别在其各自 </w:t>
      </w:r>
      <w:r>
        <w:rPr>
          <w:spacing w:val="-1"/>
        </w:rPr>
        <w:t>公司官方网站首页上连续七十二小时刊登声明，消除影响（内容需经北京市第一中级人民法</w:t>
      </w:r>
      <w:r>
        <w:rPr/>
        <w:t> 院审核）。</w:t>
      </w:r>
    </w:p>
    <w:p>
      <w:pPr>
        <w:pStyle w:val="BodyText"/>
        <w:spacing w:line="266" w:lineRule="auto" w:before="14"/>
        <w:ind w:left="2410" w:right="1116"/>
        <w:jc w:val="left"/>
      </w:pPr>
      <w:r>
        <w:rPr/>
        <w:t>（</w:t>
      </w:r>
      <w:r>
        <w:rPr>
          <w:rFonts w:ascii="Times New Roman" w:hAnsi="Times New Roman" w:cs="Times New Roman" w:eastAsia="Times New Roman" w:hint="default"/>
        </w:rPr>
        <w:t>3</w:t>
      </w:r>
      <w:r>
        <w:rPr/>
        <w:t>）被告北京火谷网络科技股份有限公司、北京昆仑万维科技股份有限公司、北京昆仑乐 </w:t>
      </w:r>
      <w:r>
        <w:rPr>
          <w:spacing w:val="-1"/>
        </w:rPr>
        <w:t>享网络技术有限公司自本判决生效之日起十日内连带赔偿原告完美世界（北京）软件有限公</w:t>
      </w:r>
      <w:r>
        <w:rPr/>
        <w:t> 司及明河社出版有限公司经济损失及合理费用合计人民币一千六百三十一万九千六百五十 元八角。</w:t>
      </w:r>
    </w:p>
    <w:p>
      <w:pPr>
        <w:pStyle w:val="BodyText"/>
        <w:spacing w:line="264" w:lineRule="auto" w:before="14"/>
        <w:ind w:left="2409" w:right="1117"/>
        <w:jc w:val="left"/>
      </w:pPr>
      <w:r>
        <w:rPr/>
        <w:t>（</w:t>
      </w:r>
      <w:r>
        <w:rPr>
          <w:rFonts w:ascii="Times New Roman" w:hAnsi="Times New Roman" w:cs="Times New Roman" w:eastAsia="Times New Roman" w:hint="default"/>
        </w:rPr>
        <w:t>4</w:t>
      </w:r>
      <w:r>
        <w:rPr/>
        <w:t>）驳回原告完美世界（北京）软件有限公司及明河社出版有限公司的其他诉讼请求。 </w:t>
      </w:r>
      <w:r>
        <w:rPr>
          <w:rFonts w:ascii="Times New Roman" w:hAnsi="Times New Roman" w:cs="Times New Roman" w:eastAsia="Times New Roman" w:hint="default"/>
        </w:rPr>
        <w:t>4</w:t>
      </w:r>
      <w:r>
        <w:rPr/>
        <w:t>、</w:t>
      </w:r>
      <w:r>
        <w:rPr>
          <w:spacing w:val="63"/>
        </w:rPr>
        <w:t> </w:t>
      </w:r>
      <w:r>
        <w:rPr/>
        <w:t>本诉讼发生后，公司控股股东、实际控制人周亚辉已经出具承诺：</w:t>
      </w:r>
      <w:r>
        <w:rPr>
          <w:rFonts w:ascii="Times New Roman" w:hAnsi="Times New Roman" w:cs="Times New Roman" w:eastAsia="Times New Roman" w:hint="default"/>
        </w:rPr>
        <w:t>“</w:t>
      </w:r>
      <w:r>
        <w:rPr/>
        <w:t>若昆仑万维因明河 </w:t>
      </w:r>
      <w:r>
        <w:rPr>
          <w:spacing w:val="-1"/>
        </w:rPr>
        <w:t>社出版有限公司、完美世界（北京）软件有限公司起诉北京火谷网络科技有限责任公司、公</w:t>
      </w:r>
      <w:r>
        <w:rPr/>
        <w:t> </w:t>
      </w:r>
      <w:r>
        <w:rPr>
          <w:spacing w:val="-1"/>
        </w:rPr>
        <w:t>司、昆仑在线及昆仑乐享的民事诉讼遭受损失，且昆仑万维就此向北京火谷网络科技有限责</w:t>
      </w:r>
      <w:r>
        <w:rPr/>
        <w:t> </w:t>
      </w:r>
      <w:r>
        <w:rPr>
          <w:spacing w:val="-1"/>
        </w:rPr>
        <w:t>任公司进行全额追偿后，北京火谷网络科技有限责任公司拒不履行相关责任时，本人将在北</w:t>
      </w:r>
      <w:r>
        <w:rPr/>
        <w:t> 京火谷网络科技有限责任公司拒绝履行后的</w:t>
      </w:r>
      <w:r>
        <w:rPr>
          <w:rFonts w:ascii="Times New Roman" w:hAnsi="Times New Roman" w:cs="Times New Roman" w:eastAsia="Times New Roman" w:hint="default"/>
        </w:rPr>
        <w:t>30</w:t>
      </w:r>
      <w:r>
        <w:rPr/>
        <w:t>个工作日内承担昆仑万维因上述诉讼遭受的 </w:t>
      </w:r>
      <w:r>
        <w:rPr>
          <w:spacing w:val="-1"/>
        </w:rPr>
        <w:t>全部损失，且在承担后不向昆仑万维追偿。</w:t>
      </w:r>
      <w:r>
        <w:rPr>
          <w:rFonts w:ascii="Times New Roman" w:hAnsi="Times New Roman" w:cs="Times New Roman" w:eastAsia="Times New Roman" w:hint="default"/>
          <w:spacing w:val="-1"/>
        </w:rPr>
        <w:t>”</w:t>
      </w:r>
      <w:r>
        <w:rPr>
          <w:spacing w:val="-1"/>
        </w:rPr>
        <w:t>本判决为一审判决，公司依法于</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9</w:t>
      </w:r>
      <w:r>
        <w:rPr>
          <w:spacing w:val="-1"/>
        </w:rPr>
        <w:t>月</w:t>
      </w:r>
      <w:r>
        <w:rPr>
          <w:rFonts w:ascii="Times New Roman" w:hAnsi="Times New Roman" w:cs="Times New Roman" w:eastAsia="Times New Roman" w:hint="default"/>
          <w:spacing w:val="-1"/>
        </w:rPr>
        <w:t>28</w:t>
      </w:r>
      <w:r>
        <w:rPr>
          <w:spacing w:val="-1"/>
        </w:rPr>
        <w:t>日</w:t>
      </w:r>
      <w:r>
        <w:rPr>
          <w:spacing w:val="-90"/>
        </w:rPr>
        <w:t> </w:t>
      </w:r>
      <w:r>
        <w:rPr/>
        <w:t>提起上诉，截止审计报告日，该案尚待法院的终审判决。</w:t>
      </w:r>
    </w:p>
    <w:p>
      <w:pPr>
        <w:spacing w:after="0" w:line="264" w:lineRule="auto"/>
        <w:jc w:val="left"/>
        <w:sectPr>
          <w:pgSz w:w="11910" w:h="16840"/>
          <w:pgMar w:header="877" w:footer="979" w:top="106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86"/>
        <w:ind w:left="1133" w:right="998"/>
        <w:jc w:val="left"/>
        <w:rPr>
          <w:b w:val="0"/>
          <w:bCs w:val="0"/>
        </w:rPr>
      </w:pPr>
      <w:bookmarkStart w:name="（2）公司没有需要披露的重要或有事项，也应予以说明" w:id="496"/>
      <w:bookmarkEnd w:id="496"/>
      <w:r>
        <w:rPr>
          <w:b w:val="0"/>
          <w:bCs w:val="0"/>
        </w:rPr>
      </w:r>
      <w:r>
        <w:rPr/>
        <w:t>（</w:t>
      </w:r>
      <w:r>
        <w:rPr>
          <w:rFonts w:ascii="Times New Roman" w:hAnsi="Times New Roman" w:cs="Times New Roman" w:eastAsia="Times New Roman" w:hint="default"/>
        </w:rPr>
        <w:t>2</w:t>
      </w:r>
      <w:r>
        <w:rPr/>
        <w:t>）公司没有需要披露的重要或有事项，也应予以说明</w:t>
      </w:r>
      <w:r>
        <w:rPr>
          <w:b w:val="0"/>
          <w:bCs w:val="0"/>
        </w:rPr>
      </w:r>
    </w:p>
    <w:p>
      <w:pPr>
        <w:spacing w:line="240" w:lineRule="auto" w:before="8"/>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公司不存在需要披露的重要或有事项。</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3、其他" w:id="497"/>
      <w:bookmarkEnd w:id="497"/>
      <w:r>
        <w:rPr>
          <w:b w:val="0"/>
          <w:bCs w:val="0"/>
        </w:rPr>
      </w:r>
      <w:r>
        <w:rPr>
          <w:rFonts w:ascii="Times New Roman" w:hAnsi="Times New Roman" w:cs="Times New Roman" w:eastAsia="Times New Roman" w:hint="default"/>
        </w:rPr>
        <w:t>3</w:t>
      </w:r>
      <w:r>
        <w:rPr/>
        <w:t>、其他</w:t>
      </w:r>
      <w:r>
        <w:rPr>
          <w:b w:val="0"/>
          <w:bCs w:val="0"/>
        </w:rPr>
      </w:r>
    </w:p>
    <w:p>
      <w:pPr>
        <w:spacing w:line="240" w:lineRule="auto" w:before="8"/>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2"/>
        <w:rPr>
          <w:rFonts w:ascii="宋体" w:hAnsi="宋体" w:cs="宋体" w:eastAsia="宋体" w:hint="default"/>
          <w:sz w:val="25"/>
          <w:szCs w:val="25"/>
        </w:rPr>
      </w:pPr>
    </w:p>
    <w:p>
      <w:pPr>
        <w:pStyle w:val="Heading4"/>
        <w:spacing w:line="240" w:lineRule="auto"/>
        <w:ind w:left="1134" w:right="998"/>
        <w:jc w:val="left"/>
        <w:rPr>
          <w:b w:val="0"/>
          <w:bCs w:val="0"/>
        </w:rPr>
      </w:pPr>
      <w:bookmarkStart w:name="十五、资产负债表日后事项" w:id="498"/>
      <w:bookmarkEnd w:id="498"/>
      <w:r>
        <w:rPr>
          <w:b w:val="0"/>
          <w:bCs w:val="0"/>
        </w:rPr>
      </w:r>
      <w:r>
        <w:rPr/>
        <w:t>十五、资产负债表日后事项</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重要的非调整事项" w:id="499"/>
      <w:bookmarkEnd w:id="499"/>
      <w:r>
        <w:rPr>
          <w:b w:val="0"/>
          <w:bCs w:val="0"/>
        </w:rPr>
      </w:r>
      <w:r>
        <w:rPr>
          <w:rFonts w:ascii="Times New Roman" w:hAnsi="Times New Roman" w:cs="Times New Roman" w:eastAsia="Times New Roman" w:hint="default"/>
        </w:rPr>
        <w:t>1</w:t>
      </w:r>
      <w:r>
        <w:rPr/>
        <w:t>、重要的非调整事项</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494"/>
        <w:gridCol w:w="2295"/>
        <w:gridCol w:w="2391"/>
        <w:gridCol w:w="2389"/>
      </w:tblGrid>
      <w:tr>
        <w:trPr>
          <w:trHeight w:val="714"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内容</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09" w:right="111" w:hanging="900"/>
              <w:jc w:val="left"/>
              <w:rPr>
                <w:rFonts w:ascii="宋体" w:hAnsi="宋体" w:cs="宋体" w:eastAsia="宋体" w:hint="default"/>
                <w:sz w:val="18"/>
                <w:szCs w:val="18"/>
              </w:rPr>
            </w:pPr>
            <w:r>
              <w:rPr>
                <w:rFonts w:ascii="宋体" w:hAnsi="宋体" w:cs="宋体" w:eastAsia="宋体" w:hint="default"/>
                <w:sz w:val="18"/>
                <w:szCs w:val="18"/>
              </w:rPr>
              <w:t>对财务状况和经营成果的影 响数</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9" w:right="0"/>
              <w:jc w:val="left"/>
              <w:rPr>
                <w:rFonts w:ascii="宋体" w:hAnsi="宋体" w:cs="宋体" w:eastAsia="宋体" w:hint="default"/>
                <w:sz w:val="18"/>
                <w:szCs w:val="18"/>
              </w:rPr>
            </w:pPr>
            <w:r>
              <w:rPr>
                <w:rFonts w:ascii="宋体" w:hAnsi="宋体" w:cs="宋体" w:eastAsia="宋体" w:hint="default"/>
                <w:sz w:val="18"/>
                <w:szCs w:val="18"/>
              </w:rPr>
              <w:t>无法估计影响数的原因</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2、利润分配情况" w:id="500"/>
      <w:bookmarkEnd w:id="500"/>
      <w:r>
        <w:rPr>
          <w:b w:val="0"/>
          <w:bCs w:val="0"/>
        </w:rPr>
      </w:r>
      <w:r>
        <w:rPr>
          <w:rFonts w:ascii="Times New Roman" w:hAnsi="Times New Roman" w:cs="Times New Roman" w:eastAsia="Times New Roman" w:hint="default"/>
        </w:rPr>
        <w:t>2</w:t>
      </w:r>
      <w:r>
        <w:rPr/>
        <w:t>、利润分配情况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4984"/>
        <w:gridCol w:w="4585"/>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拟分配的利润或股利</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100,219,320.79</w:t>
            </w:r>
          </w:p>
        </w:tc>
      </w:tr>
      <w:tr>
        <w:trPr>
          <w:trHeight w:val="403"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经审议批准宣告发放的利润或股利</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100,219,320.79</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3、销售退回" w:id="501"/>
      <w:bookmarkEnd w:id="501"/>
      <w:r>
        <w:rPr>
          <w:b w:val="0"/>
          <w:bCs w:val="0"/>
        </w:rPr>
      </w:r>
      <w:r>
        <w:rPr>
          <w:rFonts w:ascii="Times New Roman" w:hAnsi="Times New Roman" w:cs="Times New Roman" w:eastAsia="Times New Roman" w:hint="default"/>
        </w:rPr>
        <w:t>3</w:t>
      </w:r>
      <w:r>
        <w:rPr/>
        <w:t>、销售退回</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4、其他资产负债表日后事项说明" w:id="502"/>
      <w:bookmarkEnd w:id="502"/>
      <w:r>
        <w:rPr>
          <w:b w:val="0"/>
          <w:bCs w:val="0"/>
        </w:rPr>
      </w:r>
      <w:r>
        <w:rPr>
          <w:rFonts w:ascii="Times New Roman" w:hAnsi="Times New Roman" w:cs="Times New Roman" w:eastAsia="Times New Roman" w:hint="default"/>
        </w:rPr>
        <w:t>4</w:t>
      </w:r>
      <w:r>
        <w:rPr/>
        <w:t>、其他资产负债表日后事项说明</w:t>
      </w:r>
      <w:r>
        <w:rPr>
          <w:b w:val="0"/>
          <w:bCs w:val="0"/>
        </w:rPr>
      </w:r>
    </w:p>
    <w:p>
      <w:pPr>
        <w:spacing w:line="240" w:lineRule="auto" w:before="7"/>
        <w:rPr>
          <w:rFonts w:ascii="宋体" w:hAnsi="宋体" w:cs="宋体" w:eastAsia="宋体" w:hint="default"/>
          <w:b/>
          <w:bCs/>
          <w:sz w:val="24"/>
          <w:szCs w:val="24"/>
        </w:rPr>
      </w:pPr>
    </w:p>
    <w:p>
      <w:pPr>
        <w:pStyle w:val="BodyText"/>
        <w:spacing w:line="256" w:lineRule="auto"/>
        <w:ind w:left="1848" w:right="1121"/>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22</w:t>
      </w:r>
      <w:r>
        <w:rPr/>
        <w:t>日召开的第二届董事会第五十八次会议和</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3</w:t>
      </w:r>
      <w:r>
        <w:rPr/>
        <w:t>日召开的</w:t>
      </w:r>
      <w:r>
        <w:rPr>
          <w:rFonts w:ascii="Times New Roman" w:hAnsi="Times New Roman" w:cs="Times New Roman" w:eastAsia="Times New Roman" w:hint="default"/>
        </w:rPr>
        <w:t>2017</w:t>
      </w:r>
      <w:r>
        <w:rPr/>
        <w:t>年第三次临时 </w:t>
      </w:r>
      <w:r>
        <w:rPr>
          <w:spacing w:val="-1"/>
        </w:rPr>
        <w:t>股东大会审议通过了《关于公司收购</w:t>
      </w:r>
      <w:r>
        <w:rPr>
          <w:rFonts w:ascii="Times New Roman" w:hAnsi="Times New Roman" w:cs="Times New Roman" w:eastAsia="Times New Roman" w:hint="default"/>
          <w:spacing w:val="-1"/>
        </w:rPr>
        <w:t>Grindr</w:t>
      </w:r>
      <w:r>
        <w:rPr>
          <w:rFonts w:ascii="Times New Roman" w:hAnsi="Times New Roman" w:cs="Times New Roman" w:eastAsia="Times New Roman" w:hint="default"/>
        </w:rPr>
        <w:t> </w:t>
      </w:r>
      <w:r>
        <w:rPr>
          <w:rFonts w:ascii="Times New Roman" w:hAnsi="Times New Roman" w:cs="Times New Roman" w:eastAsia="Times New Roman" w:hint="default"/>
          <w:spacing w:val="-2"/>
        </w:rPr>
        <w:t>LLC</w:t>
      </w:r>
      <w:r>
        <w:rPr>
          <w:spacing w:val="-2"/>
        </w:rPr>
        <w:t>的议案》。同意公司以全资子公司昆仑集团有限公</w:t>
      </w:r>
      <w:r>
        <w:rPr>
          <w:spacing w:val="-103"/>
        </w:rPr>
        <w:t> </w:t>
      </w:r>
      <w:r>
        <w:rPr>
          <w:spacing w:val="-103"/>
        </w:rPr>
      </w:r>
      <w:r>
        <w:rPr/>
        <w:t>司为主体出资</w:t>
      </w:r>
      <w:r>
        <w:rPr>
          <w:rFonts w:ascii="Times New Roman" w:hAnsi="Times New Roman" w:cs="Times New Roman" w:eastAsia="Times New Roman" w:hint="default"/>
        </w:rPr>
        <w:t>1.52</w:t>
      </w:r>
      <w:r>
        <w:rPr/>
        <w:t>亿美元收购</w:t>
      </w:r>
      <w:r>
        <w:rPr>
          <w:rFonts w:ascii="Times New Roman" w:hAnsi="Times New Roman" w:cs="Times New Roman" w:eastAsia="Times New Roman" w:hint="default"/>
        </w:rPr>
        <w:t>Grindr</w:t>
      </w:r>
      <w:r>
        <w:rPr/>
        <w:t>股东</w:t>
      </w:r>
      <w:r>
        <w:rPr>
          <w:rFonts w:ascii="Times New Roman" w:hAnsi="Times New Roman" w:cs="Times New Roman" w:eastAsia="Times New Roman" w:hint="default"/>
        </w:rPr>
        <w:t>Grindr Holding </w:t>
      </w:r>
      <w:r>
        <w:rPr>
          <w:rFonts w:ascii="Times New Roman" w:hAnsi="Times New Roman" w:cs="Times New Roman" w:eastAsia="Times New Roman" w:hint="default"/>
          <w:spacing w:val="-3"/>
        </w:rPr>
        <w:t>Company38.47%</w:t>
      </w:r>
      <w:r>
        <w:rPr>
          <w:spacing w:val="-3"/>
        </w:rPr>
        <w:t>的股权。</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1</w:t>
      </w:r>
      <w:r>
        <w:rPr>
          <w:spacing w:val="-3"/>
        </w:rPr>
        <w:t>月</w:t>
      </w:r>
      <w:r>
        <w:rPr>
          <w:rFonts w:ascii="Times New Roman" w:hAnsi="Times New Roman" w:cs="Times New Roman" w:eastAsia="Times New Roman" w:hint="default"/>
          <w:spacing w:val="-3"/>
        </w:rPr>
        <w:t>5</w:t>
      </w:r>
      <w:r>
        <w:rPr>
          <w:spacing w:val="-3"/>
        </w:rPr>
        <w:t>日，昆</w:t>
      </w:r>
      <w:r>
        <w:rPr>
          <w:spacing w:val="-103"/>
        </w:rPr>
        <w:t> </w:t>
      </w:r>
      <w:r>
        <w:rPr>
          <w:spacing w:val="-103"/>
        </w:rPr>
      </w:r>
      <w:r>
        <w:rPr/>
        <w:t>仑集团向本次交易的对方</w:t>
      </w:r>
      <w:r>
        <w:rPr>
          <w:rFonts w:ascii="Times New Roman" w:hAnsi="Times New Roman" w:cs="Times New Roman" w:eastAsia="Times New Roman" w:hint="default"/>
        </w:rPr>
        <w:t>Grindr Holding</w:t>
      </w:r>
      <w:r>
        <w:rPr>
          <w:rFonts w:ascii="Times New Roman" w:hAnsi="Times New Roman" w:cs="Times New Roman" w:eastAsia="Times New Roman" w:hint="default"/>
          <w:spacing w:val="-3"/>
        </w:rPr>
        <w:t> </w:t>
      </w:r>
      <w:r>
        <w:rPr>
          <w:rFonts w:ascii="Times New Roman" w:hAnsi="Times New Roman" w:cs="Times New Roman" w:eastAsia="Times New Roman" w:hint="default"/>
        </w:rPr>
        <w:t>Company</w:t>
      </w:r>
      <w:r>
        <w:rPr/>
        <w:t>支付了交易对价，并完成了股权变更登记手续。 交易完成后，昆仑集团持有</w:t>
      </w:r>
      <w:r>
        <w:rPr>
          <w:rFonts w:ascii="Times New Roman" w:hAnsi="Times New Roman" w:cs="Times New Roman" w:eastAsia="Times New Roman" w:hint="default"/>
        </w:rPr>
        <w:t>Grindr 100%</w:t>
      </w:r>
      <w:r>
        <w:rPr/>
        <w:t>股权。</w:t>
      </w:r>
    </w:p>
    <w:p>
      <w:pPr>
        <w:pStyle w:val="BodyText"/>
        <w:spacing w:line="256" w:lineRule="auto" w:before="125"/>
        <w:ind w:left="1848" w:right="998"/>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2017</w:t>
      </w:r>
      <w:r>
        <w:rPr/>
        <w:t>年</w:t>
      </w:r>
      <w:r>
        <w:rPr>
          <w:spacing w:val="-26"/>
        </w:rPr>
        <w:t> </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11</w:t>
      </w:r>
      <w:r>
        <w:rPr/>
        <w:t>日，经中国证券监督管理委员会证监许可〔</w:t>
      </w:r>
      <w:r>
        <w:rPr>
          <w:rFonts w:ascii="Times New Roman" w:hAnsi="Times New Roman" w:cs="Times New Roman" w:eastAsia="Times New Roman" w:hint="default"/>
        </w:rPr>
        <w:t>2017</w:t>
      </w:r>
      <w:r>
        <w:rPr/>
        <w:t>〕</w:t>
      </w:r>
      <w:r>
        <w:rPr>
          <w:rFonts w:ascii="Times New Roman" w:hAnsi="Times New Roman" w:cs="Times New Roman" w:eastAsia="Times New Roman" w:hint="default"/>
        </w:rPr>
        <w:t>1499</w:t>
      </w:r>
      <w:r>
        <w:rPr/>
        <w:t>号文核准。北京昆仑万维 科技股份有限公司</w:t>
      </w:r>
      <w:r>
        <w:rPr>
          <w:rFonts w:ascii="Times New Roman" w:hAnsi="Times New Roman" w:cs="Times New Roman" w:eastAsia="Times New Roman" w:hint="default"/>
        </w:rPr>
        <w:t>2018</w:t>
      </w:r>
      <w:r>
        <w:rPr/>
        <w:t>年面向合格投资者公开发行创新创业公司债券（第一期）计划基础发行规 模</w:t>
      </w:r>
      <w:r>
        <w:rPr>
          <w:rFonts w:ascii="Times New Roman" w:hAnsi="Times New Roman" w:cs="Times New Roman" w:eastAsia="Times New Roman" w:hint="default"/>
        </w:rPr>
        <w:t>0.50</w:t>
      </w:r>
      <w:r>
        <w:rPr/>
        <w:t>亿元，可超额配售不超过</w:t>
      </w:r>
      <w:r>
        <w:rPr>
          <w:rFonts w:ascii="Times New Roman" w:hAnsi="Times New Roman" w:cs="Times New Roman" w:eastAsia="Times New Roman" w:hint="default"/>
        </w:rPr>
        <w:t>2.10</w:t>
      </w:r>
      <w:r>
        <w:rPr/>
        <w:t>亿元。发行价格为每张</w:t>
      </w:r>
      <w:r>
        <w:rPr>
          <w:rFonts w:ascii="Times New Roman" w:hAnsi="Times New Roman" w:cs="Times New Roman" w:eastAsia="Times New Roman" w:hint="default"/>
        </w:rPr>
        <w:t>100</w:t>
      </w:r>
      <w:r>
        <w:rPr/>
        <w:t>元，采取网下面向机构投资者询价 </w:t>
      </w:r>
      <w:r>
        <w:rPr>
          <w:spacing w:val="-2"/>
        </w:rPr>
        <w:t>配售的方式。截止</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2</w:t>
      </w:r>
      <w:r>
        <w:rPr>
          <w:spacing w:val="-2"/>
        </w:rPr>
        <w:t>月</w:t>
      </w:r>
      <w:r>
        <w:rPr>
          <w:rFonts w:ascii="Times New Roman" w:hAnsi="Times New Roman" w:cs="Times New Roman" w:eastAsia="Times New Roman" w:hint="default"/>
          <w:spacing w:val="-2"/>
        </w:rPr>
        <w:t>2</w:t>
      </w:r>
      <w:r>
        <w:rPr>
          <w:spacing w:val="-2"/>
        </w:rPr>
        <w:t>日发行结束，本期债券最终发行规模为人民币</w:t>
      </w:r>
      <w:r>
        <w:rPr>
          <w:rFonts w:ascii="Times New Roman" w:hAnsi="Times New Roman" w:cs="Times New Roman" w:eastAsia="Times New Roman" w:hint="default"/>
          <w:spacing w:val="-2"/>
        </w:rPr>
        <w:t>0.50</w:t>
      </w:r>
      <w:r>
        <w:rPr>
          <w:spacing w:val="-2"/>
        </w:rPr>
        <w:t>亿元，票面利率为</w:t>
      </w:r>
      <w:r>
        <w:rPr>
          <w:spacing w:val="-70"/>
        </w:rPr>
        <w:t> </w:t>
      </w:r>
      <w:r>
        <w:rPr>
          <w:spacing w:val="-70"/>
        </w:rPr>
      </w:r>
      <w:r>
        <w:rPr>
          <w:rFonts w:ascii="Times New Roman" w:hAnsi="Times New Roman" w:cs="Times New Roman" w:eastAsia="Times New Roman" w:hint="default"/>
        </w:rPr>
        <w:t>7.50%</w:t>
      </w:r>
      <w:r>
        <w:rPr/>
        <w:t>。</w:t>
      </w:r>
    </w:p>
    <w:p>
      <w:pPr>
        <w:pStyle w:val="BodyText"/>
        <w:spacing w:line="240" w:lineRule="auto" w:before="125"/>
        <w:ind w:left="1848" w:right="998"/>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7</w:t>
      </w:r>
      <w:r>
        <w:rPr/>
        <w:t>月，北京昆仑万维科技股份有限公司（以下简称</w:t>
      </w:r>
      <w:r>
        <w:rPr>
          <w:rFonts w:ascii="Times New Roman" w:hAnsi="Times New Roman" w:cs="Times New Roman" w:eastAsia="Times New Roman" w:hint="default"/>
        </w:rPr>
        <w:t>“</w:t>
      </w:r>
      <w:r>
        <w:rPr/>
        <w:t>公司</w:t>
      </w:r>
      <w:r>
        <w:rPr>
          <w:rFonts w:ascii="Times New Roman" w:hAnsi="Times New Roman" w:cs="Times New Roman" w:eastAsia="Times New Roman" w:hint="default"/>
        </w:rPr>
        <w:t>”</w:t>
      </w:r>
      <w:r>
        <w:rPr/>
        <w:t>）以全资子公司香港昆仑万维股</w:t>
      </w:r>
    </w:p>
    <w:p>
      <w:pPr>
        <w:pStyle w:val="BodyText"/>
        <w:spacing w:line="240" w:lineRule="auto" w:before="21"/>
        <w:ind w:left="1848" w:right="998"/>
        <w:jc w:val="left"/>
      </w:pPr>
      <w:r>
        <w:rPr/>
        <w:t>份有限公</w:t>
      </w:r>
      <w:r>
        <w:rPr>
          <w:spacing w:val="-89"/>
        </w:rPr>
        <w:t>司</w:t>
      </w:r>
      <w:r>
        <w:rPr/>
        <w:t>（以下简称</w:t>
      </w:r>
      <w:r>
        <w:rPr>
          <w:rFonts w:ascii="Times New Roman" w:hAnsi="Times New Roman" w:cs="Times New Roman" w:eastAsia="Times New Roman" w:hint="default"/>
          <w:spacing w:val="-1"/>
          <w:w w:val="100"/>
        </w:rPr>
        <w:t>“</w:t>
      </w:r>
      <w:r>
        <w:rPr>
          <w:spacing w:val="1"/>
        </w:rPr>
        <w:t>香</w:t>
      </w:r>
      <w:r>
        <w:rPr/>
        <w:t>港万维</w:t>
      </w:r>
      <w:r>
        <w:rPr>
          <w:rFonts w:ascii="Times New Roman" w:hAnsi="Times New Roman" w:cs="Times New Roman" w:eastAsia="Times New Roman" w:hint="default"/>
          <w:w w:val="100"/>
        </w:rPr>
        <w:t>”</w:t>
      </w:r>
      <w:r>
        <w:rPr/>
        <w:t>或</w:t>
      </w:r>
      <w:r>
        <w:rPr>
          <w:rFonts w:ascii="Times New Roman" w:hAnsi="Times New Roman" w:cs="Times New Roman" w:eastAsia="Times New Roman" w:hint="default"/>
          <w:spacing w:val="-1"/>
          <w:w w:val="100"/>
        </w:rPr>
        <w:t>“</w:t>
      </w:r>
      <w:r>
        <w:rPr/>
        <w:t>受让方</w:t>
      </w:r>
      <w:r>
        <w:rPr>
          <w:rFonts w:ascii="Times New Roman" w:hAnsi="Times New Roman" w:cs="Times New Roman" w:eastAsia="Times New Roman" w:hint="default"/>
          <w:w w:val="100"/>
        </w:rPr>
        <w:t>”</w:t>
      </w:r>
      <w:r>
        <w:rPr>
          <w:spacing w:val="-89"/>
        </w:rPr>
        <w:t>）</w:t>
      </w:r>
      <w:r>
        <w:rPr/>
        <w:t>为投资主体</w:t>
      </w:r>
      <w:r>
        <w:rPr>
          <w:spacing w:val="-89"/>
        </w:rPr>
        <w:t>，</w:t>
      </w:r>
      <w:r>
        <w:rPr/>
        <w:t>与</w:t>
      </w:r>
      <w:r>
        <w:rPr>
          <w:spacing w:val="-21"/>
        </w:rPr>
        <w:t> </w:t>
      </w:r>
      <w:r>
        <w:rPr>
          <w:rFonts w:ascii="Times New Roman" w:hAnsi="Times New Roman" w:cs="Times New Roman" w:eastAsia="Times New Roman" w:hint="default"/>
          <w:w w:val="99"/>
        </w:rPr>
        <w:t>Fut</w:t>
      </w:r>
      <w:r>
        <w:rPr>
          <w:rFonts w:ascii="Times New Roman" w:hAnsi="Times New Roman" w:cs="Times New Roman" w:eastAsia="Times New Roman" w:hint="default"/>
          <w:w w:val="99"/>
        </w:rPr>
        <w:t>ure</w:t>
      </w:r>
      <w:r>
        <w:rPr>
          <w:rFonts w:ascii="Times New Roman" w:hAnsi="Times New Roman" w:cs="Times New Roman" w:eastAsia="Times New Roman" w:hint="default"/>
          <w:spacing w:val="-11"/>
          <w:w w:val="99"/>
        </w:rPr>
        <w:t> </w:t>
      </w:r>
      <w:r>
        <w:rPr>
          <w:rFonts w:ascii="Times New Roman" w:hAnsi="Times New Roman" w:cs="Times New Roman" w:eastAsia="Times New Roman" w:hint="default"/>
          <w:w w:val="99"/>
        </w:rPr>
        <w:t>Hold</w:t>
      </w:r>
      <w:r>
        <w:rPr>
          <w:rFonts w:ascii="Times New Roman" w:hAnsi="Times New Roman" w:cs="Times New Roman" w:eastAsia="Times New Roman" w:hint="default"/>
          <w:spacing w:val="-1"/>
          <w:w w:val="99"/>
        </w:rPr>
        <w:t>i</w:t>
      </w:r>
      <w:r>
        <w:rPr>
          <w:rFonts w:ascii="Times New Roman" w:hAnsi="Times New Roman" w:cs="Times New Roman" w:eastAsia="Times New Roman" w:hint="default"/>
          <w:w w:val="99"/>
        </w:rPr>
        <w:t>n</w:t>
      </w:r>
      <w:r>
        <w:rPr>
          <w:rFonts w:ascii="Times New Roman" w:hAnsi="Times New Roman" w:cs="Times New Roman" w:eastAsia="Times New Roman" w:hint="default"/>
          <w:spacing w:val="1"/>
          <w:w w:val="99"/>
        </w:rPr>
        <w:t>g</w:t>
      </w:r>
      <w:r>
        <w:rPr>
          <w:rFonts w:ascii="Times New Roman" w:hAnsi="Times New Roman" w:cs="Times New Roman" w:eastAsia="Times New Roman" w:hint="default"/>
          <w:w w:val="99"/>
        </w:rPr>
        <w:t>L.</w:t>
      </w:r>
      <w:r>
        <w:rPr>
          <w:rFonts w:ascii="Times New Roman" w:hAnsi="Times New Roman" w:cs="Times New Roman" w:eastAsia="Times New Roman" w:hint="default"/>
          <w:spacing w:val="-35"/>
          <w:w w:val="99"/>
        </w:rPr>
        <w:t>P</w:t>
      </w:r>
      <w:r>
        <w:rPr>
          <w:spacing w:val="-176"/>
        </w:rPr>
        <w:t>（</w:t>
      </w:r>
      <w:r>
        <w:rPr>
          <w:rFonts w:ascii="Times New Roman" w:hAnsi="Times New Roman" w:cs="Times New Roman" w:eastAsia="Times New Roman" w:hint="default"/>
        </w:rPr>
        <w:t>. </w:t>
      </w:r>
      <w:r>
        <w:rPr>
          <w:rFonts w:ascii="Times New Roman" w:hAnsi="Times New Roman" w:cs="Times New Roman" w:eastAsia="Times New Roman" w:hint="default"/>
          <w:spacing w:val="17"/>
        </w:rPr>
        <w:t> </w:t>
      </w:r>
      <w:r>
        <w:rPr/>
        <w:t>以</w:t>
      </w:r>
      <w:r>
        <w:rPr>
          <w:spacing w:val="-2"/>
        </w:rPr>
        <w:t>下</w:t>
      </w:r>
      <w:r>
        <w:rPr/>
        <w:t>简称</w:t>
      </w:r>
      <w:r>
        <w:rPr>
          <w:rFonts w:ascii="Times New Roman" w:hAnsi="Times New Roman" w:cs="Times New Roman" w:eastAsia="Times New Roman" w:hint="default"/>
          <w:spacing w:val="-1"/>
          <w:w w:val="100"/>
        </w:rPr>
        <w:t>“</w:t>
      </w:r>
      <w:r>
        <w:rPr>
          <w:rFonts w:ascii="Times New Roman" w:hAnsi="Times New Roman" w:cs="Times New Roman" w:eastAsia="Times New Roman" w:hint="default"/>
          <w:w w:val="99"/>
        </w:rPr>
        <w:t>F</w:t>
      </w:r>
      <w:r>
        <w:rPr>
          <w:rFonts w:ascii="Times New Roman" w:hAnsi="Times New Roman" w:cs="Times New Roman" w:eastAsia="Times New Roman" w:hint="default"/>
          <w:spacing w:val="-1"/>
          <w:w w:val="99"/>
        </w:rPr>
        <w:t>H</w:t>
      </w:r>
      <w:r>
        <w:rPr>
          <w:rFonts w:ascii="Times New Roman" w:hAnsi="Times New Roman" w:cs="Times New Roman" w:eastAsia="Times New Roman" w:hint="default"/>
          <w:w w:val="100"/>
        </w:rPr>
        <w:t>”</w:t>
      </w:r>
      <w:r>
        <w:rPr>
          <w:spacing w:val="-89"/>
        </w:rPr>
        <w:t>）、</w:t>
      </w:r>
      <w:r>
        <w:rPr/>
      </w:r>
    </w:p>
    <w:p>
      <w:pPr>
        <w:pStyle w:val="BodyText"/>
        <w:spacing w:line="240" w:lineRule="auto" w:before="21"/>
        <w:ind w:left="1848" w:right="998"/>
        <w:jc w:val="left"/>
      </w:pPr>
      <w:r>
        <w:rPr>
          <w:rFonts w:ascii="Times New Roman" w:hAnsi="Times New Roman" w:cs="Times New Roman" w:eastAsia="Times New Roman" w:hint="default"/>
        </w:rPr>
        <w:t>Keeneyes Future Holding Inc(</w:t>
      </w:r>
      <w:r>
        <w:rPr/>
        <w:t>以下简称</w:t>
      </w:r>
      <w:r>
        <w:rPr>
          <w:rFonts w:ascii="Times New Roman" w:hAnsi="Times New Roman" w:cs="Times New Roman" w:eastAsia="Times New Roman" w:hint="default"/>
        </w:rPr>
        <w:t>“KFH”)</w:t>
      </w:r>
      <w:r>
        <w:rPr/>
        <w:t>、</w:t>
      </w:r>
      <w:r>
        <w:rPr>
          <w:rFonts w:ascii="Times New Roman" w:hAnsi="Times New Roman" w:cs="Times New Roman" w:eastAsia="Times New Roman" w:hint="default"/>
        </w:rPr>
        <w:t>QifeiInternational Development Co.</w:t>
      </w:r>
      <w:r>
        <w:rPr>
          <w:rFonts w:ascii="Times New Roman" w:hAnsi="Times New Roman" w:cs="Times New Roman" w:eastAsia="Times New Roman" w:hint="default"/>
          <w:spacing w:val="-16"/>
        </w:rPr>
        <w:t> </w:t>
      </w:r>
      <w:r>
        <w:rPr>
          <w:rFonts w:ascii="Times New Roman" w:hAnsi="Times New Roman" w:cs="Times New Roman" w:eastAsia="Times New Roman" w:hint="default"/>
        </w:rPr>
        <w:t>Limited</w:t>
      </w:r>
      <w:r>
        <w:rPr/>
        <w:t>（以下简</w:t>
      </w:r>
    </w:p>
    <w:p>
      <w:pPr>
        <w:spacing w:after="0" w:line="240" w:lineRule="auto"/>
        <w:jc w:val="left"/>
        <w:sectPr>
          <w:pgSz w:w="11910" w:h="16840"/>
          <w:pgMar w:header="877" w:footer="979" w:top="1060" w:bottom="1160" w:left="0" w:right="0"/>
        </w:sectPr>
      </w:pPr>
    </w:p>
    <w:p>
      <w:pPr>
        <w:spacing w:line="240" w:lineRule="auto" w:before="9"/>
        <w:rPr>
          <w:rFonts w:ascii="宋体" w:hAnsi="宋体" w:cs="宋体" w:eastAsia="宋体" w:hint="default"/>
          <w:sz w:val="24"/>
          <w:szCs w:val="24"/>
        </w:rPr>
      </w:pPr>
    </w:p>
    <w:p>
      <w:pPr>
        <w:pStyle w:val="BodyText"/>
        <w:spacing w:line="256" w:lineRule="auto" w:before="35"/>
        <w:ind w:left="1848" w:right="1124"/>
        <w:jc w:val="left"/>
        <w:rPr>
          <w:rFonts w:ascii="Times New Roman" w:hAnsi="Times New Roman" w:cs="Times New Roman" w:eastAsia="Times New Roman" w:hint="default"/>
        </w:rPr>
      </w:pPr>
      <w:r>
        <w:rPr/>
        <w:t>称</w:t>
      </w:r>
      <w:r>
        <w:rPr>
          <w:rFonts w:ascii="Times New Roman" w:hAnsi="Times New Roman" w:cs="Times New Roman" w:eastAsia="Times New Roman" w:hint="default"/>
        </w:rPr>
        <w:t>“</w:t>
      </w:r>
      <w:r>
        <w:rPr/>
        <w:t>奇虎香港</w:t>
      </w:r>
      <w:r>
        <w:rPr>
          <w:rFonts w:ascii="Times New Roman" w:hAnsi="Times New Roman" w:cs="Times New Roman" w:eastAsia="Times New Roman" w:hint="default"/>
        </w:rPr>
        <w:t>”</w:t>
      </w:r>
      <w:r>
        <w:rPr/>
        <w:t>）、</w:t>
      </w:r>
      <w:r>
        <w:rPr>
          <w:rFonts w:ascii="Times New Roman" w:hAnsi="Times New Roman" w:cs="Times New Roman" w:eastAsia="Times New Roman" w:hint="default"/>
        </w:rPr>
        <w:t>Golden</w:t>
      </w:r>
      <w:r>
        <w:rPr>
          <w:rFonts w:ascii="Times New Roman" w:hAnsi="Times New Roman" w:cs="Times New Roman" w:eastAsia="Times New Roman" w:hint="default"/>
          <w:spacing w:val="-15"/>
        </w:rPr>
        <w:t> </w:t>
      </w:r>
      <w:r>
        <w:rPr>
          <w:rFonts w:ascii="Times New Roman" w:hAnsi="Times New Roman" w:cs="Times New Roman" w:eastAsia="Times New Roman" w:hint="default"/>
        </w:rPr>
        <w:t>BrickCapital</w:t>
      </w:r>
      <w:r>
        <w:rPr>
          <w:rFonts w:ascii="Times New Roman" w:hAnsi="Times New Roman" w:cs="Times New Roman" w:eastAsia="Times New Roman" w:hint="default"/>
          <w:spacing w:val="-16"/>
        </w:rPr>
        <w:t> </w:t>
      </w:r>
      <w:r>
        <w:rPr>
          <w:rFonts w:ascii="Times New Roman" w:hAnsi="Times New Roman" w:cs="Times New Roman" w:eastAsia="Times New Roman" w:hint="default"/>
        </w:rPr>
        <w:t>Private</w:t>
      </w:r>
      <w:r>
        <w:rPr>
          <w:rFonts w:ascii="Times New Roman" w:hAnsi="Times New Roman" w:cs="Times New Roman" w:eastAsia="Times New Roman" w:hint="default"/>
          <w:spacing w:val="-15"/>
        </w:rPr>
        <w:t> </w:t>
      </w:r>
      <w:r>
        <w:rPr>
          <w:rFonts w:ascii="Times New Roman" w:hAnsi="Times New Roman" w:cs="Times New Roman" w:eastAsia="Times New Roman" w:hint="default"/>
        </w:rPr>
        <w:t>Equity</w:t>
      </w:r>
      <w:r>
        <w:rPr>
          <w:rFonts w:ascii="Times New Roman" w:hAnsi="Times New Roman" w:cs="Times New Roman" w:eastAsia="Times New Roman" w:hint="default"/>
          <w:spacing w:val="-17"/>
        </w:rPr>
        <w:t> </w:t>
      </w:r>
      <w:r>
        <w:rPr>
          <w:rFonts w:ascii="Times New Roman" w:hAnsi="Times New Roman" w:cs="Times New Roman" w:eastAsia="Times New Roman" w:hint="default"/>
        </w:rPr>
        <w:t>Fund</w:t>
      </w:r>
      <w:r>
        <w:rPr>
          <w:rFonts w:ascii="Times New Roman" w:hAnsi="Times New Roman" w:cs="Times New Roman" w:eastAsia="Times New Roman" w:hint="default"/>
          <w:spacing w:val="-14"/>
        </w:rPr>
        <w:t> </w:t>
      </w:r>
      <w:r>
        <w:rPr>
          <w:rFonts w:ascii="Times New Roman" w:hAnsi="Times New Roman" w:cs="Times New Roman" w:eastAsia="Times New Roman" w:hint="default"/>
        </w:rPr>
        <w:t>I</w:t>
      </w:r>
      <w:r>
        <w:rPr>
          <w:rFonts w:ascii="Times New Roman" w:hAnsi="Times New Roman" w:cs="Times New Roman" w:eastAsia="Times New Roman" w:hint="default"/>
          <w:spacing w:val="-15"/>
        </w:rPr>
        <w:t> </w:t>
      </w:r>
      <w:r>
        <w:rPr>
          <w:rFonts w:ascii="Times New Roman" w:hAnsi="Times New Roman" w:cs="Times New Roman" w:eastAsia="Times New Roman" w:hint="default"/>
        </w:rPr>
        <w:t>L.P.</w:t>
      </w:r>
      <w:r>
        <w:rPr/>
        <w:t>（以下简称</w:t>
      </w:r>
      <w:r>
        <w:rPr>
          <w:rFonts w:ascii="Times New Roman" w:hAnsi="Times New Roman" w:cs="Times New Roman" w:eastAsia="Times New Roman" w:hint="default"/>
        </w:rPr>
        <w:t>“</w:t>
      </w:r>
      <w:r>
        <w:rPr/>
        <w:t>金砖开曼</w:t>
      </w:r>
      <w:r>
        <w:rPr>
          <w:rFonts w:ascii="Times New Roman" w:hAnsi="Times New Roman" w:cs="Times New Roman" w:eastAsia="Times New Roman" w:hint="default"/>
        </w:rPr>
        <w:t>”</w:t>
      </w:r>
      <w:r>
        <w:rPr/>
        <w:t>）成立买方团 签署《买方团协议》，并与 </w:t>
      </w:r>
      <w:r>
        <w:rPr>
          <w:rFonts w:ascii="Times New Roman" w:hAnsi="Times New Roman" w:cs="Times New Roman" w:eastAsia="Times New Roman" w:hint="default"/>
        </w:rPr>
        <w:t>Opera Software AS</w:t>
      </w:r>
      <w:r>
        <w:rPr/>
        <w:t>（以下简称</w:t>
      </w:r>
      <w:r>
        <w:rPr>
          <w:rFonts w:ascii="Times New Roman" w:hAnsi="Times New Roman" w:cs="Times New Roman" w:eastAsia="Times New Roman" w:hint="default"/>
        </w:rPr>
        <w:t>“Opera</w:t>
      </w:r>
      <w:r>
        <w:rPr>
          <w:rFonts w:ascii="Times New Roman" w:hAnsi="Times New Roman" w:cs="Times New Roman" w:eastAsia="Times New Roman" w:hint="default"/>
          <w:spacing w:val="-22"/>
        </w:rPr>
        <w:t> </w:t>
      </w:r>
      <w:r>
        <w:rPr>
          <w:rFonts w:ascii="Times New Roman" w:hAnsi="Times New Roman" w:cs="Times New Roman" w:eastAsia="Times New Roman" w:hint="default"/>
        </w:rPr>
        <w:t>AS”</w:t>
      </w:r>
      <w:r>
        <w:rPr/>
        <w:t>）签署《股份购买协议》购 买其</w:t>
      </w:r>
      <w:r>
        <w:rPr>
          <w:spacing w:val="-23"/>
        </w:rPr>
        <w:t> </w:t>
      </w:r>
      <w:r>
        <w:rPr>
          <w:rFonts w:ascii="Times New Roman" w:hAnsi="Times New Roman" w:cs="Times New Roman" w:eastAsia="Times New Roman" w:hint="default"/>
        </w:rPr>
        <w:t>100%</w:t>
      </w:r>
      <w:r>
        <w:rPr/>
        <w:t>的股份。上述交易通过买方团在境外设立</w:t>
      </w:r>
      <w:r>
        <w:rPr>
          <w:spacing w:val="-23"/>
        </w:rPr>
        <w:t> </w:t>
      </w:r>
      <w:r>
        <w:rPr>
          <w:rFonts w:ascii="Times New Roman" w:hAnsi="Times New Roman" w:cs="Times New Roman" w:eastAsia="Times New Roman" w:hint="default"/>
        </w:rPr>
        <w:t>SPV</w:t>
      </w:r>
      <w:r>
        <w:rPr/>
        <w:t>（</w:t>
      </w:r>
      <w:r>
        <w:rPr>
          <w:rFonts w:ascii="Times New Roman" w:hAnsi="Times New Roman" w:cs="Times New Roman" w:eastAsia="Times New Roman" w:hint="default"/>
        </w:rPr>
        <w:t>Kunhoo</w:t>
      </w:r>
      <w:r>
        <w:rPr>
          <w:rFonts w:ascii="Times New Roman" w:hAnsi="Times New Roman" w:cs="Times New Roman" w:eastAsia="Times New Roman" w:hint="default"/>
          <w:spacing w:val="-2"/>
        </w:rPr>
        <w:t> </w:t>
      </w:r>
      <w:r>
        <w:rPr>
          <w:rFonts w:ascii="Times New Roman" w:hAnsi="Times New Roman" w:cs="Times New Roman" w:eastAsia="Times New Roman" w:hint="default"/>
        </w:rPr>
        <w:t>Software</w:t>
      </w:r>
      <w:r>
        <w:rPr>
          <w:rFonts w:ascii="Times New Roman" w:hAnsi="Times New Roman" w:cs="Times New Roman" w:eastAsia="Times New Roman" w:hint="default"/>
          <w:spacing w:val="-2"/>
        </w:rPr>
        <w:t> </w:t>
      </w:r>
      <w:r>
        <w:rPr>
          <w:rFonts w:ascii="Times New Roman" w:hAnsi="Times New Roman" w:cs="Times New Roman" w:eastAsia="Times New Roman" w:hint="default"/>
        </w:rPr>
        <w:t>LLC</w:t>
      </w:r>
      <w:r>
        <w:rPr/>
        <w:t>）来实施，并于</w:t>
      </w:r>
      <w:r>
        <w:rPr>
          <w:w w:val="99"/>
        </w:rPr>
        <w:t> </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3</w:t>
      </w:r>
      <w:r>
        <w:rPr/>
        <w:t>日完成股权转让交割，最终的购买价格为</w:t>
      </w:r>
      <w:r>
        <w:rPr>
          <w:rFonts w:ascii="Times New Roman" w:hAnsi="Times New Roman" w:cs="Times New Roman" w:eastAsia="Times New Roman" w:hint="default"/>
        </w:rPr>
        <w:t>5.75</w:t>
      </w:r>
      <w:r>
        <w:rPr/>
        <w:t>亿美元</w:t>
      </w:r>
      <w:r>
        <w:rPr>
          <w:rFonts w:ascii="Times New Roman" w:hAnsi="Times New Roman" w:cs="Times New Roman" w:eastAsia="Times New Roman" w:hint="default"/>
        </w:rPr>
        <w:t>,</w:t>
      </w:r>
      <w:r>
        <w:rPr/>
        <w:t>香港万维间接持有</w:t>
      </w:r>
      <w:r>
        <w:rPr>
          <w:rFonts w:ascii="Times New Roman" w:hAnsi="Times New Roman" w:cs="Times New Roman" w:eastAsia="Times New Roman" w:hint="default"/>
        </w:rPr>
        <w:t>Opera</w:t>
      </w:r>
      <w:r>
        <w:rPr>
          <w:rFonts w:ascii="Times New Roman" w:hAnsi="Times New Roman" w:cs="Times New Roman" w:eastAsia="Times New Roman" w:hint="default"/>
          <w:spacing w:val="-7"/>
        </w:rPr>
        <w:t> </w:t>
      </w:r>
      <w:r>
        <w:rPr>
          <w:rFonts w:ascii="Times New Roman" w:hAnsi="Times New Roman" w:cs="Times New Roman" w:eastAsia="Times New Roman" w:hint="default"/>
        </w:rPr>
        <w:t>AS</w:t>
      </w:r>
    </w:p>
    <w:p>
      <w:pPr>
        <w:pStyle w:val="BodyText"/>
        <w:spacing w:line="240" w:lineRule="auto" w:before="5"/>
        <w:ind w:left="1848" w:right="998"/>
        <w:jc w:val="left"/>
      </w:pPr>
      <w:r>
        <w:rPr>
          <w:rFonts w:ascii="Times New Roman" w:hAnsi="Times New Roman" w:cs="Times New Roman" w:eastAsia="Times New Roman" w:hint="default"/>
        </w:rPr>
        <w:t>33.3%</w:t>
      </w:r>
      <w:r>
        <w:rPr/>
        <w:t>的股权。</w:t>
      </w:r>
    </w:p>
    <w:p>
      <w:pPr>
        <w:pStyle w:val="BodyText"/>
        <w:spacing w:line="256" w:lineRule="auto" w:before="141"/>
        <w:ind w:left="1848" w:right="1119"/>
        <w:jc w:val="left"/>
      </w:pP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2</w:t>
      </w:r>
      <w:r>
        <w:rPr>
          <w:spacing w:val="-1"/>
        </w:rPr>
        <w:t>月，香港万维拟以《买方团协议》约定的收益率（年化</w:t>
      </w:r>
      <w:r>
        <w:rPr>
          <w:rFonts w:ascii="Times New Roman" w:hAnsi="Times New Roman" w:cs="Times New Roman" w:eastAsia="Times New Roman" w:hint="default"/>
          <w:spacing w:val="-1"/>
        </w:rPr>
        <w:t>8%</w:t>
      </w:r>
      <w:r>
        <w:rPr>
          <w:spacing w:val="-1"/>
        </w:rPr>
        <w:t>的收益率）的估值（约</w:t>
      </w:r>
      <w:r>
        <w:rPr>
          <w:rFonts w:ascii="Times New Roman" w:hAnsi="Times New Roman" w:cs="Times New Roman" w:eastAsia="Times New Roman" w:hint="default"/>
          <w:spacing w:val="-1"/>
        </w:rPr>
        <w:t>6.36</w:t>
      </w:r>
      <w:r>
        <w:rPr>
          <w:spacing w:val="-1"/>
        </w:rPr>
        <w:t>亿美</w:t>
      </w:r>
      <w:r>
        <w:rPr>
          <w:spacing w:val="-83"/>
        </w:rPr>
        <w:t> </w:t>
      </w:r>
      <w:r>
        <w:rPr>
          <w:spacing w:val="-8"/>
        </w:rPr>
        <w:t>元）购买</w:t>
      </w:r>
      <w:r>
        <w:rPr>
          <w:rFonts w:ascii="Times New Roman" w:hAnsi="Times New Roman" w:cs="Times New Roman" w:eastAsia="Times New Roman" w:hint="default"/>
          <w:spacing w:val="-8"/>
        </w:rPr>
        <w:t>FH</w:t>
      </w:r>
      <w:r>
        <w:rPr>
          <w:spacing w:val="-8"/>
        </w:rPr>
        <w:t>和</w:t>
      </w:r>
      <w:r>
        <w:rPr>
          <w:rFonts w:ascii="Times New Roman" w:hAnsi="Times New Roman" w:cs="Times New Roman" w:eastAsia="Times New Roman" w:hint="default"/>
          <w:spacing w:val="-8"/>
        </w:rPr>
        <w:t>KFH</w:t>
      </w:r>
      <w:r>
        <w:rPr>
          <w:spacing w:val="-8"/>
        </w:rPr>
        <w:t>（</w:t>
      </w:r>
      <w:r>
        <w:rPr>
          <w:rFonts w:ascii="Times New Roman" w:hAnsi="Times New Roman" w:cs="Times New Roman" w:eastAsia="Times New Roman" w:hint="default"/>
          <w:spacing w:val="-8"/>
        </w:rPr>
        <w:t>FH</w:t>
      </w:r>
      <w:r>
        <w:rPr>
          <w:spacing w:val="-8"/>
        </w:rPr>
        <w:t>和</w:t>
      </w:r>
      <w:r>
        <w:rPr>
          <w:rFonts w:ascii="Times New Roman" w:hAnsi="Times New Roman" w:cs="Times New Roman" w:eastAsia="Times New Roman" w:hint="default"/>
          <w:spacing w:val="-8"/>
        </w:rPr>
        <w:t>KFH</w:t>
      </w:r>
      <w:r>
        <w:rPr>
          <w:spacing w:val="-8"/>
        </w:rPr>
        <w:t>以下简称</w:t>
      </w:r>
      <w:r>
        <w:rPr>
          <w:rFonts w:ascii="Times New Roman" w:hAnsi="Times New Roman" w:cs="Times New Roman" w:eastAsia="Times New Roman" w:hint="default"/>
          <w:spacing w:val="-8"/>
        </w:rPr>
        <w:t>“</w:t>
      </w:r>
      <w:r>
        <w:rPr>
          <w:spacing w:val="-8"/>
        </w:rPr>
        <w:t>转让方</w:t>
      </w:r>
      <w:r>
        <w:rPr>
          <w:rFonts w:ascii="Times New Roman" w:hAnsi="Times New Roman" w:cs="Times New Roman" w:eastAsia="Times New Roman" w:hint="default"/>
          <w:spacing w:val="-8"/>
        </w:rPr>
        <w:t>”</w:t>
      </w:r>
      <w:r>
        <w:rPr>
          <w:spacing w:val="-8"/>
        </w:rPr>
        <w:t>）所间接持有的</w:t>
      </w:r>
      <w:r>
        <w:rPr>
          <w:spacing w:val="-10"/>
        </w:rPr>
        <w:t> </w:t>
      </w:r>
      <w:r>
        <w:rPr>
          <w:rFonts w:ascii="Times New Roman" w:hAnsi="Times New Roman" w:cs="Times New Roman" w:eastAsia="Times New Roman" w:hint="default"/>
        </w:rPr>
        <w:t>Opera</w:t>
      </w:r>
      <w:r>
        <w:rPr>
          <w:rFonts w:ascii="Times New Roman" w:hAnsi="Times New Roman" w:cs="Times New Roman" w:eastAsia="Times New Roman" w:hint="default"/>
          <w:spacing w:val="-5"/>
        </w:rPr>
        <w:t> </w:t>
      </w:r>
      <w:r>
        <w:rPr>
          <w:rFonts w:ascii="Times New Roman" w:hAnsi="Times New Roman" w:cs="Times New Roman" w:eastAsia="Times New Roman" w:hint="default"/>
        </w:rPr>
        <w:t>AS</w:t>
      </w:r>
      <w:r>
        <w:rPr>
          <w:rFonts w:ascii="Times New Roman" w:hAnsi="Times New Roman" w:cs="Times New Roman" w:eastAsia="Times New Roman" w:hint="default"/>
          <w:spacing w:val="-7"/>
        </w:rPr>
        <w:t> </w:t>
      </w:r>
      <w:r>
        <w:rPr>
          <w:rFonts w:ascii="Times New Roman" w:hAnsi="Times New Roman" w:cs="Times New Roman" w:eastAsia="Times New Roman" w:hint="default"/>
          <w:spacing w:val="-5"/>
        </w:rPr>
        <w:t>12.5%</w:t>
      </w:r>
      <w:r>
        <w:rPr>
          <w:spacing w:val="-5"/>
        </w:rPr>
        <w:t>的股份（</w:t>
      </w:r>
      <w:r>
        <w:rPr>
          <w:rFonts w:ascii="Times New Roman" w:hAnsi="Times New Roman" w:cs="Times New Roman" w:eastAsia="Times New Roman" w:hint="default"/>
          <w:spacing w:val="-5"/>
        </w:rPr>
        <w:t>71,875,000</w:t>
      </w:r>
      <w:r>
        <w:rPr>
          <w:rFonts w:ascii="Times New Roman" w:hAnsi="Times New Roman" w:cs="Times New Roman" w:eastAsia="Times New Roman" w:hint="default"/>
          <w:spacing w:val="-51"/>
        </w:rPr>
        <w:t> </w:t>
      </w:r>
      <w:r>
        <w:rPr>
          <w:rFonts w:ascii="Times New Roman" w:hAnsi="Times New Roman" w:cs="Times New Roman" w:eastAsia="Times New Roman" w:hint="default"/>
          <w:spacing w:val="-51"/>
        </w:rPr>
      </w:r>
      <w:r>
        <w:rPr/>
        <w:t>股）和 </w:t>
      </w:r>
      <w:r>
        <w:rPr>
          <w:rFonts w:ascii="Times New Roman" w:hAnsi="Times New Roman" w:cs="Times New Roman" w:eastAsia="Times New Roman" w:hint="default"/>
        </w:rPr>
        <w:t>2.2%</w:t>
      </w:r>
      <w:r>
        <w:rPr/>
        <w:t>的股份（</w:t>
      </w:r>
      <w:r>
        <w:rPr>
          <w:rFonts w:ascii="Times New Roman" w:hAnsi="Times New Roman" w:cs="Times New Roman" w:eastAsia="Times New Roman" w:hint="default"/>
        </w:rPr>
        <w:t>12,477,500</w:t>
      </w:r>
      <w:r>
        <w:rPr/>
        <w:t>股），对价分别为 </w:t>
      </w:r>
      <w:r>
        <w:rPr>
          <w:rFonts w:ascii="Times New Roman" w:hAnsi="Times New Roman" w:cs="Times New Roman" w:eastAsia="Times New Roman" w:hint="default"/>
        </w:rPr>
        <w:t>79,645,225 </w:t>
      </w:r>
      <w:r>
        <w:rPr/>
        <w:t>美元和 </w:t>
      </w:r>
      <w:r>
        <w:rPr>
          <w:rFonts w:ascii="Times New Roman" w:hAnsi="Times New Roman" w:cs="Times New Roman" w:eastAsia="Times New Roman" w:hint="default"/>
        </w:rPr>
        <w:t>13,806,002</w:t>
      </w:r>
      <w:r>
        <w:rPr>
          <w:rFonts w:ascii="Times New Roman" w:hAnsi="Times New Roman" w:cs="Times New Roman" w:eastAsia="Times New Roman" w:hint="default"/>
          <w:spacing w:val="-25"/>
        </w:rPr>
        <w:t> </w:t>
      </w:r>
      <w:r>
        <w:rPr/>
        <w:t>美元，本次交易 金额合计为 </w:t>
      </w:r>
      <w:r>
        <w:rPr>
          <w:rFonts w:ascii="Times New Roman" w:hAnsi="Times New Roman" w:cs="Times New Roman" w:eastAsia="Times New Roman" w:hint="default"/>
          <w:spacing w:val="-8"/>
        </w:rPr>
        <w:t>93,451,227</w:t>
      </w:r>
      <w:r>
        <w:rPr>
          <w:spacing w:val="-8"/>
        </w:rPr>
        <w:t>美元。本次投资完成后，香港万维将持有</w:t>
      </w:r>
      <w:r>
        <w:rPr/>
        <w:t> </w:t>
      </w:r>
      <w:r>
        <w:rPr>
          <w:rFonts w:ascii="Times New Roman" w:hAnsi="Times New Roman" w:cs="Times New Roman" w:eastAsia="Times New Roman" w:hint="default"/>
        </w:rPr>
        <w:t>Opera </w:t>
      </w:r>
      <w:r>
        <w:rPr>
          <w:rFonts w:ascii="Times New Roman" w:hAnsi="Times New Roman" w:cs="Times New Roman" w:eastAsia="Times New Roman" w:hint="default"/>
          <w:w w:val="99"/>
        </w:rPr>
        <w:t>AS </w:t>
      </w:r>
      <w:r>
        <w:rPr>
          <w:rFonts w:ascii="Times New Roman" w:hAnsi="Times New Roman" w:cs="Times New Roman" w:eastAsia="Times New Roman" w:hint="default"/>
          <w:spacing w:val="-10"/>
        </w:rPr>
        <w:t>48%</w:t>
      </w:r>
      <w:r>
        <w:rPr>
          <w:spacing w:val="-10"/>
        </w:rPr>
        <w:t>股权。本次交易方</w:t>
      </w:r>
      <w:r>
        <w:rPr>
          <w:spacing w:val="-57"/>
        </w:rPr>
        <w:t> </w:t>
      </w:r>
      <w:r>
        <w:rPr>
          <w:rFonts w:ascii="Times New Roman" w:hAnsi="Times New Roman" w:cs="Times New Roman" w:eastAsia="Times New Roman" w:hint="default"/>
          <w:w w:val="99"/>
        </w:rPr>
        <w:t>FH </w:t>
      </w:r>
      <w:r>
        <w:rPr/>
        <w:t>普通合伙人 </w:t>
      </w:r>
      <w:r>
        <w:rPr>
          <w:rFonts w:ascii="Times New Roman" w:hAnsi="Times New Roman" w:cs="Times New Roman" w:eastAsia="Times New Roman" w:hint="default"/>
        </w:rPr>
        <w:t>Bright Holding Limited </w:t>
      </w:r>
      <w:r>
        <w:rPr/>
        <w:t>的唯一董事及股东以及交易方</w:t>
      </w:r>
      <w:r>
        <w:rPr>
          <w:rFonts w:ascii="Times New Roman" w:hAnsi="Times New Roman" w:cs="Times New Roman" w:eastAsia="Times New Roman" w:hint="default"/>
        </w:rPr>
        <w:t>KFH</w:t>
      </w:r>
      <w:r>
        <w:rPr>
          <w:rFonts w:ascii="Times New Roman" w:hAnsi="Times New Roman" w:cs="Times New Roman" w:eastAsia="Times New Roman" w:hint="default"/>
          <w:spacing w:val="-16"/>
        </w:rPr>
        <w:t> </w:t>
      </w:r>
      <w:r>
        <w:rPr/>
        <w:t>的唯一董事及股东为公司 控股股东、实际控制人周亚辉，本次交易构成关联交易。</w:t>
      </w: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14</w:t>
      </w:r>
      <w:r>
        <w:rPr>
          <w:rFonts w:ascii="Times New Roman" w:hAnsi="Times New Roman" w:cs="Times New Roman" w:eastAsia="Times New Roman" w:hint="default"/>
          <w:spacing w:val="46"/>
        </w:rPr>
        <w:t> </w:t>
      </w:r>
      <w:r>
        <w:rPr/>
        <w:t>日公司召开了第三届董 事会第十九次会议，审议通过了《关于公司全资子公司对外投资暨关联交易的议案》。并于</w:t>
      </w:r>
      <w:r>
        <w:rPr>
          <w:rFonts w:ascii="Times New Roman" w:hAnsi="Times New Roman" w:cs="Times New Roman" w:eastAsia="Times New Roman" w:hint="default"/>
        </w:rPr>
        <w:t>2018 </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7</w:t>
      </w:r>
      <w:r>
        <w:rPr/>
        <w:t>日，经</w:t>
      </w:r>
      <w:r>
        <w:rPr>
          <w:rFonts w:ascii="Times New Roman" w:hAnsi="Times New Roman" w:cs="Times New Roman" w:eastAsia="Times New Roman" w:hint="default"/>
        </w:rPr>
        <w:t>2018</w:t>
      </w:r>
      <w:r>
        <w:rPr/>
        <w:t>年第二次临时股东大会审议通过。</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23"/>
          <w:szCs w:val="23"/>
        </w:rPr>
      </w:pPr>
    </w:p>
    <w:p>
      <w:pPr>
        <w:pStyle w:val="Heading4"/>
        <w:spacing w:line="240" w:lineRule="auto"/>
        <w:ind w:left="1134" w:right="998"/>
        <w:jc w:val="left"/>
        <w:rPr>
          <w:b w:val="0"/>
          <w:bCs w:val="0"/>
        </w:rPr>
      </w:pPr>
      <w:bookmarkStart w:name="十六、其他重要事项" w:id="503"/>
      <w:bookmarkEnd w:id="503"/>
      <w:r>
        <w:rPr>
          <w:b w:val="0"/>
          <w:bCs w:val="0"/>
        </w:rPr>
      </w:r>
      <w:r>
        <w:rPr/>
        <w:t>十六、其他重要事项</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前期会计差错更正" w:id="504"/>
      <w:bookmarkEnd w:id="504"/>
      <w:r>
        <w:rPr>
          <w:b w:val="0"/>
          <w:bCs w:val="0"/>
        </w:rPr>
      </w:r>
      <w:r>
        <w:rPr>
          <w:rFonts w:ascii="Times New Roman" w:hAnsi="Times New Roman" w:cs="Times New Roman" w:eastAsia="Times New Roman" w:hint="default"/>
        </w:rPr>
        <w:t>1</w:t>
      </w:r>
      <w:r>
        <w:rPr/>
        <w:t>、前期会计差错更正</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追溯重述法" w:id="505"/>
      <w:bookmarkEnd w:id="505"/>
      <w:r>
        <w:rPr>
          <w:b w:val="0"/>
          <w:bCs w:val="0"/>
        </w:rPr>
      </w:r>
      <w:r>
        <w:rPr/>
        <w:t>（</w:t>
      </w:r>
      <w:r>
        <w:rPr>
          <w:rFonts w:ascii="Times New Roman" w:hAnsi="Times New Roman" w:cs="Times New Roman" w:eastAsia="Times New Roman" w:hint="default"/>
        </w:rPr>
        <w:t>1</w:t>
      </w:r>
      <w:r>
        <w:rPr/>
        <w:t>）追溯重述法</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494"/>
        <w:gridCol w:w="2295"/>
        <w:gridCol w:w="2391"/>
        <w:gridCol w:w="2389"/>
      </w:tblGrid>
      <w:tr>
        <w:trPr>
          <w:trHeight w:val="714"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0"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处理程序</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29" w:right="111" w:hanging="720"/>
              <w:jc w:val="left"/>
              <w:rPr>
                <w:rFonts w:ascii="宋体" w:hAnsi="宋体" w:cs="宋体" w:eastAsia="宋体" w:hint="default"/>
                <w:sz w:val="18"/>
                <w:szCs w:val="18"/>
              </w:rPr>
            </w:pPr>
            <w:r>
              <w:rPr>
                <w:rFonts w:ascii="宋体" w:hAnsi="宋体" w:cs="宋体" w:eastAsia="宋体" w:hint="default"/>
                <w:sz w:val="18"/>
                <w:szCs w:val="18"/>
              </w:rPr>
              <w:t>受影响的各个比较期间报表 项目名称</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9" w:right="0"/>
              <w:jc w:val="left"/>
              <w:rPr>
                <w:rFonts w:ascii="宋体" w:hAnsi="宋体" w:cs="宋体" w:eastAsia="宋体" w:hint="default"/>
                <w:sz w:val="18"/>
                <w:szCs w:val="18"/>
              </w:rPr>
            </w:pPr>
            <w:r>
              <w:rPr>
                <w:rFonts w:ascii="宋体" w:hAnsi="宋体" w:cs="宋体" w:eastAsia="宋体" w:hint="default"/>
                <w:sz w:val="18"/>
                <w:szCs w:val="18"/>
              </w:rPr>
              <w:t>累积影响数</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2）未来适用法" w:id="506"/>
      <w:bookmarkEnd w:id="506"/>
      <w:r>
        <w:rPr>
          <w:b w:val="0"/>
          <w:bCs w:val="0"/>
        </w:rPr>
      </w:r>
      <w:r>
        <w:rPr/>
        <w:t>（</w:t>
      </w:r>
      <w:r>
        <w:rPr>
          <w:rFonts w:ascii="Times New Roman" w:hAnsi="Times New Roman" w:cs="Times New Roman" w:eastAsia="Times New Roman" w:hint="default"/>
        </w:rPr>
        <w:t>2</w:t>
      </w:r>
      <w:r>
        <w:rPr/>
        <w:t>）未来适用法</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3324"/>
        <w:gridCol w:w="3059"/>
        <w:gridCol w:w="3175"/>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46"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批准程序</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7" w:right="0"/>
              <w:jc w:val="left"/>
              <w:rPr>
                <w:rFonts w:ascii="宋体" w:hAnsi="宋体" w:cs="宋体" w:eastAsia="宋体" w:hint="default"/>
                <w:sz w:val="18"/>
                <w:szCs w:val="18"/>
              </w:rPr>
            </w:pPr>
            <w:r>
              <w:rPr>
                <w:rFonts w:ascii="宋体" w:hAnsi="宋体" w:cs="宋体" w:eastAsia="宋体" w:hint="default"/>
                <w:sz w:val="18"/>
                <w:szCs w:val="18"/>
              </w:rPr>
              <w:t>采用未来适用法的原因</w:t>
            </w:r>
          </w:p>
        </w:tc>
      </w:tr>
    </w:tbl>
    <w:p>
      <w:pPr>
        <w:spacing w:line="240" w:lineRule="auto" w:before="2"/>
        <w:rPr>
          <w:rFonts w:ascii="宋体" w:hAnsi="宋体" w:cs="宋体" w:eastAsia="宋体" w:hint="default"/>
          <w:b/>
          <w:bCs/>
          <w:sz w:val="19"/>
          <w:szCs w:val="19"/>
        </w:rPr>
      </w:pPr>
    </w:p>
    <w:p>
      <w:pPr>
        <w:pStyle w:val="Heading6"/>
        <w:spacing w:line="240" w:lineRule="auto" w:before="35"/>
        <w:ind w:right="998"/>
        <w:jc w:val="left"/>
        <w:rPr>
          <w:b w:val="0"/>
          <w:bCs w:val="0"/>
        </w:rPr>
      </w:pPr>
      <w:bookmarkStart w:name="2、债务重组" w:id="507"/>
      <w:bookmarkEnd w:id="507"/>
      <w:r>
        <w:rPr>
          <w:b w:val="0"/>
          <w:bCs w:val="0"/>
        </w:rPr>
      </w:r>
      <w:r>
        <w:rPr>
          <w:rFonts w:ascii="Times New Roman" w:hAnsi="Times New Roman" w:cs="Times New Roman" w:eastAsia="Times New Roman" w:hint="default"/>
        </w:rPr>
        <w:t>2</w:t>
      </w:r>
      <w:r>
        <w:rPr/>
        <w:t>、债务重组</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3、资产置换" w:id="508"/>
      <w:bookmarkEnd w:id="508"/>
      <w:r>
        <w:rPr>
          <w:b w:val="0"/>
          <w:bCs w:val="0"/>
        </w:rPr>
      </w:r>
      <w:r>
        <w:rPr>
          <w:rFonts w:ascii="Times New Roman" w:hAnsi="Times New Roman" w:cs="Times New Roman" w:eastAsia="Times New Roman" w:hint="default"/>
        </w:rPr>
        <w:t>3</w:t>
      </w:r>
      <w:r>
        <w:rPr/>
        <w:t>、资产置换</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非货币性资产交换" w:id="509"/>
      <w:bookmarkEnd w:id="509"/>
      <w:r>
        <w:rPr>
          <w:b w:val="0"/>
          <w:bCs w:val="0"/>
        </w:rPr>
      </w:r>
      <w:r>
        <w:rPr/>
        <w:t>（</w:t>
      </w:r>
      <w:r>
        <w:rPr>
          <w:rFonts w:ascii="Times New Roman" w:hAnsi="Times New Roman" w:cs="Times New Roman" w:eastAsia="Times New Roman" w:hint="default"/>
        </w:rPr>
        <w:t>1</w:t>
      </w:r>
      <w:r>
        <w:rPr/>
        <w:t>）非货币性资产交换</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2）其他资产置换" w:id="510"/>
      <w:bookmarkEnd w:id="510"/>
      <w:r>
        <w:rPr>
          <w:b w:val="0"/>
          <w:bCs w:val="0"/>
        </w:rPr>
      </w:r>
      <w:r>
        <w:rPr/>
        <w:t>（</w:t>
      </w:r>
      <w:r>
        <w:rPr>
          <w:rFonts w:ascii="Times New Roman" w:hAnsi="Times New Roman" w:cs="Times New Roman" w:eastAsia="Times New Roman" w:hint="default"/>
        </w:rPr>
        <w:t>2</w:t>
      </w:r>
      <w:r>
        <w:rPr/>
        <w:t>）其他资产置换</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after="0"/>
        <w:jc w:val="left"/>
        <w:rPr>
          <w:rFonts w:ascii="宋体" w:hAnsi="宋体" w:cs="宋体" w:eastAsia="宋体" w:hint="default"/>
          <w:sz w:val="18"/>
          <w:szCs w:val="18"/>
        </w:rPr>
        <w:sectPr>
          <w:pgSz w:w="11910" w:h="16840"/>
          <w:pgMar w:header="87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4、年金计划" w:id="511"/>
      <w:bookmarkEnd w:id="511"/>
      <w:r>
        <w:rPr>
          <w:b w:val="0"/>
          <w:bCs w:val="0"/>
        </w:rPr>
      </w:r>
      <w:r>
        <w:rPr>
          <w:rFonts w:ascii="Times New Roman" w:hAnsi="Times New Roman" w:cs="Times New Roman" w:eastAsia="Times New Roman" w:hint="default"/>
        </w:rPr>
        <w:t>4</w:t>
      </w:r>
      <w:r>
        <w:rPr/>
        <w:t>、年金计划</w:t>
      </w:r>
      <w:r>
        <w:rPr>
          <w:b w:val="0"/>
          <w:bCs w:val="0"/>
        </w:rPr>
      </w:r>
    </w:p>
    <w:p>
      <w:pPr>
        <w:spacing w:line="240" w:lineRule="auto" w:before="7"/>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5、终止经营" w:id="512"/>
      <w:bookmarkEnd w:id="512"/>
      <w:r>
        <w:rPr>
          <w:b w:val="0"/>
          <w:bCs w:val="0"/>
        </w:rPr>
      </w:r>
      <w:r>
        <w:rPr>
          <w:rFonts w:ascii="Times New Roman" w:hAnsi="Times New Roman" w:cs="Times New Roman" w:eastAsia="Times New Roman" w:hint="default"/>
        </w:rPr>
        <w:t>5</w:t>
      </w:r>
      <w:r>
        <w:rPr/>
        <w:t>、终止经营</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102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费用</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9"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08"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7" w:right="47"/>
              <w:jc w:val="center"/>
              <w:rPr>
                <w:rFonts w:ascii="宋体" w:hAnsi="宋体" w:cs="宋体" w:eastAsia="宋体" w:hint="default"/>
                <w:sz w:val="18"/>
                <w:szCs w:val="18"/>
              </w:rPr>
            </w:pPr>
            <w:r>
              <w:rPr>
                <w:rFonts w:ascii="宋体" w:hAnsi="宋体" w:cs="宋体" w:eastAsia="宋体" w:hint="default"/>
                <w:sz w:val="18"/>
                <w:szCs w:val="18"/>
              </w:rPr>
              <w:t>归属于母公司所 有者的终止经营 利润</w:t>
            </w:r>
          </w:p>
        </w:tc>
      </w:tr>
    </w:tbl>
    <w:p>
      <w:pPr>
        <w:spacing w:line="357" w:lineRule="auto" w:before="52"/>
        <w:ind w:left="1133" w:right="10033" w:firstLine="0"/>
        <w:jc w:val="left"/>
        <w:rPr>
          <w:rFonts w:ascii="宋体" w:hAnsi="宋体" w:cs="宋体" w:eastAsia="宋体" w:hint="default"/>
          <w:sz w:val="18"/>
          <w:szCs w:val="18"/>
        </w:rPr>
      </w:pPr>
      <w:r>
        <w:rPr>
          <w:rFonts w:ascii="宋体" w:hAnsi="宋体" w:cs="宋体" w:eastAsia="宋体" w:hint="default"/>
          <w:sz w:val="18"/>
          <w:szCs w:val="18"/>
        </w:rPr>
        <w:t>其他说明 无</w:t>
      </w:r>
    </w:p>
    <w:p>
      <w:pPr>
        <w:spacing w:line="240" w:lineRule="auto" w:before="2"/>
        <w:rPr>
          <w:rFonts w:ascii="宋体" w:hAnsi="宋体" w:cs="宋体" w:eastAsia="宋体" w:hint="default"/>
          <w:sz w:val="20"/>
          <w:szCs w:val="20"/>
        </w:rPr>
      </w:pPr>
    </w:p>
    <w:p>
      <w:pPr>
        <w:pStyle w:val="Heading6"/>
        <w:spacing w:line="240" w:lineRule="auto"/>
        <w:ind w:right="998"/>
        <w:jc w:val="left"/>
        <w:rPr>
          <w:b w:val="0"/>
          <w:bCs w:val="0"/>
        </w:rPr>
      </w:pPr>
      <w:bookmarkStart w:name="6、分部信息" w:id="513"/>
      <w:bookmarkEnd w:id="513"/>
      <w:r>
        <w:rPr>
          <w:b w:val="0"/>
          <w:bCs w:val="0"/>
        </w:rPr>
      </w:r>
      <w:r>
        <w:rPr>
          <w:rFonts w:ascii="Times New Roman" w:hAnsi="Times New Roman" w:cs="Times New Roman" w:eastAsia="Times New Roman" w:hint="default"/>
        </w:rPr>
        <w:t>6</w:t>
      </w:r>
      <w:r>
        <w:rPr/>
        <w:t>、分部信息</w:t>
      </w:r>
      <w:r>
        <w:rPr>
          <w:b w:val="0"/>
          <w:bCs w:val="0"/>
        </w:rPr>
      </w:r>
    </w:p>
    <w:p>
      <w:pPr>
        <w:spacing w:line="240" w:lineRule="auto" w:before="10"/>
        <w:rPr>
          <w:rFonts w:ascii="宋体" w:hAnsi="宋体" w:cs="宋体" w:eastAsia="宋体" w:hint="default"/>
          <w:b/>
          <w:bCs/>
          <w:sz w:val="24"/>
          <w:szCs w:val="24"/>
        </w:rPr>
      </w:pPr>
    </w:p>
    <w:p>
      <w:pPr>
        <w:pStyle w:val="Heading6"/>
        <w:spacing w:line="240" w:lineRule="auto"/>
        <w:ind w:right="998"/>
        <w:jc w:val="left"/>
        <w:rPr>
          <w:b w:val="0"/>
          <w:bCs w:val="0"/>
        </w:rPr>
      </w:pPr>
      <w:bookmarkStart w:name="（1）报告分部的确定依据与会计政策" w:id="514"/>
      <w:bookmarkEnd w:id="514"/>
      <w:r>
        <w:rPr>
          <w:b w:val="0"/>
          <w:bCs w:val="0"/>
        </w:rPr>
      </w:r>
      <w:r>
        <w:rPr/>
        <w:t>（</w:t>
      </w:r>
      <w:r>
        <w:rPr>
          <w:rFonts w:ascii="Times New Roman" w:hAnsi="Times New Roman" w:cs="Times New Roman" w:eastAsia="Times New Roman" w:hint="default"/>
        </w:rPr>
        <w:t>1</w:t>
      </w:r>
      <w:r>
        <w:rPr/>
        <w:t>）报告分部的确定依据与会计政策</w:t>
      </w:r>
      <w:r>
        <w:rPr>
          <w:b w:val="0"/>
          <w:bCs w:val="0"/>
        </w:rPr>
      </w:r>
    </w:p>
    <w:p>
      <w:pPr>
        <w:spacing w:line="240" w:lineRule="auto" w:before="7"/>
        <w:rPr>
          <w:rFonts w:ascii="宋体" w:hAnsi="宋体" w:cs="宋体" w:eastAsia="宋体" w:hint="default"/>
          <w:b/>
          <w:bCs/>
          <w:sz w:val="24"/>
          <w:szCs w:val="24"/>
        </w:rPr>
      </w:pPr>
    </w:p>
    <w:p>
      <w:pPr>
        <w:pStyle w:val="BodyText"/>
        <w:spacing w:line="273" w:lineRule="auto"/>
        <w:ind w:left="2410" w:right="998" w:hanging="360"/>
        <w:jc w:val="left"/>
      </w:pPr>
      <w:r>
        <w:rPr>
          <w:rFonts w:ascii="宋体" w:hAnsi="宋体" w:cs="宋体" w:eastAsia="宋体" w:hint="default"/>
          <w:b/>
          <w:bCs/>
        </w:rPr>
        <w:t>1.</w:t>
      </w:r>
      <w:r>
        <w:rPr>
          <w:rFonts w:ascii="宋体" w:hAnsi="宋体" w:cs="宋体" w:eastAsia="宋体" w:hint="default"/>
          <w:b/>
          <w:bCs/>
          <w:spacing w:val="42"/>
        </w:rPr>
        <w:t> </w:t>
      </w:r>
      <w:r>
        <w:rPr>
          <w:rFonts w:ascii="宋体" w:hAnsi="宋体" w:cs="宋体" w:eastAsia="宋体" w:hint="default"/>
          <w:b/>
          <w:bCs/>
        </w:rPr>
        <w:t>报告分部的确定依据与会计政策</w:t>
      </w:r>
      <w:r>
        <w:rPr>
          <w:rFonts w:ascii="宋体" w:hAnsi="宋体" w:cs="宋体" w:eastAsia="宋体" w:hint="default"/>
          <w:b/>
          <w:bCs/>
          <w:w w:val="99"/>
        </w:rPr>
        <w:t> </w:t>
      </w:r>
      <w:r>
        <w:rPr/>
        <w:t>根据本公司的内部组织结构、管理要求及内部报告制度确定了业务分部和地区分部。业务分 </w:t>
      </w:r>
      <w:r>
        <w:rPr>
          <w:spacing w:val="-4"/>
        </w:rPr>
        <w:t>部分别为：增值服务分部、网络广告分部、其他分部；地区分布分别为境内分部和境外分部。</w:t>
      </w:r>
      <w:r>
        <w:rPr/>
        <w:t> 本公司的各个报告分部分别提供不同的产品或服务，或在不同地区从事经营活动。由于每个 分部需要不同的技术或市场策略，本公司管理层分别单独管理各个报告分部的经营活动，定 期评价这些报告分部的经营成果，以决定向其分配资源及评价其业绩。 分部间转移价格按照实际交易价格为基础确定，间接归属于各分部的费用按照人员或资产比 例在分部之间进行分配。资产根据分部的经营以及资产的所在位置进行分配，分部负债包括 分部经营活动形成的可归属于该分部的负债。如果多个经营分部共同承担的负债相关的费用 分配给这些经营分部，该共同承担的负债也分配给这些经营分部。</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pStyle w:val="Heading6"/>
        <w:spacing w:line="240" w:lineRule="auto"/>
        <w:ind w:right="998"/>
        <w:jc w:val="left"/>
        <w:rPr>
          <w:b w:val="0"/>
          <w:bCs w:val="0"/>
        </w:rPr>
      </w:pPr>
      <w:bookmarkStart w:name="（2）报告分部的财务信息" w:id="515"/>
      <w:bookmarkEnd w:id="515"/>
      <w:r>
        <w:rPr>
          <w:b w:val="0"/>
          <w:bCs w:val="0"/>
        </w:rPr>
      </w:r>
      <w:r>
        <w:rPr/>
        <w:t>（</w:t>
      </w:r>
      <w:r>
        <w:rPr>
          <w:rFonts w:ascii="Times New Roman" w:hAnsi="Times New Roman" w:cs="Times New Roman" w:eastAsia="Times New Roman" w:hint="default"/>
        </w:rPr>
        <w:t>2</w:t>
      </w:r>
      <w:r>
        <w:rPr/>
        <w:t>）报告分部的财务信息</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892"/>
        <w:gridCol w:w="1926"/>
        <w:gridCol w:w="1914"/>
        <w:gridCol w:w="1914"/>
        <w:gridCol w:w="1914"/>
      </w:tblGrid>
      <w:tr>
        <w:trPr>
          <w:trHeight w:val="402" w:hRule="exact"/>
        </w:trPr>
        <w:tc>
          <w:tcPr>
            <w:tcW w:w="1892" w:type="dxa"/>
            <w:tcBorders>
              <w:top w:val="single" w:sz="4" w:space="0" w:color="000000"/>
              <w:left w:val="single" w:sz="4" w:space="0" w:color="000000"/>
              <w:bottom w:val="single" w:sz="4" w:space="0" w:color="000000"/>
              <w:right w:val="single" w:sz="9" w:space="0" w:color="E0FFFF"/>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60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914" w:type="dxa"/>
            <w:tcBorders>
              <w:top w:val="single" w:sz="4" w:space="0" w:color="000000"/>
              <w:left w:val="single" w:sz="4" w:space="0" w:color="000000"/>
              <w:bottom w:val="single" w:sz="4" w:space="0" w:color="000000"/>
              <w:right w:val="single" w:sz="9" w:space="0" w:color="D2D2D2"/>
            </w:tcBorders>
            <w:shd w:val="clear" w:color="auto" w:fill="E0FFFF"/>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914" w:type="dxa"/>
            <w:tcBorders>
              <w:top w:val="single" w:sz="4" w:space="0" w:color="000000"/>
              <w:left w:val="single" w:sz="13" w:space="0" w:color="E0FFFF"/>
              <w:bottom w:val="single" w:sz="4" w:space="0" w:color="000000"/>
              <w:right w:val="single" w:sz="4" w:space="0" w:color="000000"/>
            </w:tcBorders>
            <w:shd w:val="clear" w:color="auto" w:fill="D2D2D2"/>
          </w:tcPr>
          <w:p>
            <w:pPr>
              <w:pStyle w:val="TableParagraph"/>
              <w:spacing w:line="240" w:lineRule="auto" w:before="51"/>
              <w:ind w:left="490"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业务分布：</w:t>
            </w:r>
          </w:p>
        </w:tc>
        <w:tc>
          <w:tcPr>
            <w:tcW w:w="1926" w:type="dxa"/>
            <w:tcBorders>
              <w:top w:val="single" w:sz="4" w:space="0" w:color="000000"/>
              <w:left w:val="single" w:sz="13" w:space="0" w:color="E0FFFF"/>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增值服务分部</w:t>
            </w:r>
          </w:p>
        </w:tc>
        <w:tc>
          <w:tcPr>
            <w:tcW w:w="1926" w:type="dxa"/>
            <w:tcBorders>
              <w:top w:val="single" w:sz="4" w:space="0" w:color="000000"/>
              <w:left w:val="single" w:sz="13" w:space="0" w:color="E0FFFF"/>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3,208,061,511.62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677,141,378.70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其中：游戏分部</w:t>
            </w:r>
          </w:p>
        </w:tc>
        <w:tc>
          <w:tcPr>
            <w:tcW w:w="1926" w:type="dxa"/>
            <w:tcBorders>
              <w:top w:val="single" w:sz="4" w:space="0" w:color="000000"/>
              <w:left w:val="single" w:sz="13" w:space="0" w:color="E0FFFF"/>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1,564,573,450.10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602,335,942.68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8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1001" w:right="0"/>
              <w:jc w:val="left"/>
              <w:rPr>
                <w:rFonts w:ascii="宋体" w:hAnsi="宋体" w:cs="宋体" w:eastAsia="宋体" w:hint="default"/>
                <w:sz w:val="18"/>
                <w:szCs w:val="18"/>
              </w:rPr>
            </w:pPr>
            <w:r>
              <w:rPr>
                <w:rFonts w:ascii="宋体" w:hAnsi="宋体" w:cs="宋体" w:eastAsia="宋体" w:hint="default"/>
                <w:sz w:val="18"/>
                <w:szCs w:val="18"/>
              </w:rPr>
              <w:t>社交网络</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分部</w:t>
            </w:r>
          </w:p>
        </w:tc>
        <w:tc>
          <w:tcPr>
            <w:tcW w:w="1926" w:type="dxa"/>
            <w:tcBorders>
              <w:top w:val="single" w:sz="4" w:space="0" w:color="000000"/>
              <w:left w:val="single" w:sz="13" w:space="0" w:color="E0FFFF"/>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1,643,488,061.52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74,805,436.02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网络广告分部</w:t>
            </w:r>
          </w:p>
        </w:tc>
        <w:tc>
          <w:tcPr>
            <w:tcW w:w="1926" w:type="dxa"/>
            <w:tcBorders>
              <w:top w:val="single" w:sz="4" w:space="0" w:color="000000"/>
              <w:left w:val="single" w:sz="13" w:space="0" w:color="E0FFFF"/>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209,907,289.32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16,374,710.47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其他分部</w:t>
            </w:r>
          </w:p>
        </w:tc>
        <w:tc>
          <w:tcPr>
            <w:tcW w:w="1926" w:type="dxa"/>
            <w:tcBorders>
              <w:top w:val="single" w:sz="4" w:space="0" w:color="000000"/>
              <w:left w:val="single" w:sz="13" w:space="0" w:color="E0FFFF"/>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18,400,867.10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1,031,747.66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6" w:type="dxa"/>
            <w:tcBorders>
              <w:top w:val="single" w:sz="4" w:space="0" w:color="000000"/>
              <w:left w:val="single" w:sz="13" w:space="0" w:color="E0FFFF"/>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3,436,369,668.04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694,547,836.83</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地区分布：</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境内分部</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1,812,107,538.89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344,990,545.50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境外分部</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1,624,262,129.15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349,557,291.33</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3,436,369,668.04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694,547,836.83</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3）公司无报告分部的，或者不能披露各报告分部的资产总额和负债总额的，应说明原因" w:id="516"/>
      <w:bookmarkEnd w:id="516"/>
      <w:r>
        <w:rPr>
          <w:b w:val="0"/>
          <w:bCs w:val="0"/>
        </w:rPr>
      </w:r>
      <w:r>
        <w:rPr/>
        <w:t>（</w:t>
      </w:r>
      <w:r>
        <w:rPr>
          <w:rFonts w:ascii="Times New Roman" w:hAnsi="Times New Roman" w:cs="Times New Roman" w:eastAsia="Times New Roman" w:hint="default"/>
        </w:rPr>
        <w:t>3</w:t>
      </w:r>
      <w:r>
        <w:rPr/>
        <w:t>）公司无报告分部的，或者不能披露各报告分部的资产总额和负债总额的，应说明原因</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4）其他说明" w:id="517"/>
      <w:bookmarkEnd w:id="517"/>
      <w:r>
        <w:rPr>
          <w:b w:val="0"/>
          <w:bCs w:val="0"/>
        </w:rPr>
      </w:r>
      <w:r>
        <w:rPr/>
        <w:t>（</w:t>
      </w:r>
      <w:r>
        <w:rPr>
          <w:rFonts w:ascii="Times New Roman" w:hAnsi="Times New Roman" w:cs="Times New Roman" w:eastAsia="Times New Roman" w:hint="default"/>
        </w:rPr>
        <w:t>4</w:t>
      </w:r>
      <w:r>
        <w:rPr/>
        <w:t>）其他说明</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7、其他对投资者决策有影响的重要交易和事项" w:id="518"/>
      <w:bookmarkEnd w:id="518"/>
      <w:r>
        <w:rPr>
          <w:b w:val="0"/>
          <w:bCs w:val="0"/>
        </w:rPr>
      </w:r>
      <w:r>
        <w:rPr>
          <w:rFonts w:ascii="Times New Roman" w:hAnsi="Times New Roman" w:cs="Times New Roman" w:eastAsia="Times New Roman" w:hint="default"/>
        </w:rPr>
        <w:t>7</w:t>
      </w:r>
      <w:r>
        <w:rPr/>
        <w:t>、其他对投资者决策有影响的重要交易和事项</w:t>
      </w:r>
      <w:r>
        <w:rPr>
          <w:b w:val="0"/>
          <w:bCs w:val="0"/>
        </w:rPr>
      </w:r>
    </w:p>
    <w:p>
      <w:pPr>
        <w:spacing w:line="240" w:lineRule="auto" w:before="8"/>
        <w:rPr>
          <w:rFonts w:ascii="宋体" w:hAnsi="宋体" w:cs="宋体" w:eastAsia="宋体" w:hint="default"/>
          <w:b/>
          <w:bCs/>
          <w:sz w:val="24"/>
          <w:szCs w:val="24"/>
        </w:rPr>
      </w:pPr>
    </w:p>
    <w:p>
      <w:pPr>
        <w:pStyle w:val="BodyText"/>
        <w:spacing w:line="256" w:lineRule="auto"/>
        <w:ind w:left="2409" w:right="1086"/>
        <w:jc w:val="left"/>
      </w:pPr>
      <w:r>
        <w:rPr>
          <w:rFonts w:ascii="Times New Roman" w:hAnsi="Times New Roman" w:cs="Times New Roman" w:eastAsia="Times New Roman" w:hint="default"/>
        </w:rPr>
        <w:t>1</w:t>
      </w:r>
      <w:r>
        <w:rPr/>
        <w:t>、截至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日，盈瑞世纪持有公司股份</w:t>
      </w:r>
      <w:r>
        <w:rPr>
          <w:spacing w:val="-27"/>
        </w:rPr>
        <w:t> </w:t>
      </w:r>
      <w:r>
        <w:rPr>
          <w:rFonts w:ascii="Times New Roman" w:hAnsi="Times New Roman" w:cs="Times New Roman" w:eastAsia="Times New Roman" w:hint="default"/>
        </w:rPr>
        <w:t>200,408,085</w:t>
      </w:r>
      <w:r>
        <w:rPr/>
        <w:t>股，占公司总股本的</w:t>
      </w:r>
      <w:r>
        <w:rPr>
          <w:rFonts w:ascii="Times New Roman" w:hAnsi="Times New Roman" w:cs="Times New Roman" w:eastAsia="Times New Roman" w:hint="default"/>
        </w:rPr>
        <w:t>17.29%</w:t>
      </w:r>
      <w:r>
        <w:rPr/>
        <w:t>， 盈瑞世纪累计质押其持有的公司股份数为</w:t>
      </w:r>
      <w:r>
        <w:rPr>
          <w:spacing w:val="-22"/>
        </w:rPr>
        <w:t> </w:t>
      </w:r>
      <w:r>
        <w:rPr>
          <w:rFonts w:ascii="Times New Roman" w:hAnsi="Times New Roman" w:cs="Times New Roman" w:eastAsia="Times New Roman" w:hint="default"/>
        </w:rPr>
        <w:t>56,000,000</w:t>
      </w:r>
      <w:r>
        <w:rPr/>
        <w:t>股，占其直接所持公司股份总数的 </w:t>
      </w:r>
      <w:r>
        <w:rPr>
          <w:rFonts w:ascii="Times New Roman" w:hAnsi="Times New Roman" w:cs="Times New Roman" w:eastAsia="Times New Roman" w:hint="default"/>
        </w:rPr>
        <w:t>27.94%</w:t>
      </w:r>
      <w:r>
        <w:rPr/>
        <w:t>，占本公司总股本的</w:t>
      </w:r>
      <w:r>
        <w:rPr>
          <w:spacing w:val="-22"/>
        </w:rPr>
        <w:t> </w:t>
      </w:r>
      <w:r>
        <w:rPr>
          <w:rFonts w:ascii="Times New Roman" w:hAnsi="Times New Roman" w:cs="Times New Roman" w:eastAsia="Times New Roman" w:hint="default"/>
        </w:rPr>
        <w:t>4.83%</w:t>
      </w:r>
      <w:r>
        <w:rPr/>
        <w:t>。 截止</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日，周亚辉先生直接持有公司股份总数为</w:t>
      </w:r>
      <w:r>
        <w:rPr>
          <w:spacing w:val="-24"/>
        </w:rPr>
        <w:t> </w:t>
      </w:r>
      <w:r>
        <w:rPr>
          <w:rFonts w:ascii="Times New Roman" w:hAnsi="Times New Roman" w:cs="Times New Roman" w:eastAsia="Times New Roman" w:hint="default"/>
        </w:rPr>
        <w:t>188,550,513</w:t>
      </w:r>
      <w:r>
        <w:rPr/>
        <w:t>股，占公司总股本 的</w:t>
      </w:r>
      <w:r>
        <w:rPr>
          <w:spacing w:val="-22"/>
        </w:rPr>
        <w:t> </w:t>
      </w:r>
      <w:r>
        <w:rPr>
          <w:rFonts w:ascii="Times New Roman" w:hAnsi="Times New Roman" w:cs="Times New Roman" w:eastAsia="Times New Roman" w:hint="default"/>
        </w:rPr>
        <w:t>16.73%</w:t>
      </w:r>
      <w:r>
        <w:rPr/>
        <w:t>。周亚辉先生累计质押其持有的公司股份数为</w:t>
      </w:r>
      <w:r>
        <w:rPr>
          <w:rFonts w:ascii="Times New Roman" w:hAnsi="Times New Roman" w:cs="Times New Roman" w:eastAsia="Times New Roman" w:hint="default"/>
        </w:rPr>
        <w:t>173,141,613</w:t>
      </w:r>
      <w:r>
        <w:rPr/>
        <w:t>股，占其直接所持公司 股份总数的 </w:t>
      </w:r>
      <w:r>
        <w:rPr>
          <w:rFonts w:ascii="Times New Roman" w:hAnsi="Times New Roman" w:cs="Times New Roman" w:eastAsia="Times New Roman" w:hint="default"/>
        </w:rPr>
        <w:t>91.83%</w:t>
      </w:r>
      <w:r>
        <w:rPr/>
        <w:t>，占公司总股本的</w:t>
      </w:r>
      <w:r>
        <w:rPr>
          <w:spacing w:val="-43"/>
        </w:rPr>
        <w:t> </w:t>
      </w:r>
      <w:r>
        <w:rPr>
          <w:rFonts w:ascii="Times New Roman" w:hAnsi="Times New Roman" w:cs="Times New Roman" w:eastAsia="Times New Roman" w:hint="default"/>
        </w:rPr>
        <w:t>15.36%</w:t>
      </w:r>
      <w:r>
        <w:rPr/>
        <w:t>。</w:t>
      </w:r>
    </w:p>
    <w:p>
      <w:pPr>
        <w:pStyle w:val="BodyText"/>
        <w:spacing w:line="256" w:lineRule="auto" w:before="5"/>
        <w:ind w:left="2394" w:right="1132" w:firstLine="1009"/>
        <w:jc w:val="both"/>
      </w:pPr>
      <w:r>
        <w:rPr>
          <w:rFonts w:ascii="Times New Roman" w:hAnsi="Times New Roman" w:cs="Times New Roman" w:eastAsia="Times New Roman" w:hint="default"/>
        </w:rPr>
        <w:t>2</w:t>
      </w:r>
      <w:r>
        <w:rPr/>
        <w:t>、公司根据</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7</w:t>
      </w:r>
      <w:r>
        <w:rPr/>
        <w:t>月与与嘉兴优亮投资合伙企业（有限合伙）签订投资合伙协 </w:t>
      </w:r>
      <w:r>
        <w:rPr>
          <w:spacing w:val="-2"/>
        </w:rPr>
        <w:t>议，于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16</w:t>
      </w:r>
      <w:r>
        <w:rPr>
          <w:spacing w:val="-2"/>
        </w:rPr>
        <w:t>日支付投资款</w:t>
      </w:r>
      <w:r>
        <w:rPr>
          <w:rFonts w:ascii="Times New Roman" w:hAnsi="Times New Roman" w:cs="Times New Roman" w:eastAsia="Times New Roman" w:hint="default"/>
          <w:spacing w:val="-2"/>
        </w:rPr>
        <w:t>8,416</w:t>
      </w:r>
      <w:r>
        <w:rPr>
          <w:spacing w:val="-2"/>
        </w:rPr>
        <w:t>万元。后公司签订终止协议退回相应投资款，截止审</w:t>
      </w:r>
      <w:r>
        <w:rPr>
          <w:spacing w:val="-94"/>
        </w:rPr>
        <w:t> </w:t>
      </w:r>
      <w:r>
        <w:rPr>
          <w:spacing w:val="-94"/>
        </w:rPr>
      </w:r>
      <w:r>
        <w:rPr/>
        <w:t>计报告日，尚未收回上述款项。</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pStyle w:val="Heading6"/>
        <w:spacing w:line="240" w:lineRule="auto"/>
        <w:ind w:right="998"/>
        <w:jc w:val="left"/>
        <w:rPr>
          <w:b w:val="0"/>
          <w:bCs w:val="0"/>
        </w:rPr>
      </w:pPr>
      <w:bookmarkStart w:name="8、其他" w:id="519"/>
      <w:bookmarkEnd w:id="519"/>
      <w:r>
        <w:rPr>
          <w:b w:val="0"/>
          <w:bCs w:val="0"/>
        </w:rPr>
      </w:r>
      <w:r>
        <w:rPr>
          <w:rFonts w:ascii="Times New Roman" w:hAnsi="Times New Roman" w:cs="Times New Roman" w:eastAsia="Times New Roman" w:hint="default"/>
        </w:rPr>
        <w:t>8</w:t>
      </w:r>
      <w:r>
        <w:rPr/>
        <w:t>、其他</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2"/>
        <w:rPr>
          <w:rFonts w:ascii="宋体" w:hAnsi="宋体" w:cs="宋体" w:eastAsia="宋体" w:hint="default"/>
          <w:sz w:val="25"/>
          <w:szCs w:val="25"/>
        </w:rPr>
      </w:pPr>
    </w:p>
    <w:p>
      <w:pPr>
        <w:pStyle w:val="Heading4"/>
        <w:spacing w:line="240" w:lineRule="auto"/>
        <w:ind w:left="1134" w:right="998"/>
        <w:jc w:val="left"/>
        <w:rPr>
          <w:b w:val="0"/>
          <w:bCs w:val="0"/>
        </w:rPr>
      </w:pPr>
      <w:bookmarkStart w:name="十七、母公司财务报表主要项目注释" w:id="520"/>
      <w:bookmarkEnd w:id="520"/>
      <w:r>
        <w:rPr>
          <w:b w:val="0"/>
          <w:bCs w:val="0"/>
        </w:rPr>
      </w:r>
      <w:r>
        <w:rPr/>
        <w:t>十七、母公司财务报表主要项目注释</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应收账款" w:id="521"/>
      <w:bookmarkEnd w:id="521"/>
      <w:r>
        <w:rPr>
          <w:b w:val="0"/>
          <w:bCs w:val="0"/>
        </w:rPr>
      </w:r>
      <w:r>
        <w:rPr>
          <w:rFonts w:ascii="Times New Roman" w:hAnsi="Times New Roman" w:cs="Times New Roman" w:eastAsia="Times New Roman" w:hint="default"/>
        </w:rPr>
        <w:t>1</w:t>
      </w:r>
      <w:r>
        <w:rPr/>
        <w:t>、应收账款</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应收账款分类披露" w:id="522"/>
      <w:bookmarkEnd w:id="522"/>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646"/>
        <w:gridCol w:w="752"/>
        <w:gridCol w:w="762"/>
        <w:gridCol w:w="774"/>
        <w:gridCol w:w="739"/>
        <w:gridCol w:w="812"/>
        <w:gridCol w:w="643"/>
        <w:gridCol w:w="762"/>
        <w:gridCol w:w="813"/>
        <w:gridCol w:w="932"/>
        <w:gridCol w:w="932"/>
      </w:tblGrid>
      <w:tr>
        <w:trPr>
          <w:trHeight w:val="403" w:hRule="exact"/>
        </w:trPr>
        <w:tc>
          <w:tcPr>
            <w:tcW w:w="1646"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82"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1" w:hRule="exact"/>
        </w:trPr>
        <w:tc>
          <w:tcPr>
            <w:tcW w:w="1646" w:type="dxa"/>
            <w:vMerge/>
            <w:tcBorders>
              <w:left w:val="single" w:sz="4" w:space="0" w:color="000000"/>
              <w:bottom w:val="nil" w:sz="6" w:space="0" w:color="auto"/>
              <w:right w:val="single" w:sz="4" w:space="0" w:color="000000"/>
            </w:tcBorders>
            <w:shd w:val="clear" w:color="auto" w:fill="D2D2D2"/>
          </w:tcPr>
          <w:p>
            <w:pPr/>
          </w:p>
        </w:tc>
        <w:tc>
          <w:tcPr>
            <w:tcW w:w="151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8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1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812" w:type="dxa"/>
            <w:vMerge w:val="restart"/>
            <w:tcBorders>
              <w:top w:val="single" w:sz="4" w:space="0" w:color="000000"/>
              <w:left w:val="single" w:sz="4" w:space="0" w:color="000000"/>
              <w:right w:val="single" w:sz="4" w:space="0" w:color="000000"/>
            </w:tcBorders>
            <w:shd w:val="clear" w:color="auto" w:fill="D2D2D2"/>
          </w:tcPr>
          <w:p>
            <w:pPr/>
          </w:p>
        </w:tc>
        <w:tc>
          <w:tcPr>
            <w:tcW w:w="140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3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类别</w:t>
            </w:r>
          </w:p>
        </w:tc>
        <w:tc>
          <w:tcPr>
            <w:tcW w:w="1514" w:type="dxa"/>
            <w:gridSpan w:val="2"/>
            <w:vMerge/>
            <w:tcBorders>
              <w:left w:val="single" w:sz="4" w:space="0" w:color="000000"/>
              <w:bottom w:val="single" w:sz="4" w:space="0" w:color="000000"/>
              <w:right w:val="single" w:sz="4" w:space="0" w:color="000000"/>
            </w:tcBorders>
            <w:shd w:val="clear" w:color="auto" w:fill="D2D2D2"/>
          </w:tcPr>
          <w:p>
            <w:pPr/>
          </w:p>
        </w:tc>
        <w:tc>
          <w:tcPr>
            <w:tcW w:w="1513" w:type="dxa"/>
            <w:gridSpan w:val="2"/>
            <w:vMerge/>
            <w:tcBorders>
              <w:left w:val="single" w:sz="4" w:space="0" w:color="000000"/>
              <w:bottom w:val="single" w:sz="4" w:space="0" w:color="000000"/>
              <w:right w:val="single" w:sz="4" w:space="0" w:color="000000"/>
            </w:tcBorders>
            <w:shd w:val="clear" w:color="auto" w:fill="D2D2D2"/>
          </w:tcPr>
          <w:p>
            <w:pPr/>
          </w:p>
        </w:tc>
        <w:tc>
          <w:tcPr>
            <w:tcW w:w="812" w:type="dxa"/>
            <w:vMerge/>
            <w:tcBorders>
              <w:left w:val="single" w:sz="4" w:space="0" w:color="000000"/>
              <w:bottom w:val="nil" w:sz="6" w:space="0" w:color="auto"/>
              <w:right w:val="single" w:sz="4" w:space="0" w:color="000000"/>
            </w:tcBorders>
            <w:shd w:val="clear" w:color="auto" w:fill="D2D2D2"/>
          </w:tcPr>
          <w:p>
            <w:pPr/>
          </w:p>
        </w:tc>
        <w:tc>
          <w:tcPr>
            <w:tcW w:w="1405"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9" w:hRule="exact"/>
        </w:trPr>
        <w:tc>
          <w:tcPr>
            <w:tcW w:w="1646" w:type="dxa"/>
            <w:vMerge/>
            <w:tcBorders>
              <w:left w:val="single" w:sz="4" w:space="0" w:color="000000"/>
              <w:bottom w:val="single" w:sz="4" w:space="0" w:color="FFFFFF"/>
              <w:right w:val="single" w:sz="4" w:space="0" w:color="000000"/>
            </w:tcBorders>
            <w:shd w:val="clear" w:color="auto" w:fill="D2D2D2"/>
          </w:tcPr>
          <w:p>
            <w:pPr/>
          </w:p>
        </w:tc>
        <w:tc>
          <w:tcPr>
            <w:tcW w:w="75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74"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39"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274" w:right="9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8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4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4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46" w:type="dxa"/>
            <w:vMerge w:val="restart"/>
            <w:tcBorders>
              <w:top w:val="single" w:sz="4" w:space="0" w:color="FFFFFF"/>
              <w:left w:val="single" w:sz="4" w:space="0" w:color="000000"/>
              <w:right w:val="single" w:sz="4" w:space="0" w:color="000000"/>
            </w:tcBorders>
            <w:shd w:val="clear" w:color="auto" w:fill="D2D2D2"/>
          </w:tcPr>
          <w:p>
            <w:pPr/>
          </w:p>
        </w:tc>
        <w:tc>
          <w:tcPr>
            <w:tcW w:w="75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8"/>
              <w:ind w:left="18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8"/>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74"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8"/>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39" w:type="dxa"/>
            <w:vMerge/>
            <w:tcBorders>
              <w:left w:val="single" w:sz="4" w:space="0" w:color="000000"/>
              <w:right w:val="single" w:sz="4" w:space="0" w:color="000000"/>
            </w:tcBorders>
            <w:shd w:val="clear" w:color="auto" w:fill="D2D2D2"/>
          </w:tcPr>
          <w:p>
            <w:pPr/>
          </w:p>
        </w:tc>
        <w:tc>
          <w:tcPr>
            <w:tcW w:w="812" w:type="dxa"/>
            <w:vMerge/>
            <w:tcBorders>
              <w:left w:val="single" w:sz="4" w:space="0" w:color="000000"/>
              <w:bottom w:val="nil" w:sz="6" w:space="0" w:color="auto"/>
              <w:right w:val="single" w:sz="4" w:space="0" w:color="000000"/>
            </w:tcBorders>
            <w:shd w:val="clear" w:color="auto" w:fill="D2D2D2"/>
          </w:tcPr>
          <w:p>
            <w:pPr/>
          </w:p>
        </w:tc>
        <w:tc>
          <w:tcPr>
            <w:tcW w:w="64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3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646" w:type="dxa"/>
            <w:vMerge/>
            <w:tcBorders>
              <w:left w:val="single" w:sz="4" w:space="0" w:color="000000"/>
              <w:right w:val="single" w:sz="4" w:space="0" w:color="000000"/>
            </w:tcBorders>
            <w:shd w:val="clear" w:color="auto" w:fill="D2D2D2"/>
          </w:tcPr>
          <w:p>
            <w:pPr/>
          </w:p>
        </w:tc>
        <w:tc>
          <w:tcPr>
            <w:tcW w:w="75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74" w:type="dxa"/>
            <w:vMerge/>
            <w:tcBorders>
              <w:left w:val="single" w:sz="4" w:space="0" w:color="000000"/>
              <w:bottom w:val="nil" w:sz="6" w:space="0" w:color="auto"/>
              <w:right w:val="single" w:sz="4" w:space="0" w:color="000000"/>
            </w:tcBorders>
            <w:shd w:val="clear" w:color="auto" w:fill="D2D2D2"/>
          </w:tcPr>
          <w:p>
            <w:pPr/>
          </w:p>
        </w:tc>
        <w:tc>
          <w:tcPr>
            <w:tcW w:w="739" w:type="dxa"/>
            <w:vMerge/>
            <w:tcBorders>
              <w:left w:val="single" w:sz="4" w:space="0" w:color="000000"/>
              <w:right w:val="single" w:sz="4" w:space="0" w:color="000000"/>
            </w:tcBorders>
            <w:shd w:val="clear" w:color="auto" w:fill="D2D2D2"/>
          </w:tcPr>
          <w:p>
            <w:pPr/>
          </w:p>
        </w:tc>
        <w:tc>
          <w:tcPr>
            <w:tcW w:w="812" w:type="dxa"/>
            <w:vMerge w:val="restart"/>
            <w:tcBorders>
              <w:top w:val="nil" w:sz="6" w:space="0" w:color="auto"/>
              <w:left w:val="single" w:sz="4" w:space="0" w:color="000000"/>
              <w:right w:val="single" w:sz="4" w:space="0" w:color="000000"/>
            </w:tcBorders>
            <w:shd w:val="clear" w:color="auto" w:fill="D2D2D2"/>
          </w:tcPr>
          <w:p>
            <w:pPr/>
          </w:p>
        </w:tc>
        <w:tc>
          <w:tcPr>
            <w:tcW w:w="64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46" w:type="dxa"/>
            <w:vMerge/>
            <w:tcBorders>
              <w:left w:val="single" w:sz="4" w:space="0" w:color="000000"/>
              <w:bottom w:val="single" w:sz="4" w:space="0" w:color="000000"/>
              <w:right w:val="single" w:sz="4" w:space="0" w:color="000000"/>
            </w:tcBorders>
            <w:shd w:val="clear" w:color="auto" w:fill="D2D2D2"/>
          </w:tcPr>
          <w:p>
            <w:pPr/>
          </w:p>
        </w:tc>
        <w:tc>
          <w:tcPr>
            <w:tcW w:w="75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74" w:type="dxa"/>
            <w:tcBorders>
              <w:top w:val="nil" w:sz="6" w:space="0" w:color="auto"/>
              <w:left w:val="single" w:sz="4" w:space="0" w:color="000000"/>
              <w:bottom w:val="single" w:sz="4" w:space="0" w:color="000000"/>
              <w:right w:val="single" w:sz="4" w:space="0" w:color="000000"/>
            </w:tcBorders>
            <w:shd w:val="clear" w:color="auto" w:fill="D2D2D2"/>
          </w:tcPr>
          <w:p>
            <w:pPr/>
          </w:p>
        </w:tc>
        <w:tc>
          <w:tcPr>
            <w:tcW w:w="739" w:type="dxa"/>
            <w:vMerge/>
            <w:tcBorders>
              <w:left w:val="single" w:sz="4" w:space="0" w:color="000000"/>
              <w:bottom w:val="single" w:sz="4" w:space="0" w:color="000000"/>
              <w:right w:val="single" w:sz="4" w:space="0" w:color="000000"/>
            </w:tcBorders>
            <w:shd w:val="clear" w:color="auto" w:fill="D2D2D2"/>
          </w:tcPr>
          <w:p>
            <w:pPr/>
          </w:p>
        </w:tc>
        <w:tc>
          <w:tcPr>
            <w:tcW w:w="812" w:type="dxa"/>
            <w:vMerge/>
            <w:tcBorders>
              <w:left w:val="single" w:sz="4" w:space="0" w:color="000000"/>
              <w:bottom w:val="single" w:sz="4" w:space="0" w:color="000000"/>
              <w:right w:val="single" w:sz="4" w:space="0" w:color="000000"/>
            </w:tcBorders>
            <w:shd w:val="clear" w:color="auto" w:fill="D2D2D2"/>
          </w:tcPr>
          <w:p>
            <w:pPr/>
          </w:p>
        </w:tc>
        <w:tc>
          <w:tcPr>
            <w:tcW w:w="64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单项金额重大并单</w:t>
            </w:r>
          </w:p>
        </w:tc>
        <w:tc>
          <w:tcPr>
            <w:tcW w:w="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1"/>
              <w:ind w:left="89" w:right="0"/>
              <w:jc w:val="left"/>
              <w:rPr>
                <w:rFonts w:ascii="宋体" w:hAnsi="宋体" w:cs="宋体" w:eastAsia="宋体" w:hint="default"/>
                <w:sz w:val="18"/>
                <w:szCs w:val="18"/>
              </w:rPr>
            </w:pPr>
            <w:r>
              <w:rPr>
                <w:rFonts w:ascii="宋体" w:hAnsi="宋体" w:cs="宋体" w:eastAsia="宋体" w:hint="default"/>
                <w:sz w:val="18"/>
                <w:szCs w:val="18"/>
              </w:rPr>
              <w:t>无法添</w:t>
            </w:r>
          </w:p>
        </w:tc>
        <w:tc>
          <w:tcPr>
            <w:tcW w:w="762" w:type="dxa"/>
            <w:tcBorders>
              <w:top w:val="single" w:sz="4" w:space="0" w:color="000000"/>
              <w:left w:val="single" w:sz="4" w:space="0" w:color="000000"/>
              <w:bottom w:val="single" w:sz="4" w:space="0" w:color="000000"/>
              <w:right w:val="single" w:sz="4" w:space="0" w:color="000000"/>
            </w:tcBorders>
          </w:tcPr>
          <w:p>
            <w:pPr/>
          </w:p>
        </w:tc>
        <w:tc>
          <w:tcPr>
            <w:tcW w:w="774" w:type="dxa"/>
            <w:tcBorders>
              <w:top w:val="single" w:sz="4" w:space="0" w:color="000000"/>
              <w:left w:val="single" w:sz="4" w:space="0" w:color="000000"/>
              <w:bottom w:val="single" w:sz="4" w:space="0" w:color="000000"/>
              <w:right w:val="single" w:sz="4" w:space="0" w:color="000000"/>
            </w:tcBorders>
          </w:tcPr>
          <w:p>
            <w:pPr/>
          </w:p>
        </w:tc>
        <w:tc>
          <w:tcPr>
            <w:tcW w:w="739"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643"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813"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1634"/>
        <w:gridCol w:w="764"/>
        <w:gridCol w:w="762"/>
        <w:gridCol w:w="762"/>
        <w:gridCol w:w="762"/>
        <w:gridCol w:w="790"/>
        <w:gridCol w:w="654"/>
        <w:gridCol w:w="762"/>
        <w:gridCol w:w="813"/>
        <w:gridCol w:w="932"/>
        <w:gridCol w:w="932"/>
      </w:tblGrid>
      <w:tr>
        <w:trPr>
          <w:trHeight w:val="674"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22" w:right="159"/>
              <w:jc w:val="left"/>
              <w:rPr>
                <w:rFonts w:ascii="宋体" w:hAnsi="宋体" w:cs="宋体" w:eastAsia="宋体" w:hint="default"/>
                <w:sz w:val="18"/>
                <w:szCs w:val="18"/>
              </w:rPr>
            </w:pPr>
            <w:r>
              <w:rPr>
                <w:rFonts w:ascii="宋体" w:hAnsi="宋体" w:cs="宋体" w:eastAsia="宋体" w:hint="default"/>
                <w:sz w:val="18"/>
                <w:szCs w:val="18"/>
              </w:rPr>
              <w:t>独计提坏账准备的 应收账款</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加组合</w:t>
            </w: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813"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59"/>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4,405,85</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6.36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888,803.</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25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20.17%</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3,517,053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pacing w:val="-3"/>
                <w:sz w:val="18"/>
              </w:rPr>
              <w:t>.11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 w:right="0"/>
              <w:jc w:val="center"/>
              <w:rPr>
                <w:rFonts w:ascii="Times New Roman" w:hAnsi="Times New Roman" w:cs="Times New Roman" w:eastAsia="Times New Roman" w:hint="default"/>
                <w:sz w:val="18"/>
                <w:szCs w:val="18"/>
              </w:rPr>
            </w:pPr>
            <w:r>
              <w:rPr>
                <w:rFonts w:ascii="Times New Roman"/>
                <w:sz w:val="18"/>
              </w:rPr>
              <w:t>8,237,5</w:t>
            </w:r>
          </w:p>
          <w:p>
            <w:pPr>
              <w:pStyle w:val="TableParagraph"/>
              <w:spacing w:line="240" w:lineRule="auto" w:before="105"/>
              <w:ind w:left="192" w:right="0"/>
              <w:jc w:val="center"/>
              <w:rPr>
                <w:rFonts w:ascii="Times New Roman" w:hAnsi="Times New Roman" w:cs="Times New Roman" w:eastAsia="Times New Roman" w:hint="default"/>
                <w:sz w:val="18"/>
                <w:szCs w:val="18"/>
              </w:rPr>
            </w:pPr>
            <w:r>
              <w:rPr>
                <w:rFonts w:ascii="Times New Roman"/>
                <w:sz w:val="18"/>
              </w:rPr>
              <w:t>30.67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1,107,059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.34</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13.44%</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7,130,471.3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r>
      <w:tr>
        <w:trPr>
          <w:trHeight w:val="714"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4,405,85</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6.36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888,803.</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25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20.17%</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3,517,053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pacing w:val="-3"/>
                <w:sz w:val="18"/>
              </w:rPr>
              <w:t>.11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center"/>
              <w:rPr>
                <w:rFonts w:ascii="Times New Roman" w:hAnsi="Times New Roman" w:cs="Times New Roman" w:eastAsia="Times New Roman" w:hint="default"/>
                <w:sz w:val="18"/>
                <w:szCs w:val="18"/>
              </w:rPr>
            </w:pPr>
            <w:r>
              <w:rPr>
                <w:rFonts w:ascii="Times New Roman"/>
                <w:sz w:val="18"/>
              </w:rPr>
              <w:t>8,237,5</w:t>
            </w:r>
          </w:p>
          <w:p>
            <w:pPr>
              <w:pStyle w:val="TableParagraph"/>
              <w:spacing w:line="240" w:lineRule="auto" w:before="105"/>
              <w:ind w:left="192" w:right="0"/>
              <w:jc w:val="center"/>
              <w:rPr>
                <w:rFonts w:ascii="Times New Roman" w:hAnsi="Times New Roman" w:cs="Times New Roman" w:eastAsia="Times New Roman" w:hint="default"/>
                <w:sz w:val="18"/>
                <w:szCs w:val="18"/>
              </w:rPr>
            </w:pPr>
            <w:r>
              <w:rPr>
                <w:rFonts w:ascii="Times New Roman"/>
                <w:sz w:val="18"/>
              </w:rPr>
              <w:t>30.67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1,107,059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.34</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13.44%</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7,130,471.3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before="51"/>
        <w:ind w:left="1134"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期末单项金额重大并单项计提坏账准备的应收账款：</w:t>
      </w:r>
    </w:p>
    <w:p>
      <w:pPr>
        <w:spacing w:line="338" w:lineRule="auto" w:before="117"/>
        <w:ind w:left="1133" w:right="16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组合中，按账龄分析法计提坏账准备的应收账款：</w:t>
      </w:r>
    </w:p>
    <w:p>
      <w:pPr>
        <w:spacing w:before="42"/>
        <w:ind w:left="1133"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 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5275" w:space="3555"/>
            <w:col w:w="3080"/>
          </w:cols>
        </w:sectPr>
      </w:pP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476"/>
        <w:gridCol w:w="2301"/>
        <w:gridCol w:w="2391"/>
        <w:gridCol w:w="2390"/>
      </w:tblGrid>
      <w:tr>
        <w:trPr>
          <w:trHeight w:val="206" w:hRule="exact"/>
        </w:trPr>
        <w:tc>
          <w:tcPr>
            <w:tcW w:w="2476"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1"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1" w:hRule="exact"/>
        </w:trPr>
        <w:tc>
          <w:tcPr>
            <w:tcW w:w="24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5"/>
              <w:jc w:val="center"/>
              <w:rPr>
                <w:rFonts w:ascii="宋体" w:hAnsi="宋体" w:cs="宋体" w:eastAsia="宋体" w:hint="default"/>
                <w:sz w:val="18"/>
                <w:szCs w:val="18"/>
              </w:rPr>
            </w:pPr>
            <w:r>
              <w:rPr>
                <w:rFonts w:ascii="宋体" w:hAnsi="宋体" w:cs="宋体" w:eastAsia="宋体" w:hint="default"/>
                <w:sz w:val="18"/>
                <w:szCs w:val="18"/>
              </w:rPr>
              <w:t>账龄</w:t>
            </w:r>
          </w:p>
        </w:tc>
        <w:tc>
          <w:tcPr>
            <w:tcW w:w="7081" w:type="dxa"/>
            <w:gridSpan w:val="3"/>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476" w:type="dxa"/>
            <w:vMerge/>
            <w:tcBorders>
              <w:left w:val="single" w:sz="4" w:space="0" w:color="000000"/>
              <w:bottom w:val="nil" w:sz="6" w:space="0" w:color="auto"/>
              <w:right w:val="single" w:sz="4" w:space="0" w:color="000000"/>
            </w:tcBorders>
            <w:shd w:val="clear" w:color="auto" w:fill="D2D2D2"/>
          </w:tcPr>
          <w:p>
            <w:pPr/>
          </w:p>
        </w:tc>
        <w:tc>
          <w:tcPr>
            <w:tcW w:w="23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47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01" w:type="dxa"/>
            <w:vMerge/>
            <w:tcBorders>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r>
      <w:tr>
        <w:trPr>
          <w:trHeight w:val="397" w:hRule="exact"/>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3,264,340.42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163,217.02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457,770.64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45,777.06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4,920.17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984.04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678,825.13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678,825.13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4,405,856.36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888,803.25</w:t>
            </w:r>
          </w:p>
        </w:tc>
        <w:tc>
          <w:tcPr>
            <w:tcW w:w="2390" w:type="dxa"/>
            <w:tcBorders>
              <w:top w:val="single" w:sz="4" w:space="0" w:color="000000"/>
              <w:left w:val="single" w:sz="4" w:space="0" w:color="000000"/>
              <w:bottom w:val="single" w:sz="4" w:space="0" w:color="000000"/>
              <w:right w:val="single" w:sz="4" w:space="0" w:color="000000"/>
            </w:tcBorders>
          </w:tcPr>
          <w:p>
            <w:pPr/>
          </w:p>
        </w:tc>
      </w:tr>
    </w:tbl>
    <w:p>
      <w:pPr>
        <w:spacing w:line="357" w:lineRule="auto" w:before="51"/>
        <w:ind w:left="1134" w:right="8772"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无</w:t>
      </w:r>
    </w:p>
    <w:p>
      <w:pPr>
        <w:spacing w:before="29"/>
        <w:ind w:left="1134" w:right="998" w:firstLine="0"/>
        <w:jc w:val="left"/>
        <w:rPr>
          <w:rFonts w:ascii="宋体" w:hAnsi="宋体" w:cs="宋体" w:eastAsia="宋体" w:hint="default"/>
          <w:sz w:val="18"/>
          <w:szCs w:val="18"/>
        </w:rPr>
      </w:pPr>
      <w:r>
        <w:rPr>
          <w:rFonts w:ascii="宋体" w:hAnsi="宋体" w:cs="宋体" w:eastAsia="宋体" w:hint="default"/>
          <w:sz w:val="18"/>
          <w:szCs w:val="18"/>
        </w:rPr>
        <w:t>组合中，采用余额百分比法计提坏账准备的应收账款：</w:t>
      </w:r>
    </w:p>
    <w:p>
      <w:pPr>
        <w:spacing w:line="348" w:lineRule="auto" w:before="117"/>
        <w:ind w:left="1133" w:right="67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组合中，采用其他方法计提坏账准备的应收账款： 无</w:t>
      </w:r>
    </w:p>
    <w:p>
      <w:pPr>
        <w:spacing w:line="240" w:lineRule="auto" w:before="9"/>
        <w:rPr>
          <w:rFonts w:ascii="宋体" w:hAnsi="宋体" w:cs="宋体" w:eastAsia="宋体" w:hint="default"/>
          <w:sz w:val="20"/>
          <w:szCs w:val="20"/>
        </w:rPr>
      </w:pPr>
    </w:p>
    <w:p>
      <w:pPr>
        <w:pStyle w:val="Heading6"/>
        <w:spacing w:line="240" w:lineRule="auto"/>
        <w:ind w:right="998"/>
        <w:jc w:val="left"/>
        <w:rPr>
          <w:b w:val="0"/>
          <w:bCs w:val="0"/>
        </w:rPr>
      </w:pPr>
      <w:bookmarkStart w:name="（2）本期计提、收回或转回的坏账准备情况" w:id="523"/>
      <w:bookmarkEnd w:id="523"/>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type w:val="continuous"/>
          <w:pgSz w:w="11910" w:h="16840"/>
          <w:pgMar w:top="1060" w:bottom="1160" w:left="0" w:right="0"/>
        </w:sectPr>
      </w:pPr>
    </w:p>
    <w:p>
      <w:pPr>
        <w:spacing w:line="340" w:lineRule="auto" w:before="44"/>
        <w:ind w:left="1133" w:right="-15"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Times New Roman" w:hAnsi="Times New Roman" w:cs="Times New Roman" w:eastAsia="Times New Roman" w:hint="default"/>
          <w:sz w:val="18"/>
          <w:szCs w:val="18"/>
        </w:rPr>
        <w:t>-199,806.68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元；本期收回或转回坏账准备金额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 其中本期坏账准备收回或转回金额重要的：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 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7314" w:space="1515"/>
            <w:col w:w="3081"/>
          </w:cols>
        </w:sectPr>
      </w:pP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4"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before="11"/>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3）本期实际核销的应收账款情况" w:id="524"/>
      <w:bookmarkEnd w:id="524"/>
      <w:r>
        <w:rPr>
          <w:b w:val="0"/>
          <w:bCs w:val="0"/>
        </w:rPr>
      </w: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4984"/>
        <w:gridCol w:w="4584"/>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spacing w:after="0" w:line="240" w:lineRule="auto"/>
        <w:jc w:val="center"/>
        <w:rPr>
          <w:rFonts w:ascii="宋体" w:hAnsi="宋体" w:cs="宋体" w:eastAsia="宋体" w:hint="default"/>
          <w:sz w:val="18"/>
          <w:szCs w:val="18"/>
        </w:rPr>
        <w:sectPr>
          <w:type w:val="continuous"/>
          <w:pgSz w:w="11910" w:h="16840"/>
          <w:pgMar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4984"/>
        <w:gridCol w:w="4584"/>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实际核销的应收账款</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18,449.41</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其中重要的应收账款核销情况：</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684"/>
        <w:gridCol w:w="1552"/>
        <w:gridCol w:w="1552"/>
        <w:gridCol w:w="1553"/>
        <w:gridCol w:w="1614"/>
        <w:gridCol w:w="1604"/>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32" w:right="69"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spacing w:line="357" w:lineRule="auto" w:before="52"/>
        <w:ind w:left="1134" w:right="9132" w:firstLine="0"/>
        <w:jc w:val="left"/>
        <w:rPr>
          <w:rFonts w:ascii="宋体" w:hAnsi="宋体" w:cs="宋体" w:eastAsia="宋体" w:hint="default"/>
          <w:sz w:val="18"/>
          <w:szCs w:val="18"/>
        </w:rPr>
      </w:pPr>
      <w:r>
        <w:rPr>
          <w:rFonts w:ascii="宋体" w:hAnsi="宋体" w:cs="宋体" w:eastAsia="宋体" w:hint="default"/>
          <w:sz w:val="18"/>
          <w:szCs w:val="18"/>
        </w:rPr>
        <w:t>应收账款核销说明： 无</w:t>
      </w:r>
    </w:p>
    <w:p>
      <w:pPr>
        <w:spacing w:line="240" w:lineRule="auto" w:before="2"/>
        <w:rPr>
          <w:rFonts w:ascii="宋体" w:hAnsi="宋体" w:cs="宋体" w:eastAsia="宋体" w:hint="default"/>
          <w:sz w:val="20"/>
          <w:szCs w:val="20"/>
        </w:rPr>
      </w:pPr>
    </w:p>
    <w:p>
      <w:pPr>
        <w:pStyle w:val="Heading6"/>
        <w:spacing w:line="240" w:lineRule="auto"/>
        <w:ind w:right="998"/>
        <w:jc w:val="left"/>
        <w:rPr>
          <w:b w:val="0"/>
          <w:bCs w:val="0"/>
        </w:rPr>
      </w:pPr>
      <w:bookmarkStart w:name="（4）按欠款方归集的期末余额前五名的应收账款情况" w:id="525"/>
      <w:bookmarkEnd w:id="525"/>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9"/>
        <w:rPr>
          <w:rFonts w:ascii="宋体" w:hAnsi="宋体" w:cs="宋体" w:eastAsia="宋体" w:hint="default"/>
          <w:b/>
          <w:bCs/>
          <w:sz w:val="25"/>
          <w:szCs w:val="25"/>
        </w:rPr>
      </w:pPr>
    </w:p>
    <w:tbl>
      <w:tblPr>
        <w:tblW w:w="0" w:type="auto"/>
        <w:jc w:val="left"/>
        <w:tblInd w:w="1733" w:type="dxa"/>
        <w:tblLayout w:type="fixed"/>
        <w:tblCellMar>
          <w:top w:w="0" w:type="dxa"/>
          <w:left w:w="0" w:type="dxa"/>
          <w:bottom w:w="0" w:type="dxa"/>
          <w:right w:w="0" w:type="dxa"/>
        </w:tblCellMar>
        <w:tblLook w:val="01E0"/>
      </w:tblPr>
      <w:tblGrid>
        <w:gridCol w:w="2930"/>
        <w:gridCol w:w="1680"/>
        <w:gridCol w:w="1489"/>
        <w:gridCol w:w="1714"/>
      </w:tblGrid>
      <w:tr>
        <w:trPr>
          <w:trHeight w:val="356" w:hRule="exact"/>
        </w:trPr>
        <w:tc>
          <w:tcPr>
            <w:tcW w:w="2930" w:type="dxa"/>
            <w:vMerge w:val="restart"/>
            <w:tcBorders>
              <w:top w:val="single" w:sz="6" w:space="0" w:color="000000"/>
              <w:left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4884" w:type="dxa"/>
            <w:gridSpan w:val="3"/>
            <w:tcBorders>
              <w:top w:val="single" w:sz="6" w:space="0" w:color="000000"/>
              <w:left w:val="single" w:sz="6" w:space="0" w:color="000000"/>
              <w:bottom w:val="single" w:sz="12" w:space="0" w:color="000000"/>
              <w:right w:val="nil" w:sz="6" w:space="0" w:color="auto"/>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664" w:hRule="exact"/>
        </w:trPr>
        <w:tc>
          <w:tcPr>
            <w:tcW w:w="2930" w:type="dxa"/>
            <w:vMerge/>
            <w:tcBorders>
              <w:left w:val="single" w:sz="6" w:space="0" w:color="000000"/>
              <w:bottom w:val="single" w:sz="12" w:space="0" w:color="000000"/>
              <w:right w:val="single" w:sz="6" w:space="0" w:color="000000"/>
            </w:tcBorders>
          </w:tcPr>
          <w:p>
            <w:pPr/>
          </w:p>
        </w:tc>
        <w:tc>
          <w:tcPr>
            <w:tcW w:w="1680"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411"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48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53" w:right="0" w:firstLine="52"/>
              <w:jc w:val="left"/>
              <w:rPr>
                <w:rFonts w:ascii="宋体" w:hAnsi="宋体" w:cs="宋体" w:eastAsia="宋体" w:hint="default"/>
                <w:sz w:val="21"/>
                <w:szCs w:val="21"/>
              </w:rPr>
            </w:pPr>
            <w:r>
              <w:rPr>
                <w:rFonts w:ascii="宋体" w:hAnsi="宋体" w:cs="宋体" w:eastAsia="宋体" w:hint="default"/>
                <w:sz w:val="21"/>
                <w:szCs w:val="21"/>
              </w:rPr>
              <w:t>占应收账款合</w:t>
            </w:r>
          </w:p>
          <w:p>
            <w:pPr>
              <w:pStyle w:val="TableParagraph"/>
              <w:spacing w:line="240" w:lineRule="auto" w:before="37"/>
              <w:ind w:left="5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计数的比例</w:t>
            </w:r>
            <w:r>
              <w:rPr>
                <w:rFonts w:ascii="Times New Roman" w:hAnsi="Times New Roman" w:cs="Times New Roman" w:eastAsia="Times New Roman" w:hint="default"/>
                <w:sz w:val="21"/>
                <w:szCs w:val="21"/>
              </w:rPr>
              <w:t>(%)</w:t>
            </w:r>
          </w:p>
        </w:tc>
        <w:tc>
          <w:tcPr>
            <w:tcW w:w="1714"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429"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52" w:hRule="exact"/>
        </w:trPr>
        <w:tc>
          <w:tcPr>
            <w:tcW w:w="293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left="2" w:right="0"/>
              <w:jc w:val="left"/>
              <w:rPr>
                <w:rFonts w:ascii="Times New Roman" w:hAnsi="Times New Roman" w:cs="Times New Roman" w:eastAsia="Times New Roman" w:hint="default"/>
                <w:sz w:val="21"/>
                <w:szCs w:val="21"/>
              </w:rPr>
            </w:pPr>
            <w:r>
              <w:rPr>
                <w:rFonts w:ascii="Times New Roman"/>
                <w:sz w:val="21"/>
              </w:rPr>
              <w:t>glispagmbh</w:t>
            </w:r>
          </w:p>
        </w:tc>
        <w:tc>
          <w:tcPr>
            <w:tcW w:w="168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1,000,917.77</w:t>
            </w:r>
          </w:p>
        </w:tc>
        <w:tc>
          <w:tcPr>
            <w:tcW w:w="148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22.72</w:t>
            </w:r>
          </w:p>
        </w:tc>
        <w:tc>
          <w:tcPr>
            <w:tcW w:w="171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z w:val="21"/>
              </w:rPr>
              <w:t>50,045.89</w:t>
            </w:r>
          </w:p>
        </w:tc>
      </w:tr>
      <w:tr>
        <w:trPr>
          <w:trHeight w:val="665" w:hRule="exact"/>
        </w:trPr>
        <w:tc>
          <w:tcPr>
            <w:tcW w:w="2930"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pacing w:val="-3"/>
                <w:sz w:val="21"/>
                <w:szCs w:val="21"/>
              </w:rPr>
              <w:t>欧普拉软件技术（北京）有限公</w:t>
            </w:r>
          </w:p>
          <w:p>
            <w:pPr>
              <w:pStyle w:val="TableParagraph"/>
              <w:spacing w:line="240" w:lineRule="auto" w:before="37"/>
              <w:ind w:left="2"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68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802,459.12</w:t>
            </w:r>
          </w:p>
        </w:tc>
        <w:tc>
          <w:tcPr>
            <w:tcW w:w="148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18.21</w:t>
            </w:r>
          </w:p>
        </w:tc>
        <w:tc>
          <w:tcPr>
            <w:tcW w:w="171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z w:val="21"/>
              </w:rPr>
              <w:t>40,122.96</w:t>
            </w:r>
          </w:p>
        </w:tc>
      </w:tr>
      <w:tr>
        <w:trPr>
          <w:trHeight w:val="352" w:hRule="exact"/>
        </w:trPr>
        <w:tc>
          <w:tcPr>
            <w:tcW w:w="2930" w:type="dxa"/>
            <w:tcBorders>
              <w:top w:val="single" w:sz="12" w:space="0" w:color="000000"/>
              <w:left w:val="single" w:sz="6" w:space="0" w:color="000000"/>
              <w:bottom w:val="single" w:sz="12" w:space="0" w:color="000000"/>
              <w:right w:val="single" w:sz="6" w:space="0" w:color="000000"/>
            </w:tcBorders>
          </w:tcPr>
          <w:p>
            <w:pPr>
              <w:pStyle w:val="TableParagraph"/>
              <w:spacing w:line="276" w:lineRule="exact"/>
              <w:ind w:left="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oneworldservicejointstockco-</w:t>
            </w:r>
            <w:r>
              <w:rPr>
                <w:rFonts w:ascii="宋体" w:hAnsi="宋体" w:cs="宋体" w:eastAsia="宋体" w:hint="default"/>
                <w:sz w:val="21"/>
                <w:szCs w:val="21"/>
              </w:rPr>
              <w:t>越南</w:t>
            </w:r>
          </w:p>
        </w:tc>
        <w:tc>
          <w:tcPr>
            <w:tcW w:w="168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661,344.82</w:t>
            </w:r>
          </w:p>
        </w:tc>
        <w:tc>
          <w:tcPr>
            <w:tcW w:w="148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15.01</w:t>
            </w:r>
          </w:p>
        </w:tc>
        <w:tc>
          <w:tcPr>
            <w:tcW w:w="171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pacing w:val="-1"/>
                <w:sz w:val="21"/>
              </w:rPr>
              <w:t>661,344.82</w:t>
            </w:r>
          </w:p>
        </w:tc>
      </w:tr>
      <w:tr>
        <w:trPr>
          <w:trHeight w:val="352" w:hRule="exact"/>
        </w:trPr>
        <w:tc>
          <w:tcPr>
            <w:tcW w:w="293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left="2" w:right="0"/>
              <w:jc w:val="left"/>
              <w:rPr>
                <w:rFonts w:ascii="Times New Roman" w:hAnsi="Times New Roman" w:cs="Times New Roman" w:eastAsia="Times New Roman" w:hint="default"/>
                <w:sz w:val="21"/>
                <w:szCs w:val="21"/>
              </w:rPr>
            </w:pPr>
            <w:r>
              <w:rPr>
                <w:rFonts w:ascii="Times New Roman"/>
                <w:sz w:val="21"/>
              </w:rPr>
              <w:t>youappiinc</w:t>
            </w:r>
          </w:p>
        </w:tc>
        <w:tc>
          <w:tcPr>
            <w:tcW w:w="168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486,956.88</w:t>
            </w:r>
          </w:p>
        </w:tc>
        <w:tc>
          <w:tcPr>
            <w:tcW w:w="148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11.05</w:t>
            </w:r>
          </w:p>
        </w:tc>
        <w:tc>
          <w:tcPr>
            <w:tcW w:w="171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z w:val="21"/>
              </w:rPr>
              <w:t>24,347.84</w:t>
            </w:r>
          </w:p>
        </w:tc>
      </w:tr>
      <w:tr>
        <w:trPr>
          <w:trHeight w:val="353" w:hRule="exact"/>
        </w:trPr>
        <w:tc>
          <w:tcPr>
            <w:tcW w:w="293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left="2" w:right="0"/>
              <w:jc w:val="left"/>
              <w:rPr>
                <w:rFonts w:ascii="Times New Roman" w:hAnsi="Times New Roman" w:cs="Times New Roman" w:eastAsia="Times New Roman" w:hint="default"/>
                <w:sz w:val="21"/>
                <w:szCs w:val="21"/>
              </w:rPr>
            </w:pPr>
            <w:r>
              <w:rPr>
                <w:rFonts w:ascii="Times New Roman"/>
                <w:sz w:val="21"/>
              </w:rPr>
              <w:t>tapticaltd</w:t>
            </w:r>
          </w:p>
        </w:tc>
        <w:tc>
          <w:tcPr>
            <w:tcW w:w="168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426,253.18</w:t>
            </w:r>
          </w:p>
        </w:tc>
        <w:tc>
          <w:tcPr>
            <w:tcW w:w="148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0"/>
              <w:jc w:val="right"/>
              <w:rPr>
                <w:rFonts w:ascii="Times New Roman" w:hAnsi="Times New Roman" w:cs="Times New Roman" w:eastAsia="Times New Roman" w:hint="default"/>
                <w:sz w:val="21"/>
                <w:szCs w:val="21"/>
              </w:rPr>
            </w:pPr>
            <w:r>
              <w:rPr>
                <w:rFonts w:ascii="Times New Roman"/>
                <w:sz w:val="21"/>
              </w:rPr>
              <w:t>9.67</w:t>
            </w:r>
          </w:p>
        </w:tc>
        <w:tc>
          <w:tcPr>
            <w:tcW w:w="171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z w:val="21"/>
              </w:rPr>
              <w:t>21,312.66</w:t>
            </w:r>
          </w:p>
        </w:tc>
      </w:tr>
      <w:tr>
        <w:trPr>
          <w:trHeight w:val="352" w:hRule="exact"/>
        </w:trPr>
        <w:tc>
          <w:tcPr>
            <w:tcW w:w="2930"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8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3,377,931.77</w:t>
            </w:r>
          </w:p>
        </w:tc>
        <w:tc>
          <w:tcPr>
            <w:tcW w:w="1489"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76.66</w:t>
            </w:r>
          </w:p>
        </w:tc>
        <w:tc>
          <w:tcPr>
            <w:tcW w:w="1714"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34"/>
              <w:ind w:right="7"/>
              <w:jc w:val="right"/>
              <w:rPr>
                <w:rFonts w:ascii="Times New Roman" w:hAnsi="Times New Roman" w:cs="Times New Roman" w:eastAsia="Times New Roman" w:hint="default"/>
                <w:sz w:val="21"/>
                <w:szCs w:val="21"/>
              </w:rPr>
            </w:pPr>
            <w:r>
              <w:rPr>
                <w:rFonts w:ascii="Times New Roman"/>
                <w:spacing w:val="-1"/>
                <w:sz w:val="21"/>
              </w:rPr>
              <w:t>797,174.17</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p>
      <w:pPr>
        <w:pStyle w:val="Heading6"/>
        <w:spacing w:line="240" w:lineRule="auto" w:before="35"/>
        <w:ind w:right="998"/>
        <w:jc w:val="left"/>
        <w:rPr>
          <w:b w:val="0"/>
          <w:bCs w:val="0"/>
        </w:rPr>
      </w:pPr>
      <w:bookmarkStart w:name="（5）因金融资产转移而终止确认的应收账款" w:id="526"/>
      <w:bookmarkEnd w:id="526"/>
      <w:r>
        <w:rPr>
          <w:b w:val="0"/>
          <w:bCs w:val="0"/>
        </w:rPr>
      </w: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6）转移应收账款且继续涉入形成的资产、负债金额" w:id="527"/>
      <w:bookmarkEnd w:id="527"/>
      <w:r>
        <w:rPr>
          <w:b w:val="0"/>
          <w:bCs w:val="0"/>
        </w:rPr>
      </w: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7"/>
        <w:rPr>
          <w:rFonts w:ascii="宋体" w:hAnsi="宋体" w:cs="宋体" w:eastAsia="宋体" w:hint="default"/>
          <w:b/>
          <w:bCs/>
          <w:sz w:val="26"/>
          <w:szCs w:val="26"/>
        </w:rPr>
      </w:pPr>
    </w:p>
    <w:p>
      <w:pPr>
        <w:spacing w:line="360" w:lineRule="auto" w:before="0"/>
        <w:ind w:left="1133" w:right="9853" w:firstLine="0"/>
        <w:jc w:val="left"/>
        <w:rPr>
          <w:rFonts w:ascii="宋体" w:hAnsi="宋体" w:cs="宋体" w:eastAsia="宋体" w:hint="default"/>
          <w:sz w:val="18"/>
          <w:szCs w:val="18"/>
        </w:rPr>
      </w:pPr>
      <w:r>
        <w:rPr>
          <w:rFonts w:ascii="宋体" w:hAnsi="宋体" w:cs="宋体" w:eastAsia="宋体" w:hint="default"/>
          <w:sz w:val="18"/>
          <w:szCs w:val="18"/>
        </w:rPr>
        <w:t>无 其他说明： 无</w:t>
      </w:r>
    </w:p>
    <w:p>
      <w:pPr>
        <w:spacing w:line="240" w:lineRule="auto" w:before="0"/>
        <w:rPr>
          <w:rFonts w:ascii="宋体" w:hAnsi="宋体" w:cs="宋体" w:eastAsia="宋体" w:hint="default"/>
          <w:sz w:val="20"/>
          <w:szCs w:val="20"/>
        </w:rPr>
      </w:pPr>
    </w:p>
    <w:p>
      <w:pPr>
        <w:pStyle w:val="Heading6"/>
        <w:spacing w:line="240" w:lineRule="auto"/>
        <w:ind w:right="998"/>
        <w:jc w:val="left"/>
        <w:rPr>
          <w:b w:val="0"/>
          <w:bCs w:val="0"/>
        </w:rPr>
      </w:pPr>
      <w:bookmarkStart w:name="2、其他应收款" w:id="528"/>
      <w:bookmarkEnd w:id="528"/>
      <w:r>
        <w:rPr>
          <w:b w:val="0"/>
          <w:bCs w:val="0"/>
        </w:rPr>
      </w:r>
      <w:r>
        <w:rPr>
          <w:rFonts w:ascii="Times New Roman" w:hAnsi="Times New Roman" w:cs="Times New Roman" w:eastAsia="Times New Roman" w:hint="default"/>
        </w:rPr>
        <w:t>2</w:t>
      </w:r>
      <w:r>
        <w:rPr/>
        <w:t>、其他应收款</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right="998"/>
        <w:jc w:val="left"/>
        <w:rPr>
          <w:b w:val="0"/>
          <w:bCs w:val="0"/>
        </w:rPr>
      </w:pPr>
      <w:bookmarkStart w:name="（1）其他应收款分类披露" w:id="529"/>
      <w:bookmarkEnd w:id="529"/>
      <w:r>
        <w:rPr>
          <w:b w:val="0"/>
          <w:bCs w:val="0"/>
        </w:rPr>
      </w:r>
      <w:r>
        <w:rPr/>
        <w:t>（</w:t>
      </w:r>
      <w:r>
        <w:rPr>
          <w:rFonts w:ascii="Times New Roman" w:hAnsi="Times New Roman" w:cs="Times New Roman" w:eastAsia="Times New Roman" w:hint="default"/>
        </w:rPr>
        <w:t>1</w:t>
      </w:r>
      <w:r>
        <w:rPr/>
        <w:t>）其他应收款分类披露</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3"/>
        <w:gridCol w:w="932"/>
        <w:gridCol w:w="932"/>
      </w:tblGrid>
      <w:tr>
        <w:trPr>
          <w:trHeight w:val="402"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3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4"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1634"/>
        <w:gridCol w:w="764"/>
        <w:gridCol w:w="762"/>
        <w:gridCol w:w="762"/>
        <w:gridCol w:w="762"/>
        <w:gridCol w:w="790"/>
        <w:gridCol w:w="654"/>
        <w:gridCol w:w="762"/>
        <w:gridCol w:w="813"/>
        <w:gridCol w:w="932"/>
        <w:gridCol w:w="932"/>
      </w:tblGrid>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59"/>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其他应收款</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98" w:firstLine="90"/>
              <w:jc w:val="left"/>
              <w:rPr>
                <w:rFonts w:ascii="宋体" w:hAnsi="宋体" w:cs="宋体" w:eastAsia="宋体" w:hint="default"/>
                <w:sz w:val="18"/>
                <w:szCs w:val="18"/>
              </w:rPr>
            </w:pPr>
            <w:r>
              <w:rPr>
                <w:rFonts w:ascii="宋体" w:hAnsi="宋体" w:cs="宋体" w:eastAsia="宋体" w:hint="default"/>
                <w:sz w:val="18"/>
                <w:szCs w:val="18"/>
              </w:rPr>
              <w:t>无法插 入组合 项</w:t>
            </w: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20,000,</w:t>
            </w:r>
          </w:p>
          <w:p>
            <w:pPr>
              <w:pStyle w:val="TableParagraph"/>
              <w:spacing w:line="240" w:lineRule="auto" w:before="106"/>
              <w:ind w:left="125" w:right="0"/>
              <w:jc w:val="left"/>
              <w:rPr>
                <w:rFonts w:ascii="Times New Roman" w:hAnsi="Times New Roman" w:cs="Times New Roman" w:eastAsia="Times New Roman" w:hint="default"/>
                <w:sz w:val="18"/>
                <w:szCs w:val="18"/>
              </w:rPr>
            </w:pPr>
            <w:r>
              <w:rPr>
                <w:rFonts w:ascii="Times New Roman"/>
                <w:sz w:val="18"/>
              </w:rPr>
              <w:t>000.00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left"/>
              <w:rPr>
                <w:rFonts w:ascii="Times New Roman" w:hAnsi="Times New Roman" w:cs="Times New Roman" w:eastAsia="Times New Roman" w:hint="default"/>
                <w:sz w:val="18"/>
                <w:szCs w:val="18"/>
              </w:rPr>
            </w:pPr>
            <w:r>
              <w:rPr>
                <w:rFonts w:ascii="Times New Roman"/>
                <w:sz w:val="18"/>
              </w:rPr>
              <w:t>20,000,00</w:t>
            </w:r>
          </w:p>
          <w:p>
            <w:pPr>
              <w:pStyle w:val="TableParagraph"/>
              <w:spacing w:line="240" w:lineRule="auto" w:before="106"/>
              <w:ind w:left="466" w:right="0"/>
              <w:jc w:val="left"/>
              <w:rPr>
                <w:rFonts w:ascii="Times New Roman" w:hAnsi="Times New Roman" w:cs="Times New Roman" w:eastAsia="Times New Roman" w:hint="default"/>
                <w:sz w:val="18"/>
                <w:szCs w:val="18"/>
              </w:rPr>
            </w:pPr>
            <w:r>
              <w:rPr>
                <w:rFonts w:ascii="Times New Roman"/>
                <w:sz w:val="18"/>
              </w:rPr>
              <w:t>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59"/>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center"/>
              <w:rPr>
                <w:rFonts w:ascii="Times New Roman" w:hAnsi="Times New Roman" w:cs="Times New Roman" w:eastAsia="Times New Roman" w:hint="default"/>
                <w:sz w:val="18"/>
                <w:szCs w:val="18"/>
              </w:rPr>
            </w:pPr>
            <w:r>
              <w:rPr>
                <w:rFonts w:ascii="Times New Roman"/>
                <w:sz w:val="18"/>
              </w:rPr>
              <w:t>753,655,</w:t>
            </w:r>
          </w:p>
          <w:p>
            <w:pPr>
              <w:pStyle w:val="TableParagraph"/>
              <w:spacing w:line="240" w:lineRule="auto" w:before="106"/>
              <w:ind w:left="212" w:right="0"/>
              <w:jc w:val="center"/>
              <w:rPr>
                <w:rFonts w:ascii="Times New Roman" w:hAnsi="Times New Roman" w:cs="Times New Roman" w:eastAsia="Times New Roman" w:hint="default"/>
                <w:sz w:val="18"/>
                <w:szCs w:val="18"/>
              </w:rPr>
            </w:pPr>
            <w:r>
              <w:rPr>
                <w:rFonts w:ascii="Times New Roman"/>
                <w:sz w:val="18"/>
              </w:rPr>
              <w:t>948.57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601,491.</w:t>
            </w:r>
          </w:p>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z w:val="18"/>
              </w:rPr>
              <w:t>69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753,054,4</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56.88</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480,550</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,830.70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96.00%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0" w:right="0"/>
              <w:jc w:val="left"/>
              <w:rPr>
                <w:rFonts w:ascii="Times New Roman" w:hAnsi="Times New Roman" w:cs="Times New Roman" w:eastAsia="Times New Roman" w:hint="default"/>
                <w:sz w:val="18"/>
                <w:szCs w:val="18"/>
              </w:rPr>
            </w:pPr>
            <w:r>
              <w:rPr>
                <w:rFonts w:ascii="Times New Roman"/>
                <w:sz w:val="18"/>
              </w:rPr>
              <w:t>51,000.00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480,499,83</w:t>
            </w:r>
          </w:p>
          <w:p>
            <w:pPr>
              <w:pStyle w:val="TableParagraph"/>
              <w:spacing w:line="240" w:lineRule="auto" w:before="106"/>
              <w:ind w:left="584" w:right="0"/>
              <w:jc w:val="left"/>
              <w:rPr>
                <w:rFonts w:ascii="Times New Roman" w:hAnsi="Times New Roman" w:cs="Times New Roman" w:eastAsia="Times New Roman" w:hint="default"/>
                <w:sz w:val="18"/>
                <w:szCs w:val="18"/>
              </w:rPr>
            </w:pPr>
            <w:r>
              <w:rPr>
                <w:rFonts w:ascii="Times New Roman"/>
                <w:sz w:val="18"/>
              </w:rPr>
              <w:t>0.70</w:t>
            </w:r>
          </w:p>
        </w:tc>
      </w:tr>
      <w:tr>
        <w:trPr>
          <w:trHeight w:val="714"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center"/>
              <w:rPr>
                <w:rFonts w:ascii="Times New Roman" w:hAnsi="Times New Roman" w:cs="Times New Roman" w:eastAsia="Times New Roman" w:hint="default"/>
                <w:sz w:val="18"/>
                <w:szCs w:val="18"/>
              </w:rPr>
            </w:pPr>
            <w:r>
              <w:rPr>
                <w:rFonts w:ascii="Times New Roman"/>
                <w:sz w:val="18"/>
              </w:rPr>
              <w:t>753,655,</w:t>
            </w:r>
          </w:p>
          <w:p>
            <w:pPr>
              <w:pStyle w:val="TableParagraph"/>
              <w:spacing w:line="240" w:lineRule="auto" w:before="106"/>
              <w:ind w:left="212" w:right="0"/>
              <w:jc w:val="center"/>
              <w:rPr>
                <w:rFonts w:ascii="Times New Roman" w:hAnsi="Times New Roman" w:cs="Times New Roman" w:eastAsia="Times New Roman" w:hint="default"/>
                <w:sz w:val="18"/>
                <w:szCs w:val="18"/>
              </w:rPr>
            </w:pPr>
            <w:r>
              <w:rPr>
                <w:rFonts w:ascii="Times New Roman"/>
                <w:sz w:val="18"/>
              </w:rPr>
              <w:t>948.57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601,491.</w:t>
            </w:r>
          </w:p>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z w:val="18"/>
              </w:rPr>
              <w:t>69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753,054,4</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56.88</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500,550</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,830.70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0" w:right="0"/>
              <w:jc w:val="left"/>
              <w:rPr>
                <w:rFonts w:ascii="Times New Roman" w:hAnsi="Times New Roman" w:cs="Times New Roman" w:eastAsia="Times New Roman" w:hint="default"/>
                <w:sz w:val="18"/>
                <w:szCs w:val="18"/>
              </w:rPr>
            </w:pPr>
            <w:r>
              <w:rPr>
                <w:rFonts w:ascii="Times New Roman"/>
                <w:sz w:val="18"/>
              </w:rPr>
              <w:t>20,051,00</w:t>
            </w:r>
          </w:p>
          <w:p>
            <w:pPr>
              <w:pStyle w:val="TableParagraph"/>
              <w:spacing w:line="240" w:lineRule="auto" w:before="106"/>
              <w:ind w:left="466" w:right="0"/>
              <w:jc w:val="left"/>
              <w:rPr>
                <w:rFonts w:ascii="Times New Roman" w:hAnsi="Times New Roman" w:cs="Times New Roman" w:eastAsia="Times New Roman" w:hint="default"/>
                <w:sz w:val="18"/>
                <w:szCs w:val="18"/>
              </w:rPr>
            </w:pPr>
            <w:r>
              <w:rPr>
                <w:rFonts w:ascii="Times New Roman"/>
                <w:sz w:val="18"/>
              </w:rPr>
              <w:t>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4.01%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480,499,83</w:t>
            </w:r>
          </w:p>
          <w:p>
            <w:pPr>
              <w:pStyle w:val="TableParagraph"/>
              <w:spacing w:line="240" w:lineRule="auto" w:before="106"/>
              <w:ind w:left="584" w:right="0"/>
              <w:jc w:val="left"/>
              <w:rPr>
                <w:rFonts w:ascii="Times New Roman" w:hAnsi="Times New Roman" w:cs="Times New Roman" w:eastAsia="Times New Roman" w:hint="default"/>
                <w:sz w:val="18"/>
                <w:szCs w:val="18"/>
              </w:rPr>
            </w:pPr>
            <w:r>
              <w:rPr>
                <w:rFonts w:ascii="Times New Roman"/>
                <w:sz w:val="18"/>
              </w:rPr>
              <w:t>0.70</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79" w:top="1060" w:bottom="1160" w:left="0" w:right="0"/>
        </w:sectPr>
      </w:pPr>
    </w:p>
    <w:p>
      <w:pPr>
        <w:spacing w:before="51"/>
        <w:ind w:left="1134"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期末单项金额重大并单项计提坏账准备的其他应收款：</w:t>
      </w:r>
    </w:p>
    <w:p>
      <w:pPr>
        <w:spacing w:line="338" w:lineRule="auto" w:before="117"/>
        <w:ind w:left="1133" w:right="16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组合中，按账龄分析法计提坏账准备的其他应收款：</w:t>
      </w:r>
    </w:p>
    <w:p>
      <w:pPr>
        <w:spacing w:before="43"/>
        <w:ind w:left="113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spacing w:before="0"/>
        <w:ind w:left="1113" w:right="1112" w:firstLine="0"/>
        <w:jc w:val="center"/>
        <w:rPr>
          <w:rFonts w:ascii="宋体" w:hAnsi="宋体" w:cs="宋体" w:eastAsia="宋体" w:hint="default"/>
          <w:sz w:val="18"/>
          <w:szCs w:val="18"/>
        </w:rPr>
      </w:pPr>
      <w:r>
        <w:rPr>
          <w:rFonts w:ascii="宋体" w:hAnsi="宋体" w:cs="宋体" w:eastAsia="宋体" w:hint="default"/>
          <w:sz w:val="18"/>
          <w:szCs w:val="18"/>
        </w:rPr>
        <w:t>单位： 元</w:t>
      </w:r>
    </w:p>
    <w:p>
      <w:pPr>
        <w:spacing w:after="0"/>
        <w:jc w:val="center"/>
        <w:rPr>
          <w:rFonts w:ascii="宋体" w:hAnsi="宋体" w:cs="宋体" w:eastAsia="宋体" w:hint="default"/>
          <w:sz w:val="18"/>
          <w:szCs w:val="18"/>
        </w:rPr>
        <w:sectPr>
          <w:type w:val="continuous"/>
          <w:pgSz w:w="11910" w:h="16840"/>
          <w:pgMar w:top="1060" w:bottom="1160" w:left="0" w:right="0"/>
          <w:cols w:num="2" w:equalWidth="0">
            <w:col w:w="5455" w:space="3375"/>
            <w:col w:w="3080"/>
          </w:cols>
        </w:sectPr>
      </w:pPr>
    </w:p>
    <w:p>
      <w:pPr>
        <w:spacing w:line="240" w:lineRule="auto" w:before="0"/>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2482"/>
        <w:gridCol w:w="2295"/>
        <w:gridCol w:w="2391"/>
        <w:gridCol w:w="2390"/>
      </w:tblGrid>
      <w:tr>
        <w:trPr>
          <w:trHeight w:val="206" w:hRule="exact"/>
        </w:trPr>
        <w:tc>
          <w:tcPr>
            <w:tcW w:w="2482" w:type="dxa"/>
            <w:tcBorders>
              <w:top w:val="single" w:sz="4" w:space="0" w:color="000000"/>
              <w:left w:val="single" w:sz="4" w:space="0" w:color="000000"/>
              <w:bottom w:val="nil" w:sz="6" w:space="0" w:color="auto"/>
              <w:right w:val="single" w:sz="4" w:space="0" w:color="000000"/>
            </w:tcBorders>
            <w:shd w:val="clear" w:color="auto" w:fill="D2D2D2"/>
          </w:tcPr>
          <w:p>
            <w:pPr/>
          </w:p>
        </w:tc>
        <w:tc>
          <w:tcPr>
            <w:tcW w:w="707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248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账龄</w:t>
            </w:r>
          </w:p>
        </w:tc>
        <w:tc>
          <w:tcPr>
            <w:tcW w:w="7075"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2482" w:type="dxa"/>
            <w:vMerge/>
            <w:tcBorders>
              <w:left w:val="single" w:sz="4" w:space="0" w:color="000000"/>
              <w:bottom w:val="nil" w:sz="6" w:space="0" w:color="auto"/>
              <w:right w:val="single" w:sz="4" w:space="0" w:color="000000"/>
            </w:tcBorders>
            <w:shd w:val="clear" w:color="auto" w:fill="D2D2D2"/>
          </w:tcPr>
          <w:p>
            <w:pPr/>
          </w:p>
        </w:tc>
        <w:tc>
          <w:tcPr>
            <w:tcW w:w="22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69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482" w:type="dxa"/>
            <w:tcBorders>
              <w:top w:val="nil" w:sz="6" w:space="0" w:color="auto"/>
              <w:left w:val="single" w:sz="4" w:space="0" w:color="000000"/>
              <w:bottom w:val="single" w:sz="4" w:space="0" w:color="000000"/>
              <w:right w:val="single" w:sz="4" w:space="0" w:color="000000"/>
            </w:tcBorders>
            <w:shd w:val="clear" w:color="auto" w:fill="D2D2D2"/>
          </w:tcPr>
          <w:p>
            <w:pPr/>
          </w:p>
        </w:tc>
        <w:tc>
          <w:tcPr>
            <w:tcW w:w="2295" w:type="dxa"/>
            <w:vMerge/>
            <w:tcBorders>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r>
      <w:tr>
        <w:trPr>
          <w:trHeight w:val="396" w:hRule="exact"/>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2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10,009,833.81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500,491.69</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100,000.00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1,000.00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3"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11,010,833.81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601,491.69</w:t>
            </w:r>
          </w:p>
        </w:tc>
        <w:tc>
          <w:tcPr>
            <w:tcW w:w="2390" w:type="dxa"/>
            <w:tcBorders>
              <w:top w:val="single" w:sz="4" w:space="0" w:color="000000"/>
              <w:left w:val="single" w:sz="4" w:space="0" w:color="000000"/>
              <w:bottom w:val="single" w:sz="4" w:space="0" w:color="000000"/>
              <w:right w:val="single" w:sz="4" w:space="0" w:color="000000"/>
            </w:tcBorders>
          </w:tcPr>
          <w:p>
            <w:pPr/>
          </w:p>
        </w:tc>
      </w:tr>
    </w:tbl>
    <w:p>
      <w:pPr>
        <w:spacing w:line="357" w:lineRule="auto" w:before="51"/>
        <w:ind w:left="1134" w:right="8772"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无</w:t>
      </w:r>
    </w:p>
    <w:p>
      <w:pPr>
        <w:spacing w:before="29"/>
        <w:ind w:left="1134" w:right="998" w:firstLine="0"/>
        <w:jc w:val="left"/>
        <w:rPr>
          <w:rFonts w:ascii="宋体" w:hAnsi="宋体" w:cs="宋体" w:eastAsia="宋体" w:hint="default"/>
          <w:sz w:val="18"/>
          <w:szCs w:val="18"/>
        </w:rPr>
      </w:pPr>
      <w:r>
        <w:rPr>
          <w:rFonts w:ascii="宋体" w:hAnsi="宋体" w:cs="宋体" w:eastAsia="宋体" w:hint="default"/>
          <w:sz w:val="18"/>
          <w:szCs w:val="18"/>
        </w:rPr>
        <w:t>组合中，采用余额百分比法计提坏账准备的其他应收款：</w:t>
      </w:r>
    </w:p>
    <w:p>
      <w:pPr>
        <w:spacing w:line="338" w:lineRule="auto" w:before="117"/>
        <w:ind w:left="1133" w:right="661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组合中，采用其他方法计提坏账准备的其他应收款：</w:t>
      </w:r>
    </w:p>
    <w:p>
      <w:pPr>
        <w:spacing w:before="43"/>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pStyle w:val="BodyText"/>
        <w:spacing w:line="240" w:lineRule="auto" w:before="75"/>
        <w:ind w:left="1810" w:right="998"/>
        <w:jc w:val="left"/>
      </w:pPr>
      <w:r>
        <w:rPr/>
        <w:t>组合中，采用个别认定方法划入组合</w:t>
      </w:r>
      <w:r>
        <w:rPr>
          <w:rFonts w:ascii="Times New Roman" w:hAnsi="Times New Roman" w:cs="Times New Roman" w:eastAsia="Times New Roman" w:hint="default"/>
        </w:rPr>
        <w:t>2</w:t>
      </w:r>
      <w:r>
        <w:rPr/>
        <w:t>和组合</w:t>
      </w:r>
      <w:r>
        <w:rPr>
          <w:rFonts w:ascii="Times New Roman" w:hAnsi="Times New Roman" w:cs="Times New Roman" w:eastAsia="Times New Roman" w:hint="default"/>
        </w:rPr>
        <w:t>3</w:t>
      </w:r>
      <w:r>
        <w:rPr/>
        <w:t>计提坏账准备的其他应收款：</w:t>
      </w:r>
    </w:p>
    <w:p>
      <w:pPr>
        <w:spacing w:line="240" w:lineRule="auto" w:before="8"/>
        <w:rPr>
          <w:rFonts w:ascii="宋体" w:hAnsi="宋体" w:cs="宋体" w:eastAsia="宋体" w:hint="default"/>
          <w:sz w:val="26"/>
          <w:szCs w:val="26"/>
        </w:rPr>
      </w:pPr>
    </w:p>
    <w:tbl>
      <w:tblPr>
        <w:tblW w:w="0" w:type="auto"/>
        <w:jc w:val="left"/>
        <w:tblInd w:w="1733" w:type="dxa"/>
        <w:tblLayout w:type="fixed"/>
        <w:tblCellMar>
          <w:top w:w="0" w:type="dxa"/>
          <w:left w:w="0" w:type="dxa"/>
          <w:bottom w:w="0" w:type="dxa"/>
          <w:right w:w="0" w:type="dxa"/>
        </w:tblCellMar>
        <w:tblLook w:val="01E0"/>
      </w:tblPr>
      <w:tblGrid>
        <w:gridCol w:w="3222"/>
        <w:gridCol w:w="1842"/>
        <w:gridCol w:w="1560"/>
        <w:gridCol w:w="1189"/>
      </w:tblGrid>
      <w:tr>
        <w:trPr>
          <w:trHeight w:val="355" w:hRule="exact"/>
        </w:trPr>
        <w:tc>
          <w:tcPr>
            <w:tcW w:w="3222" w:type="dxa"/>
            <w:vMerge w:val="restart"/>
            <w:tcBorders>
              <w:top w:val="single" w:sz="6" w:space="0" w:color="000000"/>
              <w:left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组合名称</w:t>
            </w:r>
          </w:p>
        </w:tc>
        <w:tc>
          <w:tcPr>
            <w:tcW w:w="4592" w:type="dxa"/>
            <w:gridSpan w:val="3"/>
            <w:tcBorders>
              <w:top w:val="single" w:sz="6" w:space="0" w:color="000000"/>
              <w:left w:val="single" w:sz="6" w:space="0" w:color="000000"/>
              <w:bottom w:val="single" w:sz="12" w:space="0" w:color="000000"/>
              <w:right w:val="nil" w:sz="6" w:space="0" w:color="auto"/>
            </w:tcBorders>
          </w:tcPr>
          <w:p>
            <w:pPr>
              <w:pStyle w:val="TableParagraph"/>
              <w:spacing w:line="271" w:lineRule="exact"/>
              <w:ind w:right="9"/>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352" w:hRule="exact"/>
        </w:trPr>
        <w:tc>
          <w:tcPr>
            <w:tcW w:w="3222" w:type="dxa"/>
            <w:vMerge/>
            <w:tcBorders>
              <w:left w:val="single" w:sz="6" w:space="0" w:color="000000"/>
              <w:bottom w:val="single" w:sz="12" w:space="0" w:color="000000"/>
              <w:right w:val="single" w:sz="6" w:space="0" w:color="000000"/>
            </w:tcBorders>
          </w:tcPr>
          <w:p>
            <w:pPr/>
          </w:p>
        </w:tc>
        <w:tc>
          <w:tcPr>
            <w:tcW w:w="1842"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493"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560"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351"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189"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166" w:right="0"/>
              <w:jc w:val="left"/>
              <w:rPr>
                <w:rFonts w:ascii="宋体" w:hAnsi="宋体" w:cs="宋体" w:eastAsia="宋体" w:hint="default"/>
                <w:sz w:val="21"/>
                <w:szCs w:val="21"/>
              </w:rPr>
            </w:pPr>
            <w:r>
              <w:rPr>
                <w:rFonts w:ascii="宋体" w:hAnsi="宋体" w:cs="宋体" w:eastAsia="宋体" w:hint="default"/>
                <w:sz w:val="21"/>
                <w:szCs w:val="21"/>
              </w:rPr>
              <w:t>计提比例</w:t>
            </w:r>
          </w:p>
        </w:tc>
      </w:tr>
      <w:tr>
        <w:trPr>
          <w:trHeight w:val="353" w:hRule="exact"/>
        </w:trPr>
        <w:tc>
          <w:tcPr>
            <w:tcW w:w="3222"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押金</w:t>
            </w:r>
          </w:p>
        </w:tc>
        <w:tc>
          <w:tcPr>
            <w:tcW w:w="184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z w:val="21"/>
              </w:rPr>
              <w:t>11,596,548.00</w:t>
            </w:r>
          </w:p>
        </w:tc>
        <w:tc>
          <w:tcPr>
            <w:tcW w:w="1560" w:type="dxa"/>
            <w:tcBorders>
              <w:top w:val="single" w:sz="12" w:space="0" w:color="000000"/>
              <w:left w:val="single" w:sz="6" w:space="0" w:color="000000"/>
              <w:bottom w:val="single" w:sz="12" w:space="0" w:color="000000"/>
              <w:right w:val="single" w:sz="6" w:space="0" w:color="000000"/>
            </w:tcBorders>
          </w:tcPr>
          <w:p>
            <w:pPr/>
          </w:p>
        </w:tc>
        <w:tc>
          <w:tcPr>
            <w:tcW w:w="1189"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3222"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备用金</w:t>
            </w:r>
          </w:p>
        </w:tc>
        <w:tc>
          <w:tcPr>
            <w:tcW w:w="184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1"/>
              <w:jc w:val="right"/>
              <w:rPr>
                <w:rFonts w:ascii="Times New Roman" w:hAnsi="Times New Roman" w:cs="Times New Roman" w:eastAsia="Times New Roman" w:hint="default"/>
                <w:sz w:val="21"/>
                <w:szCs w:val="21"/>
              </w:rPr>
            </w:pPr>
            <w:r>
              <w:rPr>
                <w:rFonts w:ascii="Times New Roman"/>
                <w:spacing w:val="-1"/>
                <w:sz w:val="21"/>
              </w:rPr>
              <w:t>401,652.47</w:t>
            </w:r>
          </w:p>
        </w:tc>
        <w:tc>
          <w:tcPr>
            <w:tcW w:w="1560" w:type="dxa"/>
            <w:tcBorders>
              <w:top w:val="single" w:sz="12" w:space="0" w:color="000000"/>
              <w:left w:val="single" w:sz="6" w:space="0" w:color="000000"/>
              <w:bottom w:val="single" w:sz="12" w:space="0" w:color="000000"/>
              <w:right w:val="single" w:sz="6" w:space="0" w:color="000000"/>
            </w:tcBorders>
          </w:tcPr>
          <w:p>
            <w:pPr/>
          </w:p>
        </w:tc>
        <w:tc>
          <w:tcPr>
            <w:tcW w:w="1189" w:type="dxa"/>
            <w:tcBorders>
              <w:top w:val="single" w:sz="12" w:space="0" w:color="000000"/>
              <w:left w:val="single" w:sz="6" w:space="0" w:color="000000"/>
              <w:bottom w:val="single" w:sz="12" w:space="0" w:color="000000"/>
              <w:right w:val="nil" w:sz="6" w:space="0" w:color="auto"/>
            </w:tcBorders>
          </w:tcPr>
          <w:p>
            <w:pPr/>
          </w:p>
        </w:tc>
      </w:tr>
      <w:tr>
        <w:trPr>
          <w:trHeight w:val="352" w:hRule="exact"/>
        </w:trPr>
        <w:tc>
          <w:tcPr>
            <w:tcW w:w="3222"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子公司关联方往来</w:t>
            </w:r>
          </w:p>
        </w:tc>
        <w:tc>
          <w:tcPr>
            <w:tcW w:w="184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0"/>
              <w:jc w:val="right"/>
              <w:rPr>
                <w:rFonts w:ascii="Times New Roman" w:hAnsi="Times New Roman" w:cs="Times New Roman" w:eastAsia="Times New Roman" w:hint="default"/>
                <w:sz w:val="21"/>
                <w:szCs w:val="21"/>
              </w:rPr>
            </w:pPr>
            <w:r>
              <w:rPr>
                <w:rFonts w:ascii="Times New Roman"/>
                <w:spacing w:val="-1"/>
                <w:sz w:val="21"/>
              </w:rPr>
              <w:t>730,646,914.29</w:t>
            </w:r>
          </w:p>
        </w:tc>
        <w:tc>
          <w:tcPr>
            <w:tcW w:w="1560" w:type="dxa"/>
            <w:tcBorders>
              <w:top w:val="single" w:sz="12" w:space="0" w:color="000000"/>
              <w:left w:val="single" w:sz="6" w:space="0" w:color="000000"/>
              <w:bottom w:val="single" w:sz="12" w:space="0" w:color="000000"/>
              <w:right w:val="single" w:sz="6" w:space="0" w:color="000000"/>
            </w:tcBorders>
          </w:tcPr>
          <w:p>
            <w:pPr/>
          </w:p>
        </w:tc>
        <w:tc>
          <w:tcPr>
            <w:tcW w:w="1189" w:type="dxa"/>
            <w:tcBorders>
              <w:top w:val="single" w:sz="12" w:space="0" w:color="000000"/>
              <w:left w:val="single" w:sz="6" w:space="0" w:color="000000"/>
              <w:bottom w:val="single" w:sz="12" w:space="0" w:color="000000"/>
              <w:right w:val="nil" w:sz="6" w:space="0" w:color="auto"/>
            </w:tcBorders>
          </w:tcPr>
          <w:p>
            <w:pPr/>
          </w:p>
        </w:tc>
      </w:tr>
      <w:tr>
        <w:trPr>
          <w:trHeight w:val="353" w:hRule="exact"/>
        </w:trPr>
        <w:tc>
          <w:tcPr>
            <w:tcW w:w="3222"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84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34"/>
              <w:ind w:right="0"/>
              <w:jc w:val="right"/>
              <w:rPr>
                <w:rFonts w:ascii="Times New Roman" w:hAnsi="Times New Roman" w:cs="Times New Roman" w:eastAsia="Times New Roman" w:hint="default"/>
                <w:sz w:val="21"/>
                <w:szCs w:val="21"/>
              </w:rPr>
            </w:pPr>
            <w:r>
              <w:rPr>
                <w:rFonts w:ascii="Times New Roman"/>
                <w:spacing w:val="-1"/>
                <w:sz w:val="21"/>
              </w:rPr>
              <w:t>742,645,114.76</w:t>
            </w:r>
          </w:p>
        </w:tc>
        <w:tc>
          <w:tcPr>
            <w:tcW w:w="1560" w:type="dxa"/>
            <w:tcBorders>
              <w:top w:val="single" w:sz="12" w:space="0" w:color="000000"/>
              <w:left w:val="single" w:sz="6" w:space="0" w:color="000000"/>
              <w:bottom w:val="single" w:sz="12" w:space="0" w:color="000000"/>
              <w:right w:val="single" w:sz="6" w:space="0" w:color="000000"/>
            </w:tcBorders>
          </w:tcPr>
          <w:p>
            <w:pPr/>
          </w:p>
        </w:tc>
        <w:tc>
          <w:tcPr>
            <w:tcW w:w="1189" w:type="dxa"/>
            <w:tcBorders>
              <w:top w:val="single" w:sz="12" w:space="0" w:color="000000"/>
              <w:left w:val="single" w:sz="6"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pStyle w:val="Heading6"/>
        <w:spacing w:line="240" w:lineRule="auto" w:before="35"/>
        <w:ind w:right="998"/>
        <w:jc w:val="left"/>
        <w:rPr>
          <w:b w:val="0"/>
          <w:bCs w:val="0"/>
        </w:rPr>
      </w:pPr>
      <w:bookmarkStart w:name="（2）本期计提、收回或转回的坏账准备情况" w:id="530"/>
      <w:bookmarkEnd w:id="530"/>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8"/>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550,491.69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元；本期收回或转回坏账准备金额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60" w:left="0" w:right="0"/>
        </w:sectPr>
      </w:pPr>
    </w:p>
    <w:p>
      <w:pPr>
        <w:spacing w:line="240" w:lineRule="auto" w:before="13"/>
        <w:rPr>
          <w:rFonts w:ascii="宋体" w:hAnsi="宋体" w:cs="宋体" w:eastAsia="宋体" w:hint="default"/>
          <w:sz w:val="25"/>
          <w:szCs w:val="25"/>
        </w:rPr>
      </w:pPr>
    </w:p>
    <w:p>
      <w:pPr>
        <w:spacing w:before="44"/>
        <w:ind w:left="1133" w:right="998" w:firstLine="0"/>
        <w:jc w:val="left"/>
        <w:rPr>
          <w:rFonts w:ascii="宋体" w:hAnsi="宋体" w:cs="宋体" w:eastAsia="宋体" w:hint="default"/>
          <w:sz w:val="18"/>
          <w:szCs w:val="18"/>
        </w:rPr>
      </w:pPr>
      <w:r>
        <w:rPr>
          <w:rFonts w:ascii="宋体" w:hAnsi="宋体" w:cs="宋体" w:eastAsia="宋体" w:hint="default"/>
          <w:sz w:val="18"/>
          <w:szCs w:val="18"/>
        </w:rPr>
        <w:t>其中本期坏账准备转回或收回金额重要的：</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4"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before="1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3）本期实际核销的其他应收款情况" w:id="531"/>
      <w:bookmarkEnd w:id="531"/>
      <w:r>
        <w:rPr>
          <w:b w:val="0"/>
          <w:bCs w:val="0"/>
        </w:rPr>
      </w:r>
      <w:r>
        <w:rPr/>
        <w:t>（</w:t>
      </w:r>
      <w:r>
        <w:rPr>
          <w:rFonts w:ascii="Times New Roman" w:hAnsi="Times New Roman" w:cs="Times New Roman" w:eastAsia="Times New Roman" w:hint="default"/>
        </w:rPr>
        <w:t>3</w:t>
      </w:r>
      <w:r>
        <w:rPr/>
        <w:t>）本期实际核销的其他应收款情况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4984"/>
        <w:gridCol w:w="4584"/>
      </w:tblGrid>
      <w:tr>
        <w:trPr>
          <w:trHeight w:val="401"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3"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北京小矮人信息技术有限公司</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20,000,000.00</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其中重要的其他应收款核销情况：</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核销原因</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32" w:right="80"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北京小矮人信息技术 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投资款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8"/>
              <w:jc w:val="left"/>
              <w:rPr>
                <w:rFonts w:ascii="宋体" w:hAnsi="宋体" w:cs="宋体" w:eastAsia="宋体" w:hint="default"/>
                <w:sz w:val="18"/>
                <w:szCs w:val="18"/>
              </w:rPr>
            </w:pPr>
            <w:r>
              <w:rPr>
                <w:rFonts w:ascii="宋体" w:hAnsi="宋体" w:cs="宋体" w:eastAsia="宋体" w:hint="default"/>
                <w:sz w:val="18"/>
                <w:szCs w:val="18"/>
              </w:rPr>
              <w:t>债务人经营不善， 无法收回</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经总经理审批</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20,000,000.00</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357" w:lineRule="auto" w:before="51"/>
        <w:ind w:left="1134" w:right="8952" w:firstLine="0"/>
        <w:jc w:val="left"/>
        <w:rPr>
          <w:rFonts w:ascii="宋体" w:hAnsi="宋体" w:cs="宋体" w:eastAsia="宋体" w:hint="default"/>
          <w:sz w:val="18"/>
          <w:szCs w:val="18"/>
        </w:rPr>
      </w:pPr>
      <w:r>
        <w:rPr>
          <w:rFonts w:ascii="宋体" w:hAnsi="宋体" w:cs="宋体" w:eastAsia="宋体" w:hint="default"/>
          <w:sz w:val="18"/>
          <w:szCs w:val="18"/>
        </w:rPr>
        <w:t>其他应收款核销说明： 无</w:t>
      </w:r>
    </w:p>
    <w:p>
      <w:pPr>
        <w:spacing w:line="240" w:lineRule="auto" w:before="3"/>
        <w:rPr>
          <w:rFonts w:ascii="宋体" w:hAnsi="宋体" w:cs="宋体" w:eastAsia="宋体" w:hint="default"/>
          <w:sz w:val="20"/>
          <w:szCs w:val="20"/>
        </w:rPr>
      </w:pPr>
    </w:p>
    <w:p>
      <w:pPr>
        <w:pStyle w:val="Heading6"/>
        <w:spacing w:line="240" w:lineRule="auto"/>
        <w:ind w:right="998"/>
        <w:jc w:val="left"/>
        <w:rPr>
          <w:b w:val="0"/>
          <w:bCs w:val="0"/>
        </w:rPr>
      </w:pPr>
      <w:bookmarkStart w:name="（4）其他应收款按款项性质分类情况" w:id="532"/>
      <w:bookmarkEnd w:id="532"/>
      <w:r>
        <w:rPr>
          <w:b w:val="0"/>
          <w:bCs w:val="0"/>
        </w:rPr>
      </w:r>
      <w:r>
        <w:rPr/>
        <w:t>（</w:t>
      </w:r>
      <w:r>
        <w:rPr>
          <w:rFonts w:ascii="Times New Roman" w:hAnsi="Times New Roman" w:cs="Times New Roman" w:eastAsia="Times New Roman" w:hint="default"/>
        </w:rPr>
        <w:t>4</w:t>
      </w:r>
      <w:r>
        <w:rPr/>
        <w:t>）其他应收款按款项性质分类情况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4"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4"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子公司往来款</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730,646,914.29</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472,646,102.10</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应收预付投资款</w:t>
            </w:r>
          </w:p>
        </w:tc>
        <w:tc>
          <w:tcPr>
            <w:tcW w:w="3100" w:type="dxa"/>
            <w:tcBorders>
              <w:top w:val="single" w:sz="4" w:space="0" w:color="000000"/>
              <w:left w:val="single" w:sz="4" w:space="0" w:color="000000"/>
              <w:bottom w:val="single" w:sz="4" w:space="0" w:color="000000"/>
              <w:right w:val="single" w:sz="4" w:space="0" w:color="000000"/>
            </w:tcBorders>
          </w:tcPr>
          <w:p>
            <w:pP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11,596,548.00</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6,590,648.00</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401,652.47</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158,226.60</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代交员工社保</w:t>
            </w:r>
          </w:p>
        </w:tc>
        <w:tc>
          <w:tcPr>
            <w:tcW w:w="3100" w:type="dxa"/>
            <w:tcBorders>
              <w:top w:val="single" w:sz="4" w:space="0" w:color="000000"/>
              <w:left w:val="single" w:sz="4" w:space="0" w:color="000000"/>
              <w:bottom w:val="single" w:sz="4" w:space="0" w:color="000000"/>
              <w:right w:val="single" w:sz="4" w:space="0" w:color="000000"/>
            </w:tcBorders>
          </w:tcPr>
          <w:p>
            <w:pP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154,854.00</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00" w:type="dxa"/>
            <w:tcBorders>
              <w:top w:val="single" w:sz="4" w:space="0" w:color="000000"/>
              <w:left w:val="single" w:sz="4" w:space="0" w:color="000000"/>
              <w:bottom w:val="single" w:sz="4" w:space="0" w:color="000000"/>
              <w:right w:val="single" w:sz="4" w:space="0" w:color="000000"/>
            </w:tcBorders>
          </w:tcPr>
          <w:p>
            <w:pP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员工借款</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1,010,833.81</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企业借款</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31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753,655,948.57</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500,550,830.70</w:t>
            </w:r>
          </w:p>
        </w:tc>
      </w:tr>
    </w:tbl>
    <w:p>
      <w:pPr>
        <w:spacing w:line="240" w:lineRule="auto" w:before="3"/>
        <w:rPr>
          <w:rFonts w:ascii="宋体" w:hAnsi="宋体" w:cs="宋体" w:eastAsia="宋体" w:hint="default"/>
          <w:sz w:val="19"/>
          <w:szCs w:val="19"/>
        </w:rPr>
      </w:pPr>
    </w:p>
    <w:p>
      <w:pPr>
        <w:pStyle w:val="Heading6"/>
        <w:spacing w:line="240" w:lineRule="auto" w:before="35"/>
        <w:ind w:right="998"/>
        <w:jc w:val="left"/>
        <w:rPr>
          <w:b w:val="0"/>
          <w:bCs w:val="0"/>
        </w:rPr>
      </w:pPr>
      <w:bookmarkStart w:name="（5）按欠款方归集的期末余额前五名的其他应收款情况" w:id="533"/>
      <w:bookmarkEnd w:id="533"/>
      <w:r>
        <w:rPr>
          <w:b w:val="0"/>
          <w:bCs w:val="0"/>
        </w:rPr>
      </w:r>
      <w:r>
        <w:rPr/>
        <w:t>（</w:t>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685"/>
        <w:gridCol w:w="1551"/>
        <w:gridCol w:w="1552"/>
        <w:gridCol w:w="1553"/>
        <w:gridCol w:w="1614"/>
        <w:gridCol w:w="1604"/>
      </w:tblGrid>
      <w:tr>
        <w:trPr>
          <w:trHeight w:val="402"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0"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81" w:right="0"/>
              <w:jc w:val="left"/>
              <w:rPr>
                <w:rFonts w:ascii="宋体" w:hAnsi="宋体" w:cs="宋体" w:eastAsia="宋体" w:hint="default"/>
                <w:sz w:val="18"/>
                <w:szCs w:val="18"/>
              </w:rPr>
            </w:pPr>
            <w:r>
              <w:rPr>
                <w:rFonts w:ascii="宋体" w:hAnsi="宋体" w:cs="宋体" w:eastAsia="宋体" w:hint="default"/>
                <w:sz w:val="18"/>
                <w:szCs w:val="18"/>
              </w:rPr>
              <w:t>占其他应收款期末</w:t>
            </w:r>
          </w:p>
        </w:tc>
        <w:tc>
          <w:tcPr>
            <w:tcW w:w="16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bl>
    <w:p>
      <w:pPr>
        <w:spacing w:after="0" w:line="240" w:lineRule="auto"/>
        <w:jc w:val="left"/>
        <w:rPr>
          <w:rFonts w:ascii="宋体" w:hAnsi="宋体" w:cs="宋体" w:eastAsia="宋体"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362"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81"/>
              <w:jc w:val="right"/>
              <w:rPr>
                <w:rFonts w:ascii="宋体" w:hAnsi="宋体" w:cs="宋体" w:eastAsia="宋体" w:hint="default"/>
                <w:sz w:val="18"/>
                <w:szCs w:val="18"/>
              </w:rPr>
            </w:pPr>
            <w:r>
              <w:rPr>
                <w:rFonts w:ascii="宋体" w:hAnsi="宋体" w:cs="宋体" w:eastAsia="宋体" w:hint="default"/>
                <w:sz w:val="18"/>
                <w:szCs w:val="18"/>
              </w:rPr>
              <w:t>余额合计数的比例</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西藏昆诺赢展创业投 资有限责任公司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子公司往来款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513,755,810.70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68.17%</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霍尔果斯昆诺天勤创 业投资有限公司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子公司往来款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114,028,465.00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15.13%</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宁波昆仑点金股权投 资有限公司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子公司往来款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99,501,011.19</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13.20%</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深圳市盘古天地科技 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借款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1.33%</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500,000.00</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北京市文化科技融资 租赁股份有限公司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5,000,000.00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0.66%</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742,285,286.89</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98.49%</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500,000.00</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6）涉及政府补助的应收款项" w:id="534"/>
      <w:bookmarkEnd w:id="534"/>
      <w:r>
        <w:rPr>
          <w:b w:val="0"/>
          <w:bCs w:val="0"/>
        </w:rPr>
      </w:r>
      <w:r>
        <w:rPr/>
        <w:t>（</w:t>
      </w:r>
      <w:r>
        <w:rPr>
          <w:rFonts w:ascii="Times New Roman" w:hAnsi="Times New Roman" w:cs="Times New Roman" w:eastAsia="Times New Roman" w:hint="default"/>
        </w:rPr>
        <w:t>6</w:t>
      </w:r>
      <w:r>
        <w:rPr/>
        <w:t>）涉及政府补助的应收款项</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026"/>
        <w:gridCol w:w="1866"/>
        <w:gridCol w:w="1866"/>
        <w:gridCol w:w="1868"/>
        <w:gridCol w:w="1933"/>
      </w:tblGrid>
      <w:tr>
        <w:trPr>
          <w:trHeight w:val="714" w:hRule="exact"/>
        </w:trPr>
        <w:tc>
          <w:tcPr>
            <w:tcW w:w="20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47"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7"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6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68"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96" w:right="56" w:hanging="630"/>
              <w:jc w:val="left"/>
              <w:rPr>
                <w:rFonts w:ascii="宋体" w:hAnsi="宋体" w:cs="宋体" w:eastAsia="宋体" w:hint="default"/>
                <w:sz w:val="18"/>
                <w:szCs w:val="18"/>
              </w:rPr>
            </w:pPr>
            <w:r>
              <w:rPr>
                <w:rFonts w:ascii="宋体" w:hAnsi="宋体" w:cs="宋体" w:eastAsia="宋体" w:hint="default"/>
                <w:sz w:val="18"/>
                <w:szCs w:val="18"/>
              </w:rPr>
              <w:t>预计收取的时间、金额 及依据</w:t>
            </w:r>
          </w:p>
        </w:tc>
      </w:tr>
    </w:tbl>
    <w:p>
      <w:pPr>
        <w:spacing w:before="11"/>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7）因金融资产转移而终止确认的其他应收款" w:id="535"/>
      <w:bookmarkEnd w:id="535"/>
      <w:r>
        <w:rPr>
          <w:b w:val="0"/>
          <w:bCs w:val="0"/>
        </w:rPr>
      </w:r>
      <w:r>
        <w:rPr/>
        <w:t>（</w:t>
      </w: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8）转移其他应收款且继续涉入形成的资产、负债金额" w:id="536"/>
      <w:bookmarkEnd w:id="536"/>
      <w:r>
        <w:rPr>
          <w:b w:val="0"/>
          <w:bCs w:val="0"/>
        </w:rPr>
      </w:r>
      <w:r>
        <w:rPr/>
        <w:t>（</w:t>
      </w: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7"/>
        <w:rPr>
          <w:rFonts w:ascii="宋体" w:hAnsi="宋体" w:cs="宋体" w:eastAsia="宋体" w:hint="default"/>
          <w:b/>
          <w:bCs/>
          <w:sz w:val="26"/>
          <w:szCs w:val="26"/>
        </w:rPr>
      </w:pPr>
    </w:p>
    <w:p>
      <w:pPr>
        <w:spacing w:line="360" w:lineRule="auto" w:before="0"/>
        <w:ind w:left="1133" w:right="9853" w:firstLine="0"/>
        <w:jc w:val="left"/>
        <w:rPr>
          <w:rFonts w:ascii="宋体" w:hAnsi="宋体" w:cs="宋体" w:eastAsia="宋体" w:hint="default"/>
          <w:sz w:val="18"/>
          <w:szCs w:val="18"/>
        </w:rPr>
      </w:pPr>
      <w:r>
        <w:rPr>
          <w:rFonts w:ascii="宋体" w:hAnsi="宋体" w:cs="宋体" w:eastAsia="宋体" w:hint="default"/>
          <w:sz w:val="18"/>
          <w:szCs w:val="18"/>
        </w:rPr>
        <w:t>无 其他说明： 无</w:t>
      </w:r>
    </w:p>
    <w:p>
      <w:pPr>
        <w:spacing w:line="240" w:lineRule="auto" w:before="0"/>
        <w:rPr>
          <w:rFonts w:ascii="宋体" w:hAnsi="宋体" w:cs="宋体" w:eastAsia="宋体" w:hint="default"/>
          <w:sz w:val="20"/>
          <w:szCs w:val="20"/>
        </w:rPr>
      </w:pPr>
    </w:p>
    <w:p>
      <w:pPr>
        <w:pStyle w:val="Heading6"/>
        <w:spacing w:line="240" w:lineRule="auto"/>
        <w:ind w:right="998"/>
        <w:jc w:val="left"/>
        <w:rPr>
          <w:b w:val="0"/>
          <w:bCs w:val="0"/>
        </w:rPr>
      </w:pPr>
      <w:bookmarkStart w:name="3、长期股权投资" w:id="537"/>
      <w:bookmarkEnd w:id="537"/>
      <w:r>
        <w:rPr>
          <w:b w:val="0"/>
          <w:bCs w:val="0"/>
        </w:rPr>
      </w:r>
      <w:r>
        <w:rPr>
          <w:rFonts w:ascii="Times New Roman" w:hAnsi="Times New Roman" w:cs="Times New Roman" w:eastAsia="Times New Roman" w:hint="default"/>
        </w:rPr>
        <w:t>3</w:t>
      </w:r>
      <w:r>
        <w:rPr/>
        <w:t>、长期股权投资</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346"/>
        <w:gridCol w:w="1379"/>
        <w:gridCol w:w="1367"/>
        <w:gridCol w:w="1367"/>
        <w:gridCol w:w="1368"/>
        <w:gridCol w:w="1367"/>
        <w:gridCol w:w="1367"/>
      </w:tblGrid>
      <w:tr>
        <w:trPr>
          <w:trHeight w:val="206"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411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3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13"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346" w:type="dxa"/>
            <w:vMerge/>
            <w:tcBorders>
              <w:left w:val="single" w:sz="4" w:space="0" w:color="000000"/>
              <w:bottom w:val="nil" w:sz="6" w:space="0" w:color="auto"/>
              <w:right w:val="single" w:sz="4" w:space="0" w:color="000000"/>
            </w:tcBorders>
            <w:shd w:val="clear" w:color="auto" w:fill="D2D2D2"/>
          </w:tcPr>
          <w:p>
            <w:pPr/>
          </w:p>
        </w:tc>
        <w:tc>
          <w:tcPr>
            <w:tcW w:w="13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79"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3,689,597,826.97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center"/>
              <w:rPr>
                <w:rFonts w:ascii="Times New Roman" w:hAnsi="Times New Roman" w:cs="Times New Roman" w:eastAsia="Times New Roman" w:hint="default"/>
                <w:sz w:val="18"/>
                <w:szCs w:val="18"/>
              </w:rPr>
            </w:pPr>
            <w:r>
              <w:rPr>
                <w:rFonts w:ascii="Times New Roman"/>
                <w:sz w:val="18"/>
              </w:rPr>
              <w:t>3,689,597,826.97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2,763,717,986.97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2,763,717,986.97</w:t>
            </w:r>
          </w:p>
        </w:tc>
      </w:tr>
      <w:tr>
        <w:trPr>
          <w:trHeight w:val="714"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62"/>
              <w:jc w:val="left"/>
              <w:rPr>
                <w:rFonts w:ascii="宋体" w:hAnsi="宋体" w:cs="宋体" w:eastAsia="宋体" w:hint="default"/>
                <w:sz w:val="18"/>
                <w:szCs w:val="18"/>
              </w:rPr>
            </w:pPr>
            <w:r>
              <w:rPr>
                <w:rFonts w:ascii="宋体" w:hAnsi="宋体" w:cs="宋体" w:eastAsia="宋体" w:hint="default"/>
                <w:sz w:val="18"/>
                <w:szCs w:val="18"/>
              </w:rPr>
              <w:t>对联营、合营企 业投资</w:t>
            </w:r>
          </w:p>
        </w:tc>
        <w:tc>
          <w:tcPr>
            <w:tcW w:w="1379" w:type="dxa"/>
            <w:tcBorders>
              <w:top w:val="single" w:sz="4" w:space="0" w:color="000000"/>
              <w:left w:val="single" w:sz="13" w:space="0" w:color="D2D2D2"/>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12,598,092.48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12,598,092.48</w:t>
            </w: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3,689,597,826.97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center"/>
              <w:rPr>
                <w:rFonts w:ascii="Times New Roman" w:hAnsi="Times New Roman" w:cs="Times New Roman" w:eastAsia="Times New Roman" w:hint="default"/>
                <w:sz w:val="18"/>
                <w:szCs w:val="18"/>
              </w:rPr>
            </w:pPr>
            <w:r>
              <w:rPr>
                <w:rFonts w:ascii="Times New Roman"/>
                <w:sz w:val="18"/>
              </w:rPr>
              <w:t>3,689,597,826.97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2,776,316,079.45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2,776,316,079.45</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1）对子公司投资" w:id="538"/>
      <w:bookmarkEnd w:id="538"/>
      <w:r>
        <w:rPr>
          <w:b w:val="0"/>
          <w:bCs w:val="0"/>
        </w:rPr>
      </w:r>
      <w:r>
        <w:rPr/>
        <w:t>（</w:t>
      </w:r>
      <w:r>
        <w:rPr>
          <w:rFonts w:ascii="Times New Roman" w:hAnsi="Times New Roman" w:cs="Times New Roman" w:eastAsia="Times New Roman" w:hint="default"/>
        </w:rPr>
        <w:t>1</w:t>
      </w:r>
      <w:r>
        <w:rPr/>
        <w:t>）对子公司投资</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448"/>
        <w:gridCol w:w="1336"/>
        <w:gridCol w:w="1336"/>
        <w:gridCol w:w="1334"/>
        <w:gridCol w:w="1336"/>
        <w:gridCol w:w="1389"/>
        <w:gridCol w:w="1390"/>
      </w:tblGrid>
      <w:tr>
        <w:trPr>
          <w:trHeight w:val="714"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67"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599" w:right="58" w:hanging="541"/>
              <w:jc w:val="left"/>
              <w:rPr>
                <w:rFonts w:ascii="宋体" w:hAnsi="宋体" w:cs="宋体" w:eastAsia="宋体" w:hint="default"/>
                <w:sz w:val="18"/>
                <w:szCs w:val="18"/>
              </w:rPr>
            </w:pPr>
            <w:r>
              <w:rPr>
                <w:rFonts w:ascii="宋体" w:hAnsi="宋体" w:cs="宋体" w:eastAsia="宋体" w:hint="default"/>
                <w:sz w:val="18"/>
                <w:szCs w:val="18"/>
              </w:rPr>
              <w:t>本期计提减值准 备</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598" w:right="59" w:hanging="540"/>
              <w:jc w:val="left"/>
              <w:rPr>
                <w:rFonts w:ascii="宋体" w:hAnsi="宋体" w:cs="宋体" w:eastAsia="宋体" w:hint="default"/>
                <w:sz w:val="18"/>
                <w:szCs w:val="18"/>
              </w:rPr>
            </w:pPr>
            <w:r>
              <w:rPr>
                <w:rFonts w:ascii="宋体" w:hAnsi="宋体" w:cs="宋体" w:eastAsia="宋体" w:hint="default"/>
                <w:sz w:val="18"/>
                <w:szCs w:val="18"/>
              </w:rPr>
              <w:t>减值准备期末余 额</w:t>
            </w: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53"/>
              <w:jc w:val="left"/>
              <w:rPr>
                <w:rFonts w:ascii="宋体" w:hAnsi="宋体" w:cs="宋体" w:eastAsia="宋体" w:hint="default"/>
                <w:sz w:val="18"/>
                <w:szCs w:val="18"/>
              </w:rPr>
            </w:pPr>
            <w:r>
              <w:rPr>
                <w:rFonts w:ascii="宋体" w:hAnsi="宋体" w:cs="宋体" w:eastAsia="宋体" w:hint="default"/>
                <w:sz w:val="18"/>
                <w:szCs w:val="18"/>
              </w:rPr>
              <w:t>北京昆仑在线网 络科技有限公司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184,397,635.82</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184,397,635.82</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53"/>
              <w:jc w:val="left"/>
              <w:rPr>
                <w:rFonts w:ascii="宋体" w:hAnsi="宋体" w:cs="宋体" w:eastAsia="宋体" w:hint="default"/>
                <w:sz w:val="18"/>
                <w:szCs w:val="18"/>
              </w:rPr>
            </w:pPr>
            <w:r>
              <w:rPr>
                <w:rFonts w:ascii="宋体" w:hAnsi="宋体" w:cs="宋体" w:eastAsia="宋体" w:hint="default"/>
                <w:sz w:val="18"/>
                <w:szCs w:val="18"/>
              </w:rPr>
              <w:t>昆仑日本株式会 社</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7,320,407.27</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7,320,407.27</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53"/>
              <w:jc w:val="left"/>
              <w:rPr>
                <w:rFonts w:ascii="宋体" w:hAnsi="宋体" w:cs="宋体" w:eastAsia="宋体" w:hint="default"/>
                <w:sz w:val="18"/>
                <w:szCs w:val="18"/>
              </w:rPr>
            </w:pPr>
            <w:r>
              <w:rPr>
                <w:rFonts w:ascii="宋体" w:hAnsi="宋体" w:cs="宋体" w:eastAsia="宋体" w:hint="default"/>
                <w:sz w:val="18"/>
                <w:szCs w:val="18"/>
              </w:rPr>
              <w:t>昆仑集团有限公 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1,122,808,620.01</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165,979,000.00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1,288,787,620.01</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53"/>
              <w:jc w:val="left"/>
              <w:rPr>
                <w:rFonts w:ascii="宋体" w:hAnsi="宋体" w:cs="宋体" w:eastAsia="宋体" w:hint="default"/>
                <w:sz w:val="18"/>
                <w:szCs w:val="18"/>
              </w:rPr>
            </w:pPr>
            <w:r>
              <w:rPr>
                <w:rFonts w:ascii="宋体" w:hAnsi="宋体" w:cs="宋体" w:eastAsia="宋体" w:hint="default"/>
                <w:sz w:val="18"/>
                <w:szCs w:val="18"/>
              </w:rPr>
              <w:t>昆仑韩国株式会 社</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12,798,350.00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12,798,350.00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53"/>
              <w:jc w:val="left"/>
              <w:rPr>
                <w:rFonts w:ascii="宋体" w:hAnsi="宋体" w:cs="宋体" w:eastAsia="宋体" w:hint="default"/>
                <w:sz w:val="18"/>
                <w:szCs w:val="18"/>
              </w:rPr>
            </w:pPr>
            <w:r>
              <w:rPr>
                <w:rFonts w:ascii="宋体" w:hAnsi="宋体" w:cs="宋体" w:eastAsia="宋体" w:hint="default"/>
                <w:sz w:val="18"/>
                <w:szCs w:val="18"/>
              </w:rPr>
              <w:t>广州昆仑在线信 息科技有限公司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1,000,446.51</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1,000,446.51</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53"/>
              <w:jc w:val="left"/>
              <w:rPr>
                <w:rFonts w:ascii="宋体" w:hAnsi="宋体" w:cs="宋体" w:eastAsia="宋体" w:hint="default"/>
                <w:sz w:val="18"/>
                <w:szCs w:val="18"/>
              </w:rPr>
            </w:pPr>
            <w:r>
              <w:rPr>
                <w:rFonts w:ascii="宋体" w:hAnsi="宋体" w:cs="宋体" w:eastAsia="宋体" w:hint="default"/>
                <w:sz w:val="18"/>
                <w:szCs w:val="18"/>
              </w:rPr>
              <w:t>北京昆仑乐享网 络技术有限公司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337,589,798.11</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337,589,798.11</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53"/>
              <w:jc w:val="left"/>
              <w:rPr>
                <w:rFonts w:ascii="宋体" w:hAnsi="宋体" w:cs="宋体" w:eastAsia="宋体" w:hint="default"/>
                <w:sz w:val="18"/>
                <w:szCs w:val="18"/>
              </w:rPr>
            </w:pPr>
            <w:r>
              <w:rPr>
                <w:rFonts w:ascii="宋体" w:hAnsi="宋体" w:cs="宋体" w:eastAsia="宋体" w:hint="default"/>
                <w:sz w:val="18"/>
                <w:szCs w:val="18"/>
              </w:rPr>
              <w:t>香港昆仑万维股 份有限公司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799,841,826.77</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229,900,840.00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1,029,742,666.77</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153"/>
              <w:jc w:val="left"/>
              <w:rPr>
                <w:rFonts w:ascii="宋体" w:hAnsi="宋体" w:cs="宋体" w:eastAsia="宋体" w:hint="default"/>
                <w:sz w:val="18"/>
                <w:szCs w:val="18"/>
              </w:rPr>
            </w:pPr>
            <w:r>
              <w:rPr>
                <w:rFonts w:ascii="宋体" w:hAnsi="宋体" w:cs="宋体" w:eastAsia="宋体" w:hint="default"/>
                <w:sz w:val="18"/>
                <w:szCs w:val="18"/>
              </w:rPr>
              <w:t>北京昆仑点金投 资有限公司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53"/>
              <w:jc w:val="left"/>
              <w:rPr>
                <w:rFonts w:ascii="宋体" w:hAnsi="宋体" w:cs="宋体" w:eastAsia="宋体" w:hint="default"/>
                <w:sz w:val="18"/>
                <w:szCs w:val="18"/>
              </w:rPr>
            </w:pPr>
            <w:r>
              <w:rPr>
                <w:rFonts w:ascii="宋体" w:hAnsi="宋体" w:cs="宋体" w:eastAsia="宋体" w:hint="default"/>
                <w:sz w:val="18"/>
                <w:szCs w:val="18"/>
              </w:rPr>
              <w:t>宁波昆仑点金股 权投资有限公司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143,689,522.26</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67" w:right="0"/>
              <w:jc w:val="left"/>
              <w:rPr>
                <w:rFonts w:ascii="Times New Roman" w:hAnsi="Times New Roman" w:cs="Times New Roman" w:eastAsia="Times New Roman" w:hint="default"/>
                <w:sz w:val="18"/>
                <w:szCs w:val="18"/>
              </w:rPr>
            </w:pPr>
            <w:r>
              <w:rPr>
                <w:rFonts w:ascii="Times New Roman"/>
                <w:sz w:val="18"/>
              </w:rPr>
              <w:t>36,500,000.00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107,189,522.26</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53"/>
              <w:jc w:val="left"/>
              <w:rPr>
                <w:rFonts w:ascii="宋体" w:hAnsi="宋体" w:cs="宋体" w:eastAsia="宋体" w:hint="default"/>
                <w:sz w:val="18"/>
                <w:szCs w:val="18"/>
              </w:rPr>
            </w:pPr>
            <w:r>
              <w:rPr>
                <w:rFonts w:ascii="宋体" w:hAnsi="宋体" w:cs="宋体" w:eastAsia="宋体" w:hint="default"/>
                <w:sz w:val="18"/>
                <w:szCs w:val="18"/>
              </w:rPr>
              <w:t>上海昆晟科技有 限公司</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53"/>
              <w:jc w:val="both"/>
              <w:rPr>
                <w:rFonts w:ascii="宋体" w:hAnsi="宋体" w:cs="宋体" w:eastAsia="宋体" w:hint="default"/>
                <w:sz w:val="18"/>
                <w:szCs w:val="18"/>
              </w:rPr>
            </w:pPr>
            <w:r>
              <w:rPr>
                <w:rFonts w:ascii="宋体" w:hAnsi="宋体" w:cs="宋体" w:eastAsia="宋体" w:hint="default"/>
                <w:sz w:val="18"/>
                <w:szCs w:val="18"/>
              </w:rPr>
              <w:t>西藏昆诺赢展创 业投资有限责任 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134,271,380.22</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67" w:right="0"/>
              <w:jc w:val="left"/>
              <w:rPr>
                <w:rFonts w:ascii="Times New Roman" w:hAnsi="Times New Roman" w:cs="Times New Roman" w:eastAsia="Times New Roman" w:hint="default"/>
                <w:sz w:val="18"/>
                <w:szCs w:val="18"/>
              </w:rPr>
            </w:pPr>
            <w:r>
              <w:rPr>
                <w:rFonts w:ascii="Times New Roman"/>
                <w:sz w:val="18"/>
              </w:rPr>
              <w:t>21,000,000.00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113,271,380.22</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53"/>
              <w:jc w:val="both"/>
              <w:rPr>
                <w:rFonts w:ascii="宋体" w:hAnsi="宋体" w:cs="宋体" w:eastAsia="宋体" w:hint="default"/>
                <w:sz w:val="18"/>
                <w:szCs w:val="18"/>
              </w:rPr>
            </w:pPr>
            <w:r>
              <w:rPr>
                <w:rFonts w:ascii="宋体" w:hAnsi="宋体" w:cs="宋体" w:eastAsia="宋体" w:hint="default"/>
                <w:sz w:val="18"/>
                <w:szCs w:val="18"/>
              </w:rPr>
              <w:t>霍尔果斯昆诺天 勤创业投资有限 公司</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87,500,000.00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87,500,000.00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53"/>
              <w:jc w:val="both"/>
              <w:rPr>
                <w:rFonts w:ascii="宋体" w:hAnsi="宋体" w:cs="宋体" w:eastAsia="宋体" w:hint="default"/>
                <w:sz w:val="18"/>
                <w:szCs w:val="18"/>
              </w:rPr>
            </w:pPr>
            <w:r>
              <w:rPr>
                <w:rFonts w:ascii="宋体" w:hAnsi="宋体" w:cs="宋体" w:eastAsia="宋体" w:hint="default"/>
                <w:sz w:val="18"/>
                <w:szCs w:val="18"/>
              </w:rPr>
              <w:t>新余市昆仑乐云 网络小额贷款有 限公司</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153"/>
              <w:jc w:val="both"/>
              <w:rPr>
                <w:rFonts w:ascii="宋体" w:hAnsi="宋体" w:cs="宋体" w:eastAsia="宋体" w:hint="default"/>
                <w:sz w:val="18"/>
                <w:szCs w:val="18"/>
              </w:rPr>
            </w:pPr>
            <w:r>
              <w:rPr>
                <w:rFonts w:ascii="宋体" w:hAnsi="宋体" w:cs="宋体" w:eastAsia="宋体" w:hint="default"/>
                <w:sz w:val="18"/>
                <w:szCs w:val="18"/>
              </w:rPr>
              <w:t>霍尔果斯昆仑点 金科技网络有限 公司</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2,763,717,986.97</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983,379,840.00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67" w:right="0"/>
              <w:jc w:val="left"/>
              <w:rPr>
                <w:rFonts w:ascii="Times New Roman" w:hAnsi="Times New Roman" w:cs="Times New Roman" w:eastAsia="Times New Roman" w:hint="default"/>
                <w:sz w:val="18"/>
                <w:szCs w:val="18"/>
              </w:rPr>
            </w:pPr>
            <w:r>
              <w:rPr>
                <w:rFonts w:ascii="Times New Roman"/>
                <w:sz w:val="18"/>
              </w:rPr>
              <w:t>57,500,000.00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3,689,597,826.97</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0" w:right="0"/>
        </w:sectPr>
      </w:pPr>
    </w:p>
    <w:p>
      <w:pPr>
        <w:spacing w:line="240" w:lineRule="auto" w:before="10"/>
        <w:rPr>
          <w:rFonts w:ascii="宋体" w:hAnsi="宋体" w:cs="宋体" w:eastAsia="宋体" w:hint="default"/>
          <w:sz w:val="24"/>
          <w:szCs w:val="24"/>
        </w:rPr>
      </w:pPr>
    </w:p>
    <w:p>
      <w:pPr>
        <w:pStyle w:val="Heading6"/>
        <w:spacing w:line="240" w:lineRule="auto" w:before="35"/>
        <w:ind w:left="1133" w:right="998"/>
        <w:jc w:val="left"/>
        <w:rPr>
          <w:b w:val="0"/>
          <w:bCs w:val="0"/>
        </w:rPr>
      </w:pPr>
      <w:bookmarkStart w:name="（2）对联营、合营企业投资" w:id="539"/>
      <w:bookmarkEnd w:id="539"/>
      <w:r>
        <w:rPr>
          <w:b w:val="0"/>
          <w:bCs w:val="0"/>
        </w:rPr>
      </w:r>
      <w:r>
        <w:rPr/>
        <w:t>（</w:t>
      </w:r>
      <w:r>
        <w:rPr>
          <w:rFonts w:ascii="Times New Roman" w:hAnsi="Times New Roman" w:cs="Times New Roman" w:eastAsia="Times New Roman" w:hint="default"/>
        </w:rPr>
        <w:t>2</w:t>
      </w:r>
      <w:r>
        <w:rPr/>
        <w:t>）对联营、合营企业投资</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2"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9"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5"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3"/>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3" w:right="33"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1"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1"/>
              <w:jc w:val="both"/>
              <w:rPr>
                <w:rFonts w:ascii="宋体" w:hAnsi="宋体" w:cs="宋体" w:eastAsia="宋体" w:hint="default"/>
                <w:sz w:val="18"/>
                <w:szCs w:val="18"/>
              </w:rPr>
            </w:pPr>
            <w:r>
              <w:rPr>
                <w:rFonts w:ascii="宋体" w:hAnsi="宋体" w:cs="宋体" w:eastAsia="宋体" w:hint="default"/>
                <w:sz w:val="18"/>
                <w:szCs w:val="18"/>
              </w:rPr>
              <w:t>北京信达 天下科技 有限公司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12,598,09</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2.48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12,598,09</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2.48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5" w:right="0"/>
              <w:jc w:val="left"/>
              <w:rPr>
                <w:rFonts w:ascii="Times New Roman" w:hAnsi="Times New Roman" w:cs="Times New Roman" w:eastAsia="Times New Roman" w:hint="default"/>
                <w:sz w:val="18"/>
                <w:szCs w:val="18"/>
              </w:rPr>
            </w:pPr>
            <w:r>
              <w:rPr>
                <w:rFonts w:ascii="Times New Roman"/>
                <w:sz w:val="18"/>
              </w:rPr>
              <w:t>12,598,09</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2.48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12,598,09</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2.48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5" w:right="0"/>
              <w:jc w:val="left"/>
              <w:rPr>
                <w:rFonts w:ascii="Times New Roman" w:hAnsi="Times New Roman" w:cs="Times New Roman" w:eastAsia="Times New Roman" w:hint="default"/>
                <w:sz w:val="18"/>
                <w:szCs w:val="18"/>
              </w:rPr>
            </w:pPr>
            <w:r>
              <w:rPr>
                <w:rFonts w:ascii="Times New Roman"/>
                <w:sz w:val="18"/>
              </w:rPr>
              <w:t>12,598,09</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2.48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12,598,09</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2.48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3）其他说明" w:id="540"/>
      <w:bookmarkEnd w:id="540"/>
      <w:r>
        <w:rPr>
          <w:b w:val="0"/>
          <w:bCs w:val="0"/>
        </w:rPr>
      </w:r>
      <w:r>
        <w:rPr/>
        <w:t>（</w:t>
      </w:r>
      <w:r>
        <w:rPr>
          <w:rFonts w:ascii="Times New Roman" w:hAnsi="Times New Roman" w:cs="Times New Roman" w:eastAsia="Times New Roman" w:hint="default"/>
        </w:rPr>
        <w:t>3</w:t>
      </w:r>
      <w:r>
        <w:rPr/>
        <w:t>）其他说明</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12"/>
        <w:rPr>
          <w:rFonts w:ascii="宋体" w:hAnsi="宋体" w:cs="宋体" w:eastAsia="宋体" w:hint="default"/>
          <w:sz w:val="26"/>
          <w:szCs w:val="26"/>
        </w:rPr>
      </w:pPr>
    </w:p>
    <w:p>
      <w:pPr>
        <w:pStyle w:val="Heading6"/>
        <w:spacing w:line="240" w:lineRule="auto"/>
        <w:ind w:right="998"/>
        <w:jc w:val="left"/>
        <w:rPr>
          <w:b w:val="0"/>
          <w:bCs w:val="0"/>
        </w:rPr>
      </w:pPr>
      <w:bookmarkStart w:name="4、营业收入和营业成本" w:id="541"/>
      <w:bookmarkEnd w:id="541"/>
      <w:r>
        <w:rPr>
          <w:b w:val="0"/>
          <w:bCs w:val="0"/>
        </w:rPr>
      </w:r>
      <w:r>
        <w:rPr>
          <w:rFonts w:ascii="Times New Roman" w:hAnsi="Times New Roman" w:cs="Times New Roman" w:eastAsia="Times New Roman" w:hint="default"/>
        </w:rPr>
        <w:t>4</w:t>
      </w:r>
      <w:r>
        <w:rPr/>
        <w:t>、营业收入和营业成本</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971"/>
        <w:gridCol w:w="1850"/>
        <w:gridCol w:w="1913"/>
        <w:gridCol w:w="1913"/>
        <w:gridCol w:w="1913"/>
      </w:tblGrid>
      <w:tr>
        <w:trPr>
          <w:trHeight w:val="206" w:hRule="exact"/>
        </w:trPr>
        <w:tc>
          <w:tcPr>
            <w:tcW w:w="1971" w:type="dxa"/>
            <w:tcBorders>
              <w:top w:val="single" w:sz="4" w:space="0" w:color="000000"/>
              <w:left w:val="single" w:sz="4" w:space="0" w:color="000000"/>
              <w:bottom w:val="nil" w:sz="6" w:space="0" w:color="auto"/>
              <w:right w:val="single" w:sz="4" w:space="0" w:color="000000"/>
            </w:tcBorders>
            <w:shd w:val="clear" w:color="auto" w:fill="D2D2D2"/>
          </w:tcPr>
          <w:p>
            <w:pPr/>
          </w:p>
        </w:tc>
        <w:tc>
          <w:tcPr>
            <w:tcW w:w="376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6" w:hRule="exact"/>
        </w:trPr>
        <w:tc>
          <w:tcPr>
            <w:tcW w:w="197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762" w:type="dxa"/>
            <w:gridSpan w:val="2"/>
            <w:vMerge/>
            <w:tcBorders>
              <w:left w:val="single" w:sz="4" w:space="0" w:color="000000"/>
              <w:bottom w:val="single" w:sz="4" w:space="0" w:color="000000"/>
              <w:right w:val="single" w:sz="4" w:space="0" w:color="000000"/>
            </w:tcBorders>
            <w:shd w:val="clear" w:color="auto" w:fill="D2D2D2"/>
          </w:tcPr>
          <w:p>
            <w:pP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971" w:type="dxa"/>
            <w:vMerge/>
            <w:tcBorders>
              <w:left w:val="single" w:sz="4" w:space="0" w:color="000000"/>
              <w:bottom w:val="nil" w:sz="6" w:space="0" w:color="auto"/>
              <w:right w:val="single" w:sz="4" w:space="0" w:color="000000"/>
            </w:tcBorders>
            <w:shd w:val="clear" w:color="auto" w:fill="D2D2D2"/>
          </w:tcPr>
          <w:p>
            <w:pPr/>
          </w:p>
        </w:tc>
        <w:tc>
          <w:tcPr>
            <w:tcW w:w="18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5" w:hRule="exact"/>
        </w:trPr>
        <w:tc>
          <w:tcPr>
            <w:tcW w:w="1971" w:type="dxa"/>
            <w:tcBorders>
              <w:top w:val="nil" w:sz="6" w:space="0" w:color="auto"/>
              <w:left w:val="single" w:sz="4" w:space="0" w:color="000000"/>
              <w:bottom w:val="single" w:sz="4" w:space="0" w:color="000000"/>
              <w:right w:val="single" w:sz="4" w:space="0" w:color="000000"/>
            </w:tcBorders>
            <w:shd w:val="clear" w:color="auto" w:fill="D2D2D2"/>
          </w:tcPr>
          <w:p>
            <w:pPr/>
          </w:p>
        </w:tc>
        <w:tc>
          <w:tcPr>
            <w:tcW w:w="1850"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9,299,374.51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2,367,998.37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12,460,509.14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2,347,118.94</w:t>
            </w: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34,988,590.30</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7,639,666.87</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44,287,964.81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2,367,998.37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20,100,176.01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2,347,118.94</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6"/>
        <w:spacing w:line="240" w:lineRule="auto"/>
        <w:ind w:left="1133" w:right="998"/>
        <w:jc w:val="left"/>
        <w:rPr>
          <w:b w:val="0"/>
          <w:bCs w:val="0"/>
        </w:rPr>
      </w:pPr>
      <w:bookmarkStart w:name="5、投资收益" w:id="542"/>
      <w:bookmarkEnd w:id="542"/>
      <w:r>
        <w:rPr>
          <w:b w:val="0"/>
          <w:bCs w:val="0"/>
        </w:rPr>
      </w:r>
      <w:r>
        <w:rPr>
          <w:rFonts w:ascii="Times New Roman" w:hAnsi="Times New Roman" w:cs="Times New Roman" w:eastAsia="Times New Roman" w:hint="default"/>
        </w:rPr>
        <w:t>5</w:t>
      </w:r>
      <w:r>
        <w:rPr/>
        <w:t>、投资收益</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302"/>
        <w:gridCol w:w="3071"/>
        <w:gridCol w:w="318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207,962,522.91</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208,709,677.81</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71" w:type="dxa"/>
            <w:tcBorders>
              <w:top w:val="single" w:sz="4" w:space="0" w:color="000000"/>
              <w:left w:val="single" w:sz="13" w:space="0" w:color="D2D2D2"/>
              <w:bottom w:val="single" w:sz="4" w:space="0" w:color="000000"/>
              <w:right w:val="single" w:sz="4" w:space="0" w:color="000000"/>
            </w:tcBorders>
          </w:tcPr>
          <w:p>
            <w:pP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w w:val="95"/>
                <w:sz w:val="18"/>
              </w:rPr>
              <w:t>-885,522.12</w:t>
            </w:r>
            <w:r>
              <w:rPr>
                <w:rFonts w:ascii="Times New Roman"/>
                <w:sz w:val="18"/>
              </w:rPr>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17,401,907.52</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-1,370,578.54</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3,734,794.52</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112,708,934.76</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6"/>
        <w:rPr>
          <w:rFonts w:ascii="宋体" w:hAnsi="宋体" w:cs="宋体" w:eastAsia="宋体" w:hint="default"/>
          <w:sz w:val="28"/>
          <w:szCs w:val="28"/>
        </w:rPr>
      </w:pPr>
    </w:p>
    <w:tbl>
      <w:tblPr>
        <w:tblW w:w="0" w:type="auto"/>
        <w:jc w:val="left"/>
        <w:tblInd w:w="112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59" w:type="dxa"/>
            <w:tcBorders>
              <w:top w:val="single" w:sz="4" w:space="0" w:color="000000"/>
              <w:left w:val="single" w:sz="4" w:space="0" w:color="000000"/>
              <w:bottom w:val="single" w:sz="4" w:space="0" w:color="000000"/>
              <w:right w:val="single" w:sz="4" w:space="0" w:color="000000"/>
            </w:tcBorders>
          </w:tcPr>
          <w:p>
            <w:pP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1,136,456.45</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01" w:right="0"/>
              <w:jc w:val="left"/>
              <w:rPr>
                <w:rFonts w:ascii="Times New Roman" w:hAnsi="Times New Roman" w:cs="Times New Roman" w:eastAsia="Times New Roman" w:hint="default"/>
                <w:sz w:val="18"/>
                <w:szCs w:val="18"/>
              </w:rPr>
            </w:pPr>
            <w:r>
              <w:rPr>
                <w:rFonts w:ascii="Times New Roman"/>
                <w:sz w:val="18"/>
              </w:rPr>
              <w:t>229,099,224.95</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320,298,968.36</w:t>
            </w:r>
          </w:p>
        </w:tc>
      </w:tr>
    </w:tbl>
    <w:p>
      <w:pPr>
        <w:spacing w:line="240" w:lineRule="auto" w:before="2"/>
        <w:rPr>
          <w:rFonts w:ascii="宋体" w:hAnsi="宋体" w:cs="宋体" w:eastAsia="宋体" w:hint="default"/>
          <w:sz w:val="19"/>
          <w:szCs w:val="19"/>
        </w:rPr>
      </w:pPr>
    </w:p>
    <w:p>
      <w:pPr>
        <w:pStyle w:val="Heading6"/>
        <w:spacing w:line="240" w:lineRule="auto" w:before="35"/>
        <w:ind w:right="998"/>
        <w:jc w:val="left"/>
        <w:rPr>
          <w:b w:val="0"/>
          <w:bCs w:val="0"/>
        </w:rPr>
      </w:pPr>
      <w:bookmarkStart w:name="6、其他" w:id="543"/>
      <w:bookmarkEnd w:id="543"/>
      <w:r>
        <w:rPr>
          <w:b w:val="0"/>
          <w:bCs w:val="0"/>
        </w:rPr>
      </w:r>
      <w:r>
        <w:rPr>
          <w:rFonts w:ascii="Times New Roman" w:hAnsi="Times New Roman" w:cs="Times New Roman" w:eastAsia="Times New Roman" w:hint="default"/>
        </w:rPr>
        <w:t>6</w:t>
      </w:r>
      <w:r>
        <w:rPr/>
        <w:t>、其他</w:t>
      </w:r>
      <w:r>
        <w:rPr>
          <w:b w:val="0"/>
          <w:bCs w:val="0"/>
        </w:rPr>
      </w:r>
    </w:p>
    <w:p>
      <w:pPr>
        <w:spacing w:line="240" w:lineRule="auto" w:before="7"/>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宋体" w:hAnsi="宋体" w:cs="宋体" w:eastAsia="宋体" w:hint="default"/>
          <w:sz w:val="18"/>
          <w:szCs w:val="18"/>
        </w:rPr>
        <w:t>无</w:t>
      </w:r>
    </w:p>
    <w:p>
      <w:pPr>
        <w:spacing w:line="240" w:lineRule="auto" w:before="2"/>
        <w:rPr>
          <w:rFonts w:ascii="宋体" w:hAnsi="宋体" w:cs="宋体" w:eastAsia="宋体" w:hint="default"/>
          <w:sz w:val="25"/>
          <w:szCs w:val="25"/>
        </w:rPr>
      </w:pPr>
    </w:p>
    <w:p>
      <w:pPr>
        <w:pStyle w:val="Heading4"/>
        <w:spacing w:line="240" w:lineRule="auto"/>
        <w:ind w:left="1134" w:right="998"/>
        <w:jc w:val="left"/>
        <w:rPr>
          <w:b w:val="0"/>
          <w:bCs w:val="0"/>
        </w:rPr>
      </w:pPr>
      <w:bookmarkStart w:name="十八、补充资料" w:id="544"/>
      <w:bookmarkEnd w:id="544"/>
      <w:r>
        <w:rPr>
          <w:b w:val="0"/>
          <w:bCs w:val="0"/>
        </w:rPr>
      </w:r>
      <w:r>
        <w:rPr/>
        <w:t>十八、补充资料</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当期非经常性损益明细表" w:id="545"/>
      <w:bookmarkEnd w:id="545"/>
      <w:r>
        <w:rPr>
          <w:b w:val="0"/>
          <w:bCs w:val="0"/>
        </w:rPr>
      </w:r>
      <w:r>
        <w:rPr>
          <w:rFonts w:ascii="Times New Roman" w:hAnsi="Times New Roman" w:cs="Times New Roman" w:eastAsia="Times New Roman" w:hint="default"/>
        </w:rPr>
        <w:t>1</w:t>
      </w:r>
      <w:r>
        <w:rPr/>
        <w:t>、当期非经常性损益明细表</w:t>
      </w:r>
      <w:r>
        <w:rPr>
          <w:b w:val="0"/>
          <w:bCs w:val="0"/>
        </w:rPr>
      </w:r>
    </w:p>
    <w:p>
      <w:pPr>
        <w:spacing w:line="240" w:lineRule="auto" w:before="4"/>
        <w:rPr>
          <w:rFonts w:ascii="宋体" w:hAnsi="宋体" w:cs="宋体" w:eastAsia="宋体" w:hint="default"/>
          <w:b/>
          <w:bCs/>
          <w:sz w:val="23"/>
          <w:szCs w:val="23"/>
        </w:rPr>
      </w:pPr>
    </w:p>
    <w:p>
      <w:pPr>
        <w:spacing w:before="44"/>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302"/>
        <w:gridCol w:w="3071"/>
        <w:gridCol w:w="318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1,250,264.28</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38"/>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35,581,798.35</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230,466.66</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1" w:right="38"/>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 值业务外，持有交易性金融资产、交易性 金融负债产生的公允价值变动损益，以及 处置交易性金融资产、交易性金融负债和 可供出售金融资产取得的投资收益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-17,869,758.96</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1,590,562.34</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5,145,212.24</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6,012,314.69</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1"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2"/>
              <w:ind w:right="10"/>
              <w:jc w:val="right"/>
              <w:rPr>
                <w:rFonts w:ascii="Times New Roman" w:hAnsi="Times New Roman" w:cs="Times New Roman" w:eastAsia="Times New Roman" w:hint="default"/>
                <w:sz w:val="18"/>
                <w:szCs w:val="18"/>
              </w:rPr>
            </w:pPr>
            <w:r>
              <w:rPr>
                <w:rFonts w:ascii="Times New Roman"/>
                <w:spacing w:val="-1"/>
                <w:sz w:val="18"/>
              </w:rPr>
              <w:t>9,625,805.74</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134" w:right="998"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非经常性损益》定义界定的非经常性损益项目，以及把《公</w:t>
      </w:r>
    </w:p>
    <w:p>
      <w:pPr>
        <w:spacing w:line="302" w:lineRule="auto" w:before="61"/>
        <w:ind w:left="1134" w:right="1118"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6"/>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非经常性损益》中列举的非经常性损益项目界定为经常性损益的项目，应</w:t>
      </w:r>
      <w:r>
        <w:rPr>
          <w:rFonts w:ascii="宋体" w:hAnsi="宋体" w:cs="宋体" w:eastAsia="宋体" w:hint="default"/>
          <w:sz w:val="18"/>
          <w:szCs w:val="18"/>
        </w:rPr>
        <w:t> 说明原因。</w:t>
      </w:r>
    </w:p>
    <w:p>
      <w:pPr>
        <w:spacing w:before="69"/>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6"/>
        <w:spacing w:line="240" w:lineRule="auto"/>
        <w:ind w:left="1133" w:right="998"/>
        <w:jc w:val="left"/>
        <w:rPr>
          <w:b w:val="0"/>
          <w:bCs w:val="0"/>
        </w:rPr>
      </w:pPr>
      <w:bookmarkStart w:name="2、净资产收益率及每股收益" w:id="546"/>
      <w:bookmarkEnd w:id="546"/>
      <w:r>
        <w:rPr>
          <w:b w:val="0"/>
          <w:bCs w:val="0"/>
        </w:rPr>
      </w:r>
      <w:r>
        <w:rPr>
          <w:rFonts w:ascii="Times New Roman" w:hAnsi="Times New Roman" w:cs="Times New Roman" w:eastAsia="Times New Roman" w:hint="default"/>
        </w:rPr>
        <w:t>2</w:t>
      </w:r>
      <w:r>
        <w:rPr/>
        <w:t>、净资产收益率及每股收益</w:t>
      </w:r>
      <w:r>
        <w:rPr>
          <w:b w:val="0"/>
          <w:bCs w:val="0"/>
        </w:rPr>
      </w:r>
    </w:p>
    <w:p>
      <w:pPr>
        <w:spacing w:line="240" w:lineRule="auto" w:before="9"/>
        <w:rPr>
          <w:rFonts w:ascii="宋体" w:hAnsi="宋体" w:cs="宋体" w:eastAsia="宋体" w:hint="default"/>
          <w:b/>
          <w:bCs/>
          <w:sz w:val="25"/>
          <w:szCs w:val="25"/>
        </w:rPr>
      </w:pPr>
    </w:p>
    <w:tbl>
      <w:tblPr>
        <w:tblW w:w="0" w:type="auto"/>
        <w:jc w:val="left"/>
        <w:tblInd w:w="1140" w:type="dxa"/>
        <w:tblLayout w:type="fixed"/>
        <w:tblCellMar>
          <w:top w:w="0" w:type="dxa"/>
          <w:left w:w="0" w:type="dxa"/>
          <w:bottom w:w="0" w:type="dxa"/>
          <w:right w:w="0" w:type="dxa"/>
        </w:tblCellMar>
        <w:tblLook w:val="01E0"/>
      </w:tblPr>
      <w:tblGrid>
        <w:gridCol w:w="2651"/>
        <w:gridCol w:w="3081"/>
        <w:gridCol w:w="1913"/>
        <w:gridCol w:w="1913"/>
      </w:tblGrid>
      <w:tr>
        <w:trPr>
          <w:trHeight w:val="206" w:hRule="exact"/>
        </w:trPr>
        <w:tc>
          <w:tcPr>
            <w:tcW w:w="2651" w:type="dxa"/>
            <w:tcBorders>
              <w:top w:val="single" w:sz="4" w:space="0" w:color="000000"/>
              <w:left w:val="single" w:sz="4" w:space="0" w:color="000000"/>
              <w:bottom w:val="nil" w:sz="6" w:space="0" w:color="auto"/>
              <w:right w:val="single" w:sz="4" w:space="0" w:color="000000"/>
            </w:tcBorders>
            <w:shd w:val="clear" w:color="auto" w:fill="D2D2D2"/>
          </w:tcPr>
          <w:p>
            <w:pPr/>
          </w:p>
        </w:tc>
        <w:tc>
          <w:tcPr>
            <w:tcW w:w="308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1" w:hRule="exact"/>
        </w:trPr>
        <w:tc>
          <w:tcPr>
            <w:tcW w:w="265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65"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35"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651" w:type="dxa"/>
            <w:vMerge/>
            <w:tcBorders>
              <w:left w:val="single" w:sz="4" w:space="0" w:color="000000"/>
              <w:bottom w:val="nil" w:sz="6" w:space="0" w:color="auto"/>
              <w:right w:val="single" w:sz="4" w:space="0" w:color="000000"/>
            </w:tcBorders>
            <w:shd w:val="clear" w:color="auto" w:fill="D2D2D2"/>
          </w:tcPr>
          <w:p>
            <w:pPr/>
          </w:p>
        </w:tc>
        <w:tc>
          <w:tcPr>
            <w:tcW w:w="3081" w:type="dxa"/>
            <w:vMerge/>
            <w:tcBorders>
              <w:left w:val="single" w:sz="4" w:space="0" w:color="000000"/>
              <w:bottom w:val="nil" w:sz="6" w:space="0" w:color="auto"/>
              <w:right w:val="single" w:sz="4" w:space="0" w:color="000000"/>
            </w:tcBorders>
            <w:shd w:val="clear" w:color="auto" w:fill="D2D2D2"/>
          </w:tcPr>
          <w:p>
            <w:pP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7"/>
              <w:ind w:left="26"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7"/>
              <w:ind w:left="26"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05" w:hRule="exact"/>
        </w:trPr>
        <w:tc>
          <w:tcPr>
            <w:tcW w:w="2651" w:type="dxa"/>
            <w:tcBorders>
              <w:top w:val="nil" w:sz="6" w:space="0" w:color="auto"/>
              <w:left w:val="single" w:sz="4" w:space="0" w:color="000000"/>
              <w:bottom w:val="single" w:sz="4" w:space="0" w:color="000000"/>
              <w:right w:val="single" w:sz="4" w:space="0" w:color="000000"/>
            </w:tcBorders>
            <w:shd w:val="clear" w:color="auto" w:fill="D2D2D2"/>
          </w:tcPr>
          <w:p>
            <w:pPr/>
          </w:p>
        </w:tc>
        <w:tc>
          <w:tcPr>
            <w:tcW w:w="308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6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30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16.39%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0.89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0.89</w:t>
            </w:r>
          </w:p>
        </w:tc>
      </w:tr>
      <w:tr>
        <w:trPr>
          <w:trHeight w:val="715" w:hRule="exact"/>
        </w:trPr>
        <w:tc>
          <w:tcPr>
            <w:tcW w:w="26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07"/>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 普通股股东的净利润</w:t>
            </w:r>
          </w:p>
        </w:tc>
        <w:tc>
          <w:tcPr>
            <w:tcW w:w="30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16.23%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0.88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0.88</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0" w:right="0"/>
        </w:sectPr>
      </w:pPr>
    </w:p>
    <w:p>
      <w:pPr>
        <w:spacing w:line="240" w:lineRule="auto" w:before="10"/>
        <w:rPr>
          <w:rFonts w:ascii="宋体" w:hAnsi="宋体" w:cs="宋体" w:eastAsia="宋体" w:hint="default"/>
          <w:b/>
          <w:bCs/>
          <w:sz w:val="24"/>
          <w:szCs w:val="24"/>
        </w:rPr>
      </w:pPr>
    </w:p>
    <w:p>
      <w:pPr>
        <w:pStyle w:val="Heading6"/>
        <w:spacing w:line="240" w:lineRule="auto" w:before="35"/>
        <w:ind w:left="1133" w:right="998"/>
        <w:jc w:val="left"/>
        <w:rPr>
          <w:b w:val="0"/>
          <w:bCs w:val="0"/>
        </w:rPr>
      </w:pPr>
      <w:bookmarkStart w:name="3、境内外会计准则下会计数据差异" w:id="547"/>
      <w:bookmarkEnd w:id="547"/>
      <w:r>
        <w:rPr>
          <w:b w:val="0"/>
          <w:bCs w:val="0"/>
        </w:rPr>
      </w:r>
      <w:r>
        <w:rPr>
          <w:rFonts w:ascii="Times New Roman" w:hAnsi="Times New Roman" w:cs="Times New Roman" w:eastAsia="Times New Roman" w:hint="default"/>
        </w:rPr>
        <w:t>3</w:t>
      </w:r>
      <w:r>
        <w:rPr/>
        <w:t>、境内外会计准则下会计数据差异</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1）同时按照国际会计准则与按中国会计准则披露的财务报告中净利润和净资产差异情况" w:id="548"/>
      <w:bookmarkEnd w:id="548"/>
      <w:r>
        <w:rPr>
          <w:b w:val="0"/>
          <w:bCs w:val="0"/>
        </w:rPr>
      </w: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spacing w:before="0"/>
        <w:ind w:left="1133"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6"/>
        <w:spacing w:line="240" w:lineRule="auto"/>
        <w:ind w:left="1133" w:right="998"/>
        <w:jc w:val="left"/>
        <w:rPr>
          <w:b w:val="0"/>
          <w:bCs w:val="0"/>
        </w:rPr>
      </w:pPr>
      <w:bookmarkStart w:name="（2）同时按照境外会计准则与按中国会计准则披露的财务报告中净利润和净资产差异情况" w:id="549"/>
      <w:bookmarkEnd w:id="549"/>
      <w:r>
        <w:rPr>
          <w:b w:val="0"/>
          <w:bCs w:val="0"/>
        </w:rPr>
      </w: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spacing w:before="0"/>
        <w:ind w:left="1134" w:right="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6"/>
        <w:spacing w:line="259" w:lineRule="auto"/>
        <w:ind w:left="1133" w:right="998"/>
        <w:jc w:val="left"/>
        <w:rPr>
          <w:b w:val="0"/>
          <w:bCs w:val="0"/>
        </w:rPr>
      </w:pPr>
      <w:bookmarkStart w:name="（3）境内外会计准则下会计数据差异原因说明，对已经境外审计机构审计的数据进行差异" w:id="550"/>
      <w:bookmarkEnd w:id="550"/>
      <w:r>
        <w:rPr>
          <w:b w:val="0"/>
          <w:bCs w:val="0"/>
        </w:rPr>
      </w: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74"/>
        </w:rPr>
        <w:t> </w:t>
      </w:r>
      <w:r>
        <w:rPr>
          <w:spacing w:val="-74"/>
        </w:rPr>
      </w:r>
      <w:r>
        <w:rPr/>
        <w:t>明该境外机构的名称</w:t>
      </w:r>
      <w:r>
        <w:rPr>
          <w:b w:val="0"/>
          <w:bCs w:val="0"/>
        </w:rPr>
      </w:r>
    </w:p>
    <w:p>
      <w:pPr>
        <w:spacing w:line="240" w:lineRule="auto" w:before="8"/>
        <w:rPr>
          <w:rFonts w:ascii="宋体" w:hAnsi="宋体" w:cs="宋体" w:eastAsia="宋体" w:hint="default"/>
          <w:b/>
          <w:bCs/>
          <w:sz w:val="24"/>
          <w:szCs w:val="24"/>
        </w:rPr>
      </w:pPr>
    </w:p>
    <w:p>
      <w:pPr>
        <w:pStyle w:val="Heading6"/>
        <w:spacing w:line="240" w:lineRule="auto"/>
        <w:ind w:left="1133" w:right="998"/>
        <w:jc w:val="left"/>
        <w:rPr>
          <w:b w:val="0"/>
          <w:bCs w:val="0"/>
        </w:rPr>
      </w:pPr>
      <w:bookmarkStart w:name="4、其他" w:id="551"/>
      <w:bookmarkEnd w:id="551"/>
      <w:r>
        <w:rPr>
          <w:b w:val="0"/>
          <w:bCs w:val="0"/>
        </w:rPr>
      </w:r>
      <w:r>
        <w:rPr>
          <w:rFonts w:ascii="Times New Roman" w:hAnsi="Times New Roman" w:cs="Times New Roman" w:eastAsia="Times New Roman" w:hint="default"/>
        </w:rPr>
        <w:t>4</w:t>
      </w:r>
      <w:r>
        <w:rPr/>
        <w:t>、其他</w:t>
      </w:r>
      <w:r>
        <w:rPr>
          <w:b w:val="0"/>
          <w:bCs w:val="0"/>
        </w:rPr>
      </w:r>
    </w:p>
    <w:p>
      <w:pPr>
        <w:spacing w:after="0" w:line="240" w:lineRule="auto"/>
        <w:jc w:val="left"/>
        <w:sectPr>
          <w:pgSz w:w="11910" w:h="16840"/>
          <w:pgMar w:header="877" w:footer="979" w:top="1060" w:bottom="1160" w:left="0" w:right="0"/>
        </w:sect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0"/>
          <w:szCs w:val="20"/>
        </w:rPr>
      </w:pPr>
    </w:p>
    <w:p>
      <w:pPr>
        <w:pStyle w:val="Heading1"/>
        <w:spacing w:line="240" w:lineRule="auto"/>
        <w:ind w:left="3402" w:right="3403"/>
        <w:jc w:val="center"/>
        <w:rPr>
          <w:b w:val="0"/>
          <w:bCs w:val="0"/>
        </w:rPr>
      </w:pPr>
      <w:bookmarkStart w:name="_TOC_250000" w:id="552"/>
      <w:bookmarkStart w:name="第十二节 备查文件目录" w:id="553"/>
      <w:r>
        <w:rPr>
          <w:b w:val="0"/>
          <w:bCs w:val="0"/>
        </w:rPr>
      </w:r>
      <w:r>
        <w:rPr/>
        <w:t>第十二节</w:t>
      </w:r>
      <w:r>
        <w:rPr>
          <w:spacing w:val="-8"/>
        </w:rPr>
        <w:t> </w:t>
      </w:r>
      <w:r>
        <w:rPr/>
        <w:t>备查文件目录</w:t>
      </w:r>
      <w:bookmarkEnd w:id="552"/>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1"/>
          <w:szCs w:val="21"/>
        </w:rPr>
      </w:pPr>
    </w:p>
    <w:tbl>
      <w:tblPr>
        <w:tblW w:w="0" w:type="auto"/>
        <w:jc w:val="left"/>
        <w:tblInd w:w="1126" w:type="dxa"/>
        <w:tblLayout w:type="fixed"/>
        <w:tblCellMar>
          <w:top w:w="0" w:type="dxa"/>
          <w:left w:w="0" w:type="dxa"/>
          <w:bottom w:w="0" w:type="dxa"/>
          <w:right w:w="0" w:type="dxa"/>
        </w:tblCellMar>
        <w:tblLook w:val="01E0"/>
      </w:tblPr>
      <w:tblGrid>
        <w:gridCol w:w="2235"/>
        <w:gridCol w:w="6288"/>
      </w:tblGrid>
      <w:tr>
        <w:trPr>
          <w:trHeight w:val="668" w:hRule="exact"/>
        </w:trPr>
        <w:tc>
          <w:tcPr>
            <w:tcW w:w="223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5" w:right="0"/>
              <w:jc w:val="center"/>
              <w:rPr>
                <w:rFonts w:ascii="宋体" w:hAnsi="宋体" w:cs="宋体" w:eastAsia="宋体" w:hint="default"/>
                <w:sz w:val="18"/>
                <w:szCs w:val="18"/>
              </w:rPr>
            </w:pPr>
            <w:r>
              <w:rPr>
                <w:rFonts w:ascii="宋体" w:hAnsi="宋体" w:cs="宋体" w:eastAsia="宋体" w:hint="default"/>
                <w:sz w:val="18"/>
                <w:szCs w:val="18"/>
              </w:rPr>
              <w:t>备查文件目录</w:t>
            </w:r>
          </w:p>
        </w:tc>
        <w:tc>
          <w:tcPr>
            <w:tcW w:w="6288" w:type="dxa"/>
            <w:tcBorders>
              <w:top w:val="single" w:sz="6" w:space="0" w:color="000000"/>
              <w:left w:val="single" w:sz="12" w:space="0" w:color="000000"/>
              <w:bottom w:val="single" w:sz="12" w:space="0" w:color="000000"/>
              <w:right w:val="single" w:sz="12" w:space="0" w:color="000000"/>
            </w:tcBorders>
          </w:tcPr>
          <w:p>
            <w:pPr>
              <w:pStyle w:val="TableParagraph"/>
              <w:spacing w:line="316" w:lineRule="auto" w:before="21"/>
              <w:ind w:left="-5" w:right="3"/>
              <w:jc w:val="left"/>
              <w:rPr>
                <w:rFonts w:ascii="宋体" w:hAnsi="宋体" w:cs="宋体" w:eastAsia="宋体" w:hint="default"/>
                <w:sz w:val="18"/>
                <w:szCs w:val="18"/>
              </w:rPr>
            </w:pPr>
            <w:r>
              <w:rPr>
                <w:rFonts w:ascii="宋体" w:hAnsi="宋体" w:cs="宋体" w:eastAsia="宋体" w:hint="default"/>
                <w:spacing w:val="-2"/>
                <w:sz w:val="18"/>
                <w:szCs w:val="18"/>
              </w:rPr>
              <w:t>载有公司法定代表人周亚辉、主管会计工作负责人王立伟、会计机构负责人马苓</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月签名并盖章的财务报表。</w:t>
            </w:r>
          </w:p>
        </w:tc>
      </w:tr>
      <w:tr>
        <w:trPr>
          <w:trHeight w:val="352" w:hRule="exact"/>
        </w:trPr>
        <w:tc>
          <w:tcPr>
            <w:tcW w:w="2235" w:type="dxa"/>
            <w:tcBorders>
              <w:top w:val="single" w:sz="12" w:space="0" w:color="000000"/>
              <w:left w:val="single" w:sz="6" w:space="0" w:color="000000"/>
              <w:bottom w:val="single" w:sz="12" w:space="0" w:color="000000"/>
              <w:right w:val="single" w:sz="12" w:space="0" w:color="000000"/>
            </w:tcBorders>
          </w:tcPr>
          <w:p>
            <w:pPr>
              <w:pStyle w:val="TableParagraph"/>
              <w:spacing w:line="240" w:lineRule="auto" w:before="10"/>
              <w:ind w:left="5" w:right="0"/>
              <w:jc w:val="center"/>
              <w:rPr>
                <w:rFonts w:ascii="宋体" w:hAnsi="宋体" w:cs="宋体" w:eastAsia="宋体" w:hint="default"/>
                <w:sz w:val="18"/>
                <w:szCs w:val="18"/>
              </w:rPr>
            </w:pPr>
            <w:r>
              <w:rPr>
                <w:rFonts w:ascii="宋体" w:hAnsi="宋体" w:cs="宋体" w:eastAsia="宋体" w:hint="default"/>
                <w:sz w:val="18"/>
                <w:szCs w:val="18"/>
              </w:rPr>
              <w:t>备查文件目录</w:t>
            </w:r>
          </w:p>
        </w:tc>
        <w:tc>
          <w:tcPr>
            <w:tcW w:w="6288"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
              <w:ind w:left="-5" w:right="0"/>
              <w:jc w:val="left"/>
              <w:rPr>
                <w:rFonts w:ascii="宋体" w:hAnsi="宋体" w:cs="宋体" w:eastAsia="宋体" w:hint="default"/>
                <w:sz w:val="18"/>
                <w:szCs w:val="18"/>
              </w:rPr>
            </w:pPr>
            <w:r>
              <w:rPr>
                <w:rFonts w:ascii="宋体" w:hAnsi="宋体" w:cs="宋体" w:eastAsia="宋体" w:hint="default"/>
                <w:sz w:val="18"/>
                <w:szCs w:val="18"/>
              </w:rPr>
              <w:t>载有会计师事务所盖章、注册会计师签名并盖章的审计报告原件。</w:t>
            </w:r>
          </w:p>
        </w:tc>
      </w:tr>
      <w:tr>
        <w:trPr>
          <w:trHeight w:val="664" w:hRule="exact"/>
        </w:trPr>
        <w:tc>
          <w:tcPr>
            <w:tcW w:w="2235" w:type="dxa"/>
            <w:tcBorders>
              <w:top w:val="single" w:sz="12" w:space="0" w:color="000000"/>
              <w:left w:val="single" w:sz="6" w:space="0" w:color="000000"/>
              <w:bottom w:val="single" w:sz="12" w:space="0" w:color="000000"/>
              <w:right w:val="single" w:sz="12" w:space="0" w:color="000000"/>
            </w:tcBorders>
          </w:tcPr>
          <w:p>
            <w:pPr>
              <w:pStyle w:val="TableParagraph"/>
              <w:spacing w:line="240" w:lineRule="auto" w:before="10"/>
              <w:ind w:left="5" w:right="0"/>
              <w:jc w:val="center"/>
              <w:rPr>
                <w:rFonts w:ascii="宋体" w:hAnsi="宋体" w:cs="宋体" w:eastAsia="宋体" w:hint="default"/>
                <w:sz w:val="18"/>
                <w:szCs w:val="18"/>
              </w:rPr>
            </w:pPr>
            <w:r>
              <w:rPr>
                <w:rFonts w:ascii="宋体" w:hAnsi="宋体" w:cs="宋体" w:eastAsia="宋体" w:hint="default"/>
                <w:sz w:val="18"/>
                <w:szCs w:val="18"/>
              </w:rPr>
              <w:t>备查文件目录</w:t>
            </w:r>
          </w:p>
        </w:tc>
        <w:tc>
          <w:tcPr>
            <w:tcW w:w="6288" w:type="dxa"/>
            <w:tcBorders>
              <w:top w:val="single" w:sz="12" w:space="0" w:color="000000"/>
              <w:left w:val="single" w:sz="12" w:space="0" w:color="000000"/>
              <w:bottom w:val="single" w:sz="12" w:space="0" w:color="000000"/>
              <w:right w:val="single" w:sz="12" w:space="0" w:color="000000"/>
            </w:tcBorders>
          </w:tcPr>
          <w:p>
            <w:pPr>
              <w:pStyle w:val="TableParagraph"/>
              <w:spacing w:line="316" w:lineRule="auto" w:before="10"/>
              <w:ind w:left="-5" w:right="139"/>
              <w:jc w:val="left"/>
              <w:rPr>
                <w:rFonts w:ascii="宋体" w:hAnsi="宋体" w:cs="宋体" w:eastAsia="宋体" w:hint="default"/>
                <w:sz w:val="18"/>
                <w:szCs w:val="18"/>
              </w:rPr>
            </w:pPr>
            <w:r>
              <w:rPr>
                <w:rFonts w:ascii="宋体" w:hAnsi="宋体" w:cs="宋体" w:eastAsia="宋体" w:hint="default"/>
                <w:sz w:val="18"/>
                <w:szCs w:val="18"/>
              </w:rPr>
              <w:t>报告期内在中国证监会指定网站上公开披露过的所有公司文件的正本及公告的 原稿。</w:t>
            </w:r>
          </w:p>
        </w:tc>
      </w:tr>
    </w:tbl>
    <w:sectPr>
      <w:pgSz w:w="11910" w:h="16840"/>
      <w:pgMar w:header="877" w:footer="979" w:top="1060" w:bottom="116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MS Gothic">
    <w:altName w:val="MS Gothic"/>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36920" type="#_x0000_t75" stroked="false">
          <v:imagedata r:id="rId1" o:title=""/>
        </v:shape>
      </w:pict>
    </w:r>
    <w:r>
      <w:rPr/>
      <w:pict>
        <v:shape style="position:absolute;margin-left:533.179993pt;margin-top:795.517944pt;width:6.5pt;height:11pt;mso-position-horizontal-relative:page;mso-position-vertical-relative:page;z-index:-113689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36320" type="#_x0000_t75" stroked="false">
          <v:imagedata r:id="rId1" o:title=""/>
        </v:shape>
      </w:pict>
    </w:r>
    <w:r>
      <w:rPr/>
      <w:pict>
        <v:shape style="position:absolute;margin-left:527.679993pt;margin-top:781.957947pt;width:13pt;height:11pt;mso-position-horizontal-relative:page;mso-position-vertical-relative:page;z-index:-11362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36272" type="#_x0000_t75" stroked="false">
          <v:imagedata r:id="rId1" o:title=""/>
        </v:shape>
      </w:pict>
    </w:r>
    <w:r>
      <w:rPr/>
      <w:pict>
        <v:shape style="position:absolute;margin-left:524.179993pt;margin-top:781.957947pt;width:15.5pt;height:11pt;mso-position-horizontal-relative:page;mso-position-vertical-relative:page;z-index:-113624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36224" type="#_x0000_t75" stroked="false">
          <v:imagedata r:id="rId1" o:title=""/>
        </v:shape>
      </w:pict>
    </w:r>
    <w:r>
      <w:rPr/>
      <w:pict>
        <v:shape style="position:absolute;margin-left:523.179993pt;margin-top:781.957947pt;width:17.5pt;height:11pt;mso-position-horizontal-relative:page;mso-position-vertical-relative:page;z-index:-11362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102</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36176" type="#_x0000_t75" stroked="false">
          <v:imagedata r:id="rId1" o:title=""/>
        </v:shape>
      </w:pict>
    </w:r>
    <w:r>
      <w:rPr/>
      <w:pict>
        <v:shape style="position:absolute;margin-left:523.179993pt;margin-top:781.957947pt;width:17.5pt;height:11pt;mso-position-horizontal-relative:page;mso-position-vertical-relative:page;z-index:-11361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135</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36128" type="#_x0000_t75" stroked="false">
          <v:imagedata r:id="rId1" o:title=""/>
        </v:shape>
      </w:pict>
    </w:r>
    <w:r>
      <w:rPr/>
      <w:pict>
        <v:shape style="position:absolute;margin-left:524.179993pt;margin-top:781.957947pt;width:15.5pt;height:11pt;mso-position-horizontal-relative:page;mso-position-vertical-relative:page;z-index:-113610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200</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36080" type="#_x0000_t75" stroked="false">
          <v:imagedata r:id="rId1" o:title=""/>
        </v:shape>
      </w:pict>
    </w:r>
    <w:r>
      <w:rPr/>
      <w:pict>
        <v:shape style="position:absolute;margin-left:523.179993pt;margin-top:781.957947pt;width:17.5pt;height:11pt;mso-position-horizontal-relative:page;mso-position-vertical-relative:page;z-index:-11360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201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36872" type="#_x0000_t75" stroked="false">
          <v:imagedata r:id="rId1" o:title=""/>
        </v:shape>
      </w:pict>
    </w:r>
    <w:r>
      <w:rPr/>
      <w:pict>
        <v:shape style="position:absolute;margin-left:527.679993pt;margin-top:781.957947pt;width:13pt;height:11pt;mso-position-horizontal-relative:page;mso-position-vertical-relative:page;z-index:-11368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1.919983pt;margin-top:553.320007pt;width:640pt;height:42pt;mso-position-horizontal-relative:page;mso-position-vertical-relative:page;z-index:-1136800" type="#_x0000_t75" stroked="false">
          <v:imagedata r:id="rId1" o:title=""/>
        </v:shape>
      </w:pict>
    </w:r>
    <w:r>
      <w:rPr/>
      <w:pict>
        <v:shape style="position:absolute;margin-left:758.97998pt;margin-top:535.357971pt;width:13pt;height:11pt;mso-position-horizontal-relative:page;mso-position-vertical-relative:page;z-index:-11367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35</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36704" type="#_x0000_t75" stroked="false">
          <v:imagedata r:id="rId1" o:title=""/>
        </v:shape>
      </w:pict>
    </w:r>
    <w:r>
      <w:rPr/>
      <w:pict>
        <v:shape style="position:absolute;margin-left:527.679993pt;margin-top:781.957947pt;width:13pt;height:11pt;mso-position-horizontal-relative:page;mso-position-vertical-relative:page;z-index:-11366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44</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1.919983pt;margin-top:553.320007pt;width:640pt;height:42pt;mso-position-horizontal-relative:page;mso-position-vertical-relative:page;z-index:-1136632" type="#_x0000_t75" stroked="false">
          <v:imagedata r:id="rId1" o:title=""/>
        </v:shape>
      </w:pict>
    </w:r>
    <w:r>
      <w:rPr/>
      <w:pict>
        <v:shape style="position:absolute;margin-left:758.97998pt;margin-top:535.357971pt;width:13pt;height:11pt;mso-position-horizontal-relative:page;mso-position-vertical-relative:page;z-index:-11366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36536" type="#_x0000_t75" stroked="false">
          <v:imagedata r:id="rId1" o:title=""/>
        </v:shape>
      </w:pict>
    </w:r>
    <w:r>
      <w:rPr/>
      <w:pict>
        <v:shape style="position:absolute;margin-left:527.679993pt;margin-top:781.957947pt;width:13pt;height:11pt;mso-position-horizontal-relative:page;mso-position-vertical-relative:page;z-index:-11365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36488" type="#_x0000_t75" stroked="false">
          <v:imagedata r:id="rId1" o:title=""/>
        </v:shape>
      </w:pict>
    </w:r>
    <w:r>
      <w:rPr/>
      <w:pict>
        <v:shape style="position:absolute;margin-left:527.679993pt;margin-top:781.957947pt;width:13pt;height:11pt;mso-position-horizontal-relative:page;mso-position-vertical-relative:page;z-index:-11364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64</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1.919983pt;margin-top:553.320007pt;width:640pt;height:42pt;mso-position-horizontal-relative:page;mso-position-vertical-relative:page;z-index:-1136416" type="#_x0000_t75" stroked="false">
          <v:imagedata r:id="rId1" o:title=""/>
        </v:shape>
      </w:pict>
    </w:r>
    <w:r>
      <w:rPr/>
      <w:pict>
        <v:shape style="position:absolute;margin-left:758.97998pt;margin-top:535.357971pt;width:13pt;height:11pt;mso-position-horizontal-relative:page;mso-position-vertical-relative:page;z-index:-11363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67</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26.160004pt;margin-top:36.325607pt;width:213.55pt;height:11.5pt;mso-position-horizontal-relative:page;mso-position-vertical-relative:page;z-index:-11369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北京昆仑万维科技股份有限公司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460022pt;margin-top:42.865631pt;width:213.55pt;height:11.5pt;mso-position-horizontal-relative:page;mso-position-vertical-relative:page;z-index:-113682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北京昆仑万维科技股份有限公司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19984pt;width:485pt;height:.1pt;mso-position-horizontal-relative:page;mso-position-vertical-relative:page;z-index:-1136752"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shape style="position:absolute;margin-left:326.160004pt;margin-top:42.865608pt;width:213.55pt;height:11.5pt;mso-position-horizontal-relative:page;mso-position-vertical-relative:page;z-index:-113672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北京昆仑万维科技股份有限公司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460022pt;margin-top:42.865631pt;width:213.55pt;height:11.5pt;mso-position-horizontal-relative:page;mso-position-vertical-relative:page;z-index:-11366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北京昆仑万维科技股份有限公司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19984pt;width:485pt;height:.1pt;mso-position-horizontal-relative:page;mso-position-vertical-relative:page;z-index:-1136584"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shape style="position:absolute;margin-left:326.160004pt;margin-top:42.865608pt;width:213.55pt;height:11.5pt;mso-position-horizontal-relative:page;mso-position-vertical-relative:page;z-index:-113656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北京昆仑万维科技股份有限公司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460022pt;margin-top:42.865631pt;width:213.55pt;height:11.5pt;mso-position-horizontal-relative:page;mso-position-vertical-relative:page;z-index:-11364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北京昆仑万维科技股份有限公司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55.200001pt;margin-top:55.619984pt;width:485pt;height:.1pt;mso-position-horizontal-relative:page;mso-position-vertical-relative:page;z-index:-1136368"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shape style="position:absolute;margin-left:326.160004pt;margin-top:42.865608pt;width:213.55pt;height:11.5pt;mso-position-horizontal-relative:page;mso-position-vertical-relative:page;z-index:-11363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北京昆仑万维科技股份有限公司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59"/>
      <w:ind w:left="1133"/>
    </w:pPr>
    <w:rPr>
      <w:rFonts w:ascii="宋体" w:hAnsi="宋体" w:eastAsia="宋体"/>
      <w:b/>
      <w:bCs/>
      <w:sz w:val="24"/>
      <w:szCs w:val="24"/>
    </w:rPr>
  </w:style>
  <w:style w:styleId="BodyText" w:type="paragraph">
    <w:name w:val="Body Text"/>
    <w:basedOn w:val="Normal"/>
    <w:uiPriority w:val="1"/>
    <w:qFormat/>
    <w:pPr>
      <w:ind w:left="1133"/>
    </w:pPr>
    <w:rPr>
      <w:rFonts w:ascii="宋体" w:hAnsi="宋体" w:eastAsia="宋体"/>
      <w:sz w:val="21"/>
      <w:szCs w:val="21"/>
    </w:rPr>
  </w:style>
  <w:style w:styleId="Heading1" w:type="paragraph">
    <w:name w:val="Heading 1"/>
    <w:basedOn w:val="Normal"/>
    <w:uiPriority w:val="1"/>
    <w:qFormat/>
    <w:pPr>
      <w:spacing w:before="1"/>
      <w:ind w:left="3403"/>
      <w:outlineLvl w:val="1"/>
    </w:pPr>
    <w:rPr>
      <w:rFonts w:ascii="宋体" w:hAnsi="宋体" w:eastAsia="宋体"/>
      <w:b/>
      <w:bCs/>
      <w:sz w:val="32"/>
      <w:szCs w:val="32"/>
    </w:rPr>
  </w:style>
  <w:style w:styleId="Heading2" w:type="paragraph">
    <w:name w:val="Heading 2"/>
    <w:basedOn w:val="Normal"/>
    <w:uiPriority w:val="1"/>
    <w:qFormat/>
    <w:pPr>
      <w:ind w:left="1133"/>
      <w:outlineLvl w:val="2"/>
    </w:pPr>
    <w:rPr>
      <w:rFonts w:ascii="宋体" w:hAnsi="宋体" w:eastAsia="宋体"/>
      <w:b/>
      <w:bCs/>
      <w:sz w:val="28"/>
      <w:szCs w:val="28"/>
    </w:rPr>
  </w:style>
  <w:style w:styleId="Heading3" w:type="paragraph">
    <w:name w:val="Heading 3"/>
    <w:basedOn w:val="Normal"/>
    <w:uiPriority w:val="1"/>
    <w:qFormat/>
    <w:pPr>
      <w:ind w:left="1133" w:firstLine="568"/>
      <w:outlineLvl w:val="3"/>
    </w:pPr>
    <w:rPr>
      <w:rFonts w:ascii="宋体" w:hAnsi="宋体" w:eastAsia="宋体"/>
      <w:sz w:val="28"/>
      <w:szCs w:val="28"/>
    </w:rPr>
  </w:style>
  <w:style w:styleId="Heading4" w:type="paragraph">
    <w:name w:val="Heading 4"/>
    <w:basedOn w:val="Normal"/>
    <w:uiPriority w:val="1"/>
    <w:qFormat/>
    <w:pPr>
      <w:ind w:left="1133"/>
      <w:outlineLvl w:val="4"/>
    </w:pPr>
    <w:rPr>
      <w:rFonts w:ascii="宋体" w:hAnsi="宋体" w:eastAsia="宋体"/>
      <w:b/>
      <w:bCs/>
      <w:sz w:val="24"/>
      <w:szCs w:val="24"/>
    </w:rPr>
  </w:style>
  <w:style w:styleId="Heading5" w:type="paragraph">
    <w:name w:val="Heading 5"/>
    <w:basedOn w:val="Normal"/>
    <w:uiPriority w:val="1"/>
    <w:qFormat/>
    <w:pPr>
      <w:spacing w:before="26"/>
      <w:ind w:left="1133"/>
      <w:outlineLvl w:val="5"/>
    </w:pPr>
    <w:rPr>
      <w:rFonts w:ascii="宋体" w:hAnsi="宋体" w:eastAsia="宋体"/>
      <w:sz w:val="24"/>
      <w:szCs w:val="24"/>
    </w:rPr>
  </w:style>
  <w:style w:styleId="Heading6" w:type="paragraph">
    <w:name w:val="Heading 6"/>
    <w:basedOn w:val="Normal"/>
    <w:uiPriority w:val="1"/>
    <w:qFormat/>
    <w:pPr>
      <w:ind w:left="1134"/>
      <w:outlineLvl w:val="6"/>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hyperlink" Target="http://www.kunlun.com/" TargetMode="External"/><Relationship Id="rId10" Type="http://schemas.openxmlformats.org/officeDocument/2006/relationships/hyperlink" Target="mailto:ir@kunlun-inc.com" TargetMode="External"/><Relationship Id="rId11" Type="http://schemas.openxmlformats.org/officeDocument/2006/relationships/hyperlink" Target="http://www.cninfo.com.cn/" TargetMode="External"/><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footer" Target="footer4.xml"/><Relationship Id="rId20" Type="http://schemas.openxmlformats.org/officeDocument/2006/relationships/header" Target="header4.xml"/><Relationship Id="rId21" Type="http://schemas.openxmlformats.org/officeDocument/2006/relationships/footer" Target="footer5.xml"/><Relationship Id="rId22" Type="http://schemas.openxmlformats.org/officeDocument/2006/relationships/header" Target="header5.xml"/><Relationship Id="rId23" Type="http://schemas.openxmlformats.org/officeDocument/2006/relationships/footer" Target="footer6.xml"/><Relationship Id="rId24" Type="http://schemas.openxmlformats.org/officeDocument/2006/relationships/header" Target="header6.xml"/><Relationship Id="rId25" Type="http://schemas.openxmlformats.org/officeDocument/2006/relationships/footer" Target="footer7.xml"/><Relationship Id="rId26" Type="http://schemas.openxmlformats.org/officeDocument/2006/relationships/image" Target="media/image7.png"/><Relationship Id="rId27" Type="http://schemas.openxmlformats.org/officeDocument/2006/relationships/footer" Target="footer8.xml"/><Relationship Id="rId28" Type="http://schemas.openxmlformats.org/officeDocument/2006/relationships/header" Target="header7.xml"/><Relationship Id="rId29" Type="http://schemas.openxmlformats.org/officeDocument/2006/relationships/footer" Target="footer9.xml"/><Relationship Id="rId30" Type="http://schemas.openxmlformats.org/officeDocument/2006/relationships/header" Target="header8.xml"/><Relationship Id="rId31" Type="http://schemas.openxmlformats.org/officeDocument/2006/relationships/footer" Target="footer10.xml"/><Relationship Id="rId32" Type="http://schemas.openxmlformats.org/officeDocument/2006/relationships/image" Target="media/image8.jpeg"/><Relationship Id="rId33" Type="http://schemas.openxmlformats.org/officeDocument/2006/relationships/footer" Target="footer11.xml"/><Relationship Id="rId34" Type="http://schemas.openxmlformats.org/officeDocument/2006/relationships/footer" Target="footer12.xml"/><Relationship Id="rId35" Type="http://schemas.openxmlformats.org/officeDocument/2006/relationships/footer" Target="footer13.xml"/><Relationship Id="rId36" Type="http://schemas.openxmlformats.org/officeDocument/2006/relationships/footer" Target="footer14.xml"/><Relationship Id="rId37" Type="http://schemas.openxmlformats.org/officeDocument/2006/relationships/footer" Target="footer15.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11.xml.rels><?xml version="1.0" encoding="UTF-8" standalone="yes"?>
<Relationships xmlns="http://schemas.openxmlformats.org/package/2006/relationships"><Relationship Id="rId1" Type="http://schemas.openxmlformats.org/officeDocument/2006/relationships/image" Target="media/image1.png"/></Relationships>

</file>

<file path=word/_rels/footer12.xml.rels><?xml version="1.0" encoding="UTF-8" standalone="yes"?>
<Relationships xmlns="http://schemas.openxmlformats.org/package/2006/relationships"><Relationship Id="rId1" Type="http://schemas.openxmlformats.org/officeDocument/2006/relationships/image" Target="media/image1.png"/></Relationships>

</file>

<file path=word/_rels/footer13.xml.rels><?xml version="1.0" encoding="UTF-8" standalone="yes"?>
<Relationships xmlns="http://schemas.openxmlformats.org/package/2006/relationships"><Relationship Id="rId1" Type="http://schemas.openxmlformats.org/officeDocument/2006/relationships/image" Target="media/image1.png"/></Relationships>

</file>

<file path=word/_rels/footer14.xml.rels><?xml version="1.0" encoding="UTF-8" standalone="yes"?>
<Relationships xmlns="http://schemas.openxmlformats.org/package/2006/relationships"><Relationship Id="rId1" Type="http://schemas.openxmlformats.org/officeDocument/2006/relationships/image" Target="media/image1.png"/></Relationships>

</file>

<file path=word/_rels/footer15.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北京昆仑万维科技股份有限公司</dc:creator>
  <dc:title>北京昆仑万维科技股份有限公司2017年年度报告全文</dc:title>
  <dcterms:created xsi:type="dcterms:W3CDTF">2020-05-03T00:45:28Z</dcterms:created>
  <dcterms:modified xsi:type="dcterms:W3CDTF">2020-05-03T00:45:28Z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2018-07-10T00:00:00Z</vt:filetime>
  </property>
  <property fmtid="{D5CDD505-2E9C-101B-9397-08002B2CF9AE}" pid="3" name="Creator">
    <vt:lpwstr>Microsoft® Office Word 2007</vt:lpwstr>
  </property>
  <property fmtid="{D5CDD505-2E9C-101B-9397-08002B2CF9AE}" pid="4" name="LastSaved">
    <vt:filetime>2020-05-02T00:00:00Z</vt:filetime>
  </property>
</Properties>
</file>