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8pt;height:.1pt;mso-position-horizontal-relative:page;mso-position-vertical-relative:page;z-index:0" coordorigin="1104,982" coordsize="9696,2">
            <v:shape style="position:absolute;left:1104;top:982;width:9696;height:2" coordorigin="1104,982" coordsize="9696,0" path="m1104,982l10800,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7"/>
          <w:szCs w:val="17"/>
        </w:rPr>
      </w:pPr>
    </w:p>
    <w:p>
      <w:pPr>
        <w:spacing w:line="1035" w:lineRule="exact"/>
        <w:ind w:left="386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0"/>
          <w:sz w:val="20"/>
          <w:szCs w:val="20"/>
        </w:rPr>
        <w:drawing>
          <wp:inline distT="0" distB="0" distL="0" distR="0">
            <wp:extent cx="1411063" cy="65722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11063" cy="657225"/>
                    </a:xfrm>
                    <a:prstGeom prst="rect">
                      <a:avLst/>
                    </a:prstGeom>
                  </pic:spPr>
                </pic:pic>
              </a:graphicData>
            </a:graphic>
          </wp:inline>
        </w:drawing>
      </w:r>
      <w:r>
        <w:rPr>
          <w:rFonts w:ascii="Times New Roman" w:hAnsi="Times New Roman" w:cs="Times New Roman" w:eastAsia="Times New Roman" w:hint="default"/>
          <w:position w:val="-20"/>
          <w:sz w:val="20"/>
          <w:szCs w:val="20"/>
        </w:rPr>
      </w:r>
    </w:p>
    <w:p>
      <w:pPr>
        <w:spacing w:line="240" w:lineRule="auto" w:before="6"/>
        <w:rPr>
          <w:rFonts w:ascii="Times New Roman" w:hAnsi="Times New Roman" w:cs="Times New Roman" w:eastAsia="Times New Roman" w:hint="default"/>
          <w:sz w:val="12"/>
          <w:szCs w:val="12"/>
        </w:rPr>
      </w:pPr>
    </w:p>
    <w:p>
      <w:pPr>
        <w:spacing w:line="460" w:lineRule="exact" w:before="0"/>
        <w:ind w:left="133" w:right="1112" w:firstLine="0"/>
        <w:jc w:val="center"/>
        <w:rPr>
          <w:rFonts w:ascii="宋体" w:hAnsi="宋体" w:cs="宋体" w:eastAsia="宋体" w:hint="default"/>
          <w:sz w:val="36"/>
          <w:szCs w:val="36"/>
        </w:rPr>
      </w:pPr>
      <w:r>
        <w:rPr>
          <w:rFonts w:ascii="宋体" w:hAnsi="宋体" w:cs="宋体" w:eastAsia="宋体" w:hint="default"/>
          <w:b/>
          <w:bCs/>
          <w:sz w:val="36"/>
          <w:szCs w:val="36"/>
        </w:rPr>
        <w:t>江苏五洋停车产业集团股份有限公司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133" w:right="111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133" w:right="111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2" w:top="1060" w:bottom="118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982"/>
        <w:jc w:val="left"/>
        <w:rPr>
          <w:b w:val="0"/>
          <w:bCs w:val="0"/>
        </w:rPr>
      </w:pPr>
      <w:bookmarkStart w:name="_TOC_250011" w:id="1"/>
      <w:bookmarkStart w:name="第一节 重要提示、目录和释义" w:id="2"/>
      <w:r>
        <w:rPr>
          <w:b w:val="0"/>
          <w:bCs w:val="0"/>
        </w:rPr>
      </w:r>
      <w:r>
        <w:rPr/>
        <w:t>第一节</w:t>
      </w:r>
      <w:r>
        <w:rPr>
          <w:spacing w:val="-6"/>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28" w:firstLine="561"/>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spacing w:val="2"/>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spacing w:val="2"/>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2"/>
        <w:ind w:left="152" w:right="1133"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公司负责人侯友夫、主管会计工作负责人王兆勇及会计机构负责人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王侠声明：保证年度报告中财务报告的真实、准确、完整。</w:t>
      </w:r>
      <w:r>
        <w:rPr>
          <w:rFonts w:ascii="宋体" w:hAnsi="宋体" w:cs="宋体" w:eastAsia="宋体" w:hint="default"/>
          <w:sz w:val="28"/>
          <w:szCs w:val="28"/>
        </w:rPr>
      </w:r>
    </w:p>
    <w:p>
      <w:pPr>
        <w:spacing w:before="148"/>
        <w:ind w:left="714" w:right="982"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sz w:val="28"/>
          <w:szCs w:val="28"/>
        </w:rPr>
      </w:r>
    </w:p>
    <w:p>
      <w:pPr>
        <w:spacing w:line="240" w:lineRule="auto" w:before="3"/>
        <w:rPr>
          <w:rFonts w:ascii="宋体" w:hAnsi="宋体" w:cs="宋体" w:eastAsia="宋体" w:hint="default"/>
          <w:b/>
          <w:bCs/>
          <w:sz w:val="27"/>
          <w:szCs w:val="27"/>
        </w:rPr>
      </w:pPr>
    </w:p>
    <w:p>
      <w:pPr>
        <w:spacing w:line="448" w:lineRule="auto" w:before="0"/>
        <w:ind w:left="714" w:right="982"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1</w:t>
      </w:r>
      <w:r>
        <w:rPr>
          <w:rFonts w:ascii="宋体" w:hAnsi="宋体" w:cs="宋体" w:eastAsia="宋体" w:hint="default"/>
          <w:b/>
          <w:bCs/>
          <w:sz w:val="28"/>
          <w:szCs w:val="28"/>
        </w:rPr>
        <w:t>、并购整合的风险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并购重组一方面带来公司快速扩张，另一方面也带来整合的难度。多年来，</w:t>
      </w:r>
      <w:r>
        <w:rPr>
          <w:rFonts w:ascii="宋体" w:hAnsi="宋体" w:cs="宋体" w:eastAsia="宋体" w:hint="default"/>
          <w:spacing w:val="-2"/>
          <w:sz w:val="28"/>
          <w:szCs w:val="28"/>
        </w:rPr>
      </w:r>
    </w:p>
    <w:p>
      <w:pPr>
        <w:spacing w:line="408" w:lineRule="auto" w:before="14"/>
        <w:ind w:left="152" w:right="986" w:firstLine="0"/>
        <w:jc w:val="left"/>
        <w:rPr>
          <w:rFonts w:ascii="宋体" w:hAnsi="宋体" w:cs="宋体" w:eastAsia="宋体" w:hint="default"/>
          <w:sz w:val="28"/>
          <w:szCs w:val="28"/>
        </w:rPr>
      </w:pPr>
      <w:r>
        <w:rPr>
          <w:rFonts w:ascii="宋体" w:hAnsi="宋体" w:cs="宋体" w:eastAsia="宋体" w:hint="default"/>
          <w:b/>
          <w:bCs/>
          <w:spacing w:val="2"/>
          <w:sz w:val="28"/>
          <w:szCs w:val="28"/>
        </w:rPr>
        <w:t>公司虽已积累了一定的管理经验，建立了适应公司当前发展状况的管理体系和</w:t>
      </w:r>
      <w:r>
        <w:rPr>
          <w:rFonts w:ascii="宋体" w:hAnsi="宋体" w:cs="宋体" w:eastAsia="宋体" w:hint="default"/>
          <w:b/>
          <w:bCs/>
          <w:spacing w:val="2"/>
          <w:w w:val="99"/>
          <w:sz w:val="28"/>
          <w:szCs w:val="28"/>
        </w:rPr>
        <w:t> </w:t>
      </w:r>
      <w:r>
        <w:rPr>
          <w:rFonts w:ascii="宋体" w:hAnsi="宋体" w:cs="宋体" w:eastAsia="宋体" w:hint="default"/>
          <w:b/>
          <w:bCs/>
          <w:spacing w:val="-2"/>
          <w:sz w:val="28"/>
          <w:szCs w:val="28"/>
        </w:rPr>
        <w:t>管理制度。并购重组使公司客户和服务领域将更加广泛，技术创新要求将加快，</w:t>
      </w:r>
      <w:r>
        <w:rPr>
          <w:rFonts w:ascii="宋体" w:hAnsi="宋体" w:cs="宋体" w:eastAsia="宋体" w:hint="default"/>
          <w:b/>
          <w:bCs/>
          <w:spacing w:val="-130"/>
          <w:sz w:val="28"/>
          <w:szCs w:val="28"/>
        </w:rPr>
        <w:t> </w:t>
      </w:r>
      <w:r>
        <w:rPr>
          <w:rFonts w:ascii="宋体" w:hAnsi="宋体" w:cs="宋体" w:eastAsia="宋体" w:hint="default"/>
          <w:b/>
          <w:bCs/>
          <w:spacing w:val="-130"/>
          <w:sz w:val="28"/>
          <w:szCs w:val="28"/>
        </w:rPr>
      </w:r>
      <w:r>
        <w:rPr>
          <w:rFonts w:ascii="宋体" w:hAnsi="宋体" w:cs="宋体" w:eastAsia="宋体" w:hint="default"/>
          <w:b/>
          <w:bCs/>
          <w:spacing w:val="2"/>
          <w:sz w:val="28"/>
          <w:szCs w:val="28"/>
        </w:rPr>
        <w:t>公司现有的管理架构和流程可能无法完全适应业务扩大带来的变化。公司需不</w:t>
      </w:r>
      <w:r>
        <w:rPr>
          <w:rFonts w:ascii="宋体" w:hAnsi="宋体" w:cs="宋体" w:eastAsia="宋体" w:hint="default"/>
          <w:b/>
          <w:bCs/>
          <w:spacing w:val="2"/>
          <w:w w:val="99"/>
          <w:sz w:val="28"/>
          <w:szCs w:val="28"/>
        </w:rPr>
        <w:t> </w:t>
      </w:r>
      <w:r>
        <w:rPr>
          <w:rFonts w:ascii="宋体" w:hAnsi="宋体" w:cs="宋体" w:eastAsia="宋体" w:hint="default"/>
          <w:b/>
          <w:bCs/>
          <w:spacing w:val="2"/>
          <w:sz w:val="28"/>
          <w:szCs w:val="28"/>
        </w:rPr>
        <w:t>断调整管理体系和资源配置，来满足资产规模扩大后对管理体系和管理团队的</w:t>
      </w:r>
      <w:r>
        <w:rPr>
          <w:rFonts w:ascii="宋体" w:hAnsi="宋体" w:cs="宋体" w:eastAsia="宋体" w:hint="default"/>
          <w:b/>
          <w:bCs/>
          <w:spacing w:val="2"/>
          <w:w w:val="99"/>
          <w:sz w:val="28"/>
          <w:szCs w:val="28"/>
        </w:rPr>
        <w:t> </w:t>
      </w:r>
      <w:r>
        <w:rPr>
          <w:rFonts w:ascii="宋体" w:hAnsi="宋体" w:cs="宋体" w:eastAsia="宋体" w:hint="default"/>
          <w:b/>
          <w:bCs/>
          <w:spacing w:val="2"/>
          <w:sz w:val="28"/>
          <w:szCs w:val="28"/>
        </w:rPr>
        <w:t>要求，否则，公司的生产经营和业绩提升将可能受到一定影响。公司一方面加</w:t>
      </w:r>
      <w:r>
        <w:rPr>
          <w:rFonts w:ascii="宋体" w:hAnsi="宋体" w:cs="宋体" w:eastAsia="宋体" w:hint="default"/>
          <w:b/>
          <w:bCs/>
          <w:w w:val="99"/>
          <w:sz w:val="28"/>
          <w:szCs w:val="28"/>
        </w:rPr>
        <w:t> </w:t>
      </w:r>
      <w:r>
        <w:rPr>
          <w:rFonts w:ascii="宋体" w:hAnsi="宋体" w:cs="宋体" w:eastAsia="宋体" w:hint="default"/>
          <w:b/>
          <w:bCs/>
          <w:sz w:val="28"/>
          <w:szCs w:val="28"/>
        </w:rPr>
        <w:t>强子公司管控制度建设，另一方面加大企业文化等方面整合力度。</w:t>
      </w:r>
      <w:r>
        <w:rPr>
          <w:rFonts w:ascii="宋体" w:hAnsi="宋体" w:cs="宋体" w:eastAsia="宋体" w:hint="default"/>
          <w:sz w:val="28"/>
          <w:szCs w:val="28"/>
        </w:rPr>
      </w:r>
    </w:p>
    <w:p>
      <w:pPr>
        <w:spacing w:line="446" w:lineRule="auto" w:before="162"/>
        <w:ind w:left="714" w:right="982"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w:t>
      </w:r>
      <w:r>
        <w:rPr>
          <w:rFonts w:ascii="宋体" w:hAnsi="宋体" w:cs="宋体" w:eastAsia="宋体" w:hint="default"/>
          <w:b/>
          <w:bCs/>
          <w:sz w:val="28"/>
          <w:szCs w:val="28"/>
        </w:rPr>
        <w:t>、商誉减值的风险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并购重组和对外投资形成的商誉不作摊销处理，但需在未来每年年度终了</w:t>
      </w:r>
      <w:r>
        <w:rPr>
          <w:rFonts w:ascii="宋体" w:hAnsi="宋体" w:cs="宋体" w:eastAsia="宋体" w:hint="default"/>
          <w:sz w:val="28"/>
          <w:szCs w:val="28"/>
        </w:rPr>
      </w:r>
    </w:p>
    <w:p>
      <w:pPr>
        <w:spacing w:line="398" w:lineRule="auto" w:before="16"/>
        <w:ind w:left="152" w:right="1135" w:firstLine="0"/>
        <w:jc w:val="both"/>
        <w:rPr>
          <w:rFonts w:ascii="宋体" w:hAnsi="宋体" w:cs="宋体" w:eastAsia="宋体" w:hint="default"/>
          <w:sz w:val="28"/>
          <w:szCs w:val="28"/>
        </w:rPr>
      </w:pPr>
      <w:r>
        <w:rPr>
          <w:rFonts w:ascii="宋体" w:hAnsi="宋体" w:cs="宋体" w:eastAsia="宋体" w:hint="default"/>
          <w:b/>
          <w:bCs/>
          <w:sz w:val="28"/>
          <w:szCs w:val="28"/>
        </w:rPr>
        <w:t>进行减值测试。</w:t>
      </w:r>
      <w:r>
        <w:rPr>
          <w:rFonts w:ascii="Times New Roman" w:hAnsi="Times New Roman" w:cs="Times New Roman" w:eastAsia="Times New Roman" w:hint="default"/>
          <w:b/>
          <w:bCs/>
          <w:sz w:val="28"/>
          <w:szCs w:val="28"/>
        </w:rPr>
        <w:t>2017 </w:t>
      </w:r>
      <w:r>
        <w:rPr>
          <w:rFonts w:ascii="宋体" w:hAnsi="宋体" w:cs="宋体" w:eastAsia="宋体" w:hint="default"/>
          <w:b/>
          <w:bCs/>
          <w:sz w:val="28"/>
          <w:szCs w:val="28"/>
        </w:rPr>
        <w:t>年公司完成重大资产重组收购天辰智能</w:t>
      </w:r>
      <w:r>
        <w:rPr>
          <w:rFonts w:ascii="宋体" w:hAnsi="宋体" w:cs="宋体" w:eastAsia="宋体" w:hint="default"/>
          <w:b/>
          <w:bCs/>
          <w:spacing w:val="-64"/>
          <w:sz w:val="28"/>
          <w:szCs w:val="28"/>
        </w:rPr>
        <w:t> </w:t>
      </w:r>
      <w:r>
        <w:rPr>
          <w:rFonts w:ascii="Times New Roman" w:hAnsi="Times New Roman" w:cs="Times New Roman" w:eastAsia="Times New Roman" w:hint="default"/>
          <w:b/>
          <w:bCs/>
          <w:sz w:val="28"/>
          <w:szCs w:val="28"/>
        </w:rPr>
        <w:t>100%</w:t>
      </w:r>
      <w:r>
        <w:rPr>
          <w:rFonts w:ascii="宋体" w:hAnsi="宋体" w:cs="宋体" w:eastAsia="宋体" w:hint="default"/>
          <w:b/>
          <w:bCs/>
          <w:sz w:val="28"/>
          <w:szCs w:val="28"/>
        </w:rPr>
        <w:t>股权，如天</w:t>
      </w:r>
      <w:r>
        <w:rPr>
          <w:rFonts w:ascii="宋体" w:hAnsi="宋体" w:cs="宋体" w:eastAsia="宋体" w:hint="default"/>
          <w:b/>
          <w:bCs/>
          <w:w w:val="99"/>
          <w:sz w:val="28"/>
          <w:szCs w:val="28"/>
        </w:rPr>
        <w:t> </w:t>
      </w:r>
      <w:r>
        <w:rPr>
          <w:rFonts w:ascii="宋体" w:hAnsi="宋体" w:cs="宋体" w:eastAsia="宋体" w:hint="default"/>
          <w:b/>
          <w:bCs/>
          <w:spacing w:val="2"/>
          <w:sz w:val="28"/>
          <w:szCs w:val="28"/>
        </w:rPr>
        <w:t>辰智能未来经营状况未达预期，则存在商誉减值的风险，商誉减值会直接影响</w:t>
      </w:r>
      <w:r>
        <w:rPr>
          <w:rFonts w:ascii="宋体" w:hAnsi="宋体" w:cs="宋体" w:eastAsia="宋体" w:hint="default"/>
          <w:b/>
          <w:bCs/>
          <w:spacing w:val="2"/>
          <w:w w:val="99"/>
          <w:sz w:val="28"/>
          <w:szCs w:val="28"/>
        </w:rPr>
        <w:t> </w:t>
      </w:r>
      <w:r>
        <w:rPr>
          <w:rFonts w:ascii="宋体" w:hAnsi="宋体" w:cs="宋体" w:eastAsia="宋体" w:hint="default"/>
          <w:b/>
          <w:bCs/>
          <w:spacing w:val="2"/>
          <w:sz w:val="28"/>
          <w:szCs w:val="28"/>
        </w:rPr>
        <w:t>公司的经营业绩，减少公司的当期利润，若一旦集中计提大额的商誉减值，将</w:t>
      </w:r>
      <w:r>
        <w:rPr>
          <w:rFonts w:ascii="宋体" w:hAnsi="宋体" w:cs="宋体" w:eastAsia="宋体" w:hint="default"/>
          <w:sz w:val="28"/>
          <w:szCs w:val="28"/>
        </w:rPr>
      </w:r>
    </w:p>
    <w:p>
      <w:pPr>
        <w:spacing w:after="0" w:line="398" w:lineRule="auto"/>
        <w:jc w:val="both"/>
        <w:rPr>
          <w:rFonts w:ascii="宋体" w:hAnsi="宋体" w:cs="宋体" w:eastAsia="宋体" w:hint="default"/>
          <w:sz w:val="28"/>
          <w:szCs w:val="28"/>
        </w:rPr>
        <w:sectPr>
          <w:footerReference w:type="default" r:id="rId8"/>
          <w:pgSz w:w="11910" w:h="16840"/>
          <w:pgMar w:footer="982" w:header="745" w:top="1060" w:bottom="118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9"/>
          <w:szCs w:val="29"/>
        </w:rPr>
      </w:pPr>
    </w:p>
    <w:p>
      <w:pPr>
        <w:spacing w:line="408" w:lineRule="auto" w:before="14"/>
        <w:ind w:left="152" w:right="986" w:firstLine="0"/>
        <w:jc w:val="left"/>
        <w:rPr>
          <w:rFonts w:ascii="宋体" w:hAnsi="宋体" w:cs="宋体" w:eastAsia="宋体" w:hint="default"/>
          <w:sz w:val="28"/>
          <w:szCs w:val="28"/>
        </w:rPr>
      </w:pPr>
      <w:r>
        <w:rPr>
          <w:rFonts w:ascii="宋体" w:hAnsi="宋体" w:cs="宋体" w:eastAsia="宋体" w:hint="default"/>
          <w:b/>
          <w:bCs/>
          <w:spacing w:val="2"/>
          <w:sz w:val="28"/>
          <w:szCs w:val="28"/>
        </w:rPr>
        <w:t>对公司盈利水平产生较大的不利影响。公司一方面充分利用资本和技术平台，</w:t>
      </w:r>
      <w:r>
        <w:rPr>
          <w:rFonts w:ascii="宋体" w:hAnsi="宋体" w:cs="宋体" w:eastAsia="宋体" w:hint="default"/>
          <w:b/>
          <w:bCs/>
          <w:spacing w:val="2"/>
          <w:w w:val="99"/>
          <w:sz w:val="28"/>
          <w:szCs w:val="28"/>
        </w:rPr>
        <w:t> </w:t>
      </w:r>
      <w:r>
        <w:rPr>
          <w:rFonts w:ascii="宋体" w:hAnsi="宋体" w:cs="宋体" w:eastAsia="宋体" w:hint="default"/>
          <w:b/>
          <w:bCs/>
          <w:spacing w:val="2"/>
          <w:sz w:val="28"/>
          <w:szCs w:val="28"/>
        </w:rPr>
        <w:t>大力开拓停车场投资建设运营一体化业务，不断开拓新市场；一方面加大并购</w:t>
      </w:r>
      <w:r>
        <w:rPr>
          <w:rFonts w:ascii="宋体" w:hAnsi="宋体" w:cs="宋体" w:eastAsia="宋体" w:hint="default"/>
          <w:b/>
          <w:bCs/>
          <w:w w:val="99"/>
          <w:sz w:val="28"/>
          <w:szCs w:val="28"/>
        </w:rPr>
        <w:t> </w:t>
      </w:r>
      <w:r>
        <w:rPr>
          <w:rFonts w:ascii="宋体" w:hAnsi="宋体" w:cs="宋体" w:eastAsia="宋体" w:hint="default"/>
          <w:b/>
          <w:bCs/>
          <w:spacing w:val="-2"/>
          <w:sz w:val="28"/>
          <w:szCs w:val="28"/>
        </w:rPr>
        <w:t>重组整合力度，继续加大新产品技术研发力量，保持被收购公司的持续竞争力，</w:t>
      </w:r>
      <w:r>
        <w:rPr>
          <w:rFonts w:ascii="宋体" w:hAnsi="宋体" w:cs="宋体" w:eastAsia="宋体" w:hint="default"/>
          <w:b/>
          <w:bCs/>
          <w:spacing w:val="-130"/>
          <w:sz w:val="28"/>
          <w:szCs w:val="28"/>
        </w:rPr>
        <w:t> </w:t>
      </w:r>
      <w:r>
        <w:rPr>
          <w:rFonts w:ascii="宋体" w:hAnsi="宋体" w:cs="宋体" w:eastAsia="宋体" w:hint="default"/>
          <w:b/>
          <w:bCs/>
          <w:spacing w:val="-130"/>
          <w:sz w:val="28"/>
          <w:szCs w:val="28"/>
        </w:rPr>
      </w:r>
      <w:r>
        <w:rPr>
          <w:rFonts w:ascii="宋体" w:hAnsi="宋体" w:cs="宋体" w:eastAsia="宋体" w:hint="default"/>
          <w:b/>
          <w:bCs/>
          <w:sz w:val="28"/>
          <w:szCs w:val="28"/>
        </w:rPr>
        <w:t>以降低对应的风险。</w:t>
      </w:r>
      <w:r>
        <w:rPr>
          <w:rFonts w:ascii="宋体" w:hAnsi="宋体" w:cs="宋体" w:eastAsia="宋体" w:hint="default"/>
          <w:sz w:val="28"/>
          <w:szCs w:val="28"/>
        </w:rPr>
      </w:r>
    </w:p>
    <w:p>
      <w:pPr>
        <w:spacing w:line="446" w:lineRule="auto" w:before="162"/>
        <w:ind w:left="714" w:right="1131" w:firstLine="0"/>
        <w:jc w:val="left"/>
        <w:rPr>
          <w:rFonts w:ascii="Times New Roman" w:hAnsi="Times New Roman" w:cs="Times New Roman" w:eastAsia="Times New Roman" w:hint="default"/>
          <w:sz w:val="28"/>
          <w:szCs w:val="28"/>
        </w:rPr>
      </w:pPr>
      <w:r>
        <w:rPr>
          <w:rFonts w:ascii="Times New Roman" w:hAnsi="Times New Roman" w:cs="Times New Roman" w:eastAsia="Times New Roman" w:hint="default"/>
          <w:b/>
          <w:bCs/>
          <w:sz w:val="28"/>
          <w:szCs w:val="28"/>
        </w:rPr>
        <w:t>3</w:t>
      </w:r>
      <w:r>
        <w:rPr>
          <w:rFonts w:ascii="宋体" w:hAnsi="宋体" w:cs="宋体" w:eastAsia="宋体" w:hint="default"/>
          <w:b/>
          <w:bCs/>
          <w:sz w:val="28"/>
          <w:szCs w:val="28"/>
        </w:rPr>
        <w:t>、应收账款的风险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随着公司业务领域和规模地快递扩大，公司应收账款余额增长迅速。</w:t>
      </w:r>
      <w:r>
        <w:rPr>
          <w:rFonts w:ascii="Times New Roman" w:hAnsi="Times New Roman" w:cs="Times New Roman" w:eastAsia="Times New Roman" w:hint="default"/>
          <w:b/>
          <w:bCs/>
          <w:spacing w:val="2"/>
          <w:sz w:val="28"/>
          <w:szCs w:val="28"/>
        </w:rPr>
        <w:t>2018</w:t>
      </w:r>
      <w:r>
        <w:rPr>
          <w:rFonts w:ascii="Times New Roman" w:hAnsi="Times New Roman" w:cs="Times New Roman" w:eastAsia="Times New Roman" w:hint="default"/>
          <w:sz w:val="28"/>
          <w:szCs w:val="28"/>
        </w:rPr>
      </w:r>
    </w:p>
    <w:p>
      <w:pPr>
        <w:spacing w:line="357" w:lineRule="exact" w:before="0"/>
        <w:ind w:left="152" w:right="982" w:firstLine="0"/>
        <w:jc w:val="left"/>
        <w:rPr>
          <w:rFonts w:ascii="宋体" w:hAnsi="宋体" w:cs="宋体" w:eastAsia="宋体" w:hint="default"/>
          <w:sz w:val="28"/>
          <w:szCs w:val="28"/>
        </w:rPr>
      </w:pPr>
      <w:r>
        <w:rPr>
          <w:rFonts w:ascii="宋体" w:hAnsi="宋体" w:cs="宋体" w:eastAsia="宋体" w:hint="default"/>
          <w:b/>
          <w:bCs/>
          <w:sz w:val="28"/>
          <w:szCs w:val="28"/>
        </w:rPr>
        <w:t>年 </w:t>
      </w:r>
      <w:r>
        <w:rPr>
          <w:rFonts w:ascii="Times New Roman" w:hAnsi="Times New Roman" w:cs="Times New Roman" w:eastAsia="Times New Roman" w:hint="default"/>
          <w:b/>
          <w:bCs/>
          <w:sz w:val="28"/>
          <w:szCs w:val="28"/>
        </w:rPr>
        <w:t>12 </w:t>
      </w:r>
      <w:r>
        <w:rPr>
          <w:rFonts w:ascii="宋体" w:hAnsi="宋体" w:cs="宋体" w:eastAsia="宋体" w:hint="default"/>
          <w:b/>
          <w:bCs/>
          <w:sz w:val="28"/>
          <w:szCs w:val="28"/>
        </w:rPr>
        <w:t>月 </w:t>
      </w:r>
      <w:r>
        <w:rPr>
          <w:rFonts w:ascii="Times New Roman" w:hAnsi="Times New Roman" w:cs="Times New Roman" w:eastAsia="Times New Roman" w:hint="default"/>
          <w:b/>
          <w:bCs/>
          <w:sz w:val="28"/>
          <w:szCs w:val="28"/>
        </w:rPr>
        <w:t>31 </w:t>
      </w:r>
      <w:r>
        <w:rPr>
          <w:rFonts w:ascii="宋体" w:hAnsi="宋体" w:cs="宋体" w:eastAsia="宋体" w:hint="default"/>
          <w:b/>
          <w:bCs/>
          <w:sz w:val="28"/>
          <w:szCs w:val="28"/>
        </w:rPr>
        <w:t>日公司应收账款账面价值 </w:t>
      </w:r>
      <w:r>
        <w:rPr>
          <w:rFonts w:ascii="Times New Roman" w:hAnsi="Times New Roman" w:cs="Times New Roman" w:eastAsia="Times New Roman" w:hint="default"/>
          <w:b/>
          <w:bCs/>
          <w:sz w:val="28"/>
          <w:szCs w:val="28"/>
        </w:rPr>
        <w:t>63,139.13</w:t>
      </w:r>
      <w:r>
        <w:rPr>
          <w:rFonts w:ascii="Times New Roman" w:hAnsi="Times New Roman" w:cs="Times New Roman" w:eastAsia="Times New Roman" w:hint="default"/>
          <w:b/>
          <w:bCs/>
          <w:spacing w:val="6"/>
          <w:sz w:val="28"/>
          <w:szCs w:val="28"/>
        </w:rPr>
        <w:t> </w:t>
      </w:r>
      <w:r>
        <w:rPr>
          <w:rFonts w:ascii="宋体" w:hAnsi="宋体" w:cs="宋体" w:eastAsia="宋体" w:hint="default"/>
          <w:b/>
          <w:bCs/>
          <w:sz w:val="28"/>
          <w:szCs w:val="28"/>
        </w:rPr>
        <w:t>万元，占期末总资产的比例为</w:t>
      </w:r>
      <w:r>
        <w:rPr>
          <w:rFonts w:ascii="宋体" w:hAnsi="宋体" w:cs="宋体" w:eastAsia="宋体" w:hint="default"/>
          <w:sz w:val="28"/>
          <w:szCs w:val="28"/>
        </w:rPr>
      </w:r>
    </w:p>
    <w:p>
      <w:pPr>
        <w:spacing w:line="403" w:lineRule="auto" w:before="236"/>
        <w:ind w:left="152" w:right="1130" w:firstLine="0"/>
        <w:jc w:val="both"/>
        <w:rPr>
          <w:rFonts w:ascii="Times New Roman" w:hAnsi="Times New Roman" w:cs="Times New Roman" w:eastAsia="Times New Roman" w:hint="default"/>
          <w:sz w:val="28"/>
          <w:szCs w:val="28"/>
        </w:rPr>
      </w:pPr>
      <w:r>
        <w:rPr>
          <w:rFonts w:ascii="Times New Roman" w:hAnsi="Times New Roman" w:cs="Times New Roman" w:eastAsia="Times New Roman" w:hint="default"/>
          <w:b/>
          <w:bCs/>
          <w:sz w:val="28"/>
          <w:szCs w:val="28"/>
        </w:rPr>
        <w:t>28.67%</w:t>
      </w:r>
      <w:r>
        <w:rPr>
          <w:rFonts w:ascii="宋体" w:hAnsi="宋体" w:cs="宋体" w:eastAsia="宋体" w:hint="default"/>
          <w:b/>
          <w:bCs/>
          <w:sz w:val="28"/>
          <w:szCs w:val="28"/>
        </w:rPr>
        <w:t>，应收账款的增长对公司现金流状况产生一定影响。如果公司的客户出</w:t>
      </w:r>
      <w:r>
        <w:rPr>
          <w:rFonts w:ascii="宋体" w:hAnsi="宋体" w:cs="宋体" w:eastAsia="宋体" w:hint="default"/>
          <w:b/>
          <w:bCs/>
          <w:spacing w:val="-130"/>
          <w:sz w:val="28"/>
          <w:szCs w:val="28"/>
        </w:rPr>
        <w:t> </w:t>
      </w:r>
      <w:r>
        <w:rPr>
          <w:rFonts w:ascii="宋体" w:hAnsi="宋体" w:cs="宋体" w:eastAsia="宋体" w:hint="default"/>
          <w:b/>
          <w:bCs/>
          <w:spacing w:val="-130"/>
          <w:sz w:val="28"/>
          <w:szCs w:val="28"/>
        </w:rPr>
      </w:r>
      <w:r>
        <w:rPr>
          <w:rFonts w:ascii="宋体" w:hAnsi="宋体" w:cs="宋体" w:eastAsia="宋体" w:hint="default"/>
          <w:b/>
          <w:bCs/>
          <w:spacing w:val="2"/>
          <w:sz w:val="28"/>
          <w:szCs w:val="28"/>
        </w:rPr>
        <w:t>现经营危机或者财务状况发生重大变化，公司仍可能面临一定的流动性风险或</w:t>
      </w:r>
      <w:r>
        <w:rPr>
          <w:rFonts w:ascii="宋体" w:hAnsi="宋体" w:cs="宋体" w:eastAsia="宋体" w:hint="default"/>
          <w:b/>
          <w:bCs/>
          <w:spacing w:val="2"/>
          <w:w w:val="99"/>
          <w:sz w:val="28"/>
          <w:szCs w:val="28"/>
        </w:rPr>
        <w:t> </w:t>
      </w:r>
      <w:r>
        <w:rPr>
          <w:rFonts w:ascii="宋体" w:hAnsi="宋体" w:cs="宋体" w:eastAsia="宋体" w:hint="default"/>
          <w:b/>
          <w:bCs/>
          <w:spacing w:val="2"/>
          <w:sz w:val="28"/>
          <w:szCs w:val="28"/>
        </w:rPr>
        <w:t>坏账风险。公司将加大应收账款的催收力度，加强客户信用管理，严格控制新</w:t>
      </w:r>
      <w:r>
        <w:rPr>
          <w:rFonts w:ascii="宋体" w:hAnsi="宋体" w:cs="宋体" w:eastAsia="宋体" w:hint="default"/>
          <w:b/>
          <w:bCs/>
          <w:spacing w:val="2"/>
          <w:w w:val="99"/>
          <w:sz w:val="28"/>
          <w:szCs w:val="28"/>
        </w:rPr>
        <w:t> </w:t>
      </w:r>
      <w:r>
        <w:rPr>
          <w:rFonts w:ascii="宋体" w:hAnsi="宋体" w:cs="宋体" w:eastAsia="宋体" w:hint="default"/>
          <w:b/>
          <w:bCs/>
          <w:spacing w:val="2"/>
          <w:sz w:val="28"/>
          <w:szCs w:val="28"/>
        </w:rPr>
        <w:t>增业务可能带来的坏账风险，同时加强销售人员的合同风险意识培训，将应收</w:t>
      </w:r>
      <w:r>
        <w:rPr>
          <w:rFonts w:ascii="宋体" w:hAnsi="宋体" w:cs="宋体" w:eastAsia="宋体" w:hint="default"/>
          <w:b/>
          <w:bCs/>
          <w:w w:val="99"/>
          <w:sz w:val="28"/>
          <w:szCs w:val="28"/>
        </w:rPr>
        <w:t> </w:t>
      </w:r>
      <w:r>
        <w:rPr>
          <w:rFonts w:ascii="宋体" w:hAnsi="宋体" w:cs="宋体" w:eastAsia="宋体" w:hint="default"/>
          <w:b/>
          <w:bCs/>
          <w:spacing w:val="2"/>
          <w:sz w:val="28"/>
          <w:szCs w:val="28"/>
        </w:rPr>
        <w:t>账款的催收列为销售区域的业绩考核指标之一，以保证公司应收账款得到有效</w:t>
      </w:r>
      <w:r>
        <w:rPr>
          <w:rFonts w:ascii="宋体" w:hAnsi="宋体" w:cs="宋体" w:eastAsia="宋体" w:hint="default"/>
          <w:b/>
          <w:bCs/>
          <w:spacing w:val="2"/>
          <w:w w:val="99"/>
          <w:sz w:val="28"/>
          <w:szCs w:val="28"/>
        </w:rPr>
        <w:t> </w:t>
      </w:r>
      <w:r>
        <w:rPr>
          <w:rFonts w:ascii="宋体" w:hAnsi="宋体" w:cs="宋体" w:eastAsia="宋体" w:hint="default"/>
          <w:b/>
          <w:bCs/>
          <w:sz w:val="28"/>
          <w:szCs w:val="28"/>
        </w:rPr>
        <w:t>控制。</w:t>
      </w:r>
      <w:r>
        <w:rPr>
          <w:rFonts w:ascii="Times New Roman" w:hAnsi="Times New Roman" w:cs="Times New Roman" w:eastAsia="Times New Roman" w:hint="default"/>
          <w:b/>
          <w:bCs/>
          <w:sz w:val="28"/>
          <w:szCs w:val="28"/>
        </w:rPr>
        <w:t>□</w:t>
      </w:r>
      <w:r>
        <w:rPr>
          <w:rFonts w:ascii="Times New Roman" w:hAnsi="Times New Roman" w:cs="Times New Roman" w:eastAsia="Times New Roman" w:hint="default"/>
          <w:sz w:val="28"/>
          <w:szCs w:val="28"/>
        </w:rPr>
      </w:r>
    </w:p>
    <w:p>
      <w:pPr>
        <w:spacing w:before="126"/>
        <w:ind w:left="714" w:right="982"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 </w:t>
      </w:r>
      <w:r>
        <w:rPr>
          <w:rFonts w:ascii="Times New Roman" w:hAnsi="Times New Roman" w:cs="Times New Roman" w:eastAsia="Times New Roman" w:hint="default"/>
          <w:b/>
          <w:bCs/>
          <w:sz w:val="28"/>
          <w:szCs w:val="28"/>
        </w:rPr>
        <w:t>715630489</w:t>
      </w:r>
      <w:r>
        <w:rPr>
          <w:rFonts w:ascii="Times New Roman" w:hAnsi="Times New Roman" w:cs="Times New Roman" w:eastAsia="Times New Roman" w:hint="default"/>
          <w:b/>
          <w:bCs/>
          <w:spacing w:val="8"/>
          <w:sz w:val="28"/>
          <w:szCs w:val="28"/>
        </w:rPr>
        <w:t> </w:t>
      </w:r>
      <w:r>
        <w:rPr>
          <w:rFonts w:ascii="宋体" w:hAnsi="宋体" w:cs="宋体" w:eastAsia="宋体" w:hint="default"/>
          <w:b/>
          <w:bCs/>
          <w:sz w:val="28"/>
          <w:szCs w:val="28"/>
        </w:rPr>
        <w:t>为基数，向</w:t>
      </w:r>
      <w:r>
        <w:rPr>
          <w:rFonts w:ascii="宋体" w:hAnsi="宋体" w:cs="宋体" w:eastAsia="宋体" w:hint="default"/>
          <w:sz w:val="28"/>
          <w:szCs w:val="28"/>
        </w:rPr>
      </w:r>
    </w:p>
    <w:p>
      <w:pPr>
        <w:spacing w:before="236"/>
        <w:ind w:left="152" w:right="982" w:firstLine="0"/>
        <w:jc w:val="left"/>
        <w:rPr>
          <w:rFonts w:ascii="宋体" w:hAnsi="宋体" w:cs="宋体" w:eastAsia="宋体" w:hint="default"/>
          <w:sz w:val="28"/>
          <w:szCs w:val="28"/>
        </w:rPr>
      </w:pPr>
      <w:r>
        <w:rPr>
          <w:rFonts w:ascii="宋体" w:hAnsi="宋体" w:cs="宋体" w:eastAsia="宋体" w:hint="default"/>
          <w:b/>
          <w:bCs/>
          <w:w w:val="99"/>
          <w:sz w:val="28"/>
          <w:szCs w:val="28"/>
        </w:rPr>
        <w:t>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72"/>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72"/>
          <w:sz w:val="28"/>
          <w:szCs w:val="28"/>
        </w:rPr>
        <w:t> </w:t>
      </w:r>
      <w:r>
        <w:rPr>
          <w:rFonts w:ascii="Times New Roman" w:hAnsi="Times New Roman" w:cs="Times New Roman" w:eastAsia="Times New Roman" w:hint="default"/>
          <w:b/>
          <w:bCs/>
          <w:spacing w:val="1"/>
          <w:w w:val="100"/>
          <w:sz w:val="28"/>
          <w:szCs w:val="28"/>
        </w:rPr>
        <w:t>0</w:t>
      </w:r>
      <w:r>
        <w:rPr>
          <w:rFonts w:ascii="Times New Roman" w:hAnsi="Times New Roman" w:cs="Times New Roman" w:eastAsia="Times New Roman" w:hint="default"/>
          <w:b/>
          <w:bCs/>
          <w:spacing w:val="-1"/>
          <w:w w:val="100"/>
          <w:sz w:val="28"/>
          <w:szCs w:val="28"/>
        </w:rPr>
        <w:t>.</w:t>
      </w:r>
      <w:r>
        <w:rPr>
          <w:rFonts w:ascii="Times New Roman" w:hAnsi="Times New Roman" w:cs="Times New Roman" w:eastAsia="Times New Roman" w:hint="default"/>
          <w:b/>
          <w:bCs/>
          <w:spacing w:val="-2"/>
          <w:w w:val="100"/>
          <w:sz w:val="28"/>
          <w:szCs w:val="28"/>
        </w:rPr>
        <w:t>3</w:t>
      </w:r>
      <w:r>
        <w:rPr>
          <w:rFonts w:ascii="Times New Roman" w:hAnsi="Times New Roman" w:cs="Times New Roman" w:eastAsia="Times New Roman" w:hint="default"/>
          <w:b/>
          <w:bCs/>
          <w:w w:val="100"/>
          <w:sz w:val="28"/>
          <w:szCs w:val="28"/>
        </w:rPr>
        <w:t>7</w:t>
      </w:r>
      <w:r>
        <w:rPr>
          <w:rFonts w:ascii="Times New Roman" w:hAnsi="Times New Roman" w:cs="Times New Roman" w:eastAsia="Times New Roman" w:hint="default"/>
          <w:b/>
          <w:bCs/>
          <w:sz w:val="28"/>
          <w:szCs w:val="28"/>
        </w:rPr>
        <w:t> </w:t>
      </w:r>
      <w:r>
        <w:rPr>
          <w:rFonts w:ascii="宋体" w:hAnsi="宋体" w:cs="宋体" w:eastAsia="宋体" w:hint="default"/>
          <w:b/>
          <w:bCs/>
          <w:spacing w:val="-32"/>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70"/>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以资本公</w:t>
      </w:r>
      <w:r>
        <w:rPr>
          <w:rFonts w:ascii="宋体" w:hAnsi="宋体" w:cs="宋体" w:eastAsia="宋体" w:hint="default"/>
          <w:sz w:val="28"/>
          <w:szCs w:val="28"/>
        </w:rPr>
      </w:r>
    </w:p>
    <w:p>
      <w:pPr>
        <w:spacing w:before="236"/>
        <w:ind w:left="152" w:right="982" w:firstLine="0"/>
        <w:jc w:val="left"/>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股转增</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5" w:footer="982" w:top="1060" w:bottom="118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4"/>
        <w:ind w:left="133" w:right="1113"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r>
            <w:r>
              <w:rPr>
                <w:spacing w:val="-19"/>
              </w:rPr>
              <w:t> </w:t>
            </w:r>
            <w:r>
              <w:rPr/>
              <w:t>重要提示、目录和释义</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67"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9"/>
              </w:rPr>
              <w:t> </w:t>
            </w:r>
            <w:r>
              <w:rPr/>
              <w:t>公司简介和主要财务指标</w:t>
            </w:r>
            <w:r>
              <w:rPr>
                <w:rFonts w:ascii="Times New Roman" w:hAnsi="Times New Roman" w:cs="Times New Roman" w:eastAsia="Times New Roman" w:hint="default"/>
              </w:rPr>
              <w:tab/>
            </w:r>
            <w:r>
              <w:rPr>
                <w:rFonts w:ascii="Times New Roman" w:hAnsi="Times New Roman" w:cs="Times New Roman" w:eastAsia="Times New Roman" w:hint="default"/>
                <w:spacing w:val="-15"/>
              </w:rPr>
              <w:t>11</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19"/>
              </w:rPr>
              <w:t> </w:t>
            </w:r>
            <w:r>
              <w:rPr/>
              <w:t>公司业务概要</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9"/>
              </w:rPr>
              <w:t> </w:t>
            </w:r>
            <w:r>
              <w:rPr/>
              <w:t>经营情况讨论与分析</w:t>
            </w:r>
            <w:r>
              <w:rPr>
                <w:rFonts w:ascii="Times New Roman" w:hAnsi="Times New Roman" w:cs="Times New Roman" w:eastAsia="Times New Roman" w:hint="default"/>
              </w:rPr>
              <w:tab/>
              <w:t>31</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9"/>
              </w:rPr>
              <w:t> </w:t>
            </w:r>
            <w:r>
              <w:rPr/>
              <w:t>重要事项</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9"/>
              </w:rPr>
              <w:t> </w:t>
            </w:r>
            <w:r>
              <w:rPr/>
              <w:t>股份变动及股东情况</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19"/>
              </w:rPr>
              <w:t> </w:t>
            </w:r>
            <w:r>
              <w:rPr/>
              <w:t>优先股相关情况</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第八节</w:t>
            </w:r>
            <w:r>
              <w:rPr>
                <w:spacing w:val="-19"/>
              </w:rPr>
              <w:t> </w:t>
            </w:r>
            <w:r>
              <w:rPr/>
              <w:t>董事、监事、高级管理人员和员工情况</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9"/>
              </w:rPr>
              <w:t> </w:t>
            </w:r>
            <w:r>
              <w:rPr/>
              <w:t>公司治理</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19"/>
              </w:rPr>
              <w:t> </w:t>
            </w:r>
            <w:r>
              <w:rPr/>
              <w:t>公司债券相关情况</w:t>
            </w:r>
            <w:r>
              <w:rPr>
                <w:rFonts w:ascii="Times New Roman" w:hAnsi="Times New Roman" w:cs="Times New Roman" w:eastAsia="Times New Roman" w:hint="default"/>
              </w:rPr>
              <w:tab/>
              <w:t>71</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8"/>
              </w:rPr>
              <w:t> </w:t>
            </w:r>
            <w:r>
              <w:rPr/>
              <w:t>财务报告</w:t>
            </w:r>
            <w:r>
              <w:rPr>
                <w:rFonts w:ascii="Times New Roman" w:hAnsi="Times New Roman" w:cs="Times New Roman" w:eastAsia="Times New Roman" w:hint="default"/>
              </w:rPr>
              <w:tab/>
              <w:t>72</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19"/>
              </w:rPr>
              <w:t> </w:t>
            </w:r>
            <w:r>
              <w:rPr/>
              <w:t>备查文件目录</w:t>
            </w:r>
            <w:r>
              <w:rPr>
                <w:rFonts w:ascii="Times New Roman" w:hAnsi="Times New Roman" w:cs="Times New Roman" w:eastAsia="Times New Roman" w:hint="default"/>
              </w:rPr>
              <w:tab/>
              <w:t>183</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82" w:top="1060" w:bottom="1180" w:left="980" w:right="0"/>
        </w:sectPr>
      </w:pPr>
    </w:p>
    <w:p>
      <w:pPr>
        <w:spacing w:before="944"/>
        <w:ind w:left="133" w:right="1115"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41"/>
        <w:gridCol w:w="593"/>
        <w:gridCol w:w="5435"/>
      </w:tblGrid>
      <w:tr>
        <w:trPr>
          <w:trHeight w:val="403" w:hRule="exact"/>
        </w:trPr>
        <w:tc>
          <w:tcPr>
            <w:tcW w:w="35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公司、股份公司、五洋停车、本公司</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江苏五洋停车产业集团股份有限公司</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控股股东、实际控制人</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侯友夫、蔡敏、寿招爱</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徐州五洋</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徐州五洋科技有限公司（原江苏五九机电科技有限公司）</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天沃重工</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江苏天沃重工科技有限公司</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五岳科技</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江苏五岳科技实业有限公司</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伟创自动化</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深圳市伟创自动化设备有限公司</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广东伟创</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广东伟创五洋智能设备有限公司</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合肥伟创</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合肥市伟创自动化设备有限公司</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伟创华鑫</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东莞市伟创华鑫自动化设备有限公司</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北京伟创</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北京伟创停车场管理有限公司</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沈阳恒信</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沈阳市五洋恒信泊车有限公司</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昆明伟创</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昆明五洋伟创停车服务有限公司</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天辰智能</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山东天辰智能停车有限公司</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泰壬科技</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江西泰壬科技有限公司</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青云市政</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南昌市青云市政运营有限公司</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惠邦租赁</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安徽惠邦融资租赁有限公司</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华逸奇</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北京华逸奇科贸有限公司</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同方佰宜</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同方佰宜科技（北京）有限公司</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北京联合智能</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北京联合智能科技有限公司</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福建比硕</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福建比硕停车运营股份有限公司</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弘毅华浩</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深圳市前海弘毅华浩投资有限公司</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抚州五洋</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抚州五洋智慧交通产业发展有限公司</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徐州疌盛</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徐州疌盛五洋智能装备产业基金合伙企业（有限合伙）</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《江苏五洋停车产业集团股份有限公司章程》</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4"/>
        <w:gridCol w:w="610"/>
        <w:gridCol w:w="5435"/>
      </w:tblGrid>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报告期末</w:t>
            </w:r>
          </w:p>
        </w:tc>
        <w:tc>
          <w:tcPr>
            <w:tcW w:w="6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2641" w:right="982"/>
        <w:jc w:val="left"/>
        <w:rPr>
          <w:b w:val="0"/>
          <w:bCs w:val="0"/>
        </w:rPr>
      </w:pPr>
      <w:bookmarkStart w:name="_TOC_250010" w:id="3"/>
      <w:bookmarkStart w:name="第二节 公司简介和主要财务指标" w:id="4"/>
      <w:r>
        <w:rPr>
          <w:b w:val="0"/>
          <w:bCs w:val="0"/>
        </w:rPr>
      </w:r>
      <w:r>
        <w:rPr/>
        <w:t>第二节</w:t>
      </w:r>
      <w:r>
        <w:rPr>
          <w:spacing w:val="-6"/>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82"/>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64"/>
        <w:gridCol w:w="2132"/>
        <w:gridCol w:w="2188"/>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4"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五洋停车</w:t>
            </w:r>
          </w:p>
        </w:tc>
        <w:tc>
          <w:tcPr>
            <w:tcW w:w="21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300420</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江苏五洋停车产业集团股份有限公司</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五洋停车</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Jiangsu Wuyang Parking Industry Group</w:t>
            </w:r>
            <w:r>
              <w:rPr>
                <w:rFonts w:ascii="Times New Roman"/>
                <w:spacing w:val="-25"/>
                <w:sz w:val="18"/>
              </w:rPr>
              <w:t> </w:t>
            </w:r>
            <w:r>
              <w:rPr>
                <w:rFonts w:ascii="Times New Roman"/>
                <w:sz w:val="18"/>
              </w:rPr>
              <w:t>Co.,Ltd.</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侯友夫</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江苏省徐州市铜山新区工业园珠江路北、银山路东</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pacing w:val="-3"/>
                <w:sz w:val="18"/>
              </w:rPr>
              <w:t>221116</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江苏省徐州市铜山新区工业园珠江路北、银山路东</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pacing w:val="-3"/>
                <w:sz w:val="18"/>
              </w:rPr>
              <w:t>221116</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http://www.wuyangkeji.com/</w:t>
              </w:r>
            </w:hyperlink>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wuyangsh@163.com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982"/>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8"/>
        <w:gridCol w:w="3190"/>
        <w:gridCol w:w="3190"/>
      </w:tblGrid>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毛立军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历娜</w:t>
            </w:r>
          </w:p>
        </w:tc>
      </w:tr>
      <w:tr>
        <w:trPr>
          <w:trHeight w:val="161" w:hRule="exact"/>
        </w:trPr>
        <w:tc>
          <w:tcPr>
            <w:tcW w:w="3178" w:type="dxa"/>
            <w:tcBorders>
              <w:top w:val="single" w:sz="4" w:space="0" w:color="000000"/>
              <w:left w:val="single" w:sz="4" w:space="0" w:color="000000"/>
              <w:bottom w:val="nil" w:sz="6" w:space="0" w:color="auto"/>
              <w:right w:val="single" w:sz="4" w:space="0" w:color="000000"/>
            </w:tcBorders>
            <w:shd w:val="clear" w:color="auto" w:fill="D4D4D4"/>
          </w:tcPr>
          <w:p>
            <w:pPr/>
          </w:p>
        </w:tc>
        <w:tc>
          <w:tcPr>
            <w:tcW w:w="3190" w:type="dxa"/>
            <w:vMerge w:val="restart"/>
            <w:tcBorders>
              <w:top w:val="single" w:sz="4" w:space="0" w:color="000000"/>
              <w:left w:val="single" w:sz="9" w:space="0" w:color="D4D4D4"/>
              <w:right w:val="single" w:sz="4" w:space="0" w:color="000000"/>
            </w:tcBorders>
          </w:tcPr>
          <w:p>
            <w:pPr>
              <w:pStyle w:val="TableParagraph"/>
              <w:spacing w:line="316" w:lineRule="auto" w:before="49"/>
              <w:ind w:left="17" w:right="275"/>
              <w:jc w:val="left"/>
              <w:rPr>
                <w:rFonts w:ascii="宋体" w:hAnsi="宋体" w:cs="宋体" w:eastAsia="宋体" w:hint="default"/>
                <w:sz w:val="18"/>
                <w:szCs w:val="18"/>
              </w:rPr>
            </w:pPr>
            <w:r>
              <w:rPr>
                <w:rFonts w:ascii="宋体" w:hAnsi="宋体" w:cs="宋体" w:eastAsia="宋体" w:hint="default"/>
                <w:sz w:val="18"/>
                <w:szCs w:val="18"/>
              </w:rPr>
              <w:t>江苏省徐州市铜山新区工业园珠江路 北、银山路东</w:t>
            </w: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75"/>
              <w:jc w:val="left"/>
              <w:rPr>
                <w:rFonts w:ascii="宋体" w:hAnsi="宋体" w:cs="宋体" w:eastAsia="宋体" w:hint="default"/>
                <w:sz w:val="18"/>
                <w:szCs w:val="18"/>
              </w:rPr>
            </w:pPr>
            <w:r>
              <w:rPr>
                <w:rFonts w:ascii="宋体" w:hAnsi="宋体" w:cs="宋体" w:eastAsia="宋体" w:hint="default"/>
                <w:sz w:val="18"/>
                <w:szCs w:val="18"/>
              </w:rPr>
              <w:t>江苏省徐州市铜山新区工业园珠江路 北、银山路东</w:t>
            </w:r>
          </w:p>
        </w:tc>
      </w:tr>
      <w:tr>
        <w:trPr>
          <w:trHeight w:val="394" w:hRule="exact"/>
        </w:trPr>
        <w:tc>
          <w:tcPr>
            <w:tcW w:w="317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4D4D4"/>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8" w:type="dxa"/>
            <w:tcBorders>
              <w:top w:val="nil" w:sz="6" w:space="0" w:color="auto"/>
              <w:left w:val="single" w:sz="4" w:space="0" w:color="000000"/>
              <w:bottom w:val="single" w:sz="4" w:space="0" w:color="000000"/>
              <w:right w:val="single" w:sz="4" w:space="0" w:color="000000"/>
            </w:tcBorders>
            <w:shd w:val="clear" w:color="auto" w:fill="D4D4D4"/>
          </w:tcPr>
          <w:p>
            <w:pPr/>
          </w:p>
        </w:tc>
        <w:tc>
          <w:tcPr>
            <w:tcW w:w="3190" w:type="dxa"/>
            <w:vMerge/>
            <w:tcBorders>
              <w:left w:val="single" w:sz="9" w:space="0" w:color="D4D4D4"/>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0516-83501768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0516-83501768</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0516-83501768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0516-83501768</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hyperlink r:id="rId11">
              <w:r>
                <w:rPr>
                  <w:rFonts w:ascii="Times New Roman"/>
                  <w:sz w:val="18"/>
                </w:rPr>
                <w:t>1002926635@qq.com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wuyangsh@163.com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982"/>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0"/>
        <w:gridCol w:w="5578"/>
      </w:tblGrid>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401" w:hRule="exact"/>
        </w:trPr>
        <w:tc>
          <w:tcPr>
            <w:tcW w:w="39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23"/>
                <w:sz w:val="18"/>
                <w:szCs w:val="18"/>
              </w:rPr>
              <w:t> </w:t>
            </w:r>
            <w:hyperlink r:id="rId12">
              <w:r>
                <w:rPr>
                  <w:rFonts w:ascii="Times New Roman" w:hAnsi="Times New Roman" w:cs="Times New Roman" w:eastAsia="Times New Roman" w:hint="default"/>
                  <w:sz w:val="18"/>
                  <w:szCs w:val="18"/>
                </w:rPr>
                <w:t>http://www.cninfo.com.cn</w:t>
              </w:r>
            </w:hyperlink>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江苏五洋停车产业集团股份有限公司证券事务部</w:t>
            </w:r>
          </w:p>
        </w:tc>
      </w:tr>
    </w:tbl>
    <w:p>
      <w:pPr>
        <w:spacing w:line="240" w:lineRule="auto" w:before="1"/>
        <w:rPr>
          <w:rFonts w:ascii="宋体" w:hAnsi="宋体" w:cs="宋体" w:eastAsia="宋体" w:hint="default"/>
          <w:b/>
          <w:bCs/>
          <w:sz w:val="18"/>
          <w:szCs w:val="18"/>
        </w:rPr>
      </w:pPr>
    </w:p>
    <w:p>
      <w:pPr>
        <w:pStyle w:val="Heading2"/>
        <w:spacing w:line="240" w:lineRule="auto" w:before="26"/>
        <w:ind w:right="982"/>
        <w:jc w:val="left"/>
        <w:rPr>
          <w:b w:val="0"/>
          <w:bCs w:val="0"/>
        </w:rPr>
      </w:pPr>
      <w:bookmarkStart w:name="四、其他有关资料" w:id="8"/>
      <w:bookmarkEnd w:id="8"/>
      <w:r>
        <w:rPr>
          <w:b w:val="0"/>
          <w:bCs w:val="0"/>
        </w:rPr>
      </w:r>
      <w:r>
        <w:rPr/>
        <w:t>四、其他有关资料</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2"/>
        <w:jc w:val="left"/>
      </w:pPr>
      <w:r>
        <w:rPr/>
        <w:t>公司聘请的会计师事务所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0"/>
        <w:gridCol w:w="6918"/>
      </w:tblGrid>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50"/>
        <w:gridCol w:w="6918"/>
      </w:tblGrid>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杭州市江干区钱江路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1366 </w:t>
            </w:r>
            <w:r>
              <w:rPr>
                <w:rFonts w:ascii="宋体" w:hAnsi="宋体" w:cs="宋体" w:eastAsia="宋体" w:hint="default"/>
                <w:sz w:val="18"/>
                <w:szCs w:val="18"/>
              </w:rPr>
              <w:t>号华润大厦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楼</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缪志坚、梁政洪</w:t>
            </w:r>
          </w:p>
        </w:tc>
      </w:tr>
    </w:tbl>
    <w:p>
      <w:pPr>
        <w:pStyle w:val="BodyText"/>
        <w:spacing w:line="240" w:lineRule="auto" w:before="49"/>
        <w:ind w:right="982"/>
        <w:jc w:val="left"/>
      </w:pPr>
      <w:r>
        <w:rPr/>
        <w:t>公司聘请的报告期内履行持续督导职责的保荐机构</w:t>
      </w:r>
    </w:p>
    <w:p>
      <w:pPr>
        <w:pStyle w:val="BodyText"/>
        <w:spacing w:line="240" w:lineRule="auto" w:before="115"/>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海通证券股份有限公司</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101"/>
              <w:jc w:val="left"/>
              <w:rPr>
                <w:rFonts w:ascii="宋体" w:hAnsi="宋体" w:cs="宋体" w:eastAsia="宋体" w:hint="default"/>
                <w:sz w:val="18"/>
                <w:szCs w:val="18"/>
              </w:rPr>
            </w:pPr>
            <w:r>
              <w:rPr>
                <w:rFonts w:ascii="宋体" w:hAnsi="宋体" w:cs="宋体" w:eastAsia="宋体" w:hint="default"/>
                <w:sz w:val="18"/>
                <w:szCs w:val="18"/>
              </w:rPr>
              <w:t>上海市广东路 </w:t>
            </w:r>
            <w:r>
              <w:rPr>
                <w:rFonts w:ascii="Times New Roman" w:hAnsi="Times New Roman" w:cs="Times New Roman" w:eastAsia="Times New Roman" w:hint="default"/>
                <w:sz w:val="18"/>
                <w:szCs w:val="18"/>
              </w:rPr>
              <w:t>689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号海通证 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戴文俊、晏璎</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pStyle w:val="BodyText"/>
        <w:spacing w:line="240" w:lineRule="auto" w:before="49"/>
        <w:ind w:right="982"/>
        <w:jc w:val="left"/>
      </w:pPr>
      <w:r>
        <w:rPr/>
        <w:t>公司聘请的报告期内履行持续督导职责的财务顾问</w:t>
      </w:r>
    </w:p>
    <w:p>
      <w:pPr>
        <w:pStyle w:val="BodyText"/>
        <w:spacing w:line="240" w:lineRule="auto" w:before="117"/>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光大证券股份有限公司</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上海市静安区延安中路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789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张嘉伟、姜涛</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line="240" w:lineRule="auto" w:before="1"/>
        <w:rPr>
          <w:rFonts w:ascii="宋体" w:hAnsi="宋体" w:cs="宋体" w:eastAsia="宋体" w:hint="default"/>
          <w:sz w:val="18"/>
          <w:szCs w:val="18"/>
        </w:rPr>
      </w:pPr>
    </w:p>
    <w:p>
      <w:pPr>
        <w:pStyle w:val="Heading2"/>
        <w:spacing w:line="240" w:lineRule="auto" w:before="26"/>
        <w:ind w:right="982"/>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982"/>
        <w:jc w:val="left"/>
      </w:pPr>
      <w:r>
        <w:rPr/>
        <w:t>公司是否需追溯调整或重述以前年度会计数据</w:t>
      </w:r>
    </w:p>
    <w:p>
      <w:pPr>
        <w:pStyle w:val="BodyText"/>
        <w:spacing w:line="240" w:lineRule="auto" w:before="117"/>
        <w:ind w:right="9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8"/>
        <w:gridCol w:w="1738"/>
        <w:gridCol w:w="1738"/>
        <w:gridCol w:w="1735"/>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1,002,076,417.42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754,572,739.63</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32.80%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606,627,349.46</w:t>
            </w:r>
            <w:r>
              <w:rPr>
                <w:rFonts w:ascii="Times New Roman"/>
                <w:sz w:val="18"/>
              </w:rPr>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130,995,099.47</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77,566,911.73</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68.88%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72,687,070.28</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114,523,580.56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68,212,156.64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67.89%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60,191,072.08</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-82,205,187.66</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-46,725,632.50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75.93%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24,270,353.32</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0.18</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5"/>
                <w:sz w:val="18"/>
              </w:rPr>
              <w:t>0.11</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63.64%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5"/>
                <w:sz w:val="18"/>
              </w:rPr>
              <w:t>0.11</w:t>
            </w:r>
            <w:r>
              <w:rPr>
                <w:rFonts w:ascii="Times New Roman"/>
                <w:sz w:val="18"/>
              </w:rPr>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0.18</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pacing w:val="-5"/>
                <w:sz w:val="18"/>
              </w:rPr>
              <w:t>0.11</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63.64%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5"/>
                <w:sz w:val="18"/>
              </w:rPr>
              <w:t>0.11</w:t>
            </w:r>
            <w:r>
              <w:rPr>
                <w:rFonts w:ascii="Times New Roman"/>
                <w:sz w:val="18"/>
              </w:rPr>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7.51%</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2,202,631,796.57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1,986,362,485.14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10.89%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1,461,263,910.69</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1,548,308,536.12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1,446,874,167.52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1,118,379,798.05</w:t>
            </w:r>
          </w:p>
        </w:tc>
      </w:tr>
    </w:tbl>
    <w:p>
      <w:pPr>
        <w:spacing w:line="240" w:lineRule="auto" w:before="1"/>
        <w:rPr>
          <w:rFonts w:ascii="宋体" w:hAnsi="宋体" w:cs="宋体" w:eastAsia="宋体" w:hint="default"/>
          <w:sz w:val="18"/>
          <w:szCs w:val="18"/>
        </w:rPr>
      </w:pPr>
    </w:p>
    <w:p>
      <w:pPr>
        <w:pStyle w:val="Heading2"/>
        <w:spacing w:line="240" w:lineRule="auto" w:before="26"/>
        <w:ind w:right="982"/>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3"/>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586" w:right="0"/>
              <w:jc w:val="left"/>
              <w:rPr>
                <w:rFonts w:ascii="Times New Roman" w:hAnsi="Times New Roman" w:cs="Times New Roman" w:eastAsia="Times New Roman" w:hint="default"/>
                <w:sz w:val="18"/>
                <w:szCs w:val="18"/>
              </w:rPr>
            </w:pPr>
            <w:r>
              <w:rPr>
                <w:rFonts w:ascii="Times New Roman"/>
                <w:sz w:val="18"/>
              </w:rPr>
              <w:t>144,942,800.13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0" w:right="0"/>
              <w:jc w:val="left"/>
              <w:rPr>
                <w:rFonts w:ascii="Times New Roman" w:hAnsi="Times New Roman" w:cs="Times New Roman" w:eastAsia="Times New Roman" w:hint="default"/>
                <w:sz w:val="18"/>
                <w:szCs w:val="18"/>
              </w:rPr>
            </w:pPr>
            <w:r>
              <w:rPr>
                <w:rFonts w:ascii="Times New Roman"/>
                <w:sz w:val="18"/>
              </w:rPr>
              <w:t>278,069,491.04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0" w:right="0"/>
              <w:jc w:val="left"/>
              <w:rPr>
                <w:rFonts w:ascii="Times New Roman" w:hAnsi="Times New Roman" w:cs="Times New Roman" w:eastAsia="Times New Roman" w:hint="default"/>
                <w:sz w:val="18"/>
                <w:szCs w:val="18"/>
              </w:rPr>
            </w:pPr>
            <w:r>
              <w:rPr>
                <w:rFonts w:ascii="Times New Roman"/>
                <w:sz w:val="18"/>
              </w:rPr>
              <w:t>231,706,191.50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347,357,934.75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0"/>
        <w:gridCol w:w="1740"/>
        <w:gridCol w:w="1740"/>
        <w:gridCol w:w="1738"/>
        <w:gridCol w:w="1730"/>
      </w:tblGrid>
      <w:tr>
        <w:trPr>
          <w:trHeight w:val="401" w:hRule="exact"/>
        </w:trPr>
        <w:tc>
          <w:tcPr>
            <w:tcW w:w="2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11,231,618.94</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43,958,017.01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34,006,154.46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41,799,309.06</w:t>
            </w:r>
          </w:p>
        </w:tc>
      </w:tr>
      <w:tr>
        <w:trPr>
          <w:trHeight w:val="715" w:hRule="exact"/>
        </w:trPr>
        <w:tc>
          <w:tcPr>
            <w:tcW w:w="2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8,129,581.23</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41,364,803.21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23,687,770.71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41,341,425.41</w:t>
            </w:r>
          </w:p>
        </w:tc>
      </w:tr>
      <w:tr>
        <w:trPr>
          <w:trHeight w:val="403" w:hRule="exact"/>
        </w:trPr>
        <w:tc>
          <w:tcPr>
            <w:tcW w:w="2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-28,860,538.04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-39,521,349.20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-14,422,734.87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599,434.45</w:t>
            </w:r>
          </w:p>
        </w:tc>
      </w:tr>
    </w:tbl>
    <w:p>
      <w:pPr>
        <w:pStyle w:val="BodyText"/>
        <w:spacing w:line="240" w:lineRule="auto" w:before="49"/>
        <w:ind w:right="982"/>
        <w:jc w:val="left"/>
      </w:pPr>
      <w:r>
        <w:rPr/>
        <w:t>上述财务指标或其加总数是否与公司已披露季度报告、半年度报告相关财务指标存在重大差异</w:t>
      </w:r>
    </w:p>
    <w:p>
      <w:pPr>
        <w:pStyle w:val="BodyText"/>
        <w:spacing w:line="240" w:lineRule="auto" w:before="115"/>
        <w:ind w:right="9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982"/>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2"/>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before="0"/>
        <w:ind w:right="157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1"/>
          <w:szCs w:val="21"/>
        </w:rPr>
      </w:pPr>
    </w:p>
    <w:p>
      <w:pPr>
        <w:pStyle w:val="Heading3"/>
        <w:spacing w:line="240" w:lineRule="auto"/>
        <w:ind w:right="982"/>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982"/>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13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2"/>
        <w:gridCol w:w="1532"/>
        <w:gridCol w:w="1519"/>
        <w:gridCol w:w="1522"/>
        <w:gridCol w:w="1711"/>
      </w:tblGrid>
      <w:tr>
        <w:trPr>
          <w:trHeight w:val="401"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481,508.30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-62,882.95</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-396,463.49</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17,632,410.56</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4,415,489.44</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7,769,989.70</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3,948,515.59</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7,126,450.43</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5,215,209.20</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 期损益进行一次性调整对当期损益的影响</w:t>
            </w:r>
          </w:p>
        </w:tc>
        <w:tc>
          <w:tcPr>
            <w:tcW w:w="1532" w:type="dxa"/>
            <w:tcBorders>
              <w:top w:val="single" w:sz="4" w:space="0" w:color="000000"/>
              <w:left w:val="single" w:sz="10" w:space="0" w:color="D4D4D4"/>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1,874,021.38</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-2,600,891.54</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-203,853.17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12,515.56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5,960.05</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2,923,852.58</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1,761,331.61</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1,979,274.15</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少数股东权益影响额（税后）</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72,131.47</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159,117.05</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16,471,518.91</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9,354,755.09</w:t>
            </w:r>
            <w:r>
              <w:rPr>
                <w:rFonts w:ascii="Times New Roman"/>
                <w:sz w:val="18"/>
              </w:rPr>
            </w:r>
          </w:p>
        </w:tc>
        <w:tc>
          <w:tcPr>
            <w:tcW w:w="1522"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12,495,998.20</w:t>
            </w:r>
          </w:p>
        </w:tc>
        <w:tc>
          <w:tcPr>
            <w:tcW w:w="1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2"/>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2"/>
        <w:ind w:right="1120"/>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spacing w:after="0" w:line="300" w:lineRule="auto"/>
        <w:jc w:val="left"/>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119"/>
        <w:jc w:val="left"/>
      </w:pPr>
      <w:r>
        <w:rPr/>
        <w:t>公司报告期不存在将根据《公开发行证券的公司信息披露解释性公告第</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45" w:right="982"/>
        <w:jc w:val="left"/>
        <w:rPr>
          <w:b w:val="0"/>
          <w:bCs w:val="0"/>
        </w:rPr>
      </w:pPr>
      <w:bookmarkStart w:name="_TOC_250009" w:id="15"/>
      <w:bookmarkStart w:name="第三节 公司业务概要" w:id="16"/>
      <w:r>
        <w:rPr>
          <w:b w:val="0"/>
          <w:bCs w:val="0"/>
        </w:rPr>
      </w:r>
      <w:r>
        <w:rPr/>
        <w:t>第三节</w:t>
      </w:r>
      <w:r>
        <w:rPr>
          <w:spacing w:val="-6"/>
        </w:rPr>
        <w:t> </w:t>
      </w:r>
      <w:r>
        <w:rPr/>
        <w:t>公司业务概要</w:t>
      </w:r>
      <w:bookmarkEnd w:id="15"/>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982"/>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before="0"/>
        <w:ind w:right="7694"/>
        <w:jc w:val="left"/>
      </w:pPr>
      <w:r>
        <w:rPr/>
        <w:t>公司是否需要遵守特殊行业的披露要求 否</w:t>
      </w:r>
    </w:p>
    <w:p>
      <w:pPr>
        <w:pStyle w:val="BodyText"/>
        <w:spacing w:line="316" w:lineRule="auto" w:before="25"/>
        <w:ind w:right="1051" w:firstLine="360"/>
        <w:jc w:val="both"/>
      </w:pPr>
      <w:r>
        <w:rPr/>
        <w:t>公司的主要产品包括张紧装置、制动装置、给料机和两站及机制砂、工业机器人成套生产线、智能化机械式停车设备、 物流及智能仓储系统、停车场投资建设运营一体化业务。</w:t>
      </w:r>
    </w:p>
    <w:p>
      <w:pPr>
        <w:pStyle w:val="BodyText"/>
        <w:spacing w:line="316" w:lineRule="auto" w:before="18"/>
        <w:ind w:right="1127" w:firstLine="360"/>
        <w:jc w:val="both"/>
      </w:pPr>
      <w:r>
        <w:rPr>
          <w:spacing w:val="-2"/>
        </w:rPr>
        <w:t>公司自主研发的张紧装置、制动装置、给料机含有多项技术优势，广泛应用于矿山开采、建筑、港口、码头、电力、水</w:t>
      </w:r>
      <w:r>
        <w:rPr/>
        <w:t> 泥、制造、钢铁等领域。</w:t>
      </w:r>
    </w:p>
    <w:p>
      <w:pPr>
        <w:pStyle w:val="BodyText"/>
        <w:spacing w:line="316" w:lineRule="auto" w:before="18"/>
        <w:ind w:right="1051" w:firstLine="360"/>
        <w:jc w:val="both"/>
      </w:pPr>
      <w:r>
        <w:rPr>
          <w:spacing w:val="-2"/>
        </w:rPr>
        <w:t>混凝土搅拌站、干混砂浆搅拌站和机制砂业务得益于公司在散料搬运上的技术优势，对粉状原料的取料、输送、给料工</w:t>
      </w:r>
      <w:r>
        <w:rPr/>
        <w:t> 序精准度高、运行稳定，配合精确的电子式称量方式以及工业计算机控制系统，具有高效的运行效率，主要运用建筑领域。</w:t>
      </w:r>
    </w:p>
    <w:p>
      <w:pPr>
        <w:pStyle w:val="BodyText"/>
        <w:spacing w:line="300" w:lineRule="auto" w:before="18"/>
        <w:ind w:right="1133" w:firstLine="360"/>
        <w:jc w:val="both"/>
      </w:pPr>
      <w:r>
        <w:rPr>
          <w:spacing w:val="-1"/>
        </w:rPr>
        <w:t>工业机器人成套生产线是指将多个工业机器人本体共同运用在自动化生产线上，生产线的主控</w:t>
      </w:r>
      <w:r>
        <w:rPr>
          <w:rFonts w:ascii="Times New Roman" w:hAnsi="Times New Roman" w:cs="Times New Roman" w:eastAsia="Times New Roman" w:hint="default"/>
          <w:spacing w:val="-1"/>
        </w:rPr>
        <w:t>PLC</w:t>
      </w:r>
      <w:r>
        <w:rPr>
          <w:spacing w:val="-1"/>
        </w:rPr>
        <w:t>通过信号、数据交换</w:t>
      </w:r>
      <w:r>
        <w:rPr/>
        <w:t> 对工业机器人实行控制，以满足整条生产线流程工艺需求，主要用于电器、电子等产品自动化生产。</w:t>
      </w:r>
    </w:p>
    <w:p>
      <w:pPr>
        <w:pStyle w:val="BodyText"/>
        <w:spacing w:line="316" w:lineRule="auto" w:before="31"/>
        <w:ind w:right="1130" w:firstLine="360"/>
        <w:jc w:val="both"/>
      </w:pPr>
      <w:r>
        <w:rPr>
          <w:spacing w:val="-2"/>
        </w:rPr>
        <w:t>智能机械式停车设备作为机电一体化的特种设备，主要运用于房地产业、商业服务设施和城市交通等领域，国内需求庞</w:t>
      </w:r>
      <w:r>
        <w:rPr/>
        <w:t> 大，公司产品种类齐全，市场占有率高。</w:t>
      </w:r>
    </w:p>
    <w:p>
      <w:pPr>
        <w:pStyle w:val="BodyText"/>
        <w:spacing w:line="309" w:lineRule="auto" w:before="18"/>
        <w:ind w:right="1133" w:firstLine="360"/>
        <w:jc w:val="both"/>
      </w:pPr>
      <w:r>
        <w:rPr>
          <w:spacing w:val="-2"/>
        </w:rPr>
        <w:t>物流及仓储自动化成套设备主要运用于仓储货物的进出、分拣、输送及信息收集，主要应用物流和仓储领域，市场容量</w:t>
      </w:r>
      <w:r>
        <w:rPr/>
        <w:t> </w:t>
      </w:r>
      <w:r>
        <w:rPr>
          <w:spacing w:val="-2"/>
        </w:rPr>
        <w:t>大，前景广阔。公司重点对产品软件系统</w:t>
      </w:r>
      <w:r>
        <w:rPr>
          <w:rFonts w:ascii="Times New Roman" w:hAnsi="Times New Roman" w:cs="Times New Roman" w:eastAsia="Times New Roman" w:hint="default"/>
          <w:spacing w:val="-2"/>
        </w:rPr>
        <w:t>——</w:t>
      </w:r>
      <w:r>
        <w:rPr>
          <w:spacing w:val="-2"/>
        </w:rPr>
        <w:t>智能仓储管理系统和智能仓储设备控制系统进行研发，进一步提升物流及仓储</w:t>
      </w:r>
      <w:r>
        <w:rPr>
          <w:spacing w:val="-66"/>
        </w:rPr>
        <w:t> </w:t>
      </w:r>
      <w:r>
        <w:rPr>
          <w:spacing w:val="-66"/>
        </w:rPr>
      </w:r>
      <w:r>
        <w:rPr/>
        <w:t>自动化成套设备智能化程度。</w:t>
      </w:r>
    </w:p>
    <w:p>
      <w:pPr>
        <w:pStyle w:val="BodyText"/>
        <w:spacing w:line="300" w:lineRule="auto" w:before="24"/>
        <w:ind w:right="1044" w:firstLine="360"/>
        <w:jc w:val="both"/>
      </w:pPr>
      <w:r>
        <w:rPr>
          <w:spacing w:val="-3"/>
        </w:rPr>
        <w:t>公司依托装备制造的优势，通过与政府合资共建、</w:t>
      </w:r>
      <w:r>
        <w:rPr>
          <w:rFonts w:ascii="Times New Roman" w:hAnsi="Times New Roman" w:cs="Times New Roman" w:eastAsia="Times New Roman" w:hint="default"/>
          <w:spacing w:val="-3"/>
        </w:rPr>
        <w:t>BOT</w:t>
      </w:r>
      <w:r>
        <w:rPr>
          <w:spacing w:val="-3"/>
        </w:rPr>
        <w:t>、</w:t>
      </w:r>
      <w:r>
        <w:rPr>
          <w:rFonts w:ascii="Times New Roman" w:hAnsi="Times New Roman" w:cs="Times New Roman" w:eastAsia="Times New Roman" w:hint="default"/>
          <w:spacing w:val="-3"/>
        </w:rPr>
        <w:t>EPC</w:t>
      </w:r>
      <w:r>
        <w:rPr>
          <w:spacing w:val="-3"/>
        </w:rPr>
        <w:t>等方式、大力拓展停车产业投资、建设、运营一体化业务，</w:t>
      </w:r>
      <w:r>
        <w:rPr/>
        <w:t> 致力于智能停车投资建设运营一体化服务商。</w:t>
      </w:r>
    </w:p>
    <w:p>
      <w:pPr>
        <w:pStyle w:val="BodyText"/>
        <w:spacing w:line="300" w:lineRule="auto" w:before="31"/>
        <w:ind w:right="1133" w:firstLine="360"/>
        <w:jc w:val="left"/>
      </w:pPr>
      <w:r>
        <w:rPr/>
        <w:t>报告期内主营业务未发生重大改变，产品结构稳定。公司主要通过定制化的方式销售获得订单，一般采取</w:t>
      </w:r>
      <w:r>
        <w:rPr>
          <w:rFonts w:ascii="Times New Roman" w:hAnsi="Times New Roman" w:cs="Times New Roman" w:eastAsia="Times New Roman" w:hint="default"/>
        </w:rPr>
        <w:t>“</w:t>
      </w:r>
      <w:r>
        <w:rPr/>
        <w:t>设计</w:t>
      </w:r>
      <w:r>
        <w:rPr>
          <w:rFonts w:ascii="Times New Roman" w:hAnsi="Times New Roman" w:cs="Times New Roman" w:eastAsia="Times New Roman" w:hint="default"/>
        </w:rPr>
        <w:t>-</w:t>
      </w:r>
      <w:r>
        <w:rPr/>
        <w:t>生产</w:t>
      </w:r>
      <w:r>
        <w:rPr>
          <w:rFonts w:ascii="Times New Roman" w:hAnsi="Times New Roman" w:cs="Times New Roman" w:eastAsia="Times New Roman" w:hint="default"/>
        </w:rPr>
        <w:t>- </w:t>
      </w:r>
      <w:r>
        <w:rPr>
          <w:spacing w:val="-1"/>
        </w:rPr>
        <w:t>销售</w:t>
      </w:r>
      <w:r>
        <w:rPr>
          <w:rFonts w:ascii="Times New Roman" w:hAnsi="Times New Roman" w:cs="Times New Roman" w:eastAsia="Times New Roman" w:hint="default"/>
          <w:spacing w:val="-1"/>
        </w:rPr>
        <w:t>-</w:t>
      </w:r>
      <w:r>
        <w:rPr>
          <w:spacing w:val="-1"/>
        </w:rPr>
        <w:t>售后</w:t>
      </w:r>
      <w:r>
        <w:rPr>
          <w:rFonts w:ascii="Times New Roman" w:hAnsi="Times New Roman" w:cs="Times New Roman" w:eastAsia="Times New Roman" w:hint="default"/>
          <w:spacing w:val="-1"/>
        </w:rPr>
        <w:t>”</w:t>
      </w:r>
      <w:r>
        <w:rPr>
          <w:spacing w:val="-1"/>
        </w:rPr>
        <w:t>的经营模式，依据市场需求趋势以及客户订单需求进行设计，通过客户认可后组织生产及安装，并持续进行售后</w:t>
      </w:r>
      <w:r>
        <w:rPr>
          <w:spacing w:val="-79"/>
        </w:rPr>
        <w:t> </w:t>
      </w:r>
      <w:r>
        <w:rPr>
          <w:spacing w:val="-79"/>
        </w:rPr>
      </w:r>
      <w:r>
        <w:rPr/>
        <w:t>服务。</w:t>
      </w:r>
    </w:p>
    <w:p>
      <w:pPr>
        <w:pStyle w:val="BodyText"/>
        <w:spacing w:line="307" w:lineRule="auto" w:before="72"/>
        <w:ind w:right="1128" w:firstLine="432"/>
        <w:jc w:val="both"/>
      </w:pPr>
      <w:r>
        <w:rPr/>
        <w:t>我国目前正处于扩大内需、加快基础设施建设和产业转型升级的关键时期，对先进装备有着巨大的市场需求。高端智 </w:t>
      </w:r>
      <w:r>
        <w:rPr>
          <w:spacing w:val="-2"/>
        </w:rPr>
        <w:t>能装备制造行业是国家战略性产业，大力发展高端制造装备，是国家</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期间的一项重要任务。未来，公司将紧紧抓住</w:t>
      </w:r>
      <w:r>
        <w:rPr>
          <w:spacing w:val="-45"/>
        </w:rPr>
        <w:t> </w:t>
      </w:r>
      <w:r>
        <w:rPr>
          <w:spacing w:val="-45"/>
        </w:rPr>
      </w:r>
      <w:r>
        <w:rPr/>
        <w:t>国家大力发展工业</w:t>
      </w:r>
      <w:r>
        <w:rPr>
          <w:rFonts w:ascii="Times New Roman" w:hAnsi="Times New Roman" w:cs="Times New Roman" w:eastAsia="Times New Roman" w:hint="default"/>
        </w:rPr>
        <w:t>4.0</w:t>
      </w:r>
      <w:r>
        <w:rPr/>
        <w:t>的战略机遇，以提升公司盈利能力为主要目标，以新产品研发为主攻方向，统筹兼顾，突出重点</w:t>
      </w:r>
      <w:r>
        <w:rPr>
          <w:rFonts w:ascii="Times New Roman" w:hAnsi="Times New Roman" w:cs="Times New Roman" w:eastAsia="Times New Roman" w:hint="default"/>
        </w:rPr>
        <w:t>,</w:t>
      </w:r>
      <w:r>
        <w:rPr/>
        <w:t>为更</w:t>
      </w:r>
      <w:r>
        <w:rPr>
          <w:spacing w:val="-81"/>
        </w:rPr>
        <w:t> </w:t>
      </w:r>
      <w:r>
        <w:rPr/>
        <w:t>多下游客户提供工业</w:t>
      </w:r>
      <w:r>
        <w:rPr>
          <w:rFonts w:ascii="Times New Roman" w:hAnsi="Times New Roman" w:cs="Times New Roman" w:eastAsia="Times New Roman" w:hint="default"/>
        </w:rPr>
        <w:t>4.0</w:t>
      </w:r>
      <w:r>
        <w:rPr/>
        <w:t>智能制造解决方案，推动中国制造转型升级，为公司实现可持续发展提供产业保障。</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43"/>
        <w:ind w:right="982"/>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82"/>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28"/>
        <w:gridCol w:w="6529"/>
      </w:tblGrid>
      <w:tr>
        <w:trPr>
          <w:trHeight w:val="185" w:hRule="exact"/>
        </w:trPr>
        <w:tc>
          <w:tcPr>
            <w:tcW w:w="3028" w:type="dxa"/>
            <w:tcBorders>
              <w:top w:val="single" w:sz="4" w:space="0" w:color="000000"/>
              <w:left w:val="single" w:sz="4" w:space="0" w:color="000000"/>
              <w:bottom w:val="nil" w:sz="6" w:space="0" w:color="auto"/>
              <w:right w:val="single" w:sz="4" w:space="0" w:color="000000"/>
            </w:tcBorders>
            <w:shd w:val="clear" w:color="auto" w:fill="D4D4D4"/>
          </w:tcPr>
          <w:p>
            <w:pPr/>
          </w:p>
        </w:tc>
        <w:tc>
          <w:tcPr>
            <w:tcW w:w="6529"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4" w:hRule="exact"/>
        </w:trPr>
        <w:tc>
          <w:tcPr>
            <w:tcW w:w="302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2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28" w:type="dxa"/>
            <w:tcBorders>
              <w:top w:val="nil" w:sz="6" w:space="0" w:color="auto"/>
              <w:left w:val="single" w:sz="4" w:space="0" w:color="000000"/>
              <w:bottom w:val="single" w:sz="4" w:space="0" w:color="000000"/>
              <w:right w:val="single" w:sz="4" w:space="0" w:color="000000"/>
            </w:tcBorders>
            <w:shd w:val="clear" w:color="auto" w:fill="D4D4D4"/>
          </w:tcPr>
          <w:p>
            <w:pPr/>
          </w:p>
        </w:tc>
        <w:tc>
          <w:tcPr>
            <w:tcW w:w="6529"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3" w:hRule="exact"/>
        </w:trPr>
        <w:tc>
          <w:tcPr>
            <w:tcW w:w="30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2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福建比硕报告期亏损导致长期股权投资较期初下降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13.76%</w:t>
            </w:r>
          </w:p>
        </w:tc>
      </w:tr>
      <w:tr>
        <w:trPr>
          <w:trHeight w:val="401" w:hRule="exact"/>
        </w:trPr>
        <w:tc>
          <w:tcPr>
            <w:tcW w:w="30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2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计提固定资产折旧、处置固定资产导致固定资产较期初下降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3.52%</w:t>
            </w:r>
          </w:p>
        </w:tc>
      </w:tr>
      <w:tr>
        <w:trPr>
          <w:trHeight w:val="403" w:hRule="exact"/>
        </w:trPr>
        <w:tc>
          <w:tcPr>
            <w:tcW w:w="30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2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无形资产摊销导致无形资产较期初下降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4.13%</w:t>
            </w:r>
          </w:p>
        </w:tc>
      </w:tr>
      <w:tr>
        <w:trPr>
          <w:trHeight w:val="401" w:hRule="exact"/>
        </w:trPr>
        <w:tc>
          <w:tcPr>
            <w:tcW w:w="30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2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子公司新建厂房及停车场项目导致在建工程较期初增加</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1146.78%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050"/>
        <w:gridCol w:w="6518"/>
      </w:tblGrid>
      <w:tr>
        <w:trPr>
          <w:trHeight w:val="401" w:hRule="exact"/>
        </w:trPr>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采购预付增加导致预付账款较期初增加</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56.66%</w:t>
            </w: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保证金、押金等增加导致其他应收款较期初增加</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55.57%</w:t>
            </w:r>
          </w:p>
        </w:tc>
      </w:tr>
      <w:tr>
        <w:trPr>
          <w:trHeight w:val="401" w:hRule="exact"/>
        </w:trPr>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销售订单增加导致存货较期初增加</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43.69%</w:t>
            </w: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理财产品减少导致其他流动资产较期初下降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31.68%</w:t>
            </w:r>
          </w:p>
        </w:tc>
      </w:tr>
      <w:tr>
        <w:trPr>
          <w:trHeight w:val="401" w:hRule="exact"/>
        </w:trPr>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长期应收款重新分类导致较期初增加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3790.76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长期应收款重新分类导致较期初下降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62.77%</w:t>
            </w:r>
          </w:p>
        </w:tc>
      </w:tr>
      <w:tr>
        <w:trPr>
          <w:trHeight w:val="401" w:hRule="exact"/>
        </w:trPr>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停车场工程支出、土地租赁费增加导致长期待摊费用较期初增加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181.01%</w:t>
            </w: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工程款预付导致其他非流动资产较期初下降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39.47%</w:t>
            </w:r>
          </w:p>
        </w:tc>
      </w:tr>
    </w:tbl>
    <w:p>
      <w:pPr>
        <w:spacing w:line="240" w:lineRule="auto" w:before="3"/>
        <w:rPr>
          <w:rFonts w:ascii="宋体" w:hAnsi="宋体" w:cs="宋体" w:eastAsia="宋体" w:hint="default"/>
          <w:b/>
          <w:bCs/>
          <w:sz w:val="19"/>
          <w:szCs w:val="19"/>
        </w:rPr>
      </w:pPr>
    </w:p>
    <w:p>
      <w:pPr>
        <w:pStyle w:val="Heading3"/>
        <w:spacing w:line="240" w:lineRule="auto" w:before="36"/>
        <w:ind w:right="982"/>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82"/>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60" w:lineRule="auto" w:before="0"/>
        <w:ind w:right="7694"/>
        <w:jc w:val="left"/>
      </w:pPr>
      <w:r>
        <w:rPr/>
        <w:t>公司是否需要遵守特殊行业的披露要求 否</w:t>
      </w:r>
    </w:p>
    <w:p>
      <w:pPr>
        <w:pStyle w:val="BodyText"/>
        <w:spacing w:line="316" w:lineRule="auto" w:before="27"/>
        <w:ind w:right="1130" w:firstLine="288"/>
        <w:jc w:val="both"/>
      </w:pPr>
      <w:r>
        <w:rPr>
          <w:spacing w:val="-1"/>
        </w:rPr>
        <w:t>公司始终致力于散料搬运自动化解决方案及智能装备制造技术的研发与应用，为客户提供优质的产品与服务；依托装备</w:t>
      </w:r>
      <w:r>
        <w:rPr/>
        <w:t> </w:t>
      </w:r>
      <w:r>
        <w:rPr>
          <w:spacing w:val="-2"/>
        </w:rPr>
        <w:t>制造优势，致力成为智慧城市停车投资建设运营一体化服务商。报告期内，公司核心竞争力得到进一步巩固和增强，为提升</w:t>
      </w:r>
      <w:r>
        <w:rPr>
          <w:spacing w:val="-64"/>
        </w:rPr>
        <w:t> </w:t>
      </w:r>
      <w:r>
        <w:rPr>
          <w:spacing w:val="-64"/>
        </w:rPr>
      </w:r>
      <w:r>
        <w:rPr/>
        <w:t>公司管理水平及长远发展奠定了夯实的基础。主要有以下几个方面：</w:t>
      </w:r>
    </w:p>
    <w:p>
      <w:pPr>
        <w:pStyle w:val="BodyText"/>
        <w:spacing w:line="300" w:lineRule="auto" w:before="18"/>
        <w:ind w:left="440" w:right="982" w:firstLine="360"/>
        <w:jc w:val="left"/>
      </w:pPr>
      <w:r>
        <w:rPr>
          <w:rFonts w:ascii="Times New Roman" w:hAnsi="Times New Roman" w:cs="Times New Roman" w:eastAsia="Times New Roman" w:hint="default"/>
        </w:rPr>
        <w:t>1</w:t>
      </w:r>
      <w:r>
        <w:rPr/>
        <w:t>、产品技术优势 </w:t>
      </w:r>
      <w:r>
        <w:rPr>
          <w:spacing w:val="-1"/>
        </w:rPr>
        <w:t>公司生产的张紧装置主要采用了快速液压制动技术、输送带张力自适应控制技术、不停机移动机尾张紧技术，通过上述</w:t>
      </w:r>
    </w:p>
    <w:p>
      <w:pPr>
        <w:pStyle w:val="BodyText"/>
        <w:spacing w:line="314" w:lineRule="auto" w:before="31"/>
        <w:ind w:right="982"/>
        <w:jc w:val="left"/>
      </w:pPr>
      <w:r>
        <w:rPr>
          <w:spacing w:val="-4"/>
        </w:rPr>
        <w:t>技术的运用，张紧装置在提高散料搬运系统工作效率和可靠性方面优势比较明显；公司生产的制动装置运用了柔性制动技术，</w:t>
      </w:r>
      <w:r>
        <w:rPr>
          <w:spacing w:val="-44"/>
        </w:rPr>
        <w:t> </w:t>
      </w:r>
      <w:r>
        <w:rPr>
          <w:spacing w:val="-44"/>
        </w:rPr>
      </w:r>
      <w:r>
        <w:rPr>
          <w:spacing w:val="-2"/>
        </w:rPr>
        <w:t>通过柔性制动技术的运用，公司生产的制动装置在保障散料搬运系统运行可靠性方面优势较为突出，不仅可保证制动减速度</w:t>
      </w:r>
      <w:r>
        <w:rPr>
          <w:spacing w:val="-64"/>
        </w:rPr>
        <w:t> </w:t>
      </w:r>
      <w:r>
        <w:rPr>
          <w:spacing w:val="-64"/>
        </w:rPr>
      </w:r>
      <w:r>
        <w:rPr/>
        <w:t>保持在</w:t>
      </w:r>
      <w:r>
        <w:rPr>
          <w:rFonts w:ascii="Times New Roman" w:hAnsi="Times New Roman" w:cs="Times New Roman" w:eastAsia="Times New Roman" w:hint="default"/>
        </w:rPr>
        <w:t>0.1</w:t>
      </w:r>
      <w:r>
        <w:rPr/>
        <w:t>～</w:t>
      </w:r>
      <w:r>
        <w:rPr>
          <w:rFonts w:ascii="Times New Roman" w:hAnsi="Times New Roman" w:cs="Times New Roman" w:eastAsia="Times New Roman" w:hint="default"/>
        </w:rPr>
        <w:t>0.3m/s2</w:t>
      </w:r>
      <w:r>
        <w:rPr/>
        <w:t>范围内，而且防止制动过程中减速度出现突变时导致的输送带张力的减小，避免了由制动减速度不当所</w:t>
      </w:r>
      <w:r>
        <w:rPr>
          <w:spacing w:val="-79"/>
        </w:rPr>
        <w:t> </w:t>
      </w:r>
      <w:r>
        <w:rPr>
          <w:spacing w:val="-79"/>
        </w:rPr>
      </w:r>
      <w:r>
        <w:rPr>
          <w:spacing w:val="-2"/>
        </w:rPr>
        <w:t>造成的断带以及物料堆积等恶性事故的发生；公司生产的给料机，通过防窜仓技术的运用，能够预防窜仓事故的发生，有效</w:t>
      </w:r>
      <w:r>
        <w:rPr>
          <w:spacing w:val="-64"/>
        </w:rPr>
        <w:t> </w:t>
      </w:r>
      <w:r>
        <w:rPr>
          <w:spacing w:val="-64"/>
        </w:rPr>
      </w:r>
      <w:r>
        <w:rPr/>
        <w:t>地控制并减小了窜仓事故对运输设备造成的严重损坏以及对工作人员生命安全的危害。</w:t>
      </w:r>
    </w:p>
    <w:p>
      <w:pPr>
        <w:pStyle w:val="BodyText"/>
        <w:spacing w:line="314" w:lineRule="auto" w:before="20"/>
        <w:ind w:right="1044" w:firstLine="288"/>
        <w:jc w:val="both"/>
      </w:pPr>
      <w:r>
        <w:rPr/>
        <w:t>伟创自动化拥有涵盖升降横移类、垂直升降类、垂直循环类、水平循环类、多层循环类、平面移动类、巷道堆垛类、简 </w:t>
      </w:r>
      <w:r>
        <w:rPr>
          <w:spacing w:val="-2"/>
        </w:rPr>
        <w:t>易升降类、汽车升降机全部九类机械式停车设备制造资质，是少数拥有全部机械式停车设备制造资质的企业。凭借多年来技</w:t>
      </w:r>
      <w:r>
        <w:rPr>
          <w:spacing w:val="-63"/>
        </w:rPr>
        <w:t> </w:t>
      </w:r>
      <w:r>
        <w:rPr>
          <w:spacing w:val="-63"/>
        </w:rPr>
      </w:r>
      <w:r>
        <w:rPr>
          <w:spacing w:val="-2"/>
        </w:rPr>
        <w:t>术沉淀和项目经验积累，伟创自动化目前已成为国内重要机械式停车设备制造商。伟创自动化生产工业机器人装备主要包括</w:t>
      </w:r>
      <w:r>
        <w:rPr>
          <w:spacing w:val="-64"/>
        </w:rPr>
        <w:t> </w:t>
      </w:r>
      <w:r>
        <w:rPr>
          <w:spacing w:val="-64"/>
        </w:rPr>
      </w:r>
      <w:r>
        <w:rPr/>
        <w:t>各式机械手、升降机、移载机、平移旋转机构等。工业机器人本体及配件连接，通过</w:t>
      </w:r>
      <w:r>
        <w:rPr>
          <w:rFonts w:ascii="Times New Roman" w:hAnsi="Times New Roman" w:cs="Times New Roman" w:eastAsia="Times New Roman" w:hint="default"/>
        </w:rPr>
        <w:t>PLC</w:t>
      </w:r>
      <w:r>
        <w:rPr/>
        <w:t>完成指令输入，组件控制及信息收 </w:t>
      </w:r>
      <w:r>
        <w:rPr>
          <w:spacing w:val="-4"/>
        </w:rPr>
        <w:t>集，并与上位机（如工控机、人机界面等）生产系统软件进行对接，并由上位机统一控制，共同协调作用完成某一特定功能。</w:t>
      </w:r>
    </w:p>
    <w:p>
      <w:pPr>
        <w:pStyle w:val="BodyText"/>
        <w:spacing w:line="316" w:lineRule="auto" w:before="20"/>
        <w:ind w:right="982" w:firstLine="288"/>
        <w:jc w:val="left"/>
      </w:pPr>
      <w:r>
        <w:rPr>
          <w:spacing w:val="-1"/>
        </w:rPr>
        <w:t>伟创自动化生产的物流及仓储自动化成套设备主要运用于仓储货物的进出、分拣、输送及信息收集，重点对产品软件系</w:t>
      </w:r>
      <w:r>
        <w:rPr/>
        <w:t> 统</w:t>
      </w:r>
      <w:r>
        <w:rPr>
          <w:rFonts w:ascii="Times New Roman" w:hAnsi="Times New Roman" w:cs="Times New Roman" w:eastAsia="Times New Roman" w:hint="default"/>
        </w:rPr>
        <w:t>——</w:t>
      </w:r>
      <w:r>
        <w:rPr/>
        <w:t>智能仓储管理系统和智能仓储设备控制系统进行研发，物流及仓储自动化成套设备智能化程度进一步提升。</w:t>
      </w:r>
    </w:p>
    <w:p>
      <w:pPr>
        <w:pStyle w:val="BodyText"/>
        <w:spacing w:line="316" w:lineRule="auto" w:before="0"/>
        <w:ind w:right="982" w:firstLine="288"/>
        <w:jc w:val="left"/>
      </w:pPr>
      <w:r>
        <w:rPr>
          <w:spacing w:val="-1"/>
        </w:rPr>
        <w:t>天辰智能拥有升降横移类、简易升降类、垂直循环类、平面移动类机械式停车设备制造资质，凭借多年来技术沉淀和项</w:t>
      </w:r>
      <w:r>
        <w:rPr/>
        <w:t> 目经验积累，智能搬运器性能稳定，拥有完全自主知识产权，质优价廉，一定程度上增强了产品的市场竞争力。</w:t>
      </w:r>
    </w:p>
    <w:p>
      <w:pPr>
        <w:pStyle w:val="BodyText"/>
        <w:spacing w:line="316" w:lineRule="auto" w:before="18"/>
        <w:ind w:right="1034" w:firstLine="288"/>
        <w:jc w:val="left"/>
      </w:pPr>
      <w:r>
        <w:rPr/>
        <w:t>公司控股孙公司同方佰宜以高安全、高可靠性和大容量固态存储作为研发出发点，拥有完全的自主研发能力，并承接了 一系列的安全固态存储解决方案，研发了系列安全固态存储产品。公司的固态存储产品广泛应用于航空、航海、工业控制、 车载和军工等领域，并能够针对用户需求提供定制化的固态存储解决方案。</w:t>
      </w:r>
    </w:p>
    <w:p>
      <w:pPr>
        <w:pStyle w:val="BodyText"/>
        <w:spacing w:line="309" w:lineRule="auto" w:before="18"/>
        <w:ind w:right="1034" w:firstLine="288"/>
        <w:jc w:val="left"/>
      </w:pPr>
      <w:r>
        <w:rPr/>
        <w:t>公司控股孙公司同方佰宜</w:t>
      </w:r>
      <w:r>
        <w:rPr>
          <w:rFonts w:ascii="Times New Roman" w:hAnsi="Times New Roman" w:cs="Times New Roman" w:eastAsia="Times New Roman" w:hint="default"/>
        </w:rPr>
        <w:t>2013</w:t>
      </w:r>
      <w:r>
        <w:rPr/>
        <w:t>年开始大力进军无人艇领域，经过五年多的发展，公司现已形成了专业的技术团队，在无 </w:t>
      </w:r>
      <w:r>
        <w:rPr>
          <w:spacing w:val="-4"/>
        </w:rPr>
        <w:t>人艇控制领域也达到了领先的地位。公司在船舶避碰系统、基于电子海图的无人艇全局路径规划系统、高精度的无人艇姿态、</w:t>
      </w:r>
      <w:r>
        <w:rPr>
          <w:spacing w:val="-44"/>
        </w:rPr>
        <w:t> </w:t>
      </w:r>
      <w:r>
        <w:rPr>
          <w:spacing w:val="-44"/>
        </w:rPr>
      </w:r>
      <w:r>
        <w:rPr/>
        <w:t>位置测量和控制系统、三维仿真平台系统及无人靶艇脱靶量测量系统等相关技术研发取得重大进展。在靶艇的研制过程中，</w:t>
      </w:r>
    </w:p>
    <w:p>
      <w:pPr>
        <w:spacing w:after="0" w:line="309" w:lineRule="auto"/>
        <w:jc w:val="left"/>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ind w:right="982"/>
        <w:jc w:val="left"/>
      </w:pPr>
      <w:r>
        <w:rPr>
          <w:spacing w:val="-4"/>
        </w:rPr>
        <w:t>公司积累了宝贵的海洋试验数据和工程经验，同时也看到了无人艇在港口安防、水利检查、海岸巡查等领域的巨大应用潜力。</w:t>
      </w:r>
    </w:p>
    <w:p>
      <w:pPr>
        <w:pStyle w:val="BodyText"/>
        <w:spacing w:line="300" w:lineRule="auto" w:before="76"/>
        <w:ind w:left="440" w:right="1032" w:firstLine="360"/>
        <w:jc w:val="left"/>
      </w:pPr>
      <w:r>
        <w:rPr>
          <w:rFonts w:ascii="Times New Roman" w:hAnsi="Times New Roman" w:cs="Times New Roman" w:eastAsia="Times New Roman" w:hint="default"/>
        </w:rPr>
        <w:t>2</w:t>
      </w:r>
      <w:r>
        <w:rPr/>
        <w:t>、专业化方案设计优势 </w:t>
      </w:r>
      <w:r>
        <w:rPr>
          <w:spacing w:val="-2"/>
        </w:rPr>
        <w:t>散料搬运核心装置及设备的应用的条件和环境各不相同，个性化需求较强，因此对设计能力要求较高。为适应客户需求，</w:t>
      </w:r>
    </w:p>
    <w:p>
      <w:pPr>
        <w:pStyle w:val="BodyText"/>
        <w:spacing w:line="316" w:lineRule="auto" w:before="31"/>
        <w:ind w:right="982"/>
        <w:jc w:val="left"/>
      </w:pPr>
      <w:r>
        <w:rPr>
          <w:spacing w:val="-2"/>
        </w:rPr>
        <w:t>公司十分注重对带式输送机整机特性的研究，在设计理念和辅助设计软件方面不断开拓创新，在行业中较早地将动态优化设</w:t>
      </w:r>
      <w:r>
        <w:rPr>
          <w:spacing w:val="-64"/>
        </w:rPr>
        <w:t> </w:t>
      </w:r>
      <w:r>
        <w:rPr>
          <w:spacing w:val="-64"/>
        </w:rPr>
      </w:r>
      <w:r>
        <w:rPr/>
        <w:t>计的理论研究应用到生产经营中，并利用已有的设计经验自主开发了带式输送机设计分析系统，应用于辅助设计工作。</w:t>
      </w:r>
    </w:p>
    <w:p>
      <w:pPr>
        <w:pStyle w:val="BodyText"/>
        <w:spacing w:line="309" w:lineRule="auto" w:before="18"/>
        <w:ind w:right="1131" w:firstLine="288"/>
        <w:jc w:val="both"/>
      </w:pPr>
      <w:r>
        <w:rPr>
          <w:spacing w:val="-1"/>
        </w:rPr>
        <w:t>机械停车技术中心对未来战略发展产品进行技术研发和验证，并根据项目现场实际情况和已签订合同中客户的特定需求</w:t>
      </w:r>
      <w:r>
        <w:rPr/>
        <w:t> </w:t>
      </w:r>
      <w:r>
        <w:rPr>
          <w:spacing w:val="-2"/>
        </w:rPr>
        <w:t>进行产品设计，以质量和有竞争力的价格优势作为研发设计策略，开发出系列满足客户特定需求的非标准化产品。机械停车</w:t>
      </w:r>
      <w:r>
        <w:rPr>
          <w:spacing w:val="-63"/>
        </w:rPr>
        <w:t> </w:t>
      </w:r>
      <w:r>
        <w:rPr>
          <w:spacing w:val="-63"/>
        </w:rPr>
      </w:r>
      <w:r>
        <w:rPr/>
        <w:t>软件事业部系公司为实现工业</w:t>
      </w:r>
      <w:r>
        <w:rPr>
          <w:rFonts w:ascii="Times New Roman" w:hAnsi="Times New Roman" w:cs="Times New Roman" w:eastAsia="Times New Roman" w:hint="default"/>
        </w:rPr>
        <w:t>4.0</w:t>
      </w:r>
      <w:r>
        <w:rPr/>
        <w:t>概念中信息化突破而设立的部门，软件事业部聘请具备专业技能且经验丰富的软件程序开</w:t>
      </w:r>
      <w:r>
        <w:rPr>
          <w:spacing w:val="-45"/>
        </w:rPr>
        <w:t> </w:t>
      </w:r>
      <w:r>
        <w:rPr>
          <w:spacing w:val="-45"/>
        </w:rPr>
      </w:r>
      <w:r>
        <w:rPr>
          <w:spacing w:val="-1"/>
        </w:rPr>
        <w:t>发人员对产品进行软件研发，由于伟创自动化本体产品均通过</w:t>
      </w:r>
      <w:r>
        <w:rPr>
          <w:rFonts w:ascii="Times New Roman" w:hAnsi="Times New Roman" w:cs="Times New Roman" w:eastAsia="Times New Roman" w:hint="default"/>
          <w:spacing w:val="-1"/>
        </w:rPr>
        <w:t>PLC</w:t>
      </w:r>
      <w:r>
        <w:rPr>
          <w:spacing w:val="-1"/>
        </w:rPr>
        <w:t>预留有信息采集、信息交互的各类数据接口，伟创自动化</w:t>
      </w:r>
      <w:r>
        <w:rPr>
          <w:spacing w:val="-88"/>
        </w:rPr>
        <w:t> </w:t>
      </w:r>
      <w:r>
        <w:rPr>
          <w:spacing w:val="-88"/>
        </w:rPr>
      </w:r>
      <w:r>
        <w:rPr/>
        <w:t>计划与客户进行软件系统合作研发，使集成完整的工业</w:t>
      </w:r>
      <w:r>
        <w:rPr>
          <w:rFonts w:ascii="Times New Roman" w:hAnsi="Times New Roman" w:cs="Times New Roman" w:eastAsia="Times New Roman" w:hint="default"/>
        </w:rPr>
        <w:t>4.0</w:t>
      </w:r>
      <w:r>
        <w:rPr/>
        <w:t>解决方案成为可能。</w:t>
      </w:r>
    </w:p>
    <w:p>
      <w:pPr>
        <w:pStyle w:val="BodyText"/>
        <w:spacing w:line="300" w:lineRule="auto" w:before="5"/>
        <w:ind w:left="440" w:right="982" w:firstLine="360"/>
        <w:jc w:val="left"/>
      </w:pPr>
      <w:r>
        <w:rPr>
          <w:rFonts w:ascii="Times New Roman" w:hAnsi="Times New Roman" w:cs="Times New Roman" w:eastAsia="Times New Roman" w:hint="default"/>
        </w:rPr>
        <w:t>3</w:t>
      </w:r>
      <w:r>
        <w:rPr/>
        <w:t>、专业化综合服务优势 </w:t>
      </w:r>
      <w:r>
        <w:rPr>
          <w:spacing w:val="-1"/>
        </w:rPr>
        <w:t>在高端散料搬运核心装置及设备市场的竞争中，客户关注的不仅仅是产品本身，更加关注企业提供系统解决方案等配套</w:t>
      </w:r>
    </w:p>
    <w:p>
      <w:pPr>
        <w:pStyle w:val="BodyText"/>
        <w:spacing w:line="316" w:lineRule="auto" w:before="31"/>
        <w:ind w:right="982"/>
        <w:jc w:val="left"/>
      </w:pPr>
      <w:r>
        <w:rPr>
          <w:spacing w:val="-2"/>
        </w:rPr>
        <w:t>服务的能力，因此公司依靠技术支持，提供从售前到售后的持续服务，不断完善专业化综合服务，将专业化综合服务能力转</w:t>
      </w:r>
      <w:r>
        <w:rPr>
          <w:spacing w:val="-65"/>
        </w:rPr>
        <w:t> </w:t>
      </w:r>
      <w:r>
        <w:rPr>
          <w:spacing w:val="-65"/>
        </w:rPr>
      </w:r>
      <w:r>
        <w:rPr/>
        <w:t>化为核心竞争力之一。</w:t>
      </w:r>
    </w:p>
    <w:p>
      <w:pPr>
        <w:pStyle w:val="BodyText"/>
        <w:spacing w:line="316" w:lineRule="auto" w:before="18"/>
        <w:ind w:right="1130" w:firstLine="288"/>
        <w:jc w:val="both"/>
      </w:pPr>
      <w:r>
        <w:rPr>
          <w:spacing w:val="-1"/>
        </w:rPr>
        <w:t>随着伟创自动化和天辰智能并购完成，公司在机械停车行业构建南有伟创自动化、北有天辰智能南北双核格局，建立和</w:t>
      </w:r>
      <w:r>
        <w:rPr/>
        <w:t> </w:t>
      </w:r>
      <w:r>
        <w:rPr>
          <w:spacing w:val="-2"/>
        </w:rPr>
        <w:t>完善销售、技术和售后服务网络，公司凭借其多年深耕行业的丰富经验和强大的技术储备，第一时间了解客户需求，并为客</w:t>
      </w:r>
      <w:r>
        <w:rPr>
          <w:spacing w:val="-64"/>
        </w:rPr>
        <w:t> </w:t>
      </w:r>
      <w:r>
        <w:rPr>
          <w:spacing w:val="-64"/>
        </w:rPr>
      </w:r>
      <w:r>
        <w:rPr>
          <w:spacing w:val="-2"/>
        </w:rPr>
        <w:t>户提供专业、及时的解决方案和服务。设立有售后服务部门，并在全国范围内设立办事处，负责对客户所购设备发生的问题</w:t>
      </w:r>
      <w:r>
        <w:rPr>
          <w:spacing w:val="-65"/>
        </w:rPr>
        <w:t> </w:t>
      </w:r>
      <w:r>
        <w:rPr>
          <w:spacing w:val="-65"/>
        </w:rPr>
      </w:r>
      <w:r>
        <w:rPr/>
        <w:t>进行及时反馈和解决，并分配专人产品进行售后专业维修、保养以及机械式停车设备年检。</w:t>
      </w:r>
    </w:p>
    <w:p>
      <w:pPr>
        <w:pStyle w:val="BodyText"/>
        <w:spacing w:line="300" w:lineRule="auto" w:before="18"/>
        <w:ind w:left="440" w:right="1106" w:firstLine="360"/>
        <w:jc w:val="left"/>
      </w:pPr>
      <w:r>
        <w:rPr>
          <w:rFonts w:ascii="Times New Roman" w:hAnsi="Times New Roman" w:cs="Times New Roman" w:eastAsia="Times New Roman" w:hint="default"/>
        </w:rPr>
        <w:t>4</w:t>
      </w:r>
      <w:r>
        <w:rPr/>
        <w:t>、营销优势 通过营销网络与服务中心建设，继续推进全国销售网点的重点布局，进一步扩大产品市场份额，并积极开拓新兴市场，</w:t>
      </w:r>
    </w:p>
    <w:p>
      <w:pPr>
        <w:pStyle w:val="BodyText"/>
        <w:spacing w:line="316" w:lineRule="auto" w:before="31"/>
        <w:ind w:right="982"/>
        <w:jc w:val="left"/>
      </w:pPr>
      <w:r>
        <w:rPr>
          <w:spacing w:val="-4"/>
        </w:rPr>
        <w:t>实现市场销售量的稳步增长。并对现有产品进行改良和优化，加大新技术新产品投放市场力度，持续扩大产品在技术、性能、</w:t>
      </w:r>
      <w:r>
        <w:rPr>
          <w:spacing w:val="-46"/>
        </w:rPr>
        <w:t> </w:t>
      </w:r>
      <w:r>
        <w:rPr>
          <w:spacing w:val="-46"/>
        </w:rPr>
      </w:r>
      <w:r>
        <w:rPr>
          <w:spacing w:val="-2"/>
        </w:rPr>
        <w:t>质量等方面的优势，占据更大的市场份额。公司以市场为导向，效益最大化为出发点，通过合理布局，投资建设生产基地和</w:t>
      </w:r>
      <w:r>
        <w:rPr>
          <w:spacing w:val="-67"/>
        </w:rPr>
        <w:t> </w:t>
      </w:r>
      <w:r>
        <w:rPr>
          <w:spacing w:val="-67"/>
        </w:rPr>
      </w:r>
      <w:r>
        <w:rPr/>
        <w:t>优化现有生产线，满足新增产能需求。</w:t>
      </w:r>
    </w:p>
    <w:p>
      <w:pPr>
        <w:pStyle w:val="BodyText"/>
        <w:spacing w:line="300" w:lineRule="auto" w:before="18"/>
        <w:ind w:left="440" w:right="1032" w:firstLine="360"/>
        <w:jc w:val="left"/>
      </w:pPr>
      <w:r>
        <w:rPr>
          <w:rFonts w:ascii="Times New Roman" w:hAnsi="Times New Roman" w:cs="Times New Roman" w:eastAsia="Times New Roman" w:hint="default"/>
        </w:rPr>
        <w:t>5</w:t>
      </w:r>
      <w:r>
        <w:rPr/>
        <w:t>、资本和经营模式优势 </w:t>
      </w:r>
      <w:r>
        <w:rPr>
          <w:spacing w:val="-2"/>
        </w:rPr>
        <w:t>公司根据发展战略，围绕自身核心业务，以增强公司中长期战略竞争能力为目的，积极寻求在智能装备领域的稳步扩张，</w:t>
      </w:r>
    </w:p>
    <w:p>
      <w:pPr>
        <w:pStyle w:val="BodyText"/>
        <w:spacing w:line="316" w:lineRule="auto" w:before="31"/>
        <w:ind w:right="982"/>
        <w:jc w:val="left"/>
      </w:pPr>
      <w:r>
        <w:rPr>
          <w:spacing w:val="-4"/>
        </w:rPr>
        <w:t>在时机、条件和对象等较为成熟的前提下，公司将充分利用自身优势，采用兼并收购、资金投入、合作开发等多种形式扩张，</w:t>
      </w:r>
      <w:r>
        <w:rPr>
          <w:spacing w:val="-43"/>
        </w:rPr>
        <w:t> </w:t>
      </w:r>
      <w:r>
        <w:rPr>
          <w:spacing w:val="-43"/>
        </w:rPr>
      </w:r>
      <w:r>
        <w:rPr/>
        <w:t>提升公司的规模和综合竞争力。</w:t>
      </w:r>
    </w:p>
    <w:p>
      <w:pPr>
        <w:pStyle w:val="BodyText"/>
        <w:spacing w:line="300" w:lineRule="auto" w:before="18"/>
        <w:ind w:right="1128" w:firstLine="288"/>
        <w:jc w:val="both"/>
      </w:pPr>
      <w:r>
        <w:rPr/>
        <w:t>公司依托机械停车装备制造优势，通过智造</w:t>
      </w:r>
      <w:r>
        <w:rPr>
          <w:rFonts w:ascii="Times New Roman" w:hAnsi="Times New Roman" w:cs="Times New Roman" w:eastAsia="Times New Roman" w:hint="default"/>
        </w:rPr>
        <w:t>+</w:t>
      </w:r>
      <w:r>
        <w:rPr/>
        <w:t>停车资源</w:t>
      </w:r>
      <w:r>
        <w:rPr>
          <w:rFonts w:ascii="Times New Roman" w:hAnsi="Times New Roman" w:cs="Times New Roman" w:eastAsia="Times New Roman" w:hint="default"/>
        </w:rPr>
        <w:t>+</w:t>
      </w:r>
      <w:r>
        <w:rPr/>
        <w:t>互联网的手段，大力发展混合所有制经济体，采取</w:t>
      </w:r>
      <w:r>
        <w:rPr>
          <w:rFonts w:ascii="Times New Roman" w:hAnsi="Times New Roman" w:cs="Times New Roman" w:eastAsia="Times New Roman" w:hint="default"/>
        </w:rPr>
        <w:t>BOT</w:t>
      </w:r>
      <w:r>
        <w:rPr/>
        <w:t>、</w:t>
      </w:r>
      <w:r>
        <w:rPr>
          <w:rFonts w:ascii="Times New Roman" w:hAnsi="Times New Roman" w:cs="Times New Roman" w:eastAsia="Times New Roman" w:hint="default"/>
        </w:rPr>
        <w:t>EPC</w:t>
      </w:r>
      <w:r>
        <w:rPr/>
        <w:t>、 融资租赁等多种方式，积极拓展城市级智慧停车产业的投资建设运营业务。</w:t>
      </w:r>
    </w:p>
    <w:p>
      <w:pPr>
        <w:pStyle w:val="BodyText"/>
        <w:spacing w:line="314" w:lineRule="auto" w:before="31"/>
        <w:ind w:right="982" w:firstLine="288"/>
        <w:jc w:val="left"/>
      </w:pPr>
      <w:r>
        <w:rPr>
          <w:spacing w:val="2"/>
        </w:rPr>
        <w:t>公司未来通过散料搬运核心装置及设备扩产项目和散料搬运设备研发中心建设项目以及营销网络与服务中心建设项目</w:t>
      </w:r>
      <w:r>
        <w:rPr/>
        <w:t> </w:t>
      </w:r>
      <w:r>
        <w:rPr>
          <w:spacing w:val="-2"/>
        </w:rPr>
        <w:t>的实施，整合伟创自动化、天辰智能、同方佰宜在提供智能制造的自动化控制系统与信息系统集成的解决方案优势，不断提</w:t>
      </w:r>
      <w:r>
        <w:rPr>
          <w:spacing w:val="-64"/>
        </w:rPr>
        <w:t> </w:t>
      </w:r>
      <w:r>
        <w:rPr>
          <w:spacing w:val="-64"/>
        </w:rPr>
      </w:r>
      <w:r>
        <w:rPr>
          <w:spacing w:val="-4"/>
        </w:rPr>
        <w:t>升自身整体技术水平和技术创新能力，提高产品质量和生产效率，顺应产业结构调整，充分发挥企业的技术优势和品牌优势，</w:t>
      </w:r>
      <w:r>
        <w:rPr>
          <w:spacing w:val="-44"/>
        </w:rPr>
        <w:t> </w:t>
      </w:r>
      <w:r>
        <w:rPr>
          <w:spacing w:val="-44"/>
        </w:rPr>
      </w:r>
      <w:r>
        <w:rPr>
          <w:spacing w:val="-3"/>
        </w:rPr>
        <w:t>进一步增强公司的核心竞争力，不断扩大市场份额，提高产品的市场占有率，打造</w:t>
      </w:r>
      <w:r>
        <w:rPr>
          <w:rFonts w:ascii="Times New Roman" w:hAnsi="Times New Roman" w:cs="Times New Roman" w:eastAsia="Times New Roman" w:hint="default"/>
          <w:spacing w:val="-3"/>
        </w:rPr>
        <w:t>“</w:t>
      </w:r>
      <w:r>
        <w:rPr>
          <w:spacing w:val="-3"/>
        </w:rPr>
        <w:t>五洋停车</w:t>
      </w:r>
      <w:r>
        <w:rPr>
          <w:rFonts w:ascii="Times New Roman" w:hAnsi="Times New Roman" w:cs="Times New Roman" w:eastAsia="Times New Roman" w:hint="default"/>
          <w:spacing w:val="-3"/>
        </w:rPr>
        <w:t>”</w:t>
      </w:r>
      <w:r>
        <w:rPr>
          <w:spacing w:val="-3"/>
        </w:rPr>
        <w:t>知名品牌，实现企业做大做强。</w:t>
      </w:r>
      <w:r>
        <w:rPr>
          <w:spacing w:val="-76"/>
        </w:rPr>
        <w:t> </w:t>
      </w:r>
      <w:r>
        <w:rPr>
          <w:spacing w:val="-76"/>
        </w:rPr>
      </w:r>
      <w:r>
        <w:rPr>
          <w:spacing w:val="-2"/>
        </w:rPr>
        <w:t>公司未来借助资本平台，通过福建南平、云南昆明、江西南昌、辽宁沈阳停车场开发模式的实践，积极探索停车产业投资建</w:t>
      </w:r>
      <w:r>
        <w:rPr>
          <w:spacing w:val="-67"/>
        </w:rPr>
        <w:t> </w:t>
      </w:r>
      <w:r>
        <w:rPr>
          <w:spacing w:val="-67"/>
        </w:rPr>
      </w:r>
      <w:r>
        <w:rPr/>
        <w:t>设运营一体化业务，快速切入智慧城市停车领域，为公司快速成长奠定基础。</w:t>
      </w:r>
    </w:p>
    <w:p>
      <w:pPr>
        <w:spacing w:after="0" w:line="314" w:lineRule="auto"/>
        <w:jc w:val="left"/>
        <w:sectPr>
          <w:pgSz w:w="11910" w:h="16840"/>
          <w:pgMar w:header="745"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2963" w:right="982"/>
        <w:jc w:val="left"/>
        <w:rPr>
          <w:b w:val="0"/>
          <w:bCs w:val="0"/>
        </w:rPr>
      </w:pPr>
      <w:bookmarkStart w:name="_TOC_250008" w:id="22"/>
      <w:bookmarkStart w:name="第四节 经营情况讨论与分析" w:id="23"/>
      <w:r>
        <w:rPr>
          <w:b w:val="0"/>
          <w:bCs w:val="0"/>
        </w:rPr>
      </w:r>
      <w:r>
        <w:rPr/>
        <w:t>第四节</w:t>
      </w:r>
      <w:r>
        <w:rPr>
          <w:spacing w:val="-4"/>
        </w:rPr>
        <w:t> </w:t>
      </w:r>
      <w:r>
        <w:rPr/>
        <w:t>经营情况讨论与分析</w:t>
      </w:r>
      <w:bookmarkEnd w:id="22"/>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982"/>
        <w:jc w:val="left"/>
        <w:rPr>
          <w:b w:val="0"/>
          <w:bCs w:val="0"/>
        </w:rPr>
      </w:pPr>
      <w:bookmarkStart w:name="一、概述" w:id="24"/>
      <w:bookmarkEnd w:id="24"/>
      <w:r>
        <w:rPr>
          <w:b w:val="0"/>
          <w:bCs w:val="0"/>
        </w:rPr>
      </w: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12" w:lineRule="auto" w:before="0"/>
        <w:ind w:right="1130" w:firstLine="360"/>
        <w:jc w:val="both"/>
      </w:pPr>
      <w:r>
        <w:rPr>
          <w:rFonts w:ascii="Times New Roman" w:hAnsi="Times New Roman" w:cs="Times New Roman" w:eastAsia="Times New Roman" w:hint="default"/>
          <w:spacing w:val="-2"/>
        </w:rPr>
        <w:t>2018</w:t>
      </w:r>
      <w:r>
        <w:rPr>
          <w:spacing w:val="-2"/>
        </w:rPr>
        <w:t>年，公司董事会及管理层以</w:t>
      </w:r>
      <w:r>
        <w:rPr>
          <w:rFonts w:ascii="Times New Roman" w:hAnsi="Times New Roman" w:cs="Times New Roman" w:eastAsia="Times New Roman" w:hint="default"/>
          <w:spacing w:val="-2"/>
        </w:rPr>
        <w:t>“</w:t>
      </w:r>
      <w:r>
        <w:rPr>
          <w:spacing w:val="-2"/>
        </w:rPr>
        <w:t>智造</w:t>
      </w:r>
      <w:r>
        <w:rPr>
          <w:rFonts w:ascii="Times New Roman" w:hAnsi="Times New Roman" w:cs="Times New Roman" w:eastAsia="Times New Roman" w:hint="default"/>
          <w:spacing w:val="-2"/>
        </w:rPr>
        <w:t>+</w:t>
      </w:r>
      <w:r>
        <w:rPr>
          <w:spacing w:val="-2"/>
        </w:rPr>
        <w:t>停车资源</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中长期战略为中心，围绕年度发展战略和全年经营目标，顺应</w:t>
      </w:r>
      <w:r>
        <w:rPr/>
        <w:t> </w:t>
      </w:r>
      <w:r>
        <w:rPr>
          <w:spacing w:val="-2"/>
        </w:rPr>
        <w:t>机械式立体停车设备行业和智能装备行业市场变化，在巩固和发展机械式立体停车设备、散料搬运核心部件、物流及智能仓</w:t>
      </w:r>
      <w:r>
        <w:rPr>
          <w:spacing w:val="-63"/>
        </w:rPr>
        <w:t> </w:t>
      </w:r>
      <w:r>
        <w:rPr>
          <w:spacing w:val="-63"/>
        </w:rPr>
      </w:r>
      <w:r>
        <w:rPr>
          <w:spacing w:val="-2"/>
        </w:rPr>
        <w:t>储等制造板块的同时，大力推进停车场投资建设运营一体化业务，公司经营业绩实现大幅增长，并进入快速上升通道，展现</w:t>
      </w:r>
      <w:r>
        <w:rPr>
          <w:spacing w:val="-64"/>
        </w:rPr>
        <w:t> </w:t>
      </w:r>
      <w:r>
        <w:rPr>
          <w:spacing w:val="-64"/>
        </w:rPr>
      </w:r>
      <w:r>
        <w:rPr/>
        <w:t>了公司整体的竞争实力和经营发展的良好态势。</w:t>
      </w:r>
    </w:p>
    <w:p>
      <w:pPr>
        <w:pStyle w:val="BodyText"/>
        <w:spacing w:line="307" w:lineRule="auto" w:before="22"/>
        <w:ind w:right="982" w:firstLine="360"/>
        <w:jc w:val="left"/>
      </w:pPr>
      <w:r>
        <w:rPr>
          <w:spacing w:val="-2"/>
        </w:rPr>
        <w:t>报告期内，公司经营质量与盈利能力大幅提升，逾期货款、存货及成本费用有效管控，资产质量显著提高，公司实现营</w:t>
      </w:r>
      <w:r>
        <w:rPr/>
        <w:t> </w:t>
      </w:r>
      <w:r>
        <w:rPr>
          <w:spacing w:val="-1"/>
        </w:rPr>
        <w:t>业收入</w:t>
      </w:r>
      <w:r>
        <w:rPr>
          <w:rFonts w:ascii="Times New Roman" w:hAnsi="Times New Roman" w:cs="Times New Roman" w:eastAsia="Times New Roman" w:hint="default"/>
          <w:spacing w:val="-1"/>
        </w:rPr>
        <w:t>100,207.64</w:t>
      </w:r>
      <w:r>
        <w:rPr>
          <w:spacing w:val="-1"/>
        </w:rPr>
        <w:t>万元，同比增长</w:t>
      </w:r>
      <w:r>
        <w:rPr>
          <w:rFonts w:ascii="Times New Roman" w:hAnsi="Times New Roman" w:cs="Times New Roman" w:eastAsia="Times New Roman" w:hint="default"/>
          <w:spacing w:val="-1"/>
        </w:rPr>
        <w:t>32.80%</w:t>
      </w:r>
      <w:r>
        <w:rPr>
          <w:spacing w:val="-1"/>
        </w:rPr>
        <w:t>；实现归属上市公司普通股股东的净利润</w:t>
      </w:r>
      <w:r>
        <w:rPr>
          <w:rFonts w:ascii="Times New Roman" w:hAnsi="Times New Roman" w:cs="Times New Roman" w:eastAsia="Times New Roman" w:hint="default"/>
          <w:spacing w:val="-1"/>
        </w:rPr>
        <w:t>13,099.51</w:t>
      </w:r>
      <w:r>
        <w:rPr>
          <w:spacing w:val="-1"/>
        </w:rPr>
        <w:t>万元，同比增长</w:t>
      </w:r>
      <w:r>
        <w:rPr>
          <w:rFonts w:ascii="Times New Roman" w:hAnsi="Times New Roman" w:cs="Times New Roman" w:eastAsia="Times New Roman" w:hint="default"/>
          <w:spacing w:val="-1"/>
        </w:rPr>
        <w:t>68.88%</w:t>
      </w:r>
      <w:r>
        <w:rPr>
          <w:spacing w:val="-1"/>
        </w:rPr>
        <w:t>；归属于</w:t>
      </w:r>
      <w:r>
        <w:rPr>
          <w:spacing w:val="-56"/>
        </w:rPr>
        <w:t> </w:t>
      </w:r>
      <w:r>
        <w:rPr>
          <w:spacing w:val="-56"/>
        </w:rPr>
      </w:r>
      <w:r>
        <w:rPr/>
        <w:t>上市公司普通股股东的扣除非经常性损益后的净利润</w:t>
      </w:r>
      <w:r>
        <w:rPr>
          <w:rFonts w:ascii="Times New Roman" w:hAnsi="Times New Roman" w:cs="Times New Roman" w:eastAsia="Times New Roman" w:hint="default"/>
        </w:rPr>
        <w:t>11,452.36</w:t>
      </w:r>
      <w:r>
        <w:rPr/>
        <w:t>万元，同比增长</w:t>
      </w:r>
      <w:r>
        <w:rPr>
          <w:rFonts w:ascii="Times New Roman" w:hAnsi="Times New Roman" w:cs="Times New Roman" w:eastAsia="Times New Roman" w:hint="default"/>
        </w:rPr>
        <w:t>67.89%</w:t>
      </w:r>
      <w:r>
        <w:rPr/>
        <w:t>；机械式立体停车设备板块实现营业 收入</w:t>
      </w:r>
      <w:r>
        <w:rPr>
          <w:rFonts w:ascii="Times New Roman" w:hAnsi="Times New Roman" w:cs="Times New Roman" w:eastAsia="Times New Roman" w:hint="default"/>
        </w:rPr>
        <w:t>62,140.54</w:t>
      </w:r>
      <w:r>
        <w:rPr/>
        <w:t>万元，占营业收入的</w:t>
      </w:r>
      <w:r>
        <w:rPr>
          <w:rFonts w:ascii="Times New Roman" w:hAnsi="Times New Roman" w:cs="Times New Roman" w:eastAsia="Times New Roman" w:hint="default"/>
        </w:rPr>
        <w:t>62.01%</w:t>
      </w:r>
      <w:r>
        <w:rPr/>
        <w:t>，实现同比增长</w:t>
      </w:r>
      <w:r>
        <w:rPr>
          <w:rFonts w:ascii="Times New Roman" w:hAnsi="Times New Roman" w:cs="Times New Roman" w:eastAsia="Times New Roman" w:hint="default"/>
        </w:rPr>
        <w:t>27.19%</w:t>
      </w:r>
      <w:r>
        <w:rPr/>
        <w:t>。</w:t>
      </w:r>
    </w:p>
    <w:p>
      <w:pPr>
        <w:pStyle w:val="BodyText"/>
        <w:spacing w:line="240" w:lineRule="auto" w:before="7"/>
        <w:ind w:left="512" w:right="982"/>
        <w:jc w:val="left"/>
      </w:pPr>
      <w:r>
        <w:rPr>
          <w:rFonts w:ascii="Times New Roman" w:hAnsi="Times New Roman" w:cs="Times New Roman" w:eastAsia="Times New Roman" w:hint="default"/>
        </w:rPr>
        <w:t>2018</w:t>
      </w:r>
      <w:r>
        <w:rPr/>
        <w:t>年，公司重点完成了以下重点工作：</w:t>
      </w:r>
    </w:p>
    <w:p>
      <w:pPr>
        <w:pStyle w:val="BodyText"/>
        <w:spacing w:line="240" w:lineRule="auto" w:before="62"/>
        <w:ind w:left="512" w:right="982"/>
        <w:jc w:val="left"/>
      </w:pPr>
      <w:r>
        <w:rPr/>
        <w:t>（一）重点业务板块各自发力</w:t>
      </w:r>
    </w:p>
    <w:p>
      <w:pPr>
        <w:pStyle w:val="BodyText"/>
        <w:spacing w:line="240" w:lineRule="auto" w:before="76"/>
        <w:ind w:left="512" w:right="982"/>
        <w:jc w:val="left"/>
      </w:pPr>
      <w:r>
        <w:rPr>
          <w:rFonts w:ascii="Times New Roman" w:hAnsi="Times New Roman" w:cs="Times New Roman" w:eastAsia="Times New Roman" w:hint="default"/>
        </w:rPr>
        <w:t>1.</w:t>
      </w:r>
      <w:r>
        <w:rPr/>
        <w:t>机械式立体停车设备销售及投资运营一体化板块继续高速增长</w:t>
      </w:r>
    </w:p>
    <w:p>
      <w:pPr>
        <w:pStyle w:val="BodyText"/>
        <w:spacing w:line="307" w:lineRule="auto" w:before="62"/>
        <w:ind w:right="982" w:firstLine="360"/>
        <w:jc w:val="left"/>
      </w:pPr>
      <w:r>
        <w:rPr>
          <w:rFonts w:ascii="Times New Roman" w:hAnsi="Times New Roman" w:cs="Times New Roman" w:eastAsia="Times New Roman" w:hint="default"/>
          <w:spacing w:val="-2"/>
        </w:rPr>
        <w:t>2018</w:t>
      </w:r>
      <w:r>
        <w:rPr>
          <w:spacing w:val="-2"/>
        </w:rPr>
        <w:t>年初，公司制定了</w:t>
      </w:r>
      <w:r>
        <w:rPr>
          <w:rFonts w:ascii="Times New Roman" w:hAnsi="Times New Roman" w:cs="Times New Roman" w:eastAsia="Times New Roman" w:hint="default"/>
          <w:spacing w:val="-2"/>
        </w:rPr>
        <w:t>“</w:t>
      </w:r>
      <w:r>
        <w:rPr>
          <w:spacing w:val="-2"/>
        </w:rPr>
        <w:t>智造</w:t>
      </w:r>
      <w:r>
        <w:rPr>
          <w:rFonts w:ascii="Times New Roman" w:hAnsi="Times New Roman" w:cs="Times New Roman" w:eastAsia="Times New Roman" w:hint="default"/>
          <w:spacing w:val="-2"/>
        </w:rPr>
        <w:t>+</w:t>
      </w:r>
      <w:r>
        <w:rPr>
          <w:spacing w:val="-2"/>
        </w:rPr>
        <w:t>停车资源</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中长期战略，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月份，公司更名为</w:t>
      </w:r>
      <w:r>
        <w:rPr>
          <w:rFonts w:ascii="Times New Roman" w:hAnsi="Times New Roman" w:cs="Times New Roman" w:eastAsia="Times New Roman" w:hint="default"/>
          <w:spacing w:val="-2"/>
        </w:rPr>
        <w:t>“</w:t>
      </w:r>
      <w:r>
        <w:rPr>
          <w:spacing w:val="-2"/>
        </w:rPr>
        <w:t>江苏五洋停车产业集团股份有</w:t>
      </w:r>
      <w:r>
        <w:rPr/>
        <w:t> 限公司</w:t>
      </w:r>
      <w:r>
        <w:rPr>
          <w:rFonts w:ascii="Times New Roman" w:hAnsi="Times New Roman" w:cs="Times New Roman" w:eastAsia="Times New Roman" w:hint="default"/>
        </w:rPr>
        <w:t>”</w:t>
      </w:r>
      <w:r>
        <w:rPr/>
        <w:t>，股票简称更名为</w:t>
      </w:r>
      <w:r>
        <w:rPr>
          <w:rFonts w:ascii="Times New Roman" w:hAnsi="Times New Roman" w:cs="Times New Roman" w:eastAsia="Times New Roman" w:hint="default"/>
        </w:rPr>
        <w:t>“</w:t>
      </w:r>
      <w:r>
        <w:rPr/>
        <w:t>五洋停车</w:t>
      </w:r>
      <w:r>
        <w:rPr>
          <w:rFonts w:ascii="Times New Roman" w:hAnsi="Times New Roman" w:cs="Times New Roman" w:eastAsia="Times New Roman" w:hint="default"/>
        </w:rPr>
        <w:t>”</w:t>
      </w:r>
      <w:r>
        <w:rPr/>
        <w:t>。公司确立了以获取停车资源为发展业务的关键点，公司的停车资源包含三大块，一 </w:t>
      </w:r>
      <w:r>
        <w:rPr>
          <w:spacing w:val="-4"/>
        </w:rPr>
        <w:t>是维保类停车资源，通过设备的销售来扩大规模；二是权益类停车资源，通过停车场投资来扩大规模；三是联盟类停车资源，</w:t>
      </w:r>
      <w:r>
        <w:rPr>
          <w:spacing w:val="-46"/>
        </w:rPr>
        <w:t> </w:t>
      </w:r>
      <w:r>
        <w:rPr>
          <w:spacing w:val="-46"/>
        </w:rPr>
      </w:r>
      <w:r>
        <w:rPr>
          <w:spacing w:val="-2"/>
        </w:rPr>
        <w:t>通过使用公司的智慧停车云平台来扩大规模。报告期内，依托伟创自动化和天辰智能的行业地位，充分发挥资本优势，在机</w:t>
      </w:r>
      <w:r>
        <w:rPr>
          <w:spacing w:val="-66"/>
        </w:rPr>
        <w:t> </w:t>
      </w:r>
      <w:r>
        <w:rPr>
          <w:spacing w:val="-66"/>
        </w:rPr>
      </w:r>
      <w:r>
        <w:rPr/>
        <w:t>械式立体停车设备行业取得长足的发展。</w:t>
      </w:r>
      <w:r>
        <w:rPr>
          <w:rFonts w:ascii="Times New Roman" w:hAnsi="Times New Roman" w:cs="Times New Roman" w:eastAsia="Times New Roman" w:hint="default"/>
        </w:rPr>
        <w:t>2018</w:t>
      </w:r>
      <w:r>
        <w:rPr/>
        <w:t>年，公司机械式立体停车设备销售同比增长</w:t>
      </w:r>
      <w:r>
        <w:rPr>
          <w:rFonts w:ascii="Times New Roman" w:hAnsi="Times New Roman" w:cs="Times New Roman" w:eastAsia="Times New Roman" w:hint="default"/>
        </w:rPr>
        <w:t>27.19%</w:t>
      </w:r>
      <w:r>
        <w:rPr/>
        <w:t>，远远高于行业同比增长 率，起到了行业龙头的引领作用。</w:t>
      </w:r>
    </w:p>
    <w:p>
      <w:pPr>
        <w:pStyle w:val="BodyText"/>
        <w:spacing w:line="300" w:lineRule="auto" w:before="26"/>
        <w:ind w:right="1134" w:firstLine="360"/>
        <w:jc w:val="left"/>
      </w:pPr>
      <w:r>
        <w:rPr/>
        <w:t>除了正常的业务销售，公司在</w:t>
      </w:r>
      <w:r>
        <w:rPr>
          <w:rFonts w:ascii="Times New Roman" w:hAnsi="Times New Roman" w:cs="Times New Roman" w:eastAsia="Times New Roman" w:hint="default"/>
        </w:rPr>
        <w:t>EPC</w:t>
      </w:r>
      <w:r>
        <w:rPr/>
        <w:t>（</w:t>
      </w:r>
      <w:r>
        <w:rPr>
          <w:rFonts w:ascii="Times New Roman" w:hAnsi="Times New Roman" w:cs="Times New Roman" w:eastAsia="Times New Roman" w:hint="default"/>
        </w:rPr>
        <w:t>Engineering Procurement</w:t>
      </w:r>
      <w:r>
        <w:rPr>
          <w:rFonts w:ascii="Times New Roman" w:hAnsi="Times New Roman" w:cs="Times New Roman" w:eastAsia="Times New Roman" w:hint="default"/>
          <w:spacing w:val="-10"/>
        </w:rPr>
        <w:t> </w:t>
      </w:r>
      <w:r>
        <w:rPr>
          <w:rFonts w:ascii="Times New Roman" w:hAnsi="Times New Roman" w:cs="Times New Roman" w:eastAsia="Times New Roman" w:hint="default"/>
        </w:rPr>
        <w:t>Construction</w:t>
      </w:r>
      <w:r>
        <w:rPr/>
        <w:t>）业务方面也取得长足的发展，报告期内福建</w:t>
      </w:r>
      <w:r>
        <w:rPr>
          <w:w w:val="99"/>
        </w:rPr>
        <w:t> </w:t>
      </w:r>
      <w:r>
        <w:rPr/>
        <w:t>南平</w:t>
      </w:r>
      <w:r>
        <w:rPr>
          <w:rFonts w:ascii="Times New Roman" w:hAnsi="Times New Roman" w:cs="Times New Roman" w:eastAsia="Times New Roman" w:hint="default"/>
        </w:rPr>
        <w:t>EPC</w:t>
      </w:r>
      <w:r>
        <w:rPr/>
        <w:t>项目、江西九江市海韵沙滩</w:t>
      </w:r>
      <w:r>
        <w:rPr>
          <w:rFonts w:ascii="Times New Roman" w:hAnsi="Times New Roman" w:cs="Times New Roman" w:eastAsia="Times New Roman" w:hint="default"/>
        </w:rPr>
        <w:t>EPC</w:t>
      </w:r>
      <w:r>
        <w:rPr/>
        <w:t>项目，安徽界首市中原路等五个立体停车场</w:t>
      </w:r>
      <w:r>
        <w:rPr>
          <w:rFonts w:ascii="Times New Roman" w:hAnsi="Times New Roman" w:cs="Times New Roman" w:eastAsia="Times New Roman" w:hint="default"/>
        </w:rPr>
        <w:t>EPC</w:t>
      </w:r>
      <w:r>
        <w:rPr/>
        <w:t>项目等开工建设。</w:t>
      </w:r>
    </w:p>
    <w:p>
      <w:pPr>
        <w:pStyle w:val="BodyText"/>
        <w:spacing w:line="316" w:lineRule="auto" w:before="13"/>
        <w:ind w:right="982" w:firstLine="360"/>
        <w:jc w:val="left"/>
      </w:pPr>
      <w:r>
        <w:rPr>
          <w:spacing w:val="-2"/>
        </w:rPr>
        <w:t>在投资建设运营一体化方面，公司通过与当地合作伙伴成立合资公司，福建南平、江西南昌、云南昆明、辽宁沈阳、江</w:t>
      </w:r>
      <w:r>
        <w:rPr/>
        <w:t> 西抚州等城市停车项目先后落地；昆明医院</w:t>
      </w:r>
      <w:r>
        <w:rPr>
          <w:rFonts w:ascii="Times New Roman" w:hAnsi="Times New Roman" w:cs="Times New Roman" w:eastAsia="Times New Roman" w:hint="default"/>
        </w:rPr>
        <w:t>BOT</w:t>
      </w:r>
      <w:r>
        <w:rPr/>
        <w:t>项目已建设完成并投入运营。</w:t>
      </w:r>
    </w:p>
    <w:p>
      <w:pPr>
        <w:pStyle w:val="BodyText"/>
        <w:spacing w:line="300" w:lineRule="auto" w:before="0"/>
        <w:ind w:left="512" w:right="1394"/>
        <w:jc w:val="left"/>
      </w:pPr>
      <w:r>
        <w:rPr>
          <w:rFonts w:ascii="Times New Roman" w:hAnsi="Times New Roman" w:cs="Times New Roman" w:eastAsia="Times New Roman" w:hint="default"/>
        </w:rPr>
        <w:t>2.</w:t>
      </w:r>
      <w:r>
        <w:rPr/>
        <w:t>散料搬运核心装置板块和混凝土搅拌站板块恢复增长 煤炭行业供给侧改革成效显著，对煤炭搬运输送设备的需求日益增长，报告期内，公司散料搬运装置板块实现销售</w:t>
      </w:r>
    </w:p>
    <w:p>
      <w:pPr>
        <w:pStyle w:val="BodyText"/>
        <w:spacing w:line="240" w:lineRule="auto" w:before="31"/>
        <w:ind w:right="982"/>
        <w:jc w:val="left"/>
      </w:pPr>
      <w:r>
        <w:rPr>
          <w:rFonts w:ascii="Times New Roman" w:hAnsi="Times New Roman" w:cs="Times New Roman" w:eastAsia="Times New Roman" w:hint="default"/>
        </w:rPr>
        <w:t>11,169.44</w:t>
      </w:r>
      <w:r>
        <w:rPr/>
        <w:t>万元，同比增长</w:t>
      </w:r>
      <w:r>
        <w:rPr>
          <w:rFonts w:ascii="Times New Roman" w:hAnsi="Times New Roman" w:cs="Times New Roman" w:eastAsia="Times New Roman" w:hint="default"/>
        </w:rPr>
        <w:t>14.96%</w:t>
      </w:r>
      <w:r>
        <w:rPr/>
        <w:t>；混凝土搅拌站行业实现销售收入</w:t>
      </w:r>
      <w:r>
        <w:rPr>
          <w:rFonts w:ascii="Times New Roman" w:hAnsi="Times New Roman" w:cs="Times New Roman" w:eastAsia="Times New Roman" w:hint="default"/>
        </w:rPr>
        <w:t>7,586.00</w:t>
      </w:r>
      <w:r>
        <w:rPr/>
        <w:t>万元，同比增长</w:t>
      </w:r>
      <w:r>
        <w:rPr>
          <w:rFonts w:ascii="Times New Roman" w:hAnsi="Times New Roman" w:cs="Times New Roman" w:eastAsia="Times New Roman" w:hint="default"/>
        </w:rPr>
        <w:t>53.12%</w:t>
      </w:r>
      <w:r>
        <w:rPr/>
        <w:t>。</w:t>
      </w:r>
    </w:p>
    <w:p>
      <w:pPr>
        <w:pStyle w:val="BodyText"/>
        <w:spacing w:line="300" w:lineRule="auto" w:before="62"/>
        <w:ind w:left="512" w:right="982"/>
        <w:jc w:val="left"/>
      </w:pPr>
      <w:r>
        <w:rPr>
          <w:rFonts w:ascii="Times New Roman" w:hAnsi="Times New Roman" w:cs="Times New Roman" w:eastAsia="Times New Roman" w:hint="default"/>
        </w:rPr>
        <w:t>3.</w:t>
      </w:r>
      <w:r>
        <w:rPr/>
        <w:t>工业机器人成套生产线、物流及智能仓储系统板块新一轮增长 </w:t>
      </w:r>
      <w:r>
        <w:rPr>
          <w:spacing w:val="-1"/>
        </w:rPr>
        <w:t>随着物流行业的快速发展，对智能仓储的需求日益增长，报告期，板块实现销售收入</w:t>
      </w:r>
      <w:r>
        <w:rPr>
          <w:rFonts w:ascii="Times New Roman" w:hAnsi="Times New Roman" w:cs="Times New Roman" w:eastAsia="Times New Roman" w:hint="default"/>
          <w:spacing w:val="-1"/>
        </w:rPr>
        <w:t>17,335.94</w:t>
      </w:r>
      <w:r>
        <w:rPr>
          <w:spacing w:val="-1"/>
        </w:rPr>
        <w:t>万元，同比增长</w:t>
      </w:r>
      <w:r>
        <w:rPr>
          <w:rFonts w:ascii="Times New Roman" w:hAnsi="Times New Roman" w:cs="Times New Roman" w:eastAsia="Times New Roman" w:hint="default"/>
          <w:spacing w:val="-1"/>
        </w:rPr>
        <w:t>60.86%</w:t>
      </w:r>
      <w:r>
        <w:rPr>
          <w:spacing w:val="-1"/>
        </w:rPr>
        <w:t>。</w:t>
      </w:r>
    </w:p>
    <w:p>
      <w:pPr>
        <w:pStyle w:val="BodyText"/>
        <w:spacing w:line="240" w:lineRule="auto" w:before="13"/>
        <w:ind w:right="982"/>
        <w:jc w:val="left"/>
      </w:pPr>
      <w:r>
        <w:rPr/>
        <w:t>公司在智能仓储业务方面取得重大突破，与国内著名的电商物流企业京东、唯品汇、苏宁、当当等建立业务合作关系。</w:t>
      </w:r>
    </w:p>
    <w:p>
      <w:pPr>
        <w:pStyle w:val="BodyText"/>
        <w:spacing w:line="316" w:lineRule="auto" w:before="76"/>
        <w:ind w:left="512" w:right="982"/>
        <w:jc w:val="left"/>
      </w:pPr>
      <w:r>
        <w:rPr/>
        <w:t>（二）不断提升研发创新能力 </w:t>
      </w:r>
      <w:r>
        <w:rPr>
          <w:spacing w:val="-2"/>
        </w:rPr>
        <w:t>公司深入实施创新驱动发展战略，着力提升自主研发创新能力，把握市场趋势，积极展开公司未来新业务、新应用领域</w:t>
      </w:r>
    </w:p>
    <w:p>
      <w:pPr>
        <w:pStyle w:val="BodyText"/>
        <w:spacing w:line="300" w:lineRule="auto" w:before="18"/>
        <w:ind w:left="512" w:right="982" w:hanging="360"/>
        <w:jc w:val="left"/>
      </w:pPr>
      <w:r>
        <w:rPr/>
        <w:t>的重要布局。报告期内，公司强化技术革新和产品升级，加大新技术和新产品的研发投入，研发费用占销售收入</w:t>
      </w:r>
      <w:r>
        <w:rPr>
          <w:rFonts w:ascii="Times New Roman" w:hAnsi="Times New Roman" w:cs="Times New Roman" w:eastAsia="Times New Roman" w:hint="default"/>
        </w:rPr>
        <w:t>5.91%</w:t>
      </w:r>
      <w:r>
        <w:rPr/>
        <w:t>。 </w:t>
      </w:r>
      <w:r>
        <w:rPr>
          <w:spacing w:val="-2"/>
        </w:rPr>
        <w:t>公司进一步加强了科技成果申报和知识产权保护，加快公司核心竞争能力的提升。公司共申请专利</w:t>
      </w:r>
      <w:r>
        <w:rPr>
          <w:rFonts w:ascii="Times New Roman" w:hAnsi="Times New Roman" w:cs="Times New Roman" w:eastAsia="Times New Roman" w:hint="default"/>
          <w:spacing w:val="-2"/>
        </w:rPr>
        <w:t>61</w:t>
      </w:r>
      <w:r>
        <w:rPr>
          <w:spacing w:val="-2"/>
        </w:rPr>
        <w:t>项（其中发明专利</w:t>
      </w:r>
    </w:p>
    <w:p>
      <w:pPr>
        <w:pStyle w:val="BodyText"/>
        <w:spacing w:line="304" w:lineRule="auto" w:before="13"/>
        <w:ind w:right="1124"/>
        <w:jc w:val="left"/>
      </w:pPr>
      <w:r>
        <w:rPr>
          <w:rFonts w:ascii="Times New Roman" w:hAnsi="Times New Roman" w:cs="Times New Roman" w:eastAsia="Times New Roman" w:hint="default"/>
        </w:rPr>
        <w:t>18</w:t>
      </w:r>
      <w:r>
        <w:rPr/>
        <w:t>项），授权</w:t>
      </w:r>
      <w:r>
        <w:rPr>
          <w:rFonts w:ascii="Times New Roman" w:hAnsi="Times New Roman" w:cs="Times New Roman" w:eastAsia="Times New Roman" w:hint="default"/>
        </w:rPr>
        <w:t>36</w:t>
      </w:r>
      <w:r>
        <w:rPr/>
        <w:t>项（其中发明专利</w:t>
      </w:r>
      <w:r>
        <w:rPr>
          <w:rFonts w:ascii="Times New Roman" w:hAnsi="Times New Roman" w:cs="Times New Roman" w:eastAsia="Times New Roman" w:hint="default"/>
        </w:rPr>
        <w:t>7</w:t>
      </w:r>
      <w:r>
        <w:rPr/>
        <w:t>项）。全资子公司深圳伟创</w:t>
      </w:r>
      <w:r>
        <w:rPr>
          <w:rFonts w:ascii="Times New Roman" w:hAnsi="Times New Roman" w:cs="Times New Roman" w:eastAsia="Times New Roman" w:hint="default"/>
        </w:rPr>
        <w:t>2018</w:t>
      </w:r>
      <w:r>
        <w:rPr/>
        <w:t>年申报广东省智能立体停车设备工程技术研究中心（公 </w:t>
      </w:r>
      <w:r>
        <w:rPr>
          <w:spacing w:val="-2"/>
        </w:rPr>
        <w:t>示期已经结束）。深圳伟创新产品智能大巴车带充电立体车库经过三年的研发，在报告期取得了国家市场监督管理总局颁发</w:t>
      </w:r>
      <w:r>
        <w:rPr>
          <w:spacing w:val="-66"/>
        </w:rPr>
        <w:t> </w:t>
      </w:r>
      <w:r>
        <w:rPr>
          <w:spacing w:val="-66"/>
        </w:rPr>
      </w:r>
      <w:r>
        <w:rPr/>
        <w:t>的制造许可证；为了满足未来新能源汽车充电的需要，研发了新能源汽车立体车库充电技术；开发了载车板式搬运</w:t>
      </w:r>
      <w:r>
        <w:rPr>
          <w:rFonts w:ascii="Times New Roman" w:hAnsi="Times New Roman" w:cs="Times New Roman" w:eastAsia="Times New Roman" w:hint="default"/>
        </w:rPr>
        <w:t>AGV</w:t>
      </w:r>
      <w:r>
        <w:rPr/>
        <w:t>机 </w:t>
      </w:r>
      <w:r>
        <w:rPr>
          <w:spacing w:val="-4"/>
        </w:rPr>
        <w:t>器人，载车板式搬运不受任何轴距及汽车底盘高度汽车的限制。截至报告期末，公司及各子公司合计拥有已授权有效专利</w:t>
      </w:r>
      <w:r>
        <w:rPr>
          <w:rFonts w:ascii="Times New Roman" w:hAnsi="Times New Roman" w:cs="Times New Roman" w:eastAsia="Times New Roman" w:hint="default"/>
          <w:spacing w:val="-4"/>
        </w:rPr>
        <w:t>328</w:t>
      </w:r>
      <w:r>
        <w:rPr>
          <w:rFonts w:ascii="Times New Roman" w:hAnsi="Times New Roman" w:cs="Times New Roman" w:eastAsia="Times New Roman" w:hint="default"/>
          <w:spacing w:val="8"/>
        </w:rPr>
        <w:t> </w:t>
      </w:r>
      <w:r>
        <w:rPr/>
        <w:t>项（其中发明专利</w:t>
      </w:r>
      <w:r>
        <w:rPr>
          <w:rFonts w:ascii="Times New Roman" w:hAnsi="Times New Roman" w:cs="Times New Roman" w:eastAsia="Times New Roman" w:hint="default"/>
        </w:rPr>
        <w:t>69</w:t>
      </w:r>
      <w:r>
        <w:rPr/>
        <w:t>项，实用新型专利</w:t>
      </w:r>
      <w:r>
        <w:rPr>
          <w:rFonts w:ascii="Times New Roman" w:hAnsi="Times New Roman" w:cs="Times New Roman" w:eastAsia="Times New Roman" w:hint="default"/>
        </w:rPr>
        <w:t>254</w:t>
      </w:r>
      <w:r>
        <w:rPr/>
        <w:t>项</w:t>
      </w:r>
      <w:r>
        <w:rPr>
          <w:rFonts w:ascii="Times New Roman" w:hAnsi="Times New Roman" w:cs="Times New Roman" w:eastAsia="Times New Roman" w:hint="default"/>
        </w:rPr>
        <w:t>,</w:t>
      </w:r>
      <w:r>
        <w:rPr/>
        <w:t>外观专利</w:t>
      </w:r>
      <w:r>
        <w:rPr>
          <w:rFonts w:ascii="Times New Roman" w:hAnsi="Times New Roman" w:cs="Times New Roman" w:eastAsia="Times New Roman" w:hint="default"/>
        </w:rPr>
        <w:t>5</w:t>
      </w:r>
      <w:r>
        <w:rPr/>
        <w:t>项），拥有软件著作权</w:t>
      </w:r>
      <w:r>
        <w:rPr>
          <w:rFonts w:ascii="Times New Roman" w:hAnsi="Times New Roman" w:cs="Times New Roman" w:eastAsia="Times New Roman" w:hint="default"/>
        </w:rPr>
        <w:t>28</w:t>
      </w:r>
      <w:r>
        <w:rPr/>
        <w:t>项。</w:t>
      </w:r>
    </w:p>
    <w:p>
      <w:pPr>
        <w:pStyle w:val="BodyText"/>
        <w:spacing w:line="240" w:lineRule="auto" w:before="9"/>
        <w:ind w:left="512" w:right="982"/>
        <w:jc w:val="left"/>
      </w:pPr>
      <w:r>
        <w:rPr/>
        <w:t>（三）并购助发展</w:t>
      </w:r>
    </w:p>
    <w:p>
      <w:pPr>
        <w:pStyle w:val="BodyText"/>
        <w:spacing w:line="240" w:lineRule="auto" w:before="76"/>
        <w:ind w:left="512" w:right="0"/>
        <w:jc w:val="left"/>
      </w:pPr>
      <w:r>
        <w:rPr>
          <w:rFonts w:ascii="Times New Roman" w:hAnsi="Times New Roman" w:cs="Times New Roman" w:eastAsia="Times New Roman" w:hint="default"/>
        </w:rPr>
        <w:t>2015</w:t>
      </w:r>
      <w:r>
        <w:rPr/>
        <w:t>年，公司收购了深圳市伟创自动化设备有限公司，</w:t>
      </w:r>
      <w:r>
        <w:rPr>
          <w:rFonts w:ascii="Times New Roman" w:hAnsi="Times New Roman" w:cs="Times New Roman" w:eastAsia="Times New Roman" w:hint="default"/>
        </w:rPr>
        <w:t>2017</w:t>
      </w:r>
      <w:r>
        <w:rPr/>
        <w:t>年公司收购了山东天辰智能停车有限公司，形成了</w:t>
      </w:r>
      <w:r>
        <w:rPr>
          <w:rFonts w:ascii="Times New Roman" w:hAnsi="Times New Roman" w:cs="Times New Roman" w:eastAsia="Times New Roman" w:hint="default"/>
        </w:rPr>
        <w:t>“</w:t>
      </w:r>
      <w:r>
        <w:rPr/>
        <w:t>南伟创，</w:t>
      </w:r>
    </w:p>
    <w:p>
      <w:pPr>
        <w:spacing w:after="0" w:line="240" w:lineRule="auto"/>
        <w:jc w:val="left"/>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300" w:lineRule="auto"/>
        <w:ind w:right="1134"/>
        <w:jc w:val="left"/>
      </w:pPr>
      <w:r>
        <w:rPr/>
        <w:t>北天辰</w:t>
      </w:r>
      <w:r>
        <w:rPr>
          <w:rFonts w:ascii="Times New Roman" w:hAnsi="Times New Roman" w:cs="Times New Roman" w:eastAsia="Times New Roman" w:hint="default"/>
        </w:rPr>
        <w:t>”</w:t>
      </w:r>
      <w:r>
        <w:rPr/>
        <w:t>的机械式立体停车设备行业格局。报告期内，公司进一步整合收购的两家企业，在充分发挥两家企业主观能动性的 同时，注重两家的协同效应的发挥，在采购、生产、运输、研发、销售等方面进行整合，使得业绩快速增长。</w:t>
      </w:r>
    </w:p>
    <w:p>
      <w:pPr>
        <w:pStyle w:val="BodyText"/>
        <w:spacing w:line="360" w:lineRule="auto" w:before="31"/>
        <w:ind w:left="440" w:right="982" w:firstLine="72"/>
        <w:jc w:val="left"/>
      </w:pPr>
      <w:r>
        <w:rPr/>
        <w:t>（四）稳健发展，回报股东 </w:t>
      </w:r>
      <w:r>
        <w:rPr>
          <w:spacing w:val="-1"/>
        </w:rPr>
        <w:t>公司积极开展投资者关系管理工作，着力维护市场稳定，保障全体股东利益。报告期内，认真履行信息披露义务，不断</w:t>
      </w:r>
    </w:p>
    <w:p>
      <w:pPr>
        <w:pStyle w:val="BodyText"/>
        <w:spacing w:line="222" w:lineRule="exact" w:before="0"/>
        <w:ind w:right="982"/>
        <w:jc w:val="left"/>
      </w:pPr>
      <w:r>
        <w:rPr/>
        <w:t>提高信息披露质量，并在遵守规定的前提下，通过投资者热线、互动易平台、机构投资者交流会、业绩说明会等方式保障了</w:t>
      </w:r>
    </w:p>
    <w:p>
      <w:pPr>
        <w:pStyle w:val="BodyText"/>
        <w:spacing w:line="240" w:lineRule="auto" w:before="76"/>
        <w:ind w:right="982"/>
        <w:jc w:val="left"/>
      </w:pPr>
      <w:r>
        <w:rPr/>
        <w:t>投资者与公司的畅通互动与交流，增强了公司运作透明度。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6"/>
          <w:szCs w:val="16"/>
        </w:rPr>
      </w:pPr>
    </w:p>
    <w:p>
      <w:pPr>
        <w:pStyle w:val="Heading2"/>
        <w:spacing w:line="240" w:lineRule="auto"/>
        <w:ind w:right="982"/>
        <w:jc w:val="left"/>
        <w:rPr>
          <w:b w:val="0"/>
          <w:bCs w:val="0"/>
        </w:rPr>
      </w:pPr>
      <w:bookmarkStart w:name="二、主营业务分析" w:id="25"/>
      <w:bookmarkEnd w:id="25"/>
      <w:r>
        <w:rPr>
          <w:b w:val="0"/>
          <w:bCs w:val="0"/>
        </w:rPr>
      </w: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2" w:right="6474"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982"/>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2"/>
        <w:rPr>
          <w:rFonts w:ascii="宋体" w:hAnsi="宋体" w:cs="宋体" w:eastAsia="宋体" w:hint="default"/>
          <w:b/>
          <w:bCs/>
          <w:sz w:val="26"/>
          <w:szCs w:val="26"/>
        </w:rPr>
      </w:pPr>
    </w:p>
    <w:p>
      <w:pPr>
        <w:pStyle w:val="BodyText"/>
        <w:spacing w:line="360" w:lineRule="auto" w:before="0"/>
        <w:ind w:right="6974"/>
        <w:jc w:val="left"/>
      </w:pPr>
      <w:r>
        <w:rPr/>
        <w:t>公司是否需要遵守光伏产业链相关业的披露要求 否</w:t>
      </w:r>
    </w:p>
    <w:p>
      <w:pPr>
        <w:pStyle w:val="BodyText"/>
        <w:spacing w:line="338" w:lineRule="auto" w:before="27"/>
        <w:ind w:right="1397"/>
        <w:jc w:val="left"/>
      </w:pPr>
      <w:r>
        <w:rPr/>
        <w:t>公司是否需遵守《深圳证券交易所创业板行业信息披露指引第</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43"/>
        <w:ind w:right="1577"/>
        <w:jc w:val="left"/>
      </w:pPr>
      <w:r>
        <w:rPr/>
        <w:t>公司是否需遵守《深圳证券交易所创业板行业信息披露指引第</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39"/>
        <w:ind w:right="1140"/>
        <w:jc w:val="left"/>
      </w:pPr>
      <w:r>
        <w:rPr/>
        <w:t>公司是否需遵守《深圳证券交易所创业板行业信息披露指引第</w:t>
      </w:r>
      <w:r>
        <w:rPr>
          <w:spacing w:val="-46"/>
        </w:rPr>
        <w:t> </w:t>
      </w:r>
      <w:r>
        <w:rPr>
          <w:rFonts w:ascii="Times New Roman" w:hAnsi="Times New Roman" w:cs="Times New Roman" w:eastAsia="Times New Roman" w:hint="default"/>
        </w:rPr>
        <w:t>9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4"/>
        </w:rPr>
        <w:t> </w:t>
      </w:r>
      <w:r>
        <w:rPr/>
        <w:t>产业链相关业务》的披露要求： 否</w:t>
      </w:r>
    </w:p>
    <w:p>
      <w:pPr>
        <w:pStyle w:val="BodyText"/>
        <w:spacing w:line="338" w:lineRule="auto" w:before="41"/>
        <w:ind w:right="1665"/>
        <w:jc w:val="left"/>
      </w:pPr>
      <w:r>
        <w:rPr/>
        <w:t>公司是否需遵守《深圳证券交易所创业板行业信息披露指引第</w:t>
      </w:r>
      <w:r>
        <w:rPr>
          <w:spacing w:val="-46"/>
        </w:rPr>
        <w:t> </w:t>
      </w:r>
      <w:r>
        <w:rPr>
          <w:rFonts w:ascii="Times New Roman" w:hAnsi="Times New Roman" w:cs="Times New Roman" w:eastAsia="Times New Roman" w:hint="default"/>
        </w:rPr>
        <w:t>10 </w:t>
      </w:r>
      <w:r>
        <w:rPr/>
        <w:t>号</w:t>
      </w:r>
      <w:r>
        <w:rPr>
          <w:rFonts w:ascii="Times New Roman" w:hAnsi="Times New Roman" w:cs="Times New Roman" w:eastAsia="Times New Roman" w:hint="default"/>
        </w:rPr>
        <w:t>——</w:t>
      </w:r>
      <w:r>
        <w:rPr/>
        <w:t>上市公司从事医疗器械业务》的披露要求： 否</w:t>
      </w:r>
    </w:p>
    <w:p>
      <w:pPr>
        <w:pStyle w:val="BodyText"/>
        <w:spacing w:line="340" w:lineRule="auto" w:before="43"/>
        <w:ind w:right="1665"/>
        <w:jc w:val="left"/>
      </w:pPr>
      <w:r>
        <w:rPr/>
        <w:t>公司是否需遵守《深圳证券交易所行业信息披露指引第</w:t>
      </w:r>
      <w:r>
        <w:rPr>
          <w:spacing w:val="-46"/>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上市公司从软件与信息技术服务业务》的披露要求 否</w:t>
      </w:r>
    </w:p>
    <w:p>
      <w:pPr>
        <w:pStyle w:val="BodyText"/>
        <w:spacing w:line="240" w:lineRule="auto" w:before="39"/>
        <w:ind w:right="982"/>
        <w:jc w:val="left"/>
      </w:pPr>
      <w:r>
        <w:rPr/>
        <w:t>营业收入整体情况</w:t>
      </w:r>
    </w:p>
    <w:p>
      <w:pPr>
        <w:pStyle w:val="BodyText"/>
        <w:spacing w:line="240" w:lineRule="auto" w:before="117"/>
        <w:ind w:left="0" w:right="1133"/>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2"/>
        <w:gridCol w:w="1594"/>
        <w:gridCol w:w="1588"/>
        <w:gridCol w:w="1601"/>
        <w:gridCol w:w="1582"/>
        <w:gridCol w:w="1600"/>
      </w:tblGrid>
      <w:tr>
        <w:trPr>
          <w:trHeight w:val="206" w:hRule="exact"/>
        </w:trPr>
        <w:tc>
          <w:tcPr>
            <w:tcW w:w="1602" w:type="dxa"/>
            <w:tcBorders>
              <w:top w:val="single" w:sz="4" w:space="0" w:color="000000"/>
              <w:left w:val="single" w:sz="4" w:space="0" w:color="000000"/>
              <w:bottom w:val="nil" w:sz="6" w:space="0" w:color="auto"/>
              <w:right w:val="single" w:sz="4" w:space="0" w:color="000000"/>
            </w:tcBorders>
            <w:shd w:val="clear" w:color="auto" w:fill="D4D4D4"/>
          </w:tcPr>
          <w:p>
            <w:pPr/>
          </w:p>
        </w:tc>
        <w:tc>
          <w:tcPr>
            <w:tcW w:w="3182"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3"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0"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0" w:hRule="exact"/>
        </w:trPr>
        <w:tc>
          <w:tcPr>
            <w:tcW w:w="1602" w:type="dxa"/>
            <w:vMerge w:val="restart"/>
            <w:tcBorders>
              <w:top w:val="nil" w:sz="6" w:space="0" w:color="auto"/>
              <w:left w:val="single" w:sz="4" w:space="0" w:color="000000"/>
              <w:right w:val="single" w:sz="4" w:space="0" w:color="000000"/>
            </w:tcBorders>
            <w:shd w:val="clear" w:color="auto" w:fill="D4D4D4"/>
          </w:tcPr>
          <w:p>
            <w:pPr/>
          </w:p>
        </w:tc>
        <w:tc>
          <w:tcPr>
            <w:tcW w:w="3182" w:type="dxa"/>
            <w:gridSpan w:val="2"/>
            <w:vMerge/>
            <w:tcBorders>
              <w:left w:val="single" w:sz="4" w:space="0" w:color="000000"/>
              <w:bottom w:val="single" w:sz="4" w:space="0" w:color="000000"/>
              <w:right w:val="single" w:sz="4" w:space="0" w:color="000000"/>
            </w:tcBorders>
            <w:shd w:val="clear" w:color="auto" w:fill="D4D4D4"/>
          </w:tcPr>
          <w:p>
            <w:pPr/>
          </w:p>
        </w:tc>
        <w:tc>
          <w:tcPr>
            <w:tcW w:w="3183" w:type="dxa"/>
            <w:gridSpan w:val="2"/>
            <w:vMerge/>
            <w:tcBorders>
              <w:left w:val="single" w:sz="4" w:space="0" w:color="000000"/>
              <w:bottom w:val="single" w:sz="4" w:space="0" w:color="000000"/>
              <w:right w:val="single" w:sz="4" w:space="0" w:color="000000"/>
            </w:tcBorders>
            <w:shd w:val="clear" w:color="auto" w:fill="D4D4D4"/>
          </w:tcPr>
          <w:p>
            <w:pPr/>
          </w:p>
        </w:tc>
        <w:tc>
          <w:tcPr>
            <w:tcW w:w="160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43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602" w:type="dxa"/>
            <w:vMerge/>
            <w:tcBorders>
              <w:left w:val="single" w:sz="4" w:space="0" w:color="000000"/>
              <w:bottom w:val="nil" w:sz="6" w:space="0" w:color="auto"/>
              <w:right w:val="single" w:sz="4" w:space="0" w:color="000000"/>
            </w:tcBorders>
            <w:shd w:val="clear" w:color="auto" w:fill="D4D4D4"/>
          </w:tcPr>
          <w:p>
            <w:pP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1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8"/>
              <w:jc w:val="center"/>
              <w:rPr>
                <w:rFonts w:ascii="宋体" w:hAnsi="宋体" w:cs="宋体" w:eastAsia="宋体" w:hint="default"/>
                <w:sz w:val="18"/>
                <w:szCs w:val="18"/>
              </w:rPr>
            </w:pPr>
            <w:r>
              <w:rPr>
                <w:rFonts w:ascii="宋体" w:hAnsi="宋体" w:cs="宋体" w:eastAsia="宋体" w:hint="default"/>
                <w:sz w:val="18"/>
                <w:szCs w:val="18"/>
              </w:rPr>
              <w:t>金额</w:t>
            </w:r>
          </w:p>
        </w:tc>
        <w:tc>
          <w:tcPr>
            <w:tcW w:w="158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tcBorders>
              <w:left w:val="single" w:sz="4" w:space="0" w:color="000000"/>
              <w:bottom w:val="nil" w:sz="6" w:space="0" w:color="auto"/>
              <w:right w:val="single" w:sz="4" w:space="0" w:color="000000"/>
            </w:tcBorders>
            <w:shd w:val="clear" w:color="auto" w:fill="D4D4D4"/>
          </w:tcPr>
          <w:p>
            <w:pPr/>
          </w:p>
        </w:tc>
      </w:tr>
      <w:tr>
        <w:trPr>
          <w:trHeight w:val="206" w:hRule="exact"/>
        </w:trPr>
        <w:tc>
          <w:tcPr>
            <w:tcW w:w="1602"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88" w:type="dxa"/>
            <w:vMerge/>
            <w:tcBorders>
              <w:left w:val="single" w:sz="4" w:space="0" w:color="000000"/>
              <w:bottom w:val="single" w:sz="4" w:space="0" w:color="000000"/>
              <w:right w:val="single" w:sz="4" w:space="0" w:color="000000"/>
            </w:tcBorders>
            <w:shd w:val="clear" w:color="auto" w:fill="D4D4D4"/>
          </w:tcPr>
          <w:p>
            <w:pPr/>
          </w:p>
        </w:tc>
        <w:tc>
          <w:tcPr>
            <w:tcW w:w="1601" w:type="dxa"/>
            <w:vMerge/>
            <w:tcBorders>
              <w:left w:val="single" w:sz="4" w:space="0" w:color="000000"/>
              <w:bottom w:val="single" w:sz="4" w:space="0" w:color="000000"/>
              <w:right w:val="single" w:sz="4" w:space="0" w:color="000000"/>
            </w:tcBorders>
            <w:shd w:val="clear" w:color="auto" w:fill="D4D4D4"/>
          </w:tcPr>
          <w:p>
            <w:pPr/>
          </w:p>
        </w:tc>
        <w:tc>
          <w:tcPr>
            <w:tcW w:w="1582" w:type="dxa"/>
            <w:vMerge/>
            <w:tcBorders>
              <w:left w:val="single" w:sz="4" w:space="0" w:color="000000"/>
              <w:bottom w:val="single" w:sz="4" w:space="0" w:color="000000"/>
              <w:right w:val="single" w:sz="4" w:space="0" w:color="000000"/>
            </w:tcBorders>
            <w:shd w:val="clear" w:color="auto" w:fill="D4D4D4"/>
          </w:tcPr>
          <w:p>
            <w:pPr/>
          </w:p>
        </w:tc>
        <w:tc>
          <w:tcPr>
            <w:tcW w:w="1600"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6" w:hRule="exact"/>
        </w:trPr>
        <w:tc>
          <w:tcPr>
            <w:tcW w:w="16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4D4D4"/>
              <w:bottom w:val="single" w:sz="4" w:space="0" w:color="000000"/>
              <w:right w:val="single" w:sz="13" w:space="0" w:color="D4D4D4"/>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1,002,076,417.42</w:t>
            </w:r>
          </w:p>
        </w:tc>
        <w:tc>
          <w:tcPr>
            <w:tcW w:w="1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601" w:type="dxa"/>
            <w:tcBorders>
              <w:top w:val="single" w:sz="4" w:space="0" w:color="000000"/>
              <w:left w:val="single" w:sz="10" w:space="0" w:color="D4D4D4"/>
              <w:bottom w:val="single" w:sz="4" w:space="0" w:color="000000"/>
              <w:right w:val="single" w:sz="10" w:space="0" w:color="D4D4D4"/>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754,572,739.63</w:t>
            </w:r>
            <w:r>
              <w:rPr>
                <w:rFonts w:ascii="Times New Roman"/>
                <w:sz w:val="18"/>
              </w:rPr>
            </w:r>
          </w:p>
        </w:tc>
        <w:tc>
          <w:tcPr>
            <w:tcW w:w="1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100%</w:t>
            </w:r>
          </w:p>
        </w:tc>
        <w:tc>
          <w:tcPr>
            <w:tcW w:w="160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32.80%</w:t>
            </w:r>
          </w:p>
        </w:tc>
      </w:tr>
      <w:tr>
        <w:trPr>
          <w:trHeight w:val="398"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专用设备制造业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986,295,062.18</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98.43%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745,038,547.70</w:t>
            </w:r>
            <w:r>
              <w:rPr>
                <w:rFonts w:ascii="Times New Roman"/>
                <w:sz w:val="18"/>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98.73%</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32.38%</w:t>
            </w:r>
          </w:p>
        </w:tc>
      </w:tr>
      <w:tr>
        <w:trPr>
          <w:trHeight w:val="715"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6"/>
              <w:jc w:val="left"/>
              <w:rPr>
                <w:rFonts w:ascii="宋体" w:hAnsi="宋体" w:cs="宋体" w:eastAsia="宋体" w:hint="default"/>
                <w:sz w:val="18"/>
                <w:szCs w:val="18"/>
              </w:rPr>
            </w:pPr>
            <w:r>
              <w:rPr>
                <w:rFonts w:ascii="宋体" w:hAnsi="宋体" w:cs="宋体" w:eastAsia="宋体" w:hint="default"/>
                <w:sz w:val="18"/>
                <w:szCs w:val="18"/>
              </w:rPr>
              <w:t>其他电子设备制造 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5,334,838.13</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0.53%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2,348,200.13</w:t>
            </w:r>
            <w:r>
              <w:rPr>
                <w:rFonts w:ascii="Times New Roman"/>
                <w:sz w:val="18"/>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0.31%</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127.19%</w:t>
            </w:r>
          </w:p>
        </w:tc>
      </w:tr>
      <w:tr>
        <w:trPr>
          <w:trHeight w:val="401"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金融服务业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3,157,622.45</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0.32%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1,784,775.66</w:t>
            </w:r>
            <w:r>
              <w:rPr>
                <w:rFonts w:ascii="Times New Roman"/>
                <w:sz w:val="18"/>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0.24%</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76.92%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停车场运营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2,192,735.09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5,096,159.57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5,401,216.14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-5.65%</w:t>
            </w:r>
          </w:p>
        </w:tc>
      </w:tr>
      <w:tr>
        <w:trPr>
          <w:trHeight w:val="401"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散料搬运核心装置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111,694,400.68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11.15%</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97,156,997.35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12.88%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14.96%</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搅拌站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75,860,014.71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49,544,217.10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53.12%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管型母线</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3,975,914.47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0.40%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1,981,471.59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100.65%</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621,405,350.29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62.01%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488,582,471.63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64.75%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27.19%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成套生产线</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173,359,382.03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17.30%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107,773,390.03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14.28%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60.86%</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固态电子盘及其他 存储设备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5,334,838.13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0.53%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2,348,200.13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127.19%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金融服务业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3,157,622.45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1,784,775.66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76.92%</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停车场运营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2,192,735.09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5,096,159.57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5,401,216.14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-5.65%</w:t>
            </w:r>
          </w:p>
        </w:tc>
      </w:tr>
      <w:tr>
        <w:trPr>
          <w:trHeight w:val="401"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95,830,008.67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88,385,957.41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11.71%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8.42%</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106,883,125.46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10.67%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53,830,317.81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98.56%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328,136,497.26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32.75%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275,972,524.36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36.57%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18.90%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274,860,036.02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27.43%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185,466,024.02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24.58%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48.20%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6,906,277.41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0.69%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14,941,616.27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-53.78%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111,384,842.59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11.12%</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117,241,778.35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78,075,630.01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7.78%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18,734,521.41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316.75%</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4"/>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2" w:top="1060" w:bottom="1180" w:left="980" w:right="0"/>
        </w:sectPr>
      </w:pPr>
    </w:p>
    <w:p>
      <w:pPr>
        <w:pStyle w:val="BodyText"/>
        <w:spacing w:line="348" w:lineRule="auto"/>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单位：元</w:t>
      </w:r>
    </w:p>
    <w:p>
      <w:pPr>
        <w:spacing w:after="0" w:line="240" w:lineRule="auto"/>
        <w:jc w:val="left"/>
        <w:sectPr>
          <w:type w:val="continuous"/>
          <w:pgSz w:w="11910" w:h="16840"/>
          <w:pgMar w:top="1060" w:bottom="1180" w:left="980" w:right="0"/>
          <w:cols w:num="2" w:equalWidth="0">
            <w:col w:w="3213" w:space="5705"/>
            <w:col w:w="2012"/>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319" w:right="48"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专用设备制造业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906,459,133.00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594,116,498.06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34.46%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32.38%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44.14%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-1.21%</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散料搬运核心装 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111,694,400.68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63,430,032.89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43.21%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15.07%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车库</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621,405,350.29</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399,562,831.46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27.19%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25.39%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0.98%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0"/>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成套生产线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173,359,382.03</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131,123,633.71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60.86%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81.95%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-8.77%</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289,246,441.40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190,182,865.85</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13.58%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19.30%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268,868,686.88</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180,492,881.78</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32.87%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46.95%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43.24%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1.74%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94,088,746.04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60,310,759.71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197.87%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185.44%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92,409,411.31</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59,961,837.57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35.11%</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12.67%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21.78%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-4.85%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83,049,101.49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51,534,942.36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-23.97%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-25.24%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71,932,818.21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47,307,224.16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34.23%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287.04%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306.67%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-3.17%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6,863,927.66</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4,325,986.63</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-52.54%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-55.76%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4.58%</w:t>
            </w:r>
          </w:p>
        </w:tc>
      </w:tr>
    </w:tbl>
    <w:p>
      <w:pPr>
        <w:pStyle w:val="BodyText"/>
        <w:spacing w:line="240" w:lineRule="auto" w:before="49"/>
        <w:ind w:right="982"/>
        <w:jc w:val="left"/>
      </w:pPr>
      <w:r>
        <w:rPr/>
        <w:t>公司主营业务数据统计口径在报告期发生调整的情况下，公司最近</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08"/>
        <w:gridCol w:w="1571"/>
        <w:gridCol w:w="1604"/>
        <w:gridCol w:w="1596"/>
        <w:gridCol w:w="1594"/>
        <w:gridCol w:w="1594"/>
      </w:tblGrid>
      <w:tr>
        <w:trPr>
          <w:trHeight w:val="403" w:hRule="exact"/>
        </w:trPr>
        <w:tc>
          <w:tcPr>
            <w:tcW w:w="16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608" w:type="dxa"/>
            <w:vMerge w:val="restart"/>
            <w:tcBorders>
              <w:top w:val="single" w:sz="4" w:space="0" w:color="000000"/>
              <w:left w:val="single" w:sz="4" w:space="0" w:color="000000"/>
              <w:right w:val="single" w:sz="13" w:space="0" w:color="D4D4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散料搬运核心装备</w:t>
            </w:r>
          </w:p>
        </w:tc>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2.63%</w:t>
            </w:r>
          </w:p>
        </w:tc>
      </w:tr>
      <w:tr>
        <w:trPr>
          <w:trHeight w:val="403" w:hRule="exact"/>
        </w:trPr>
        <w:tc>
          <w:tcPr>
            <w:tcW w:w="1608" w:type="dxa"/>
            <w:vMerge/>
            <w:tcBorders>
              <w:left w:val="single" w:sz="4" w:space="0" w:color="000000"/>
              <w:right w:val="single" w:sz="13" w:space="0" w:color="D4D4D4"/>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-5.06%</w:t>
            </w:r>
          </w:p>
        </w:tc>
      </w:tr>
      <w:tr>
        <w:trPr>
          <w:trHeight w:val="401" w:hRule="exact"/>
        </w:trPr>
        <w:tc>
          <w:tcPr>
            <w:tcW w:w="1608" w:type="dxa"/>
            <w:vMerge/>
            <w:tcBorders>
              <w:left w:val="single" w:sz="4" w:space="0" w:color="000000"/>
              <w:bottom w:val="single" w:sz="4" w:space="0" w:color="000000"/>
              <w:right w:val="single" w:sz="13" w:space="0" w:color="D4D4D4"/>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-37.96%</w:t>
            </w:r>
          </w:p>
        </w:tc>
      </w:tr>
      <w:tr>
        <w:trPr>
          <w:trHeight w:val="403" w:hRule="exact"/>
        </w:trPr>
        <w:tc>
          <w:tcPr>
            <w:tcW w:w="1608" w:type="dxa"/>
            <w:vMerge w:val="restart"/>
            <w:tcBorders>
              <w:top w:val="single" w:sz="4" w:space="0" w:color="000000"/>
              <w:left w:val="single" w:sz="4" w:space="0" w:color="000000"/>
              <w:right w:val="single" w:sz="13" w:space="0" w:color="D4D4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搅拌站</w:t>
            </w:r>
          </w:p>
        </w:tc>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61.11%</w:t>
            </w:r>
            <w:r>
              <w:rPr>
                <w:rFonts w:ascii="Times New Roman"/>
                <w:sz w:val="18"/>
              </w:rPr>
            </w:r>
          </w:p>
        </w:tc>
      </w:tr>
      <w:tr>
        <w:trPr>
          <w:trHeight w:val="401" w:hRule="exact"/>
        </w:trPr>
        <w:tc>
          <w:tcPr>
            <w:tcW w:w="1608" w:type="dxa"/>
            <w:vMerge/>
            <w:tcBorders>
              <w:left w:val="single" w:sz="4" w:space="0" w:color="000000"/>
              <w:right w:val="single" w:sz="13" w:space="0" w:color="D4D4D4"/>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61.11%</w:t>
            </w:r>
            <w:r>
              <w:rPr>
                <w:rFonts w:ascii="Times New Roman"/>
                <w:sz w:val="18"/>
              </w:rPr>
            </w:r>
          </w:p>
        </w:tc>
      </w:tr>
      <w:tr>
        <w:trPr>
          <w:trHeight w:val="403" w:hRule="exact"/>
        </w:trPr>
        <w:tc>
          <w:tcPr>
            <w:tcW w:w="1608" w:type="dxa"/>
            <w:vMerge/>
            <w:tcBorders>
              <w:left w:val="single" w:sz="4" w:space="0" w:color="000000"/>
              <w:bottom w:val="single" w:sz="4" w:space="0" w:color="000000"/>
              <w:right w:val="single" w:sz="13" w:space="0" w:color="D4D4D4"/>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08" w:type="dxa"/>
            <w:vMerge w:val="restart"/>
            <w:tcBorders>
              <w:top w:val="single" w:sz="4" w:space="0" w:color="000000"/>
              <w:left w:val="single" w:sz="4" w:space="0" w:color="000000"/>
              <w:right w:val="single" w:sz="13" w:space="0" w:color="D4D4D4"/>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316" w:lineRule="auto"/>
              <w:ind w:left="24" w:right="120"/>
              <w:jc w:val="left"/>
              <w:rPr>
                <w:rFonts w:ascii="宋体" w:hAnsi="宋体" w:cs="宋体" w:eastAsia="宋体" w:hint="default"/>
                <w:sz w:val="18"/>
                <w:szCs w:val="18"/>
              </w:rPr>
            </w:pPr>
            <w:r>
              <w:rPr>
                <w:rFonts w:ascii="宋体" w:hAnsi="宋体" w:cs="宋体" w:eastAsia="宋体" w:hint="default"/>
                <w:sz w:val="18"/>
                <w:szCs w:val="18"/>
              </w:rPr>
              <w:t>主体车库及其安装 服务</w:t>
            </w:r>
          </w:p>
        </w:tc>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37,787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28.18%</w:t>
            </w:r>
          </w:p>
        </w:tc>
      </w:tr>
      <w:tr>
        <w:trPr>
          <w:trHeight w:val="403" w:hRule="exact"/>
        </w:trPr>
        <w:tc>
          <w:tcPr>
            <w:tcW w:w="1608" w:type="dxa"/>
            <w:vMerge/>
            <w:tcBorders>
              <w:left w:val="single" w:sz="4" w:space="0" w:color="000000"/>
              <w:right w:val="single" w:sz="13" w:space="0" w:color="D4D4D4"/>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37,893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32.06%</w:t>
            </w:r>
          </w:p>
        </w:tc>
      </w:tr>
      <w:tr>
        <w:trPr>
          <w:trHeight w:val="401" w:hRule="exact"/>
        </w:trPr>
        <w:tc>
          <w:tcPr>
            <w:tcW w:w="1608" w:type="dxa"/>
            <w:vMerge/>
            <w:tcBorders>
              <w:left w:val="single" w:sz="4" w:space="0" w:color="000000"/>
              <w:bottom w:val="single" w:sz="4" w:space="0" w:color="000000"/>
              <w:right w:val="single" w:sz="13" w:space="0" w:color="D4D4D4"/>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1,338.33%</w:t>
            </w:r>
          </w:p>
        </w:tc>
      </w:tr>
      <w:tr>
        <w:trPr>
          <w:trHeight w:val="403" w:hRule="exact"/>
        </w:trPr>
        <w:tc>
          <w:tcPr>
            <w:tcW w:w="1608" w:type="dxa"/>
            <w:vMerge w:val="restart"/>
            <w:tcBorders>
              <w:top w:val="single" w:sz="4" w:space="0" w:color="000000"/>
              <w:left w:val="single" w:sz="4" w:space="0" w:color="000000"/>
              <w:right w:val="single" w:sz="13" w:space="0" w:color="D4D4D4"/>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24" w:right="120"/>
              <w:jc w:val="left"/>
              <w:rPr>
                <w:rFonts w:ascii="宋体" w:hAnsi="宋体" w:cs="宋体" w:eastAsia="宋体" w:hint="default"/>
                <w:sz w:val="18"/>
                <w:szCs w:val="18"/>
              </w:rPr>
            </w:pPr>
            <w:r>
              <w:rPr>
                <w:rFonts w:ascii="宋体" w:hAnsi="宋体" w:cs="宋体" w:eastAsia="宋体" w:hint="default"/>
                <w:sz w:val="18"/>
                <w:szCs w:val="18"/>
              </w:rPr>
              <w:t>成套生产线及其安 装服务</w:t>
            </w:r>
          </w:p>
        </w:tc>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129.82%</w:t>
            </w:r>
          </w:p>
        </w:tc>
      </w:tr>
      <w:tr>
        <w:trPr>
          <w:trHeight w:val="401" w:hRule="exact"/>
        </w:trPr>
        <w:tc>
          <w:tcPr>
            <w:tcW w:w="1608" w:type="dxa"/>
            <w:vMerge/>
            <w:tcBorders>
              <w:left w:val="single" w:sz="4" w:space="0" w:color="000000"/>
              <w:right w:val="single" w:sz="13" w:space="0" w:color="D4D4D4"/>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129.82%</w:t>
            </w:r>
          </w:p>
        </w:tc>
      </w:tr>
      <w:tr>
        <w:trPr>
          <w:trHeight w:val="403" w:hRule="exact"/>
        </w:trPr>
        <w:tc>
          <w:tcPr>
            <w:tcW w:w="1608" w:type="dxa"/>
            <w:vMerge/>
            <w:tcBorders>
              <w:left w:val="single" w:sz="4" w:space="0" w:color="000000"/>
              <w:bottom w:val="single" w:sz="4" w:space="0" w:color="000000"/>
              <w:right w:val="single" w:sz="13" w:space="0" w:color="D4D4D4"/>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2"/>
        <w:jc w:val="left"/>
      </w:pPr>
      <w:r>
        <w:rPr/>
        <w:t>相关数据同比发生变动</w:t>
      </w:r>
      <w:r>
        <w:rPr>
          <w:spacing w:val="-48"/>
        </w:rPr>
        <w:t> </w:t>
      </w:r>
      <w:r>
        <w:rPr>
          <w:rFonts w:ascii="Times New Roman" w:hAnsi="Times New Roman" w:cs="Times New Roman" w:eastAsia="Times New Roman" w:hint="default"/>
        </w:rPr>
        <w:t>30%</w:t>
      </w:r>
      <w:r>
        <w:rPr/>
        <w:t>以上的原因说明</w:t>
      </w:r>
    </w:p>
    <w:p>
      <w:pPr>
        <w:pStyle w:val="BodyText"/>
        <w:spacing w:line="240" w:lineRule="auto" w:before="101"/>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982"/>
        <w:jc w:val="left"/>
      </w:pPr>
      <w:r>
        <w:rPr>
          <w:rFonts w:ascii="Times New Roman" w:hAnsi="Times New Roman" w:cs="Times New Roman" w:eastAsia="Times New Roman" w:hint="default"/>
        </w:rPr>
        <w:t>2018</w:t>
      </w:r>
      <w:r>
        <w:rPr/>
        <w:t>年度车库、生产线及搅拌站等专业设备订单较好，销量及销售额有较大提升。</w:t>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before="0"/>
        <w:ind w:right="93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否</w:t>
      </w:r>
    </w:p>
    <w:p>
      <w:pPr>
        <w:pStyle w:val="BodyText"/>
        <w:spacing w:line="240" w:lineRule="auto" w:before="41"/>
        <w:ind w:right="982"/>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日，公司披露了《关于全资子公司收到中标通知书的公告》（公告编号</w:t>
      </w:r>
      <w:r>
        <w:rPr>
          <w:rFonts w:ascii="Times New Roman" w:hAnsi="Times New Roman" w:cs="Times New Roman" w:eastAsia="Times New Roman" w:hint="default"/>
        </w:rPr>
        <w:t>2017—077</w:t>
      </w:r>
      <w:r>
        <w:rPr/>
        <w:t>），全资子公司伟创自动化与</w:t>
      </w:r>
    </w:p>
    <w:p>
      <w:pPr>
        <w:spacing w:after="0" w:line="240" w:lineRule="auto"/>
        <w:jc w:val="left"/>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300" w:lineRule="auto"/>
        <w:ind w:right="1133"/>
        <w:jc w:val="both"/>
      </w:pPr>
      <w:r>
        <w:rPr/>
        <w:t>深圳市市政设计研究院有限公司、南通卓强建设集团有限公司组成的联合体成为</w:t>
      </w:r>
      <w:r>
        <w:rPr>
          <w:rFonts w:ascii="Times New Roman" w:hAnsi="Times New Roman" w:cs="Times New Roman" w:eastAsia="Times New Roman" w:hint="default"/>
        </w:rPr>
        <w:t>“</w:t>
      </w:r>
      <w:r>
        <w:rPr/>
        <w:t>超骧路停车场及景观项目和杨真停车场及 </w:t>
      </w:r>
      <w:r>
        <w:rPr>
          <w:spacing w:val="-2"/>
        </w:rPr>
        <w:t>配套项目设计采购施工总承包（</w:t>
      </w:r>
      <w:r>
        <w:rPr>
          <w:rFonts w:ascii="Times New Roman" w:hAnsi="Times New Roman" w:cs="Times New Roman" w:eastAsia="Times New Roman" w:hint="default"/>
          <w:spacing w:val="-2"/>
        </w:rPr>
        <w:t>EPC</w:t>
      </w:r>
      <w:r>
        <w:rPr>
          <w:spacing w:val="-2"/>
        </w:rPr>
        <w:t>）项目</w:t>
      </w:r>
      <w:r>
        <w:rPr>
          <w:rFonts w:ascii="Times New Roman" w:hAnsi="Times New Roman" w:cs="Times New Roman" w:eastAsia="Times New Roman" w:hint="default"/>
          <w:spacing w:val="-2"/>
        </w:rPr>
        <w:t>”</w:t>
      </w:r>
      <w:r>
        <w:rPr>
          <w:spacing w:val="-2"/>
        </w:rPr>
        <w:t>的中标单位，项目总金额为</w:t>
      </w:r>
      <w:r>
        <w:rPr>
          <w:rFonts w:ascii="Times New Roman" w:hAnsi="Times New Roman" w:cs="Times New Roman" w:eastAsia="Times New Roman" w:hint="default"/>
          <w:spacing w:val="-2"/>
        </w:rPr>
        <w:t>18,700</w:t>
      </w:r>
      <w:r>
        <w:rPr>
          <w:spacing w:val="-2"/>
        </w:rPr>
        <w:t>万元。</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17</w:t>
      </w:r>
      <w:r>
        <w:rPr>
          <w:spacing w:val="-2"/>
        </w:rPr>
        <w:t>日，公司披露了《关于子</w:t>
      </w:r>
      <w:r>
        <w:rPr>
          <w:spacing w:val="-61"/>
        </w:rPr>
        <w:t> </w:t>
      </w:r>
      <w:r>
        <w:rPr>
          <w:spacing w:val="-61"/>
        </w:rPr>
      </w:r>
      <w:r>
        <w:rPr/>
        <w:t>公司已中标项目正式签订合同的公告》（公告编号：</w:t>
      </w:r>
      <w:r>
        <w:rPr>
          <w:rFonts w:ascii="Times New Roman" w:hAnsi="Times New Roman" w:cs="Times New Roman" w:eastAsia="Times New Roman" w:hint="default"/>
        </w:rPr>
        <w:t>2017—080</w:t>
      </w:r>
      <w:r>
        <w:rPr/>
        <w:t>），伟创自动化</w:t>
      </w:r>
      <w:r>
        <w:rPr>
          <w:rFonts w:ascii="Times New Roman" w:hAnsi="Times New Roman" w:cs="Times New Roman" w:eastAsia="Times New Roman" w:hint="default"/>
        </w:rPr>
        <w:t>EPC</w:t>
      </w:r>
      <w:r>
        <w:rPr/>
        <w:t>项目正式签订合同。截至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日，伟创自动化中标的</w:t>
      </w:r>
      <w:r>
        <w:rPr>
          <w:rFonts w:ascii="Times New Roman" w:hAnsi="Times New Roman" w:cs="Times New Roman" w:eastAsia="Times New Roman" w:hint="default"/>
        </w:rPr>
        <w:t>EPC</w:t>
      </w:r>
      <w:r>
        <w:rPr/>
        <w:t>项目土建工程在建中，项目按计划进度施工。</w:t>
      </w:r>
    </w:p>
    <w:p>
      <w:pPr>
        <w:spacing w:line="240" w:lineRule="auto" w:before="5"/>
        <w:rPr>
          <w:rFonts w:ascii="宋体" w:hAnsi="宋体" w:cs="宋体" w:eastAsia="宋体" w:hint="default"/>
          <w:sz w:val="22"/>
          <w:szCs w:val="22"/>
        </w:rPr>
      </w:pPr>
    </w:p>
    <w:p>
      <w:pPr>
        <w:pStyle w:val="Heading3"/>
        <w:spacing w:line="240" w:lineRule="auto"/>
        <w:ind w:right="0"/>
        <w:jc w:val="both"/>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2" w:top="1060" w:bottom="1180" w:left="980" w:right="0"/>
        </w:sectPr>
      </w:pPr>
    </w:p>
    <w:p>
      <w:pPr>
        <w:pStyle w:val="BodyText"/>
        <w:spacing w:line="357" w:lineRule="auto"/>
        <w:ind w:right="-20"/>
        <w:jc w:val="left"/>
      </w:pPr>
      <w:r>
        <w:rPr/>
        <w:t>产品分类 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060" w:bottom="1180" w:left="980" w:right="0"/>
          <w:cols w:num="2" w:equalWidth="0">
            <w:col w:w="873" w:space="8045"/>
            <w:col w:w="2012"/>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专业设备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468,277,929.26</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71.89%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349,578,258.64</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71.51%</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专业设备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84,403,256.83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12.96%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61,546,748.31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12.59%</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专业设备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98,680,639.16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77,751,835.18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15.90%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专业设备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651,361,825.25</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488,876,842.13</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2"/>
        <w:jc w:val="left"/>
      </w:pPr>
      <w:r>
        <w:rPr/>
        <w:t>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7"/>
        <w:rPr>
          <w:rFonts w:ascii="宋体" w:hAnsi="宋体" w:cs="宋体" w:eastAsia="宋体" w:hint="default"/>
          <w:sz w:val="12"/>
          <w:szCs w:val="12"/>
        </w:rPr>
      </w:pPr>
    </w:p>
    <w:p>
      <w:pPr>
        <w:pStyle w:val="BodyText"/>
        <w:spacing w:line="240" w:lineRule="auto" w:before="0"/>
        <w:ind w:right="982"/>
        <w:jc w:val="left"/>
      </w:pPr>
      <w:r>
        <w:rPr>
          <w:rFonts w:ascii="Times New Roman" w:hAnsi="Times New Roman" w:cs="Times New Roman" w:eastAsia="Times New Roman" w:hint="default"/>
        </w:rPr>
        <w:t>1</w:t>
      </w:r>
      <w:r>
        <w:rPr/>
        <w:t>、处置子公司</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994"/>
        <w:gridCol w:w="1133"/>
        <w:gridCol w:w="850"/>
        <w:gridCol w:w="852"/>
        <w:gridCol w:w="1284"/>
        <w:gridCol w:w="1267"/>
        <w:gridCol w:w="2285"/>
      </w:tblGrid>
      <w:tr>
        <w:trPr>
          <w:trHeight w:val="1169"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420" w:lineRule="auto" w:before="118"/>
              <w:ind w:left="309" w:right="216"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420" w:lineRule="auto" w:before="118"/>
              <w:ind w:left="379" w:right="197" w:hanging="180"/>
              <w:jc w:val="left"/>
              <w:rPr>
                <w:rFonts w:ascii="宋体" w:hAnsi="宋体" w:cs="宋体" w:eastAsia="宋体" w:hint="default"/>
                <w:sz w:val="18"/>
                <w:szCs w:val="18"/>
              </w:rPr>
            </w:pPr>
            <w:r>
              <w:rPr>
                <w:rFonts w:ascii="宋体" w:hAnsi="宋体" w:cs="宋体" w:eastAsia="宋体" w:hint="default"/>
                <w:sz w:val="18"/>
                <w:szCs w:val="18"/>
              </w:rPr>
              <w:t>股权处置 价款</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420" w:lineRule="auto" w:before="118"/>
              <w:ind w:left="105" w:right="53"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股权处置 比例</w:t>
            </w:r>
            <w:r>
              <w:rPr>
                <w:rFonts w:ascii="Times New Roman" w:hAnsi="Times New Roman" w:cs="Times New Roman" w:eastAsia="Times New Roman" w:hint="default"/>
                <w:sz w:val="18"/>
                <w:szCs w:val="18"/>
              </w:rPr>
              <w:t>(%)</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420" w:lineRule="auto" w:before="118"/>
              <w:ind w:left="240" w:right="55" w:hanging="180"/>
              <w:jc w:val="left"/>
              <w:rPr>
                <w:rFonts w:ascii="宋体" w:hAnsi="宋体" w:cs="宋体" w:eastAsia="宋体" w:hint="default"/>
                <w:sz w:val="18"/>
                <w:szCs w:val="18"/>
              </w:rPr>
            </w:pPr>
            <w:r>
              <w:rPr>
                <w:rFonts w:ascii="宋体" w:hAnsi="宋体" w:cs="宋体" w:eastAsia="宋体" w:hint="default"/>
                <w:sz w:val="18"/>
                <w:szCs w:val="18"/>
              </w:rPr>
              <w:t>股权处置 方式</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420" w:lineRule="auto" w:before="118"/>
              <w:ind w:left="278" w:right="269"/>
              <w:jc w:val="left"/>
              <w:rPr>
                <w:rFonts w:ascii="宋体" w:hAnsi="宋体" w:cs="宋体" w:eastAsia="宋体" w:hint="default"/>
                <w:sz w:val="18"/>
                <w:szCs w:val="18"/>
              </w:rPr>
            </w:pPr>
            <w:r>
              <w:rPr>
                <w:rFonts w:ascii="宋体" w:hAnsi="宋体" w:cs="宋体" w:eastAsia="宋体" w:hint="default"/>
                <w:sz w:val="18"/>
                <w:szCs w:val="18"/>
              </w:rPr>
              <w:t>丧失控制 权的时点</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4" w:right="0"/>
              <w:jc w:val="center"/>
              <w:rPr>
                <w:rFonts w:ascii="宋体" w:hAnsi="宋体" w:cs="宋体" w:eastAsia="宋体" w:hint="default"/>
                <w:sz w:val="18"/>
                <w:szCs w:val="18"/>
              </w:rPr>
            </w:pPr>
            <w:r>
              <w:rPr>
                <w:rFonts w:ascii="宋体" w:hAnsi="宋体" w:cs="宋体" w:eastAsia="宋体" w:hint="default"/>
                <w:sz w:val="18"/>
                <w:szCs w:val="18"/>
              </w:rPr>
              <w:t>丧失控制</w:t>
            </w:r>
          </w:p>
          <w:p>
            <w:pPr>
              <w:pStyle w:val="TableParagraph"/>
              <w:spacing w:line="240" w:lineRule="auto" w:before="7"/>
              <w:ind w:right="0"/>
              <w:jc w:val="left"/>
              <w:rPr>
                <w:rFonts w:ascii="宋体" w:hAnsi="宋体" w:cs="宋体" w:eastAsia="宋体" w:hint="default"/>
                <w:sz w:val="13"/>
                <w:szCs w:val="13"/>
              </w:rPr>
            </w:pPr>
          </w:p>
          <w:p>
            <w:pPr>
              <w:pStyle w:val="TableParagraph"/>
              <w:spacing w:line="314" w:lineRule="auto"/>
              <w:ind w:left="88" w:right="81"/>
              <w:jc w:val="center"/>
              <w:rPr>
                <w:rFonts w:ascii="宋体" w:hAnsi="宋体" w:cs="宋体" w:eastAsia="宋体" w:hint="default"/>
                <w:sz w:val="18"/>
                <w:szCs w:val="18"/>
              </w:rPr>
            </w:pPr>
            <w:r>
              <w:rPr>
                <w:rFonts w:ascii="宋体" w:hAnsi="宋体" w:cs="宋体" w:eastAsia="宋体" w:hint="default"/>
                <w:sz w:val="18"/>
                <w:szCs w:val="18"/>
              </w:rPr>
              <w:t>权时点的确定 依据</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8"/>
              <w:ind w:left="57" w:right="50"/>
              <w:jc w:val="center"/>
              <w:rPr>
                <w:rFonts w:ascii="宋体" w:hAnsi="宋体" w:cs="宋体" w:eastAsia="宋体" w:hint="default"/>
                <w:sz w:val="18"/>
                <w:szCs w:val="18"/>
              </w:rPr>
            </w:pPr>
            <w:r>
              <w:rPr>
                <w:rFonts w:ascii="宋体" w:hAnsi="宋体" w:cs="宋体" w:eastAsia="宋体" w:hint="default"/>
                <w:sz w:val="18"/>
                <w:szCs w:val="18"/>
              </w:rPr>
              <w:t>处置价款于处置投资对应的 合并财务报表层面享有该子 公司净资产份额的差额</w:t>
            </w:r>
          </w:p>
        </w:tc>
      </w:tr>
      <w:tr>
        <w:trPr>
          <w:trHeight w:val="449"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left="4" w:right="0"/>
              <w:jc w:val="left"/>
              <w:rPr>
                <w:rFonts w:ascii="宋体" w:hAnsi="宋体" w:cs="宋体" w:eastAsia="宋体" w:hint="default"/>
                <w:sz w:val="18"/>
                <w:szCs w:val="18"/>
              </w:rPr>
            </w:pPr>
            <w:r>
              <w:rPr>
                <w:rFonts w:ascii="宋体" w:hAnsi="宋体" w:cs="宋体" w:eastAsia="宋体" w:hint="default"/>
                <w:sz w:val="18"/>
                <w:szCs w:val="18"/>
              </w:rPr>
              <w:t>联合智能</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04" w:right="-1"/>
              <w:jc w:val="left"/>
              <w:rPr>
                <w:rFonts w:ascii="Times New Roman" w:hAnsi="Times New Roman" w:cs="Times New Roman" w:eastAsia="Times New Roman" w:hint="default"/>
                <w:sz w:val="18"/>
                <w:szCs w:val="18"/>
              </w:rPr>
            </w:pPr>
            <w:r>
              <w:rPr>
                <w:rFonts w:ascii="Times New Roman"/>
                <w:sz w:val="18"/>
              </w:rPr>
              <w:t>547,197.59</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35</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left="475"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left="98"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left="170" w:right="0"/>
              <w:jc w:val="left"/>
              <w:rPr>
                <w:rFonts w:ascii="宋体" w:hAnsi="宋体" w:cs="宋体" w:eastAsia="宋体" w:hint="default"/>
                <w:sz w:val="18"/>
                <w:szCs w:val="18"/>
              </w:rPr>
            </w:pPr>
            <w:r>
              <w:rPr>
                <w:rFonts w:ascii="宋体" w:hAnsi="宋体" w:cs="宋体" w:eastAsia="宋体" w:hint="default"/>
                <w:sz w:val="18"/>
                <w:szCs w:val="18"/>
              </w:rPr>
              <w:t>完成工商变更</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left="1459"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5,960.05</w:t>
            </w:r>
            <w:r>
              <w:rPr>
                <w:rFonts w:ascii="宋体" w:hAnsi="宋体" w:cs="宋体" w:eastAsia="宋体" w:hint="default"/>
                <w:sz w:val="18"/>
                <w:szCs w:val="18"/>
              </w:rPr>
              <w:t>元</w:t>
            </w:r>
          </w:p>
        </w:tc>
      </w:tr>
    </w:tbl>
    <w:p>
      <w:pPr>
        <w:pStyle w:val="BodyText"/>
        <w:spacing w:line="240" w:lineRule="auto" w:before="8"/>
        <w:ind w:right="982"/>
        <w:jc w:val="left"/>
      </w:pPr>
      <w:r>
        <w:rPr>
          <w:rFonts w:ascii="Times New Roman" w:hAnsi="Times New Roman" w:cs="Times New Roman" w:eastAsia="Times New Roman" w:hint="default"/>
        </w:rPr>
        <w:t>2</w:t>
      </w:r>
      <w:r>
        <w:rPr/>
        <w:t>、其他原因的合并范围变动</w:t>
      </w:r>
    </w:p>
    <w:p>
      <w:pPr>
        <w:spacing w:line="240" w:lineRule="auto" w:before="2"/>
        <w:rPr>
          <w:rFonts w:ascii="宋体" w:hAnsi="宋体" w:cs="宋体" w:eastAsia="宋体" w:hint="default"/>
          <w:sz w:val="4"/>
          <w:szCs w:val="4"/>
        </w:rPr>
      </w:pPr>
    </w:p>
    <w:tbl>
      <w:tblPr>
        <w:tblW w:w="0" w:type="auto"/>
        <w:jc w:val="left"/>
        <w:tblInd w:w="143" w:type="dxa"/>
        <w:tblLayout w:type="fixed"/>
        <w:tblCellMar>
          <w:top w:w="0" w:type="dxa"/>
          <w:left w:w="0" w:type="dxa"/>
          <w:bottom w:w="0" w:type="dxa"/>
          <w:right w:w="0" w:type="dxa"/>
        </w:tblCellMar>
        <w:tblLook w:val="01E0"/>
      </w:tblPr>
      <w:tblGrid>
        <w:gridCol w:w="1560"/>
        <w:gridCol w:w="1277"/>
        <w:gridCol w:w="1699"/>
        <w:gridCol w:w="1560"/>
        <w:gridCol w:w="1560"/>
        <w:gridCol w:w="991"/>
      </w:tblGrid>
      <w:tr>
        <w:trPr>
          <w:trHeight w:val="353" w:hRule="exact"/>
        </w:trPr>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41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股权取得方式</w:t>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300" w:right="0"/>
              <w:jc w:val="left"/>
              <w:rPr>
                <w:rFonts w:ascii="宋体" w:hAnsi="宋体" w:cs="宋体" w:eastAsia="宋体" w:hint="default"/>
                <w:sz w:val="18"/>
                <w:szCs w:val="18"/>
              </w:rPr>
            </w:pPr>
            <w:r>
              <w:rPr>
                <w:rFonts w:ascii="宋体" w:hAnsi="宋体" w:cs="宋体" w:eastAsia="宋体" w:hint="default"/>
                <w:sz w:val="18"/>
                <w:szCs w:val="18"/>
              </w:rPr>
              <w:t>股权取得时点</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321" w:right="0"/>
              <w:jc w:val="left"/>
              <w:rPr>
                <w:rFonts w:ascii="宋体" w:hAnsi="宋体" w:cs="宋体" w:eastAsia="宋体" w:hint="default"/>
                <w:sz w:val="18"/>
                <w:szCs w:val="18"/>
              </w:rPr>
            </w:pPr>
            <w:r>
              <w:rPr>
                <w:rFonts w:ascii="宋体" w:hAnsi="宋体" w:cs="宋体" w:eastAsia="宋体" w:hint="default"/>
                <w:sz w:val="18"/>
                <w:szCs w:val="18"/>
              </w:rPr>
              <w:t>认缴出资额</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实际出资额</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出资比例</w:t>
            </w:r>
          </w:p>
        </w:tc>
      </w:tr>
      <w:tr>
        <w:trPr>
          <w:trHeight w:val="350" w:hRule="exact"/>
        </w:trPr>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412" w:right="0"/>
              <w:jc w:val="left"/>
              <w:rPr>
                <w:rFonts w:ascii="宋体" w:hAnsi="宋体" w:cs="宋体" w:eastAsia="宋体" w:hint="default"/>
                <w:sz w:val="18"/>
                <w:szCs w:val="18"/>
              </w:rPr>
            </w:pPr>
            <w:r>
              <w:rPr>
                <w:rFonts w:ascii="宋体" w:hAnsi="宋体" w:cs="宋体" w:eastAsia="宋体" w:hint="default"/>
                <w:sz w:val="18"/>
                <w:szCs w:val="18"/>
              </w:rPr>
              <w:t>抚州五洋</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249"/>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7,000</w:t>
            </w:r>
            <w:r>
              <w:rPr>
                <w:rFonts w:ascii="宋体" w:hAnsi="宋体" w:cs="宋体" w:eastAsia="宋体" w:hint="default"/>
                <w:sz w:val="18"/>
                <w:szCs w:val="18"/>
              </w:rPr>
              <w:t>万元</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210</w:t>
            </w:r>
            <w:r>
              <w:rPr>
                <w:rFonts w:ascii="宋体" w:hAnsi="宋体" w:cs="宋体" w:eastAsia="宋体" w:hint="default"/>
                <w:sz w:val="18"/>
                <w:szCs w:val="18"/>
              </w:rPr>
              <w:t>万</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70%</w:t>
            </w:r>
          </w:p>
        </w:tc>
      </w:tr>
      <w:tr>
        <w:trPr>
          <w:trHeight w:val="353" w:hRule="exact"/>
        </w:trPr>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412" w:right="0"/>
              <w:jc w:val="left"/>
              <w:rPr>
                <w:rFonts w:ascii="宋体" w:hAnsi="宋体" w:cs="宋体" w:eastAsia="宋体" w:hint="default"/>
                <w:sz w:val="18"/>
                <w:szCs w:val="18"/>
              </w:rPr>
            </w:pPr>
            <w:r>
              <w:rPr>
                <w:rFonts w:ascii="宋体" w:hAnsi="宋体" w:cs="宋体" w:eastAsia="宋体" w:hint="default"/>
                <w:sz w:val="18"/>
                <w:szCs w:val="18"/>
              </w:rPr>
              <w:t>徐州疌盛</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20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18</w:t>
            </w:r>
            <w:r>
              <w:rPr>
                <w:rFonts w:ascii="宋体" w:hAnsi="宋体" w:cs="宋体" w:eastAsia="宋体" w:hint="default"/>
                <w:spacing w:val="-1"/>
                <w:sz w:val="18"/>
                <w:szCs w:val="18"/>
              </w:rPr>
              <w:t>日</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58"/>
              <w:jc w:val="right"/>
              <w:rPr>
                <w:rFonts w:ascii="宋体" w:hAnsi="宋体" w:cs="宋体" w:eastAsia="宋体" w:hint="default"/>
                <w:sz w:val="18"/>
                <w:szCs w:val="18"/>
              </w:rPr>
            </w:pPr>
            <w:r>
              <w:rPr>
                <w:rFonts w:ascii="宋体" w:hAnsi="宋体" w:cs="宋体" w:eastAsia="宋体" w:hint="default"/>
                <w:w w:val="95"/>
                <w:sz w:val="18"/>
                <w:szCs w:val="18"/>
              </w:rPr>
              <w:t>人民币</w:t>
            </w:r>
            <w:r>
              <w:rPr>
                <w:rFonts w:ascii="Times New Roman" w:hAnsi="Times New Roman" w:cs="Times New Roman" w:eastAsia="Times New Roman" w:hint="default"/>
                <w:w w:val="95"/>
                <w:sz w:val="18"/>
                <w:szCs w:val="18"/>
              </w:rPr>
              <w:t>35,000</w:t>
            </w:r>
            <w:r>
              <w:rPr>
                <w:rFonts w:ascii="宋体" w:hAnsi="宋体" w:cs="宋体" w:eastAsia="宋体" w:hint="default"/>
                <w:w w:val="95"/>
                <w:sz w:val="18"/>
                <w:szCs w:val="18"/>
              </w:rPr>
              <w:t>万</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1,050</w:t>
            </w:r>
            <w:r>
              <w:rPr>
                <w:rFonts w:ascii="宋体" w:hAnsi="宋体" w:cs="宋体" w:eastAsia="宋体" w:hint="default"/>
                <w:sz w:val="18"/>
                <w:szCs w:val="18"/>
              </w:rPr>
              <w:t>万</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69.08%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6"/>
        <w:ind w:right="982"/>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2"/>
        <w:jc w:val="left"/>
      </w:pPr>
      <w:r>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46"/>
        <w:gridCol w:w="5322"/>
      </w:tblGrid>
      <w:tr>
        <w:trPr>
          <w:trHeight w:val="403"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199,738,433.80</w:t>
            </w:r>
            <w:r>
              <w:rPr>
                <w:rFonts w:ascii="Times New Roman"/>
                <w:sz w:val="18"/>
              </w:rPr>
            </w:r>
          </w:p>
        </w:tc>
      </w:tr>
      <w:tr>
        <w:trPr>
          <w:trHeight w:val="401"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19.93%</w:t>
            </w:r>
          </w:p>
        </w:tc>
      </w:tr>
      <w:tr>
        <w:trPr>
          <w:trHeight w:val="715"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71"/>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982"/>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3"/>
        <w:gridCol w:w="2321"/>
        <w:gridCol w:w="3144"/>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80,920,539.79</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8.08%</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34,903,155.02</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3.48%</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31,010,915.57</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3.09%</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27,268,237.19</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25,635,586.23</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199,738,433.80</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19.93%</w:t>
            </w:r>
          </w:p>
        </w:tc>
      </w:tr>
    </w:tbl>
    <w:p>
      <w:pPr>
        <w:pStyle w:val="BodyText"/>
        <w:spacing w:line="240" w:lineRule="auto" w:before="49"/>
        <w:ind w:right="982"/>
        <w:jc w:val="left"/>
      </w:pPr>
      <w:r>
        <w:rPr/>
        <w:t>主要客户其他情况说明</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46"/>
        <w:gridCol w:w="5322"/>
      </w:tblGrid>
      <w:tr>
        <w:trPr>
          <w:trHeight w:val="401"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193,046,737.38</w:t>
            </w:r>
            <w:r>
              <w:rPr>
                <w:rFonts w:ascii="Times New Roman"/>
                <w:sz w:val="18"/>
              </w:rPr>
            </w:r>
          </w:p>
        </w:tc>
      </w:tr>
      <w:tr>
        <w:trPr>
          <w:trHeight w:val="403"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34.57%</w:t>
            </w:r>
          </w:p>
        </w:tc>
      </w:tr>
      <w:tr>
        <w:trPr>
          <w:trHeight w:val="713"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2" w:right="71"/>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982"/>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1"/>
        <w:gridCol w:w="3144"/>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85,924,131.83</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15.39%</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35,041,142.97</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6.27%</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28,849,714.94</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5.17%</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22,013,671.12</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3.94%</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21,218,076.52</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3.80%</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193,046,737.38</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34.57%</w:t>
            </w:r>
          </w:p>
        </w:tc>
      </w:tr>
    </w:tbl>
    <w:p>
      <w:pPr>
        <w:pStyle w:val="BodyText"/>
        <w:spacing w:line="240" w:lineRule="auto" w:before="49"/>
        <w:ind w:right="982"/>
        <w:jc w:val="left"/>
      </w:pPr>
      <w:r>
        <w:rPr/>
        <w:t>主要供应商其他情况说明</w:t>
      </w:r>
    </w:p>
    <w:p>
      <w:pPr>
        <w:pStyle w:val="BodyText"/>
        <w:spacing w:line="240" w:lineRule="auto" w:before="117"/>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37"/>
        <w:gridCol w:w="1637"/>
        <w:gridCol w:w="1462"/>
        <w:gridCol w:w="2918"/>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637"/>
        <w:gridCol w:w="1637"/>
        <w:gridCol w:w="1462"/>
        <w:gridCol w:w="2918"/>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75,507,986.44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53,856,972.36</w:t>
            </w:r>
            <w:r>
              <w:rPr>
                <w:rFonts w:ascii="Times New Roman"/>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40.20%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报告期业绩增长导致</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59,789,097.09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48,533,171.13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23.19%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天辰智能全年纳入合并所致</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5,784,266.68</w:t>
            </w:r>
            <w:r>
              <w:rPr>
                <w:rFonts w:ascii="Times New Roman"/>
                <w:sz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814,681.57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借款增加所致</w:t>
            </w: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59,234,455.97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50,100,117.56</w:t>
            </w:r>
            <w:r>
              <w:rPr>
                <w:rFonts w:ascii="Times New Roman"/>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18.23%</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3" w:type="dxa"/>
        <w:tblLayout w:type="fixed"/>
        <w:tblCellMar>
          <w:top w:w="0" w:type="dxa"/>
          <w:left w:w="0" w:type="dxa"/>
          <w:bottom w:w="0" w:type="dxa"/>
          <w:right w:w="0" w:type="dxa"/>
        </w:tblCellMar>
        <w:tblLook w:val="01E0"/>
      </w:tblPr>
      <w:tblGrid>
        <w:gridCol w:w="569"/>
        <w:gridCol w:w="1558"/>
        <w:gridCol w:w="1418"/>
        <w:gridCol w:w="3403"/>
        <w:gridCol w:w="1982"/>
      </w:tblGrid>
      <w:tr>
        <w:trPr>
          <w:trHeight w:val="353" w:hRule="exact"/>
        </w:trPr>
        <w:tc>
          <w:tcPr>
            <w:tcW w:w="5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40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340" w:right="0"/>
              <w:jc w:val="left"/>
              <w:rPr>
                <w:rFonts w:ascii="宋体" w:hAnsi="宋体" w:cs="宋体" w:eastAsia="宋体" w:hint="default"/>
                <w:sz w:val="18"/>
                <w:szCs w:val="18"/>
              </w:rPr>
            </w:pPr>
            <w:r>
              <w:rPr>
                <w:rFonts w:ascii="宋体" w:hAnsi="宋体" w:cs="宋体" w:eastAsia="宋体" w:hint="default"/>
                <w:sz w:val="18"/>
                <w:szCs w:val="18"/>
              </w:rPr>
              <w:t>进展情况</w:t>
            </w:r>
          </w:p>
        </w:tc>
        <w:tc>
          <w:tcPr>
            <w:tcW w:w="34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功用和目标</w:t>
            </w:r>
          </w:p>
        </w:tc>
        <w:tc>
          <w:tcPr>
            <w:tcW w:w="1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61" w:right="0"/>
              <w:jc w:val="left"/>
              <w:rPr>
                <w:rFonts w:ascii="宋体" w:hAnsi="宋体" w:cs="宋体" w:eastAsia="宋体" w:hint="default"/>
                <w:sz w:val="18"/>
                <w:szCs w:val="18"/>
              </w:rPr>
            </w:pPr>
            <w:r>
              <w:rPr>
                <w:rFonts w:ascii="宋体" w:hAnsi="宋体" w:cs="宋体" w:eastAsia="宋体" w:hint="default"/>
                <w:sz w:val="18"/>
                <w:szCs w:val="18"/>
              </w:rPr>
              <w:t>对公司未来的影响</w:t>
            </w:r>
          </w:p>
        </w:tc>
      </w:tr>
      <w:tr>
        <w:trPr>
          <w:trHeight w:val="977" w:hRule="exact"/>
        </w:trPr>
        <w:tc>
          <w:tcPr>
            <w:tcW w:w="5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1</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left="408" w:right="48" w:hanging="360"/>
              <w:jc w:val="left"/>
              <w:rPr>
                <w:rFonts w:ascii="宋体" w:hAnsi="宋体" w:cs="宋体" w:eastAsia="宋体" w:hint="default"/>
                <w:sz w:val="18"/>
                <w:szCs w:val="18"/>
              </w:rPr>
            </w:pPr>
            <w:r>
              <w:rPr>
                <w:rFonts w:ascii="宋体" w:hAnsi="宋体" w:cs="宋体" w:eastAsia="宋体" w:hint="default"/>
                <w:sz w:val="18"/>
                <w:szCs w:val="18"/>
              </w:rPr>
              <w:t>横向推升式汽车智 能搬运器</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left="160" w:right="-1" w:hanging="159"/>
              <w:jc w:val="left"/>
              <w:rPr>
                <w:rFonts w:ascii="宋体" w:hAnsi="宋体" w:cs="宋体" w:eastAsia="宋体" w:hint="default"/>
                <w:sz w:val="18"/>
                <w:szCs w:val="18"/>
              </w:rPr>
            </w:pPr>
            <w:r>
              <w:rPr>
                <w:rFonts w:ascii="宋体" w:hAnsi="宋体" w:cs="宋体" w:eastAsia="宋体" w:hint="default"/>
                <w:spacing w:val="-6"/>
                <w:sz w:val="18"/>
                <w:szCs w:val="18"/>
              </w:rPr>
              <w:t>自主研发，该项目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试制阶段结束</w:t>
            </w:r>
          </w:p>
        </w:tc>
        <w:tc>
          <w:tcPr>
            <w:tcW w:w="3403"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left="2" w:right="-1" w:firstLine="69"/>
              <w:jc w:val="left"/>
              <w:rPr>
                <w:rFonts w:ascii="宋体" w:hAnsi="宋体" w:cs="宋体" w:eastAsia="宋体" w:hint="default"/>
                <w:sz w:val="18"/>
                <w:szCs w:val="18"/>
              </w:rPr>
            </w:pPr>
            <w:r>
              <w:rPr>
                <w:rFonts w:ascii="宋体" w:hAnsi="宋体" w:cs="宋体" w:eastAsia="宋体" w:hint="default"/>
                <w:sz w:val="18"/>
                <w:szCs w:val="18"/>
              </w:rPr>
              <w:t>作用与四点举升梳齿交换汽车智能搬运器 </w:t>
            </w:r>
            <w:r>
              <w:rPr>
                <w:rFonts w:ascii="宋体" w:hAnsi="宋体" w:cs="宋体" w:eastAsia="宋体" w:hint="default"/>
                <w:spacing w:val="-3"/>
                <w:sz w:val="18"/>
                <w:szCs w:val="18"/>
              </w:rPr>
              <w:t>相同，只是搬运器运行方向为横向移动，从</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车辆侧面进入车底搬运，达到国内领先水平</w:t>
            </w:r>
          </w:p>
        </w:tc>
        <w:tc>
          <w:tcPr>
            <w:tcW w:w="198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right="-17"/>
              <w:jc w:val="center"/>
              <w:rPr>
                <w:rFonts w:ascii="宋体" w:hAnsi="宋体" w:cs="宋体" w:eastAsia="宋体" w:hint="default"/>
                <w:sz w:val="18"/>
                <w:szCs w:val="18"/>
              </w:rPr>
            </w:pPr>
            <w:r>
              <w:rPr>
                <w:rFonts w:ascii="宋体" w:hAnsi="宋体" w:cs="宋体" w:eastAsia="宋体" w:hint="default"/>
                <w:sz w:val="18"/>
                <w:szCs w:val="18"/>
              </w:rPr>
              <w:t>增加品种，提高竞争力， 并在特定空间下有结构 上优势</w:t>
            </w:r>
          </w:p>
        </w:tc>
      </w:tr>
      <w:tr>
        <w:trPr>
          <w:trHeight w:val="974" w:hRule="exact"/>
        </w:trPr>
        <w:tc>
          <w:tcPr>
            <w:tcW w:w="5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7"/>
              <w:ind w:left="499" w:right="48" w:hanging="452"/>
              <w:jc w:val="left"/>
              <w:rPr>
                <w:rFonts w:ascii="宋体" w:hAnsi="宋体" w:cs="宋体" w:eastAsia="宋体" w:hint="default"/>
                <w:sz w:val="18"/>
                <w:szCs w:val="18"/>
              </w:rPr>
            </w:pPr>
            <w:r>
              <w:rPr>
                <w:rFonts w:ascii="宋体" w:hAnsi="宋体" w:cs="宋体" w:eastAsia="宋体" w:hint="default"/>
                <w:sz w:val="18"/>
                <w:szCs w:val="18"/>
              </w:rPr>
              <w:t>公交智能立体充电 停车库</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7"/>
              <w:ind w:left="2" w:right="-1"/>
              <w:jc w:val="center"/>
              <w:rPr>
                <w:rFonts w:ascii="宋体" w:hAnsi="宋体" w:cs="宋体" w:eastAsia="宋体" w:hint="default"/>
                <w:sz w:val="18"/>
                <w:szCs w:val="18"/>
              </w:rPr>
            </w:pPr>
            <w:r>
              <w:rPr>
                <w:rFonts w:ascii="宋体" w:hAnsi="宋体" w:cs="宋体" w:eastAsia="宋体" w:hint="default"/>
                <w:spacing w:val="-6"/>
                <w:sz w:val="18"/>
                <w:szCs w:val="18"/>
              </w:rPr>
              <w:t>自主研发，该项目</w:t>
            </w:r>
            <w:r>
              <w:rPr>
                <w:rFonts w:ascii="宋体" w:hAnsi="宋体" w:cs="宋体" w:eastAsia="宋体" w:hint="default"/>
                <w:sz w:val="18"/>
                <w:szCs w:val="18"/>
              </w:rPr>
              <w:t> 已经投入批量生 产</w:t>
            </w:r>
          </w:p>
        </w:tc>
        <w:tc>
          <w:tcPr>
            <w:tcW w:w="3403"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7"/>
              <w:ind w:left="2" w:right="-3"/>
              <w:jc w:val="center"/>
              <w:rPr>
                <w:rFonts w:ascii="宋体" w:hAnsi="宋体" w:cs="宋体" w:eastAsia="宋体" w:hint="default"/>
                <w:sz w:val="18"/>
                <w:szCs w:val="18"/>
              </w:rPr>
            </w:pPr>
            <w:r>
              <w:rPr>
                <w:rFonts w:ascii="宋体" w:hAnsi="宋体" w:cs="宋体" w:eastAsia="宋体" w:hint="default"/>
                <w:spacing w:val="-3"/>
                <w:sz w:val="18"/>
                <w:szCs w:val="18"/>
              </w:rPr>
              <w:t>实现公交车（大巴）的自动存取车、自动充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电功能，适应国家新能源汽车产业的发展规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划。</w:t>
            </w:r>
          </w:p>
        </w:tc>
        <w:tc>
          <w:tcPr>
            <w:tcW w:w="198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7"/>
              <w:ind w:left="530" w:right="-1" w:hanging="531"/>
              <w:jc w:val="left"/>
              <w:rPr>
                <w:rFonts w:ascii="宋体" w:hAnsi="宋体" w:cs="宋体" w:eastAsia="宋体" w:hint="default"/>
                <w:sz w:val="18"/>
                <w:szCs w:val="18"/>
              </w:rPr>
            </w:pPr>
            <w:r>
              <w:rPr>
                <w:rFonts w:ascii="宋体" w:hAnsi="宋体" w:cs="宋体" w:eastAsia="宋体" w:hint="default"/>
                <w:spacing w:val="-2"/>
                <w:sz w:val="18"/>
                <w:szCs w:val="18"/>
              </w:rPr>
              <w:t>拓展公司的产品线，增强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产品竞争力</w:t>
            </w:r>
          </w:p>
        </w:tc>
      </w:tr>
      <w:tr>
        <w:trPr>
          <w:trHeight w:val="1289" w:hRule="exact"/>
        </w:trPr>
        <w:tc>
          <w:tcPr>
            <w:tcW w:w="5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3</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left="228" w:right="48" w:hanging="180"/>
              <w:jc w:val="left"/>
              <w:rPr>
                <w:rFonts w:ascii="宋体" w:hAnsi="宋体" w:cs="宋体" w:eastAsia="宋体" w:hint="default"/>
                <w:sz w:val="18"/>
                <w:szCs w:val="18"/>
              </w:rPr>
            </w:pPr>
            <w:r>
              <w:rPr>
                <w:rFonts w:ascii="宋体" w:hAnsi="宋体" w:cs="宋体" w:eastAsia="宋体" w:hint="default"/>
                <w:sz w:val="18"/>
                <w:szCs w:val="18"/>
              </w:rPr>
              <w:t>多层水平循环类机 械式停车设备</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left="2" w:right="-1"/>
              <w:jc w:val="left"/>
              <w:rPr>
                <w:rFonts w:ascii="宋体" w:hAnsi="宋体" w:cs="宋体" w:eastAsia="宋体" w:hint="default"/>
                <w:sz w:val="18"/>
                <w:szCs w:val="18"/>
              </w:rPr>
            </w:pPr>
            <w:r>
              <w:rPr>
                <w:rFonts w:ascii="宋体" w:hAnsi="宋体" w:cs="宋体" w:eastAsia="宋体" w:hint="default"/>
                <w:spacing w:val="-6"/>
                <w:sz w:val="18"/>
                <w:szCs w:val="18"/>
              </w:rPr>
              <w:t>自主研发、已研发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完成，已导入订单</w:t>
            </w:r>
          </w:p>
        </w:tc>
        <w:tc>
          <w:tcPr>
            <w:tcW w:w="3403" w:type="dxa"/>
            <w:tcBorders>
              <w:top w:val="single" w:sz="8" w:space="0" w:color="000000"/>
              <w:left w:val="single" w:sz="8" w:space="0" w:color="000000"/>
              <w:bottom w:val="single" w:sz="8" w:space="0" w:color="000000"/>
              <w:right w:val="single" w:sz="8" w:space="0" w:color="000000"/>
            </w:tcBorders>
          </w:tcPr>
          <w:p>
            <w:pPr>
              <w:pStyle w:val="TableParagraph"/>
              <w:spacing w:line="312" w:lineRule="auto" w:before="20"/>
              <w:ind w:left="2" w:right="-1" w:hanging="3"/>
              <w:jc w:val="center"/>
              <w:rPr>
                <w:rFonts w:ascii="宋体" w:hAnsi="宋体" w:cs="宋体" w:eastAsia="宋体" w:hint="default"/>
                <w:sz w:val="18"/>
                <w:szCs w:val="18"/>
              </w:rPr>
            </w:pPr>
            <w:r>
              <w:rPr>
                <w:rFonts w:ascii="宋体" w:hAnsi="宋体" w:cs="宋体" w:eastAsia="宋体" w:hint="default"/>
                <w:sz w:val="18"/>
                <w:szCs w:val="18"/>
              </w:rPr>
              <w:t>双电机驱动二层</w:t>
            </w:r>
            <w:r>
              <w:rPr>
                <w:rFonts w:ascii="Times New Roman" w:hAnsi="Times New Roman" w:cs="Times New Roman" w:eastAsia="Times New Roman" w:hint="default"/>
                <w:sz w:val="18"/>
                <w:szCs w:val="18"/>
              </w:rPr>
              <w:t>8</w:t>
            </w:r>
            <w:r>
              <w:rPr>
                <w:rFonts w:ascii="宋体" w:hAnsi="宋体" w:cs="宋体" w:eastAsia="宋体" w:hint="default"/>
                <w:sz w:val="18"/>
                <w:szCs w:val="18"/>
              </w:rPr>
              <w:t>车位同时循环，到固定位 </w:t>
            </w:r>
            <w:r>
              <w:rPr>
                <w:rFonts w:ascii="宋体" w:hAnsi="宋体" w:cs="宋体" w:eastAsia="宋体" w:hint="default"/>
                <w:spacing w:val="-3"/>
                <w:sz w:val="18"/>
                <w:szCs w:val="18"/>
              </w:rPr>
              <w:t>置进出车，该类设备在住宅小区或办公楼间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狭长空间处，比其它类设备具有明显的优 势，达到国内先进水平</w:t>
            </w:r>
          </w:p>
        </w:tc>
        <w:tc>
          <w:tcPr>
            <w:tcW w:w="198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left="261" w:right="-1" w:hanging="262"/>
              <w:jc w:val="left"/>
              <w:rPr>
                <w:rFonts w:ascii="宋体" w:hAnsi="宋体" w:cs="宋体" w:eastAsia="宋体" w:hint="default"/>
                <w:sz w:val="18"/>
                <w:szCs w:val="18"/>
              </w:rPr>
            </w:pPr>
            <w:r>
              <w:rPr>
                <w:rFonts w:ascii="宋体" w:hAnsi="宋体" w:cs="宋体" w:eastAsia="宋体" w:hint="default"/>
                <w:spacing w:val="-2"/>
                <w:sz w:val="18"/>
                <w:szCs w:val="18"/>
              </w:rPr>
              <w:t>增强产品市场竞争力，以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满足各种客户需求</w:t>
            </w:r>
          </w:p>
        </w:tc>
      </w:tr>
      <w:tr>
        <w:trPr>
          <w:trHeight w:val="977" w:hRule="exact"/>
        </w:trPr>
        <w:tc>
          <w:tcPr>
            <w:tcW w:w="5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4</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left="48" w:right="48"/>
              <w:jc w:val="center"/>
              <w:rPr>
                <w:rFonts w:ascii="宋体" w:hAnsi="宋体" w:cs="宋体" w:eastAsia="宋体" w:hint="default"/>
                <w:sz w:val="18"/>
                <w:szCs w:val="18"/>
              </w:rPr>
            </w:pPr>
            <w:r>
              <w:rPr>
                <w:rFonts w:ascii="宋体" w:hAnsi="宋体" w:cs="宋体" w:eastAsia="宋体" w:hint="default"/>
                <w:sz w:val="18"/>
                <w:szCs w:val="18"/>
              </w:rPr>
              <w:t>新能源汽车智能立 体车库充电技术的 应用研究</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left="2" w:right="-1"/>
              <w:jc w:val="left"/>
              <w:rPr>
                <w:rFonts w:ascii="宋体" w:hAnsi="宋体" w:cs="宋体" w:eastAsia="宋体" w:hint="default"/>
                <w:sz w:val="18"/>
                <w:szCs w:val="18"/>
              </w:rPr>
            </w:pPr>
            <w:r>
              <w:rPr>
                <w:rFonts w:ascii="宋体" w:hAnsi="宋体" w:cs="宋体" w:eastAsia="宋体" w:hint="default"/>
                <w:spacing w:val="-6"/>
                <w:sz w:val="18"/>
                <w:szCs w:val="18"/>
              </w:rPr>
              <w:t>自主研发、已研发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完成，已导入订单</w:t>
            </w:r>
          </w:p>
        </w:tc>
        <w:tc>
          <w:tcPr>
            <w:tcW w:w="3403"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left="523" w:right="-1" w:hanging="521"/>
              <w:jc w:val="left"/>
              <w:rPr>
                <w:rFonts w:ascii="宋体" w:hAnsi="宋体" w:cs="宋体" w:eastAsia="宋体" w:hint="default"/>
                <w:sz w:val="18"/>
                <w:szCs w:val="18"/>
              </w:rPr>
            </w:pPr>
            <w:r>
              <w:rPr>
                <w:rFonts w:ascii="宋体" w:hAnsi="宋体" w:cs="宋体" w:eastAsia="宋体" w:hint="default"/>
                <w:spacing w:val="-3"/>
                <w:sz w:val="18"/>
                <w:szCs w:val="18"/>
              </w:rPr>
              <w:t>解决了立体车库的充电难题，满足了国家对</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停车场充电配套的法规要求。</w:t>
            </w:r>
          </w:p>
        </w:tc>
        <w:tc>
          <w:tcPr>
            <w:tcW w:w="198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right="-1"/>
              <w:jc w:val="center"/>
              <w:rPr>
                <w:rFonts w:ascii="宋体" w:hAnsi="宋体" w:cs="宋体" w:eastAsia="宋体" w:hint="default"/>
                <w:sz w:val="18"/>
                <w:szCs w:val="18"/>
              </w:rPr>
            </w:pPr>
            <w:r>
              <w:rPr>
                <w:rFonts w:ascii="宋体" w:hAnsi="宋体" w:cs="宋体" w:eastAsia="宋体" w:hint="default"/>
                <w:spacing w:val="-2"/>
                <w:sz w:val="18"/>
                <w:szCs w:val="18"/>
              </w:rPr>
              <w:t>提前做好了技术储备，给</w:t>
            </w:r>
            <w:r>
              <w:rPr>
                <w:rFonts w:ascii="宋体" w:hAnsi="宋体" w:cs="宋体" w:eastAsia="宋体" w:hint="default"/>
                <w:sz w:val="18"/>
                <w:szCs w:val="18"/>
              </w:rPr>
              <w:t> 未来市场提供了技术保 障。</w:t>
            </w:r>
          </w:p>
        </w:tc>
      </w:tr>
      <w:tr>
        <w:trPr>
          <w:trHeight w:val="974" w:hRule="exact"/>
        </w:trPr>
        <w:tc>
          <w:tcPr>
            <w:tcW w:w="5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5</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7"/>
              <w:ind w:left="679" w:right="48" w:hanging="632"/>
              <w:jc w:val="left"/>
              <w:rPr>
                <w:rFonts w:ascii="宋体" w:hAnsi="宋体" w:cs="宋体" w:eastAsia="宋体" w:hint="default"/>
                <w:sz w:val="18"/>
                <w:szCs w:val="18"/>
              </w:rPr>
            </w:pPr>
            <w:r>
              <w:rPr>
                <w:rFonts w:ascii="宋体" w:hAnsi="宋体" w:cs="宋体" w:eastAsia="宋体" w:hint="default"/>
                <w:sz w:val="18"/>
                <w:szCs w:val="18"/>
              </w:rPr>
              <w:t>平面式机制砂生产 线</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7"/>
              <w:ind w:left="2" w:right="-1"/>
              <w:jc w:val="center"/>
              <w:rPr>
                <w:rFonts w:ascii="宋体" w:hAnsi="宋体" w:cs="宋体" w:eastAsia="宋体" w:hint="default"/>
                <w:sz w:val="18"/>
                <w:szCs w:val="18"/>
              </w:rPr>
            </w:pPr>
            <w:r>
              <w:rPr>
                <w:rFonts w:ascii="宋体" w:hAnsi="宋体" w:cs="宋体" w:eastAsia="宋体" w:hint="default"/>
                <w:spacing w:val="-6"/>
                <w:sz w:val="18"/>
                <w:szCs w:val="18"/>
              </w:rPr>
              <w:t>自主研发，该项目</w:t>
            </w:r>
            <w:r>
              <w:rPr>
                <w:rFonts w:ascii="宋体" w:hAnsi="宋体" w:cs="宋体" w:eastAsia="宋体" w:hint="default"/>
                <w:sz w:val="18"/>
                <w:szCs w:val="18"/>
              </w:rPr>
              <w:t> 已经投入批量生 产</w:t>
            </w:r>
          </w:p>
        </w:tc>
        <w:tc>
          <w:tcPr>
            <w:tcW w:w="3403"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7"/>
              <w:ind w:left="2" w:right="-3"/>
              <w:jc w:val="center"/>
              <w:rPr>
                <w:rFonts w:ascii="宋体" w:hAnsi="宋体" w:cs="宋体" w:eastAsia="宋体" w:hint="default"/>
                <w:sz w:val="18"/>
                <w:szCs w:val="18"/>
              </w:rPr>
            </w:pPr>
            <w:r>
              <w:rPr>
                <w:rFonts w:ascii="宋体" w:hAnsi="宋体" w:cs="宋体" w:eastAsia="宋体" w:hint="default"/>
                <w:spacing w:val="-3"/>
                <w:sz w:val="18"/>
                <w:szCs w:val="18"/>
              </w:rPr>
              <w:t>通过研究破碎、筛分、选粉过程，解决机制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砂中的石粉不可控的难题。整套生产线环保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设计，低噪音、低振动的设计。</w:t>
            </w:r>
          </w:p>
        </w:tc>
        <w:tc>
          <w:tcPr>
            <w:tcW w:w="198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7"/>
              <w:ind w:left="170" w:right="-1" w:hanging="171"/>
              <w:jc w:val="left"/>
              <w:rPr>
                <w:rFonts w:ascii="宋体" w:hAnsi="宋体" w:cs="宋体" w:eastAsia="宋体" w:hint="default"/>
                <w:sz w:val="18"/>
                <w:szCs w:val="18"/>
              </w:rPr>
            </w:pPr>
            <w:r>
              <w:rPr>
                <w:rFonts w:ascii="宋体" w:hAnsi="宋体" w:cs="宋体" w:eastAsia="宋体" w:hint="default"/>
                <w:spacing w:val="-2"/>
                <w:sz w:val="18"/>
                <w:szCs w:val="18"/>
              </w:rPr>
              <w:t>丰富产品线，提高生产效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率，增强产品竞争力</w:t>
            </w:r>
          </w:p>
        </w:tc>
      </w:tr>
      <w:tr>
        <w:trPr>
          <w:trHeight w:val="1289" w:hRule="exact"/>
        </w:trPr>
        <w:tc>
          <w:tcPr>
            <w:tcW w:w="5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6</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left="48" w:right="48"/>
              <w:jc w:val="center"/>
              <w:rPr>
                <w:rFonts w:ascii="宋体" w:hAnsi="宋体" w:cs="宋体" w:eastAsia="宋体" w:hint="default"/>
                <w:sz w:val="18"/>
                <w:szCs w:val="18"/>
              </w:rPr>
            </w:pPr>
            <w:r>
              <w:rPr>
                <w:rFonts w:ascii="宋体" w:hAnsi="宋体" w:cs="宋体" w:eastAsia="宋体" w:hint="default"/>
                <w:sz w:val="18"/>
                <w:szCs w:val="18"/>
              </w:rPr>
              <w:t>垂直循环机械式停 车设备研究及产业 化</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left="2" w:right="-1"/>
              <w:jc w:val="center"/>
              <w:rPr>
                <w:rFonts w:ascii="宋体" w:hAnsi="宋体" w:cs="宋体" w:eastAsia="宋体" w:hint="default"/>
                <w:sz w:val="18"/>
                <w:szCs w:val="18"/>
              </w:rPr>
            </w:pPr>
            <w:r>
              <w:rPr>
                <w:rFonts w:ascii="宋体" w:hAnsi="宋体" w:cs="宋体" w:eastAsia="宋体" w:hint="default"/>
                <w:spacing w:val="-6"/>
                <w:sz w:val="18"/>
                <w:szCs w:val="18"/>
              </w:rPr>
              <w:t>自主研发，该项目</w:t>
            </w:r>
            <w:r>
              <w:rPr>
                <w:rFonts w:ascii="宋体" w:hAnsi="宋体" w:cs="宋体" w:eastAsia="宋体" w:hint="default"/>
                <w:sz w:val="18"/>
                <w:szCs w:val="18"/>
              </w:rPr>
              <w:t> 已经投入批量生 产</w:t>
            </w:r>
          </w:p>
        </w:tc>
        <w:tc>
          <w:tcPr>
            <w:tcW w:w="3403"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left="2" w:right="0" w:hanging="3"/>
              <w:jc w:val="center"/>
              <w:rPr>
                <w:rFonts w:ascii="宋体" w:hAnsi="宋体" w:cs="宋体" w:eastAsia="宋体" w:hint="default"/>
                <w:sz w:val="18"/>
                <w:szCs w:val="18"/>
              </w:rPr>
            </w:pPr>
            <w:r>
              <w:rPr>
                <w:rFonts w:ascii="宋体" w:hAnsi="宋体" w:cs="宋体" w:eastAsia="宋体" w:hint="default"/>
                <w:sz w:val="18"/>
                <w:szCs w:val="18"/>
              </w:rPr>
              <w:t>采用新的工艺流程及多个自动化智能专机 </w:t>
            </w:r>
            <w:r>
              <w:rPr>
                <w:rFonts w:ascii="宋体" w:hAnsi="宋体" w:cs="宋体" w:eastAsia="宋体" w:hint="default"/>
                <w:spacing w:val="-3"/>
                <w:sz w:val="18"/>
                <w:szCs w:val="18"/>
              </w:rPr>
              <w:t>提高了产量，缩短了产线的长度，减轻了工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人的劳动强度。</w:t>
            </w:r>
          </w:p>
        </w:tc>
        <w:tc>
          <w:tcPr>
            <w:tcW w:w="198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right="-17"/>
              <w:jc w:val="center"/>
              <w:rPr>
                <w:rFonts w:ascii="宋体" w:hAnsi="宋体" w:cs="宋体" w:eastAsia="宋体" w:hint="default"/>
                <w:sz w:val="18"/>
                <w:szCs w:val="18"/>
              </w:rPr>
            </w:pPr>
            <w:r>
              <w:rPr>
                <w:rFonts w:ascii="宋体" w:hAnsi="宋体" w:cs="宋体" w:eastAsia="宋体" w:hint="default"/>
                <w:sz w:val="18"/>
                <w:szCs w:val="18"/>
              </w:rPr>
              <w:t>提升了公司的技术水平， </w:t>
            </w:r>
            <w:r>
              <w:rPr>
                <w:rFonts w:ascii="宋体" w:hAnsi="宋体" w:cs="宋体" w:eastAsia="宋体" w:hint="default"/>
                <w:spacing w:val="-2"/>
                <w:sz w:val="18"/>
                <w:szCs w:val="18"/>
              </w:rPr>
              <w:t>丰富了产品线，部分功能</w:t>
            </w:r>
            <w:r>
              <w:rPr>
                <w:rFonts w:ascii="宋体" w:hAnsi="宋体" w:cs="宋体" w:eastAsia="宋体" w:hint="default"/>
                <w:sz w:val="18"/>
                <w:szCs w:val="18"/>
              </w:rPr>
              <w:t> </w:t>
            </w:r>
            <w:r>
              <w:rPr>
                <w:rFonts w:ascii="宋体" w:hAnsi="宋体" w:cs="宋体" w:eastAsia="宋体" w:hint="default"/>
                <w:spacing w:val="-2"/>
                <w:sz w:val="18"/>
                <w:szCs w:val="18"/>
              </w:rPr>
              <w:t>超越了客户的需求，增强</w:t>
            </w:r>
            <w:r>
              <w:rPr>
                <w:rFonts w:ascii="宋体" w:hAnsi="宋体" w:cs="宋体" w:eastAsia="宋体" w:hint="default"/>
                <w:sz w:val="18"/>
                <w:szCs w:val="18"/>
              </w:rPr>
              <w:t> 了公司竞争力。</w:t>
            </w:r>
          </w:p>
        </w:tc>
      </w:tr>
      <w:tr>
        <w:trPr>
          <w:trHeight w:val="1289" w:hRule="exact"/>
        </w:trPr>
        <w:tc>
          <w:tcPr>
            <w:tcW w:w="5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7</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left="139" w:right="48" w:hanging="92"/>
              <w:jc w:val="left"/>
              <w:rPr>
                <w:rFonts w:ascii="宋体" w:hAnsi="宋体" w:cs="宋体" w:eastAsia="宋体" w:hint="default"/>
                <w:sz w:val="18"/>
                <w:szCs w:val="18"/>
              </w:rPr>
            </w:pPr>
            <w:r>
              <w:rPr>
                <w:rFonts w:ascii="宋体" w:hAnsi="宋体" w:cs="宋体" w:eastAsia="宋体" w:hint="default"/>
                <w:sz w:val="18"/>
                <w:szCs w:val="18"/>
              </w:rPr>
              <w:t>重型车提升移行搬 运设备研发应用</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left="2" w:right="-1"/>
              <w:jc w:val="both"/>
              <w:rPr>
                <w:rFonts w:ascii="宋体" w:hAnsi="宋体" w:cs="宋体" w:eastAsia="宋体" w:hint="default"/>
                <w:sz w:val="18"/>
                <w:szCs w:val="18"/>
              </w:rPr>
            </w:pPr>
            <w:r>
              <w:rPr>
                <w:rFonts w:ascii="宋体" w:hAnsi="宋体" w:cs="宋体" w:eastAsia="宋体" w:hint="default"/>
                <w:spacing w:val="-6"/>
                <w:sz w:val="18"/>
                <w:szCs w:val="18"/>
              </w:rPr>
              <w:t>自主研发、已研发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完成，已取得国家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型式试验报告，技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术已完全成熟。</w:t>
            </w:r>
          </w:p>
        </w:tc>
        <w:tc>
          <w:tcPr>
            <w:tcW w:w="3403"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left="2" w:right="-3"/>
              <w:jc w:val="center"/>
              <w:rPr>
                <w:rFonts w:ascii="宋体" w:hAnsi="宋体" w:cs="宋体" w:eastAsia="宋体" w:hint="default"/>
                <w:sz w:val="18"/>
                <w:szCs w:val="18"/>
              </w:rPr>
            </w:pPr>
            <w:r>
              <w:rPr>
                <w:rFonts w:ascii="宋体" w:hAnsi="宋体" w:cs="宋体" w:eastAsia="宋体" w:hint="default"/>
                <w:spacing w:val="-3"/>
                <w:sz w:val="18"/>
                <w:szCs w:val="18"/>
              </w:rPr>
              <w:t>适用于商用车（大巴、清洁车、货车及其他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类似车辆）的搬运，解决了商用车的立体车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库的技术瓶颈。</w:t>
            </w:r>
          </w:p>
        </w:tc>
        <w:tc>
          <w:tcPr>
            <w:tcW w:w="198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left="350" w:right="-1" w:hanging="351"/>
              <w:jc w:val="left"/>
              <w:rPr>
                <w:rFonts w:ascii="宋体" w:hAnsi="宋体" w:cs="宋体" w:eastAsia="宋体" w:hint="default"/>
                <w:sz w:val="18"/>
                <w:szCs w:val="18"/>
              </w:rPr>
            </w:pPr>
            <w:r>
              <w:rPr>
                <w:rFonts w:ascii="宋体" w:hAnsi="宋体" w:cs="宋体" w:eastAsia="宋体" w:hint="default"/>
                <w:spacing w:val="-2"/>
                <w:sz w:val="18"/>
                <w:szCs w:val="18"/>
              </w:rPr>
              <w:t>拓展了新的领域，带来新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的利润增长点。</w:t>
            </w:r>
          </w:p>
        </w:tc>
      </w:tr>
      <w:tr>
        <w:trPr>
          <w:trHeight w:val="974" w:hRule="exact"/>
        </w:trPr>
        <w:tc>
          <w:tcPr>
            <w:tcW w:w="5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8</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7"/>
              <w:ind w:left="48" w:right="48"/>
              <w:jc w:val="center"/>
              <w:rPr>
                <w:rFonts w:ascii="宋体" w:hAnsi="宋体" w:cs="宋体" w:eastAsia="宋体" w:hint="default"/>
                <w:sz w:val="18"/>
                <w:szCs w:val="18"/>
              </w:rPr>
            </w:pPr>
            <w:r>
              <w:rPr>
                <w:rFonts w:ascii="宋体" w:hAnsi="宋体" w:cs="宋体" w:eastAsia="宋体" w:hint="default"/>
                <w:sz w:val="18"/>
                <w:szCs w:val="18"/>
              </w:rPr>
              <w:t>滑环式供电旋转取 车机械式立体车库 的研究开发</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7"/>
              <w:ind w:left="2" w:right="-1"/>
              <w:jc w:val="left"/>
              <w:rPr>
                <w:rFonts w:ascii="宋体" w:hAnsi="宋体" w:cs="宋体" w:eastAsia="宋体" w:hint="default"/>
                <w:sz w:val="18"/>
                <w:szCs w:val="18"/>
              </w:rPr>
            </w:pPr>
            <w:r>
              <w:rPr>
                <w:rFonts w:ascii="宋体" w:hAnsi="宋体" w:cs="宋体" w:eastAsia="宋体" w:hint="default"/>
                <w:spacing w:val="-6"/>
                <w:sz w:val="18"/>
                <w:szCs w:val="18"/>
              </w:rPr>
              <w:t>自主研发、已研发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完成，已导入订单</w:t>
            </w:r>
          </w:p>
        </w:tc>
        <w:tc>
          <w:tcPr>
            <w:tcW w:w="3403"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7"/>
              <w:ind w:left="1151" w:right="-1" w:hanging="1150"/>
              <w:jc w:val="left"/>
              <w:rPr>
                <w:rFonts w:ascii="宋体" w:hAnsi="宋体" w:cs="宋体" w:eastAsia="宋体" w:hint="default"/>
                <w:sz w:val="18"/>
                <w:szCs w:val="18"/>
              </w:rPr>
            </w:pPr>
            <w:r>
              <w:rPr>
                <w:rFonts w:ascii="宋体" w:hAnsi="宋体" w:cs="宋体" w:eastAsia="宋体" w:hint="default"/>
                <w:spacing w:val="-3"/>
                <w:sz w:val="18"/>
                <w:szCs w:val="18"/>
              </w:rPr>
              <w:t>解决了旋转供电技术难题，可广泛运用于各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类旋转车库。</w:t>
            </w:r>
          </w:p>
        </w:tc>
        <w:tc>
          <w:tcPr>
            <w:tcW w:w="198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7"/>
              <w:ind w:left="81" w:right="-1" w:hanging="82"/>
              <w:jc w:val="left"/>
              <w:rPr>
                <w:rFonts w:ascii="宋体" w:hAnsi="宋体" w:cs="宋体" w:eastAsia="宋体" w:hint="default"/>
                <w:sz w:val="18"/>
                <w:szCs w:val="18"/>
              </w:rPr>
            </w:pPr>
            <w:r>
              <w:rPr>
                <w:rFonts w:ascii="宋体" w:hAnsi="宋体" w:cs="宋体" w:eastAsia="宋体" w:hint="default"/>
                <w:spacing w:val="-2"/>
                <w:sz w:val="18"/>
                <w:szCs w:val="18"/>
              </w:rPr>
              <w:t>提升了产品性能，保障了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后续产品的市场竞争力</w:t>
            </w:r>
          </w:p>
        </w:tc>
      </w:tr>
      <w:tr>
        <w:trPr>
          <w:trHeight w:val="977" w:hRule="exact"/>
        </w:trPr>
        <w:tc>
          <w:tcPr>
            <w:tcW w:w="5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9</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left="228" w:right="48" w:hanging="180"/>
              <w:jc w:val="left"/>
              <w:rPr>
                <w:rFonts w:ascii="宋体" w:hAnsi="宋体" w:cs="宋体" w:eastAsia="宋体" w:hint="default"/>
                <w:sz w:val="18"/>
                <w:szCs w:val="18"/>
              </w:rPr>
            </w:pPr>
            <w:r>
              <w:rPr>
                <w:rFonts w:ascii="宋体" w:hAnsi="宋体" w:cs="宋体" w:eastAsia="宋体" w:hint="default"/>
                <w:sz w:val="18"/>
                <w:szCs w:val="18"/>
              </w:rPr>
              <w:t>生产线移载搬运装 置的研发应用</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left="2" w:right="-1"/>
              <w:jc w:val="left"/>
              <w:rPr>
                <w:rFonts w:ascii="宋体" w:hAnsi="宋体" w:cs="宋体" w:eastAsia="宋体" w:hint="default"/>
                <w:sz w:val="18"/>
                <w:szCs w:val="18"/>
              </w:rPr>
            </w:pPr>
            <w:r>
              <w:rPr>
                <w:rFonts w:ascii="宋体" w:hAnsi="宋体" w:cs="宋体" w:eastAsia="宋体" w:hint="default"/>
                <w:spacing w:val="-6"/>
                <w:sz w:val="18"/>
                <w:szCs w:val="18"/>
              </w:rPr>
              <w:t>自主研发、已研发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完成，已导入订单</w:t>
            </w:r>
          </w:p>
        </w:tc>
        <w:tc>
          <w:tcPr>
            <w:tcW w:w="3403"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left="703" w:right="-1" w:hanging="701"/>
              <w:jc w:val="left"/>
              <w:rPr>
                <w:rFonts w:ascii="宋体" w:hAnsi="宋体" w:cs="宋体" w:eastAsia="宋体" w:hint="default"/>
                <w:sz w:val="18"/>
                <w:szCs w:val="18"/>
              </w:rPr>
            </w:pPr>
            <w:r>
              <w:rPr>
                <w:rFonts w:ascii="宋体" w:hAnsi="宋体" w:cs="宋体" w:eastAsia="宋体" w:hint="default"/>
                <w:spacing w:val="-3"/>
                <w:sz w:val="18"/>
                <w:szCs w:val="18"/>
              </w:rPr>
              <w:t>智能制造装备的重要组成部分，能满足业内</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所有自动化生产线的需求</w:t>
            </w:r>
          </w:p>
        </w:tc>
        <w:tc>
          <w:tcPr>
            <w:tcW w:w="198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right="-1" w:hanging="1"/>
              <w:jc w:val="center"/>
              <w:rPr>
                <w:rFonts w:ascii="宋体" w:hAnsi="宋体" w:cs="宋体" w:eastAsia="宋体" w:hint="default"/>
                <w:sz w:val="18"/>
                <w:szCs w:val="18"/>
              </w:rPr>
            </w:pPr>
            <w:r>
              <w:rPr>
                <w:rFonts w:ascii="宋体" w:hAnsi="宋体" w:cs="宋体" w:eastAsia="宋体" w:hint="default"/>
                <w:sz w:val="18"/>
                <w:szCs w:val="18"/>
              </w:rPr>
              <w:t>完善了智能制造装备产 </w:t>
            </w:r>
            <w:r>
              <w:rPr>
                <w:rFonts w:ascii="宋体" w:hAnsi="宋体" w:cs="宋体" w:eastAsia="宋体" w:hint="default"/>
                <w:spacing w:val="-2"/>
                <w:sz w:val="18"/>
                <w:szCs w:val="18"/>
              </w:rPr>
              <w:t>业链，给未来市场提供了</w:t>
            </w:r>
            <w:r>
              <w:rPr>
                <w:rFonts w:ascii="宋体" w:hAnsi="宋体" w:cs="宋体" w:eastAsia="宋体" w:hint="default"/>
                <w:sz w:val="18"/>
                <w:szCs w:val="18"/>
              </w:rPr>
              <w:t> 技术保障。</w:t>
            </w:r>
          </w:p>
        </w:tc>
      </w:tr>
      <w:tr>
        <w:trPr>
          <w:trHeight w:val="665" w:hRule="exact"/>
        </w:trPr>
        <w:tc>
          <w:tcPr>
            <w:tcW w:w="5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10</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7"/>
              <w:ind w:left="48" w:right="48"/>
              <w:jc w:val="left"/>
              <w:rPr>
                <w:rFonts w:ascii="宋体" w:hAnsi="宋体" w:cs="宋体" w:eastAsia="宋体" w:hint="default"/>
                <w:sz w:val="18"/>
                <w:szCs w:val="18"/>
              </w:rPr>
            </w:pPr>
            <w:r>
              <w:rPr>
                <w:rFonts w:ascii="宋体" w:hAnsi="宋体" w:cs="宋体" w:eastAsia="宋体" w:hint="default"/>
                <w:sz w:val="18"/>
                <w:szCs w:val="18"/>
              </w:rPr>
              <w:t>高效率取车横列式 立体车库的研发应</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7"/>
              <w:ind w:left="2" w:right="-1"/>
              <w:jc w:val="left"/>
              <w:rPr>
                <w:rFonts w:ascii="宋体" w:hAnsi="宋体" w:cs="宋体" w:eastAsia="宋体" w:hint="default"/>
                <w:sz w:val="18"/>
                <w:szCs w:val="18"/>
              </w:rPr>
            </w:pPr>
            <w:r>
              <w:rPr>
                <w:rFonts w:ascii="宋体" w:hAnsi="宋体" w:cs="宋体" w:eastAsia="宋体" w:hint="default"/>
                <w:spacing w:val="-6"/>
                <w:sz w:val="18"/>
                <w:szCs w:val="18"/>
              </w:rPr>
              <w:t>自主研发、已研发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完成，已导入订单</w:t>
            </w:r>
          </w:p>
        </w:tc>
        <w:tc>
          <w:tcPr>
            <w:tcW w:w="3403"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7"/>
              <w:ind w:left="163" w:right="-39" w:hanging="161"/>
              <w:jc w:val="left"/>
              <w:rPr>
                <w:rFonts w:ascii="宋体" w:hAnsi="宋体" w:cs="宋体" w:eastAsia="宋体" w:hint="default"/>
                <w:sz w:val="18"/>
                <w:szCs w:val="18"/>
              </w:rPr>
            </w:pPr>
            <w:r>
              <w:rPr>
                <w:rFonts w:ascii="宋体" w:hAnsi="宋体" w:cs="宋体" w:eastAsia="宋体" w:hint="default"/>
                <w:sz w:val="18"/>
                <w:szCs w:val="18"/>
              </w:rPr>
              <w:t>特殊地块最大化场地利用的最佳解决方案。 能满足更多特殊场景的立体停车需求。</w:t>
            </w:r>
          </w:p>
        </w:tc>
        <w:tc>
          <w:tcPr>
            <w:tcW w:w="198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7"/>
              <w:ind w:left="441" w:right="-1" w:hanging="442"/>
              <w:jc w:val="left"/>
              <w:rPr>
                <w:rFonts w:ascii="宋体" w:hAnsi="宋体" w:cs="宋体" w:eastAsia="宋体" w:hint="default"/>
                <w:sz w:val="18"/>
                <w:szCs w:val="18"/>
              </w:rPr>
            </w:pPr>
            <w:r>
              <w:rPr>
                <w:rFonts w:ascii="宋体" w:hAnsi="宋体" w:cs="宋体" w:eastAsia="宋体" w:hint="default"/>
                <w:spacing w:val="-2"/>
                <w:sz w:val="18"/>
                <w:szCs w:val="18"/>
              </w:rPr>
              <w:t>丰富了产品线，带来新的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利润增长点。</w:t>
            </w:r>
          </w:p>
        </w:tc>
      </w:tr>
    </w:tbl>
    <w:p>
      <w:pPr>
        <w:spacing w:after="0" w:line="316" w:lineRule="auto"/>
        <w:jc w:val="left"/>
        <w:rPr>
          <w:rFonts w:ascii="宋体" w:hAnsi="宋体" w:cs="宋体" w:eastAsia="宋体" w:hint="default"/>
          <w:sz w:val="18"/>
          <w:szCs w:val="18"/>
        </w:rPr>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569"/>
        <w:gridCol w:w="1558"/>
        <w:gridCol w:w="1418"/>
        <w:gridCol w:w="3403"/>
        <w:gridCol w:w="1982"/>
      </w:tblGrid>
      <w:tr>
        <w:trPr>
          <w:trHeight w:val="353" w:hRule="exact"/>
        </w:trPr>
        <w:tc>
          <w:tcPr>
            <w:tcW w:w="569" w:type="dxa"/>
            <w:tcBorders>
              <w:top w:val="single" w:sz="8" w:space="0" w:color="000000"/>
              <w:left w:val="single" w:sz="8" w:space="0" w:color="000000"/>
              <w:bottom w:val="single" w:sz="8" w:space="0" w:color="000000"/>
              <w:right w:val="single" w:sz="8" w:space="0" w:color="000000"/>
            </w:tcBorders>
          </w:tcPr>
          <w:p>
            <w:pP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用</w:t>
            </w:r>
          </w:p>
        </w:tc>
        <w:tc>
          <w:tcPr>
            <w:tcW w:w="1418" w:type="dxa"/>
            <w:tcBorders>
              <w:top w:val="single" w:sz="8" w:space="0" w:color="000000"/>
              <w:left w:val="single" w:sz="8" w:space="0" w:color="000000"/>
              <w:bottom w:val="single" w:sz="8" w:space="0" w:color="000000"/>
              <w:right w:val="single" w:sz="8" w:space="0" w:color="000000"/>
            </w:tcBorders>
          </w:tcPr>
          <w:p>
            <w:pPr/>
          </w:p>
        </w:tc>
        <w:tc>
          <w:tcPr>
            <w:tcW w:w="3403" w:type="dxa"/>
            <w:tcBorders>
              <w:top w:val="single" w:sz="8" w:space="0" w:color="000000"/>
              <w:left w:val="single" w:sz="8" w:space="0" w:color="000000"/>
              <w:bottom w:val="single" w:sz="8" w:space="0" w:color="000000"/>
              <w:right w:val="single" w:sz="8" w:space="0" w:color="000000"/>
            </w:tcBorders>
          </w:tcPr>
          <w:p>
            <w:pPr/>
          </w:p>
        </w:tc>
        <w:tc>
          <w:tcPr>
            <w:tcW w:w="1982" w:type="dxa"/>
            <w:tcBorders>
              <w:top w:val="single" w:sz="8" w:space="0" w:color="000000"/>
              <w:left w:val="single" w:sz="8" w:space="0" w:color="000000"/>
              <w:bottom w:val="single" w:sz="8" w:space="0" w:color="000000"/>
              <w:right w:val="single" w:sz="8" w:space="0" w:color="000000"/>
            </w:tcBorders>
          </w:tcPr>
          <w:p>
            <w:pPr/>
          </w:p>
        </w:tc>
      </w:tr>
      <w:tr>
        <w:trPr>
          <w:trHeight w:val="974" w:hRule="exact"/>
        </w:trPr>
        <w:tc>
          <w:tcPr>
            <w:tcW w:w="5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80"/>
              <w:jc w:val="right"/>
              <w:rPr>
                <w:rFonts w:ascii="Times New Roman" w:hAnsi="Times New Roman" w:cs="Times New Roman" w:eastAsia="Times New Roman" w:hint="default"/>
                <w:sz w:val="18"/>
                <w:szCs w:val="18"/>
              </w:rPr>
            </w:pPr>
            <w:r>
              <w:rPr>
                <w:rFonts w:ascii="Times New Roman"/>
                <w:sz w:val="18"/>
              </w:rPr>
              <w:t>11</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ZNA03A-0000</w:t>
            </w:r>
            <w:r>
              <w:rPr>
                <w:rFonts w:ascii="宋体" w:hAnsi="宋体" w:cs="宋体" w:eastAsia="宋体" w:hint="default"/>
                <w:sz w:val="18"/>
                <w:szCs w:val="18"/>
              </w:rPr>
              <w:t>梳齿</w:t>
            </w:r>
          </w:p>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式智能中跑车</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7"/>
              <w:ind w:left="2" w:right="-1"/>
              <w:jc w:val="center"/>
              <w:rPr>
                <w:rFonts w:ascii="宋体" w:hAnsi="宋体" w:cs="宋体" w:eastAsia="宋体" w:hint="default"/>
                <w:sz w:val="18"/>
                <w:szCs w:val="18"/>
              </w:rPr>
            </w:pPr>
            <w:r>
              <w:rPr>
                <w:rFonts w:ascii="宋体" w:hAnsi="宋体" w:cs="宋体" w:eastAsia="宋体" w:hint="default"/>
                <w:spacing w:val="-6"/>
                <w:sz w:val="18"/>
                <w:szCs w:val="18"/>
              </w:rPr>
              <w:t>自主研制，该项目</w:t>
            </w:r>
            <w:r>
              <w:rPr>
                <w:rFonts w:ascii="宋体" w:hAnsi="宋体" w:cs="宋体" w:eastAsia="宋体" w:hint="default"/>
                <w:sz w:val="18"/>
                <w:szCs w:val="18"/>
              </w:rPr>
              <w:t> 已经投入批量生 产</w:t>
            </w:r>
          </w:p>
        </w:tc>
        <w:tc>
          <w:tcPr>
            <w:tcW w:w="3403"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7"/>
              <w:ind w:left="2" w:right="0" w:hanging="3"/>
              <w:jc w:val="center"/>
              <w:rPr>
                <w:rFonts w:ascii="宋体" w:hAnsi="宋体" w:cs="宋体" w:eastAsia="宋体" w:hint="default"/>
                <w:sz w:val="18"/>
                <w:szCs w:val="18"/>
              </w:rPr>
            </w:pPr>
            <w:r>
              <w:rPr>
                <w:rFonts w:ascii="宋体" w:hAnsi="宋体" w:cs="宋体" w:eastAsia="宋体" w:hint="default"/>
                <w:sz w:val="18"/>
                <w:szCs w:val="18"/>
              </w:rPr>
              <w:t>对原有产品进行优化升级，并做标准化处 </w:t>
            </w:r>
            <w:r>
              <w:rPr>
                <w:rFonts w:ascii="宋体" w:hAnsi="宋体" w:cs="宋体" w:eastAsia="宋体" w:hint="default"/>
                <w:spacing w:val="-3"/>
                <w:sz w:val="18"/>
                <w:szCs w:val="18"/>
              </w:rPr>
              <w:t>理，增加不同产品间的互换性，使产品更适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合批量化生产。</w:t>
            </w:r>
          </w:p>
        </w:tc>
        <w:tc>
          <w:tcPr>
            <w:tcW w:w="198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7"/>
              <w:ind w:left="261" w:right="-1" w:hanging="262"/>
              <w:jc w:val="left"/>
              <w:rPr>
                <w:rFonts w:ascii="宋体" w:hAnsi="宋体" w:cs="宋体" w:eastAsia="宋体" w:hint="default"/>
                <w:sz w:val="18"/>
                <w:szCs w:val="18"/>
              </w:rPr>
            </w:pPr>
            <w:r>
              <w:rPr>
                <w:rFonts w:ascii="宋体" w:hAnsi="宋体" w:cs="宋体" w:eastAsia="宋体" w:hint="default"/>
                <w:spacing w:val="-2"/>
                <w:sz w:val="18"/>
                <w:szCs w:val="18"/>
              </w:rPr>
              <w:t>优化公司产品，提高了科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技含量及生产效率</w:t>
            </w:r>
          </w:p>
        </w:tc>
      </w:tr>
      <w:tr>
        <w:trPr>
          <w:trHeight w:val="977" w:hRule="exact"/>
        </w:trPr>
        <w:tc>
          <w:tcPr>
            <w:tcW w:w="5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80"/>
              <w:jc w:val="right"/>
              <w:rPr>
                <w:rFonts w:ascii="Times New Roman" w:hAnsi="Times New Roman" w:cs="Times New Roman" w:eastAsia="Times New Roman" w:hint="default"/>
                <w:sz w:val="18"/>
                <w:szCs w:val="18"/>
              </w:rPr>
            </w:pPr>
            <w:r>
              <w:rPr>
                <w:rFonts w:ascii="Times New Roman"/>
                <w:sz w:val="18"/>
              </w:rPr>
              <w:t>12</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ZNB03A-0000</w:t>
            </w:r>
            <w:r>
              <w:rPr>
                <w:rFonts w:ascii="宋体" w:hAnsi="宋体" w:cs="宋体" w:eastAsia="宋体" w:hint="default"/>
                <w:sz w:val="18"/>
                <w:szCs w:val="18"/>
              </w:rPr>
              <w:t>抱夹</w:t>
            </w:r>
          </w:p>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式智能中跑车</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left="2" w:right="-1"/>
              <w:jc w:val="center"/>
              <w:rPr>
                <w:rFonts w:ascii="宋体" w:hAnsi="宋体" w:cs="宋体" w:eastAsia="宋体" w:hint="default"/>
                <w:sz w:val="18"/>
                <w:szCs w:val="18"/>
              </w:rPr>
            </w:pPr>
            <w:r>
              <w:rPr>
                <w:rFonts w:ascii="宋体" w:hAnsi="宋体" w:cs="宋体" w:eastAsia="宋体" w:hint="default"/>
                <w:spacing w:val="-6"/>
                <w:sz w:val="18"/>
                <w:szCs w:val="18"/>
              </w:rPr>
              <w:t>自主研制，该项目</w:t>
            </w:r>
            <w:r>
              <w:rPr>
                <w:rFonts w:ascii="宋体" w:hAnsi="宋体" w:cs="宋体" w:eastAsia="宋体" w:hint="default"/>
                <w:sz w:val="18"/>
                <w:szCs w:val="18"/>
              </w:rPr>
              <w:t> 已经投入批量生 产</w:t>
            </w:r>
          </w:p>
        </w:tc>
        <w:tc>
          <w:tcPr>
            <w:tcW w:w="3403"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left="2" w:right="0" w:hanging="3"/>
              <w:jc w:val="center"/>
              <w:rPr>
                <w:rFonts w:ascii="宋体" w:hAnsi="宋体" w:cs="宋体" w:eastAsia="宋体" w:hint="default"/>
                <w:sz w:val="18"/>
                <w:szCs w:val="18"/>
              </w:rPr>
            </w:pPr>
            <w:r>
              <w:rPr>
                <w:rFonts w:ascii="宋体" w:hAnsi="宋体" w:cs="宋体" w:eastAsia="宋体" w:hint="default"/>
                <w:sz w:val="18"/>
                <w:szCs w:val="18"/>
              </w:rPr>
              <w:t>对原有产品进行优化升级，并做标准化处 </w:t>
            </w:r>
            <w:r>
              <w:rPr>
                <w:rFonts w:ascii="宋体" w:hAnsi="宋体" w:cs="宋体" w:eastAsia="宋体" w:hint="default"/>
                <w:spacing w:val="-3"/>
                <w:sz w:val="18"/>
                <w:szCs w:val="18"/>
              </w:rPr>
              <w:t>理，增加不同产品间的互换性，使产品更适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合批量化生产。</w:t>
            </w:r>
          </w:p>
        </w:tc>
        <w:tc>
          <w:tcPr>
            <w:tcW w:w="198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left="261" w:right="-1" w:hanging="262"/>
              <w:jc w:val="left"/>
              <w:rPr>
                <w:rFonts w:ascii="宋体" w:hAnsi="宋体" w:cs="宋体" w:eastAsia="宋体" w:hint="default"/>
                <w:sz w:val="18"/>
                <w:szCs w:val="18"/>
              </w:rPr>
            </w:pPr>
            <w:r>
              <w:rPr>
                <w:rFonts w:ascii="宋体" w:hAnsi="宋体" w:cs="宋体" w:eastAsia="宋体" w:hint="default"/>
                <w:spacing w:val="-2"/>
                <w:sz w:val="18"/>
                <w:szCs w:val="18"/>
              </w:rPr>
              <w:t>优化公司产品，提高了科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技含量及生产效率</w:t>
            </w:r>
          </w:p>
        </w:tc>
      </w:tr>
      <w:tr>
        <w:trPr>
          <w:trHeight w:val="977" w:hRule="exact"/>
        </w:trPr>
        <w:tc>
          <w:tcPr>
            <w:tcW w:w="5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80"/>
              <w:jc w:val="right"/>
              <w:rPr>
                <w:rFonts w:ascii="Times New Roman" w:hAnsi="Times New Roman" w:cs="Times New Roman" w:eastAsia="Times New Roman" w:hint="default"/>
                <w:sz w:val="18"/>
                <w:szCs w:val="18"/>
              </w:rPr>
            </w:pPr>
            <w:r>
              <w:rPr>
                <w:rFonts w:ascii="Times New Roman"/>
                <w:sz w:val="18"/>
              </w:rPr>
              <w:t>13</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ZNC03A-0000</w:t>
            </w:r>
            <w:r>
              <w:rPr>
                <w:rFonts w:ascii="宋体" w:hAnsi="宋体" w:cs="宋体" w:eastAsia="宋体" w:hint="default"/>
                <w:sz w:val="18"/>
                <w:szCs w:val="18"/>
              </w:rPr>
              <w:t>伸缩</w:t>
            </w:r>
          </w:p>
          <w:p>
            <w:pPr>
              <w:pStyle w:val="TableParagraph"/>
              <w:spacing w:line="240" w:lineRule="auto" w:before="62"/>
              <w:ind w:left="139" w:right="0"/>
              <w:jc w:val="left"/>
              <w:rPr>
                <w:rFonts w:ascii="宋体" w:hAnsi="宋体" w:cs="宋体" w:eastAsia="宋体" w:hint="default"/>
                <w:sz w:val="18"/>
                <w:szCs w:val="18"/>
              </w:rPr>
            </w:pPr>
            <w:r>
              <w:rPr>
                <w:rFonts w:ascii="宋体" w:hAnsi="宋体" w:cs="宋体" w:eastAsia="宋体" w:hint="default"/>
                <w:sz w:val="18"/>
                <w:szCs w:val="18"/>
              </w:rPr>
              <w:t>齿式智能中跑车</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7"/>
              <w:ind w:left="160" w:right="-1" w:hanging="159"/>
              <w:jc w:val="left"/>
              <w:rPr>
                <w:rFonts w:ascii="宋体" w:hAnsi="宋体" w:cs="宋体" w:eastAsia="宋体" w:hint="default"/>
                <w:sz w:val="18"/>
                <w:szCs w:val="18"/>
              </w:rPr>
            </w:pPr>
            <w:r>
              <w:rPr>
                <w:rFonts w:ascii="宋体" w:hAnsi="宋体" w:cs="宋体" w:eastAsia="宋体" w:hint="default"/>
                <w:spacing w:val="-6"/>
                <w:sz w:val="18"/>
                <w:szCs w:val="18"/>
              </w:rPr>
              <w:t>自主研制，该项目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试制阶段结束</w:t>
            </w:r>
          </w:p>
        </w:tc>
        <w:tc>
          <w:tcPr>
            <w:tcW w:w="3403"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7"/>
              <w:ind w:left="2" w:right="0" w:hanging="3"/>
              <w:jc w:val="center"/>
              <w:rPr>
                <w:rFonts w:ascii="宋体" w:hAnsi="宋体" w:cs="宋体" w:eastAsia="宋体" w:hint="default"/>
                <w:sz w:val="18"/>
                <w:szCs w:val="18"/>
              </w:rPr>
            </w:pPr>
            <w:r>
              <w:rPr>
                <w:rFonts w:ascii="宋体" w:hAnsi="宋体" w:cs="宋体" w:eastAsia="宋体" w:hint="default"/>
                <w:sz w:val="18"/>
                <w:szCs w:val="18"/>
              </w:rPr>
              <w:t>实现伸缩式搬运器对原有产品进行优化升 </w:t>
            </w:r>
            <w:r>
              <w:rPr>
                <w:rFonts w:ascii="宋体" w:hAnsi="宋体" w:cs="宋体" w:eastAsia="宋体" w:hint="default"/>
                <w:spacing w:val="-3"/>
                <w:sz w:val="18"/>
                <w:szCs w:val="18"/>
              </w:rPr>
              <w:t>级，并做标准化处理，增加不同产品间的互</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换性，使产品更适合批量化生产。</w:t>
            </w:r>
          </w:p>
        </w:tc>
        <w:tc>
          <w:tcPr>
            <w:tcW w:w="198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7"/>
              <w:ind w:right="-1"/>
              <w:jc w:val="left"/>
              <w:rPr>
                <w:rFonts w:ascii="宋体" w:hAnsi="宋体" w:cs="宋体" w:eastAsia="宋体" w:hint="default"/>
                <w:sz w:val="18"/>
                <w:szCs w:val="18"/>
              </w:rPr>
            </w:pPr>
            <w:r>
              <w:rPr>
                <w:rFonts w:ascii="宋体" w:hAnsi="宋体" w:cs="宋体" w:eastAsia="宋体" w:hint="default"/>
                <w:spacing w:val="-2"/>
                <w:sz w:val="18"/>
                <w:szCs w:val="18"/>
              </w:rPr>
              <w:t>丰富产品线，提高产品科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技含量，增强品牌竞争力</w:t>
            </w:r>
          </w:p>
        </w:tc>
      </w:tr>
      <w:tr>
        <w:trPr>
          <w:trHeight w:val="662" w:hRule="exact"/>
        </w:trPr>
        <w:tc>
          <w:tcPr>
            <w:tcW w:w="5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80"/>
              <w:jc w:val="right"/>
              <w:rPr>
                <w:rFonts w:ascii="Times New Roman" w:hAnsi="Times New Roman" w:cs="Times New Roman" w:eastAsia="Times New Roman" w:hint="default"/>
                <w:sz w:val="18"/>
                <w:szCs w:val="18"/>
              </w:rPr>
            </w:pPr>
            <w:r>
              <w:rPr>
                <w:rFonts w:ascii="Times New Roman"/>
                <w:sz w:val="18"/>
              </w:rPr>
              <w:t>14</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7"/>
              <w:ind w:left="228" w:right="48" w:hanging="180"/>
              <w:jc w:val="left"/>
              <w:rPr>
                <w:rFonts w:ascii="宋体" w:hAnsi="宋体" w:cs="宋体" w:eastAsia="宋体" w:hint="default"/>
                <w:sz w:val="18"/>
                <w:szCs w:val="18"/>
              </w:rPr>
            </w:pPr>
            <w:r>
              <w:rPr>
                <w:rFonts w:ascii="宋体" w:hAnsi="宋体" w:cs="宋体" w:eastAsia="宋体" w:hint="default"/>
                <w:sz w:val="18"/>
                <w:szCs w:val="18"/>
              </w:rPr>
              <w:t>十层升降横移类机 械式停车设备</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7"/>
              <w:ind w:left="160" w:right="-1" w:hanging="159"/>
              <w:jc w:val="left"/>
              <w:rPr>
                <w:rFonts w:ascii="宋体" w:hAnsi="宋体" w:cs="宋体" w:eastAsia="宋体" w:hint="default"/>
                <w:sz w:val="18"/>
                <w:szCs w:val="18"/>
              </w:rPr>
            </w:pPr>
            <w:r>
              <w:rPr>
                <w:rFonts w:ascii="宋体" w:hAnsi="宋体" w:cs="宋体" w:eastAsia="宋体" w:hint="default"/>
                <w:spacing w:val="-6"/>
                <w:sz w:val="18"/>
                <w:szCs w:val="18"/>
              </w:rPr>
              <w:t>自主研制，该项目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处于试制阶段</w:t>
            </w:r>
          </w:p>
        </w:tc>
        <w:tc>
          <w:tcPr>
            <w:tcW w:w="34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71" w:right="0"/>
              <w:jc w:val="left"/>
              <w:rPr>
                <w:rFonts w:ascii="宋体" w:hAnsi="宋体" w:cs="宋体" w:eastAsia="宋体" w:hint="default"/>
                <w:sz w:val="18"/>
                <w:szCs w:val="18"/>
              </w:rPr>
            </w:pPr>
            <w:r>
              <w:rPr>
                <w:rFonts w:ascii="宋体" w:hAnsi="宋体" w:cs="宋体" w:eastAsia="宋体" w:hint="default"/>
                <w:sz w:val="18"/>
                <w:szCs w:val="18"/>
              </w:rPr>
              <w:t>实现更高的车辆停放密度和空间利用率，</w:t>
            </w:r>
          </w:p>
        </w:tc>
        <w:tc>
          <w:tcPr>
            <w:tcW w:w="198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7"/>
              <w:ind w:right="-1"/>
              <w:jc w:val="left"/>
              <w:rPr>
                <w:rFonts w:ascii="宋体" w:hAnsi="宋体" w:cs="宋体" w:eastAsia="宋体" w:hint="default"/>
                <w:sz w:val="18"/>
                <w:szCs w:val="18"/>
              </w:rPr>
            </w:pPr>
            <w:r>
              <w:rPr>
                <w:rFonts w:ascii="宋体" w:hAnsi="宋体" w:cs="宋体" w:eastAsia="宋体" w:hint="default"/>
                <w:spacing w:val="-2"/>
                <w:sz w:val="18"/>
                <w:szCs w:val="18"/>
              </w:rPr>
              <w:t>丰富产品线，提高产品科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技含量，增强品牌竞争力</w:t>
            </w:r>
          </w:p>
        </w:tc>
      </w:tr>
      <w:tr>
        <w:trPr>
          <w:trHeight w:val="977" w:hRule="exact"/>
        </w:trPr>
        <w:tc>
          <w:tcPr>
            <w:tcW w:w="5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80"/>
              <w:jc w:val="right"/>
              <w:rPr>
                <w:rFonts w:ascii="Times New Roman" w:hAnsi="Times New Roman" w:cs="Times New Roman" w:eastAsia="Times New Roman" w:hint="default"/>
                <w:sz w:val="18"/>
                <w:szCs w:val="18"/>
              </w:rPr>
            </w:pPr>
            <w:r>
              <w:rPr>
                <w:rFonts w:ascii="Times New Roman"/>
                <w:sz w:val="18"/>
              </w:rPr>
              <w:t>15</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20"/>
              <w:ind w:left="228" w:right="45" w:hanging="18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层巷道堆垛类机 械式停车设备</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left="2" w:right="-2" w:firstLine="67"/>
              <w:jc w:val="left"/>
              <w:rPr>
                <w:rFonts w:ascii="Times New Roman" w:hAnsi="Times New Roman" w:cs="Times New Roman" w:eastAsia="Times New Roman" w:hint="default"/>
                <w:sz w:val="18"/>
                <w:szCs w:val="18"/>
              </w:rPr>
            </w:pPr>
            <w:r>
              <w:rPr>
                <w:rFonts w:ascii="宋体" w:hAnsi="宋体" w:cs="宋体" w:eastAsia="宋体" w:hint="default"/>
                <w:sz w:val="18"/>
                <w:szCs w:val="18"/>
              </w:rPr>
              <w:t>样机生产安装完 </w:t>
            </w:r>
            <w:r>
              <w:rPr>
                <w:rFonts w:ascii="宋体" w:hAnsi="宋体" w:cs="宋体" w:eastAsia="宋体" w:hint="default"/>
                <w:spacing w:val="-10"/>
                <w:sz w:val="18"/>
                <w:szCs w:val="18"/>
              </w:rPr>
              <w:t>毕，试制阶段结束</w:t>
            </w:r>
            <w:r>
              <w:rPr>
                <w:rFonts w:ascii="Times New Roman" w:hAnsi="Times New Roman" w:cs="Times New Roman" w:eastAsia="Times New Roman" w:hint="default"/>
                <w:spacing w:val="-10"/>
                <w:sz w:val="18"/>
                <w:szCs w:val="18"/>
              </w:rPr>
              <w:t>.</w:t>
            </w:r>
          </w:p>
        </w:tc>
        <w:tc>
          <w:tcPr>
            <w:tcW w:w="3403"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left="2" w:right="-1" w:hanging="1"/>
              <w:jc w:val="center"/>
              <w:rPr>
                <w:rFonts w:ascii="宋体" w:hAnsi="宋体" w:cs="宋体" w:eastAsia="宋体" w:hint="default"/>
                <w:sz w:val="18"/>
                <w:szCs w:val="18"/>
              </w:rPr>
            </w:pPr>
            <w:r>
              <w:rPr>
                <w:rFonts w:ascii="宋体" w:hAnsi="宋体" w:cs="宋体" w:eastAsia="宋体" w:hint="default"/>
                <w:spacing w:val="-3"/>
                <w:sz w:val="18"/>
                <w:szCs w:val="18"/>
              </w:rPr>
              <w:t>搬运、存取车辆均由堆垛机完成，功能与结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构集成性高。最高停车层数处于国内领先水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平。</w:t>
            </w:r>
          </w:p>
        </w:tc>
        <w:tc>
          <w:tcPr>
            <w:tcW w:w="1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81" w:right="0"/>
              <w:jc w:val="left"/>
              <w:rPr>
                <w:rFonts w:ascii="宋体" w:hAnsi="宋体" w:cs="宋体" w:eastAsia="宋体" w:hint="default"/>
                <w:sz w:val="18"/>
                <w:szCs w:val="18"/>
              </w:rPr>
            </w:pPr>
            <w:r>
              <w:rPr>
                <w:rFonts w:ascii="宋体" w:hAnsi="宋体" w:cs="宋体" w:eastAsia="宋体" w:hint="default"/>
                <w:sz w:val="18"/>
                <w:szCs w:val="18"/>
              </w:rPr>
              <w:t>增加品种，提高竞争力</w:t>
            </w:r>
          </w:p>
        </w:tc>
      </w:tr>
      <w:tr>
        <w:trPr>
          <w:trHeight w:val="665" w:hRule="exact"/>
        </w:trPr>
        <w:tc>
          <w:tcPr>
            <w:tcW w:w="5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80"/>
              <w:jc w:val="right"/>
              <w:rPr>
                <w:rFonts w:ascii="Times New Roman" w:hAnsi="Times New Roman" w:cs="Times New Roman" w:eastAsia="Times New Roman" w:hint="default"/>
                <w:sz w:val="18"/>
                <w:szCs w:val="18"/>
              </w:rPr>
            </w:pPr>
            <w:r>
              <w:rPr>
                <w:rFonts w:ascii="Times New Roman"/>
                <w:sz w:val="18"/>
              </w:rPr>
              <w:t>16</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7"/>
              <w:ind w:left="139" w:right="48" w:hanging="92"/>
              <w:jc w:val="left"/>
              <w:rPr>
                <w:rFonts w:ascii="宋体" w:hAnsi="宋体" w:cs="宋体" w:eastAsia="宋体" w:hint="default"/>
                <w:sz w:val="18"/>
                <w:szCs w:val="18"/>
              </w:rPr>
            </w:pPr>
            <w:r>
              <w:rPr>
                <w:rFonts w:ascii="宋体" w:hAnsi="宋体" w:cs="宋体" w:eastAsia="宋体" w:hint="default"/>
                <w:sz w:val="18"/>
                <w:szCs w:val="18"/>
              </w:rPr>
              <w:t>伸缩式梳齿搬运器 机械式停车设备</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7"/>
              <w:ind w:left="160" w:right="-1" w:hanging="159"/>
              <w:jc w:val="left"/>
              <w:rPr>
                <w:rFonts w:ascii="宋体" w:hAnsi="宋体" w:cs="宋体" w:eastAsia="宋体" w:hint="default"/>
                <w:sz w:val="18"/>
                <w:szCs w:val="18"/>
              </w:rPr>
            </w:pPr>
            <w:r>
              <w:rPr>
                <w:rFonts w:ascii="宋体" w:hAnsi="宋体" w:cs="宋体" w:eastAsia="宋体" w:hint="default"/>
                <w:spacing w:val="-6"/>
                <w:sz w:val="18"/>
                <w:szCs w:val="18"/>
              </w:rPr>
              <w:t>自主研制，该项目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处于投产阶段</w:t>
            </w:r>
          </w:p>
        </w:tc>
        <w:tc>
          <w:tcPr>
            <w:tcW w:w="3403"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7"/>
              <w:ind w:left="523" w:right="-1" w:hanging="521"/>
              <w:jc w:val="left"/>
              <w:rPr>
                <w:rFonts w:ascii="宋体" w:hAnsi="宋体" w:cs="宋体" w:eastAsia="宋体" w:hint="default"/>
                <w:sz w:val="18"/>
                <w:szCs w:val="18"/>
              </w:rPr>
            </w:pPr>
            <w:r>
              <w:rPr>
                <w:rFonts w:ascii="宋体" w:hAnsi="宋体" w:cs="宋体" w:eastAsia="宋体" w:hint="default"/>
                <w:spacing w:val="-3"/>
                <w:sz w:val="18"/>
                <w:szCs w:val="18"/>
              </w:rPr>
              <w:t>以伸缩梳齿搬运器为核心，以大轿厢作为升</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降方式的大型智能停车设备。</w:t>
            </w:r>
          </w:p>
        </w:tc>
        <w:tc>
          <w:tcPr>
            <w:tcW w:w="198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7"/>
              <w:ind w:right="-1"/>
              <w:jc w:val="left"/>
              <w:rPr>
                <w:rFonts w:ascii="宋体" w:hAnsi="宋体" w:cs="宋体" w:eastAsia="宋体" w:hint="default"/>
                <w:sz w:val="18"/>
                <w:szCs w:val="18"/>
              </w:rPr>
            </w:pPr>
            <w:r>
              <w:rPr>
                <w:rFonts w:ascii="宋体" w:hAnsi="宋体" w:cs="宋体" w:eastAsia="宋体" w:hint="default"/>
                <w:spacing w:val="-2"/>
                <w:sz w:val="18"/>
                <w:szCs w:val="18"/>
              </w:rPr>
              <w:t>丰富产品线，提高产品科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技含量，增强品牌竞争力</w:t>
            </w:r>
          </w:p>
        </w:tc>
      </w:tr>
      <w:tr>
        <w:trPr>
          <w:trHeight w:val="1289" w:hRule="exact"/>
        </w:trPr>
        <w:tc>
          <w:tcPr>
            <w:tcW w:w="5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80"/>
              <w:jc w:val="right"/>
              <w:rPr>
                <w:rFonts w:ascii="Times New Roman" w:hAnsi="Times New Roman" w:cs="Times New Roman" w:eastAsia="Times New Roman" w:hint="default"/>
                <w:sz w:val="18"/>
                <w:szCs w:val="18"/>
              </w:rPr>
            </w:pPr>
            <w:r>
              <w:rPr>
                <w:rFonts w:ascii="Times New Roman"/>
                <w:sz w:val="18"/>
              </w:rPr>
              <w:t>17</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7"/>
              <w:ind w:left="48" w:right="48"/>
              <w:jc w:val="center"/>
              <w:rPr>
                <w:rFonts w:ascii="宋体" w:hAnsi="宋体" w:cs="宋体" w:eastAsia="宋体" w:hint="default"/>
                <w:sz w:val="18"/>
                <w:szCs w:val="18"/>
              </w:rPr>
            </w:pPr>
            <w:r>
              <w:rPr>
                <w:rFonts w:ascii="宋体" w:hAnsi="宋体" w:cs="宋体" w:eastAsia="宋体" w:hint="default"/>
                <w:sz w:val="18"/>
                <w:szCs w:val="18"/>
              </w:rPr>
              <w:t>面向智慧矿山的带 式输送机智能装备 及安全技术研发与 产业化</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7"/>
              <w:ind w:left="2" w:right="-1"/>
              <w:jc w:val="center"/>
              <w:rPr>
                <w:rFonts w:ascii="宋体" w:hAnsi="宋体" w:cs="宋体" w:eastAsia="宋体" w:hint="default"/>
                <w:sz w:val="18"/>
                <w:szCs w:val="18"/>
              </w:rPr>
            </w:pPr>
            <w:r>
              <w:rPr>
                <w:rFonts w:ascii="宋体" w:hAnsi="宋体" w:cs="宋体" w:eastAsia="宋体" w:hint="default"/>
                <w:spacing w:val="-6"/>
                <w:sz w:val="18"/>
                <w:szCs w:val="18"/>
              </w:rPr>
              <w:t>自主研发，该项目</w:t>
            </w:r>
            <w:r>
              <w:rPr>
                <w:rFonts w:ascii="宋体" w:hAnsi="宋体" w:cs="宋体" w:eastAsia="宋体" w:hint="default"/>
                <w:sz w:val="18"/>
                <w:szCs w:val="18"/>
              </w:rPr>
              <w:t> 已经投入批量生 产</w:t>
            </w:r>
          </w:p>
        </w:tc>
        <w:tc>
          <w:tcPr>
            <w:tcW w:w="3403"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17"/>
              <w:ind w:left="2" w:right="0"/>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张紧力波动误差</w:t>
            </w:r>
            <w:r>
              <w:rPr>
                <w:rFonts w:ascii="Times New Roman" w:hAnsi="Times New Roman" w:cs="Times New Roman" w:eastAsia="Times New Roman" w:hint="default"/>
                <w:spacing w:val="-2"/>
                <w:sz w:val="18"/>
                <w:szCs w:val="18"/>
              </w:rPr>
              <w:t>&lt;5%</w:t>
            </w:r>
            <w:r>
              <w:rPr>
                <w:rFonts w:ascii="宋体" w:hAnsi="宋体" w:cs="宋体" w:eastAsia="宋体" w:hint="default"/>
                <w:spacing w:val="-2"/>
                <w:sz w:val="18"/>
                <w:szCs w:val="18"/>
              </w:rPr>
              <w:t>，制动减速度智能调节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范围</w:t>
            </w:r>
            <w:r>
              <w:rPr>
                <w:rFonts w:ascii="Times New Roman" w:hAnsi="Times New Roman" w:cs="Times New Roman" w:eastAsia="Times New Roman" w:hint="default"/>
                <w:sz w:val="18"/>
                <w:szCs w:val="18"/>
              </w:rPr>
              <w:t>0.1-0.3m/s2</w:t>
            </w:r>
            <w:r>
              <w:rPr>
                <w:rFonts w:ascii="宋体" w:hAnsi="宋体" w:cs="宋体" w:eastAsia="宋体" w:hint="default"/>
                <w:sz w:val="18"/>
                <w:szCs w:val="18"/>
              </w:rPr>
              <w:t>，加速度波动：</w:t>
            </w:r>
            <w:r>
              <w:rPr>
                <w:rFonts w:ascii="Times New Roman" w:hAnsi="Times New Roman" w:cs="Times New Roman" w:eastAsia="Times New Roman" w:hint="default"/>
                <w:sz w:val="18"/>
                <w:szCs w:val="18"/>
              </w:rPr>
              <w:t>&lt;0.5%</w:t>
            </w:r>
            <w:r>
              <w:rPr>
                <w:rFonts w:ascii="宋体" w:hAnsi="宋体" w:cs="宋体" w:eastAsia="宋体" w:hint="default"/>
                <w:sz w:val="18"/>
                <w:szCs w:val="18"/>
              </w:rPr>
              <w:t>，最 大功率：</w:t>
            </w:r>
            <w:r>
              <w:rPr>
                <w:rFonts w:ascii="Times New Roman" w:hAnsi="Times New Roman" w:cs="Times New Roman" w:eastAsia="Times New Roman" w:hint="default"/>
                <w:sz w:val="18"/>
                <w:szCs w:val="18"/>
              </w:rPr>
              <w:t>1500kw</w:t>
            </w:r>
            <w:r>
              <w:rPr>
                <w:rFonts w:ascii="宋体" w:hAnsi="宋体" w:cs="宋体" w:eastAsia="宋体" w:hint="default"/>
                <w:sz w:val="18"/>
                <w:szCs w:val="18"/>
              </w:rPr>
              <w:t>，转速精度误差</w:t>
            </w:r>
            <w:r>
              <w:rPr>
                <w:rFonts w:ascii="Times New Roman" w:hAnsi="Times New Roman" w:cs="Times New Roman" w:eastAsia="Times New Roman" w:hint="default"/>
                <w:sz w:val="18"/>
                <w:szCs w:val="18"/>
              </w:rPr>
              <w:t>&lt;5%</w:t>
            </w:r>
          </w:p>
        </w:tc>
        <w:tc>
          <w:tcPr>
            <w:tcW w:w="1982"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17"/>
              <w:ind w:right="-1"/>
              <w:jc w:val="center"/>
              <w:rPr>
                <w:rFonts w:ascii="宋体" w:hAnsi="宋体" w:cs="宋体" w:eastAsia="宋体" w:hint="default"/>
                <w:sz w:val="18"/>
                <w:szCs w:val="18"/>
              </w:rPr>
            </w:pPr>
            <w:r>
              <w:rPr>
                <w:rFonts w:ascii="宋体" w:hAnsi="宋体" w:cs="宋体" w:eastAsia="宋体" w:hint="default"/>
                <w:spacing w:val="-2"/>
                <w:sz w:val="18"/>
                <w:szCs w:val="18"/>
              </w:rPr>
              <w:t>增加了公司的竞争力，为</w:t>
            </w:r>
            <w:r>
              <w:rPr>
                <w:rFonts w:ascii="宋体" w:hAnsi="宋体" w:cs="宋体" w:eastAsia="宋体" w:hint="default"/>
                <w:sz w:val="18"/>
                <w:szCs w:val="18"/>
              </w:rPr>
              <w:t> 工业</w:t>
            </w:r>
            <w:r>
              <w:rPr>
                <w:rFonts w:ascii="Times New Roman" w:hAnsi="Times New Roman" w:cs="Times New Roman" w:eastAsia="Times New Roman" w:hint="default"/>
                <w:sz w:val="18"/>
                <w:szCs w:val="18"/>
              </w:rPr>
              <w:t>4.0</w:t>
            </w:r>
            <w:r>
              <w:rPr>
                <w:rFonts w:ascii="宋体" w:hAnsi="宋体" w:cs="宋体" w:eastAsia="宋体" w:hint="default"/>
                <w:sz w:val="18"/>
                <w:szCs w:val="18"/>
              </w:rPr>
              <w:t>提供有力的技术 保障</w:t>
            </w:r>
          </w:p>
        </w:tc>
      </w:tr>
    </w:tbl>
    <w:p>
      <w:pPr>
        <w:pStyle w:val="BodyText"/>
        <w:spacing w:line="240" w:lineRule="auto" w:before="49"/>
        <w:ind w:right="982"/>
        <w:jc w:val="left"/>
      </w:pPr>
      <w:r>
        <w:rPr/>
        <w:t>近三年公司研发投入金额及占营业收入的比例</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2"/>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161</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16.51%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14.30%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59,234,455.97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51,498,201.48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37,200,381.99</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6.13%</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1,398,083.92</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982"/>
        <w:jc w:val="left"/>
      </w:pPr>
      <w:r>
        <w:rPr/>
        <w:t>研发投入总额占营业收入的比重较上年发生显著变化的原因</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41"/>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单位：元</w:t>
      </w:r>
    </w:p>
    <w:p>
      <w:pPr>
        <w:spacing w:after="0" w:line="240" w:lineRule="auto"/>
        <w:jc w:val="right"/>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369"/>
        <w:gridCol w:w="2402"/>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1,026,947,439.12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604,830,919.65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69.79%</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1,109,152,626.78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651,556,552.15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70.23%</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-82,205,187.66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-46,725,632.50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75.93%</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40,284,168.50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23,327,234.59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72.69%</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94,700,696.64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88,923,594.22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6.50%</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-54,416,528.14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-65,596,359.63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-17.04%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141,248,611.12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80,659,437.52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75.12%</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102,174,578.91</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16,725,398.76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510.89%</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39,074,032.21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63,934,038.76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-38.88%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-97,547,683.90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-48,388,097.87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101.59%</w:t>
            </w:r>
          </w:p>
        </w:tc>
      </w:tr>
    </w:tbl>
    <w:p>
      <w:pPr>
        <w:pStyle w:val="BodyText"/>
        <w:spacing w:line="240" w:lineRule="auto" w:before="49"/>
        <w:ind w:right="982"/>
        <w:jc w:val="left"/>
      </w:pPr>
      <w:r>
        <w:rPr/>
        <w:t>相关数据同比发生重大变动的主要影响因素说明</w:t>
      </w:r>
    </w:p>
    <w:p>
      <w:pPr>
        <w:pStyle w:val="BodyText"/>
        <w:spacing w:line="240" w:lineRule="auto" w:before="115"/>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512" w:right="982"/>
        <w:jc w:val="left"/>
      </w:pPr>
      <w:r>
        <w:rPr>
          <w:rFonts w:ascii="Times New Roman" w:hAnsi="Times New Roman" w:cs="Times New Roman" w:eastAsia="Times New Roman" w:hint="default"/>
        </w:rPr>
        <w:t>1</w:t>
      </w:r>
      <w:r>
        <w:rPr/>
        <w:t>、经营活动现金流量发生重大变化主要影响因素为本期购买商品、接受劳务支付的现金较上年增长所致；</w:t>
      </w:r>
    </w:p>
    <w:p>
      <w:pPr>
        <w:pStyle w:val="BodyText"/>
        <w:spacing w:line="240" w:lineRule="auto" w:before="62"/>
        <w:ind w:left="512" w:right="982"/>
        <w:jc w:val="left"/>
      </w:pPr>
      <w:r>
        <w:rPr>
          <w:rFonts w:ascii="Times New Roman" w:hAnsi="Times New Roman" w:cs="Times New Roman" w:eastAsia="Times New Roman" w:hint="default"/>
        </w:rPr>
        <w:t>2</w:t>
      </w:r>
      <w:r>
        <w:rPr/>
        <w:t>、投资活动现金流量发生重大变化主要影响因素为赎回银行理财产品所致；</w:t>
      </w:r>
    </w:p>
    <w:p>
      <w:pPr>
        <w:pStyle w:val="BodyText"/>
        <w:spacing w:line="240" w:lineRule="auto" w:before="62"/>
        <w:ind w:left="296" w:right="982"/>
        <w:jc w:val="left"/>
      </w:pPr>
      <w:r>
        <w:rPr>
          <w:rFonts w:ascii="Times New Roman" w:hAnsi="Times New Roman" w:cs="Times New Roman" w:eastAsia="Times New Roman" w:hint="default"/>
        </w:rPr>
        <w:t>3</w:t>
      </w:r>
      <w:r>
        <w:rPr/>
        <w:t>、筹资活动现金流量发生重大变化主要因素为本期吸收投资减少所致。</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240" w:lineRule="auto" w:before="0"/>
        <w:ind w:right="982"/>
        <w:jc w:val="left"/>
      </w:pPr>
      <w:r>
        <w:rPr/>
        <w:t>报告期内公司经营活动产生的现金净流量与本年度净利润存在重大差异的原因说明</w:t>
      </w:r>
    </w:p>
    <w:p>
      <w:pPr>
        <w:pStyle w:val="BodyText"/>
        <w:spacing w:line="340" w:lineRule="auto" w:before="115"/>
        <w:ind w:right="15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主要是购买商品、接受劳务支付现金增加导致报告期内公司经营活动产生的现金净流量与本年度净利润存在重大差异</w:t>
      </w:r>
    </w:p>
    <w:p>
      <w:pPr>
        <w:spacing w:line="240" w:lineRule="auto" w:before="6"/>
        <w:rPr>
          <w:rFonts w:ascii="宋体" w:hAnsi="宋体" w:cs="宋体" w:eastAsia="宋体" w:hint="default"/>
          <w:sz w:val="19"/>
          <w:szCs w:val="19"/>
        </w:rPr>
      </w:pPr>
    </w:p>
    <w:p>
      <w:pPr>
        <w:pStyle w:val="Heading2"/>
        <w:spacing w:line="240" w:lineRule="auto"/>
        <w:ind w:right="982"/>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133"/>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24"/>
        <w:gridCol w:w="1915"/>
        <w:gridCol w:w="1622"/>
        <w:gridCol w:w="2167"/>
        <w:gridCol w:w="2340"/>
      </w:tblGrid>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1" w:hRule="exact"/>
        </w:trPr>
        <w:tc>
          <w:tcPr>
            <w:tcW w:w="1524" w:type="dxa"/>
            <w:tcBorders>
              <w:top w:val="single" w:sz="4" w:space="0" w:color="000000"/>
              <w:left w:val="single" w:sz="4" w:space="0" w:color="000000"/>
              <w:bottom w:val="nil" w:sz="6" w:space="0" w:color="auto"/>
              <w:right w:val="single" w:sz="4" w:space="0" w:color="000000"/>
            </w:tcBorders>
            <w:shd w:val="clear" w:color="auto" w:fill="D4D4D4"/>
          </w:tcPr>
          <w:p>
            <w:pPr/>
          </w:p>
        </w:tc>
        <w:tc>
          <w:tcPr>
            <w:tcW w:w="1915" w:type="dxa"/>
            <w:vMerge w:val="restart"/>
            <w:tcBorders>
              <w:top w:val="single" w:sz="4" w:space="0" w:color="000000"/>
              <w:left w:val="single" w:sz="10"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2,921,855.13</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2.03%</w:t>
            </w:r>
          </w:p>
        </w:tc>
        <w:tc>
          <w:tcPr>
            <w:tcW w:w="2167"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51"/>
              <w:jc w:val="left"/>
              <w:rPr>
                <w:rFonts w:ascii="宋体" w:hAnsi="宋体" w:cs="宋体" w:eastAsia="宋体" w:hint="default"/>
                <w:sz w:val="18"/>
                <w:szCs w:val="18"/>
              </w:rPr>
            </w:pPr>
            <w:r>
              <w:rPr>
                <w:rFonts w:ascii="宋体" w:hAnsi="宋体" w:cs="宋体" w:eastAsia="宋体" w:hint="default"/>
                <w:sz w:val="18"/>
                <w:szCs w:val="18"/>
              </w:rPr>
              <w:t>权益法核算的长期股权投 资收益，理财产品收益</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4" w:hRule="exact"/>
        </w:trPr>
        <w:tc>
          <w:tcPr>
            <w:tcW w:w="152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5" w:type="dxa"/>
            <w:vMerge/>
            <w:tcBorders>
              <w:left w:val="single" w:sz="10" w:space="0" w:color="D4D4D4"/>
              <w:right w:val="single" w:sz="4" w:space="0" w:color="000000"/>
            </w:tcBorders>
          </w:tcPr>
          <w:p>
            <w:pPr/>
          </w:p>
        </w:tc>
        <w:tc>
          <w:tcPr>
            <w:tcW w:w="1622" w:type="dxa"/>
            <w:vMerge/>
            <w:tcBorders>
              <w:left w:val="single" w:sz="4" w:space="0" w:color="000000"/>
              <w:right w:val="single" w:sz="4" w:space="0" w:color="000000"/>
            </w:tcBorders>
          </w:tcPr>
          <w:p>
            <w:pPr/>
          </w:p>
        </w:tc>
        <w:tc>
          <w:tcPr>
            <w:tcW w:w="2167"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161" w:hRule="exact"/>
        </w:trPr>
        <w:tc>
          <w:tcPr>
            <w:tcW w:w="1524"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vMerge/>
            <w:tcBorders>
              <w:left w:val="single" w:sz="10" w:space="0" w:color="D4D4D4"/>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167"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317" w:hRule="exact"/>
        </w:trPr>
        <w:tc>
          <w:tcPr>
            <w:tcW w:w="1524" w:type="dxa"/>
            <w:tcBorders>
              <w:top w:val="single" w:sz="4" w:space="0" w:color="000000"/>
              <w:left w:val="single" w:sz="4" w:space="0" w:color="000000"/>
              <w:bottom w:val="nil" w:sz="6" w:space="0" w:color="auto"/>
              <w:right w:val="single" w:sz="4" w:space="0" w:color="000000"/>
            </w:tcBorders>
            <w:shd w:val="clear" w:color="auto" w:fill="D4D4D4"/>
          </w:tcPr>
          <w:p>
            <w:pPr/>
          </w:p>
        </w:tc>
        <w:tc>
          <w:tcPr>
            <w:tcW w:w="1915" w:type="dxa"/>
            <w:vMerge w:val="restart"/>
            <w:tcBorders>
              <w:top w:val="single" w:sz="4" w:space="0" w:color="000000"/>
              <w:left w:val="single" w:sz="10"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20,479,224.42</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14.24%</w:t>
            </w:r>
          </w:p>
        </w:tc>
        <w:tc>
          <w:tcPr>
            <w:tcW w:w="2167"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pacing w:val="-5"/>
                <w:sz w:val="18"/>
                <w:szCs w:val="18"/>
              </w:rPr>
              <w:t>按账龄计提应收款项、其他</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应收款项减值、个别项目计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提减值</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2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5" w:type="dxa"/>
            <w:vMerge/>
            <w:tcBorders>
              <w:left w:val="single" w:sz="10" w:space="0" w:color="D4D4D4"/>
              <w:right w:val="single" w:sz="4" w:space="0" w:color="000000"/>
            </w:tcBorders>
          </w:tcPr>
          <w:p>
            <w:pPr/>
          </w:p>
        </w:tc>
        <w:tc>
          <w:tcPr>
            <w:tcW w:w="1622" w:type="dxa"/>
            <w:vMerge/>
            <w:tcBorders>
              <w:left w:val="single" w:sz="4" w:space="0" w:color="000000"/>
              <w:right w:val="single" w:sz="4" w:space="0" w:color="000000"/>
            </w:tcBorders>
          </w:tcPr>
          <w:p>
            <w:pPr/>
          </w:p>
        </w:tc>
        <w:tc>
          <w:tcPr>
            <w:tcW w:w="2167"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317" w:hRule="exact"/>
        </w:trPr>
        <w:tc>
          <w:tcPr>
            <w:tcW w:w="1524"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vMerge/>
            <w:tcBorders>
              <w:left w:val="single" w:sz="10" w:space="0" w:color="D4D4D4"/>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167"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1060" w:right="0"/>
              <w:jc w:val="left"/>
              <w:rPr>
                <w:rFonts w:ascii="Times New Roman" w:hAnsi="Times New Roman" w:cs="Times New Roman" w:eastAsia="Times New Roman" w:hint="default"/>
                <w:sz w:val="18"/>
                <w:szCs w:val="18"/>
              </w:rPr>
            </w:pPr>
            <w:r>
              <w:rPr>
                <w:rFonts w:ascii="Times New Roman"/>
                <w:sz w:val="18"/>
              </w:rPr>
              <w:t>507,123.67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0.35%</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7"/>
              <w:jc w:val="center"/>
              <w:rPr>
                <w:rFonts w:ascii="宋体" w:hAnsi="宋体" w:cs="宋体" w:eastAsia="宋体" w:hint="default"/>
                <w:sz w:val="18"/>
                <w:szCs w:val="18"/>
              </w:rPr>
            </w:pPr>
            <w:r>
              <w:rPr>
                <w:rFonts w:ascii="宋体" w:hAnsi="宋体" w:cs="宋体" w:eastAsia="宋体" w:hint="default"/>
                <w:sz w:val="18"/>
                <w:szCs w:val="18"/>
              </w:rPr>
              <w:t>罚没收入、无需支付款项</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524" w:type="dxa"/>
            <w:tcBorders>
              <w:top w:val="single" w:sz="4" w:space="0" w:color="000000"/>
              <w:left w:val="single" w:sz="4" w:space="0" w:color="000000"/>
              <w:bottom w:val="nil" w:sz="6" w:space="0" w:color="auto"/>
              <w:right w:val="single" w:sz="4" w:space="0" w:color="000000"/>
            </w:tcBorders>
            <w:shd w:val="clear" w:color="auto" w:fill="D4D4D4"/>
          </w:tcPr>
          <w:p>
            <w:pPr/>
          </w:p>
        </w:tc>
        <w:tc>
          <w:tcPr>
            <w:tcW w:w="1915" w:type="dxa"/>
            <w:vMerge w:val="restart"/>
            <w:tcBorders>
              <w:top w:val="single" w:sz="4" w:space="0" w:color="000000"/>
              <w:left w:val="single" w:sz="10"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3,341,122.66</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2.32%</w:t>
            </w:r>
          </w:p>
        </w:tc>
        <w:tc>
          <w:tcPr>
            <w:tcW w:w="2167"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23"/>
              <w:jc w:val="left"/>
              <w:rPr>
                <w:rFonts w:ascii="宋体" w:hAnsi="宋体" w:cs="宋体" w:eastAsia="宋体" w:hint="default"/>
                <w:sz w:val="18"/>
                <w:szCs w:val="18"/>
              </w:rPr>
            </w:pPr>
            <w:r>
              <w:rPr>
                <w:rFonts w:ascii="宋体" w:hAnsi="宋体" w:cs="宋体" w:eastAsia="宋体" w:hint="default"/>
                <w:spacing w:val="-5"/>
                <w:sz w:val="18"/>
                <w:szCs w:val="18"/>
              </w:rPr>
              <w:t>预计诉讼赔偿支出、固定资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产报废</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2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5" w:type="dxa"/>
            <w:vMerge/>
            <w:tcBorders>
              <w:left w:val="single" w:sz="10" w:space="0" w:color="D4D4D4"/>
              <w:right w:val="single" w:sz="4" w:space="0" w:color="000000"/>
            </w:tcBorders>
          </w:tcPr>
          <w:p>
            <w:pPr/>
          </w:p>
        </w:tc>
        <w:tc>
          <w:tcPr>
            <w:tcW w:w="1622" w:type="dxa"/>
            <w:vMerge/>
            <w:tcBorders>
              <w:left w:val="single" w:sz="4" w:space="0" w:color="000000"/>
              <w:right w:val="single" w:sz="4" w:space="0" w:color="000000"/>
            </w:tcBorders>
          </w:tcPr>
          <w:p>
            <w:pPr/>
          </w:p>
        </w:tc>
        <w:tc>
          <w:tcPr>
            <w:tcW w:w="2167"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161" w:hRule="exact"/>
        </w:trPr>
        <w:tc>
          <w:tcPr>
            <w:tcW w:w="1524"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vMerge/>
            <w:tcBorders>
              <w:left w:val="single" w:sz="10" w:space="0" w:color="D4D4D4"/>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167"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982"/>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2"/>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164"/>
        <w:gridCol w:w="1063"/>
        <w:gridCol w:w="1195"/>
        <w:gridCol w:w="1063"/>
        <w:gridCol w:w="797"/>
        <w:gridCol w:w="2918"/>
      </w:tblGrid>
      <w:tr>
        <w:trPr>
          <w:trHeight w:val="379" w:hRule="exact"/>
        </w:trPr>
        <w:tc>
          <w:tcPr>
            <w:tcW w:w="1356" w:type="dxa"/>
            <w:tcBorders>
              <w:top w:val="single" w:sz="4" w:space="0" w:color="000000"/>
              <w:left w:val="single" w:sz="4" w:space="0" w:color="000000"/>
              <w:bottom w:val="single" w:sz="13" w:space="0" w:color="FFFFFF"/>
              <w:right w:val="single" w:sz="4" w:space="0" w:color="000000"/>
            </w:tcBorders>
            <w:shd w:val="clear" w:color="auto" w:fill="D4D4D4"/>
          </w:tcPr>
          <w:p>
            <w:pPr/>
          </w:p>
        </w:tc>
        <w:tc>
          <w:tcPr>
            <w:tcW w:w="2227" w:type="dxa"/>
            <w:gridSpan w:val="2"/>
            <w:tcBorders>
              <w:top w:val="single" w:sz="4" w:space="0" w:color="000000"/>
              <w:left w:val="single" w:sz="4" w:space="0" w:color="000000"/>
              <w:bottom w:val="single" w:sz="13" w:space="0" w:color="FFFFFF"/>
              <w:right w:val="single" w:sz="4" w:space="0" w:color="000000"/>
            </w:tcBorders>
            <w:shd w:val="clear" w:color="auto" w:fill="D4D4D4"/>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13" w:space="0" w:color="FFFFFF"/>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7" w:type="dxa"/>
            <w:tcBorders>
              <w:top w:val="single" w:sz="4" w:space="0" w:color="000000"/>
              <w:left w:val="single" w:sz="4" w:space="0" w:color="000000"/>
              <w:bottom w:val="single" w:sz="13" w:space="0" w:color="FFFFFF"/>
              <w:right w:val="single" w:sz="4" w:space="0" w:color="000000"/>
            </w:tcBorders>
            <w:shd w:val="clear" w:color="auto" w:fill="D4D4D4"/>
          </w:tcPr>
          <w:p>
            <w:pPr/>
          </w:p>
        </w:tc>
        <w:tc>
          <w:tcPr>
            <w:tcW w:w="2918" w:type="dxa"/>
            <w:tcBorders>
              <w:top w:val="single" w:sz="4" w:space="0" w:color="000000"/>
              <w:left w:val="single" w:sz="4" w:space="0" w:color="000000"/>
              <w:bottom w:val="single" w:sz="13" w:space="0" w:color="FFFFFF"/>
              <w:right w:val="single" w:sz="4" w:space="0" w:color="000000"/>
            </w:tcBorders>
            <w:shd w:val="clear" w:color="auto" w:fill="D4D4D4"/>
          </w:tcPr>
          <w:p>
            <w:pPr/>
          </w:p>
        </w:tc>
      </w:tr>
      <w:tr>
        <w:trPr>
          <w:trHeight w:val="182" w:hRule="exact"/>
        </w:trPr>
        <w:tc>
          <w:tcPr>
            <w:tcW w:w="1356" w:type="dxa"/>
            <w:vMerge w:val="restart"/>
            <w:tcBorders>
              <w:top w:val="single" w:sz="13" w:space="0" w:color="FFFFFF"/>
              <w:left w:val="single" w:sz="4" w:space="0" w:color="000000"/>
              <w:right w:val="single" w:sz="4" w:space="0" w:color="000000"/>
            </w:tcBorders>
            <w:shd w:val="clear" w:color="auto" w:fill="D4D4D4"/>
          </w:tcPr>
          <w:p>
            <w:pPr/>
          </w:p>
        </w:tc>
        <w:tc>
          <w:tcPr>
            <w:tcW w:w="1164" w:type="dxa"/>
            <w:tcBorders>
              <w:top w:val="single" w:sz="13" w:space="0" w:color="FFFFFF"/>
              <w:left w:val="single" w:sz="4" w:space="0" w:color="000000"/>
              <w:bottom w:val="nil" w:sz="6" w:space="0" w:color="auto"/>
              <w:right w:val="single" w:sz="4" w:space="0" w:color="000000"/>
            </w:tcBorders>
            <w:shd w:val="clear" w:color="auto" w:fill="D4D4D4"/>
          </w:tcPr>
          <w:p>
            <w:pPr/>
          </w:p>
        </w:tc>
        <w:tc>
          <w:tcPr>
            <w:tcW w:w="1063" w:type="dxa"/>
            <w:vMerge w:val="restart"/>
            <w:tcBorders>
              <w:top w:val="single" w:sz="13" w:space="0" w:color="FFFFFF"/>
              <w:left w:val="single" w:sz="4" w:space="0" w:color="000000"/>
              <w:right w:val="single" w:sz="4" w:space="0" w:color="000000"/>
            </w:tcBorders>
            <w:shd w:val="clear" w:color="auto" w:fill="D4D4D4"/>
          </w:tcPr>
          <w:p>
            <w:pPr>
              <w:pStyle w:val="TableParagraph"/>
              <w:spacing w:line="316" w:lineRule="auto" w:before="58"/>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13" w:space="0" w:color="FFFFFF"/>
              <w:left w:val="single" w:sz="4" w:space="0" w:color="000000"/>
              <w:bottom w:val="nil" w:sz="6" w:space="0" w:color="auto"/>
              <w:right w:val="single" w:sz="4" w:space="0" w:color="000000"/>
            </w:tcBorders>
            <w:shd w:val="clear" w:color="auto" w:fill="D4D4D4"/>
          </w:tcPr>
          <w:p>
            <w:pPr/>
          </w:p>
        </w:tc>
        <w:tc>
          <w:tcPr>
            <w:tcW w:w="1063" w:type="dxa"/>
            <w:vMerge w:val="restart"/>
            <w:tcBorders>
              <w:top w:val="single" w:sz="13" w:space="0" w:color="FFFFFF"/>
              <w:left w:val="single" w:sz="4" w:space="0" w:color="000000"/>
              <w:right w:val="single" w:sz="4" w:space="0" w:color="000000"/>
            </w:tcBorders>
            <w:shd w:val="clear" w:color="auto" w:fill="D4D4D4"/>
          </w:tcPr>
          <w:p>
            <w:pPr>
              <w:pStyle w:val="TableParagraph"/>
              <w:spacing w:line="316" w:lineRule="auto" w:before="58"/>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val="restart"/>
            <w:tcBorders>
              <w:top w:val="single" w:sz="13" w:space="0" w:color="FFFFFF"/>
              <w:left w:val="single" w:sz="4" w:space="0" w:color="000000"/>
              <w:right w:val="single" w:sz="4" w:space="0" w:color="000000"/>
            </w:tcBorders>
            <w:shd w:val="clear" w:color="auto" w:fill="D4D4D4"/>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3" w:space="0" w:color="FFFFFF"/>
              <w:left w:val="single" w:sz="4" w:space="0" w:color="000000"/>
              <w:right w:val="single" w:sz="4" w:space="0" w:color="000000"/>
            </w:tcBorders>
            <w:shd w:val="clear" w:color="auto" w:fill="D4D4D4"/>
          </w:tcPr>
          <w:p>
            <w:pPr>
              <w:pStyle w:val="TableParagraph"/>
              <w:spacing w:line="240" w:lineRule="auto" w:before="15"/>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56" w:type="dxa"/>
            <w:vMerge/>
            <w:tcBorders>
              <w:left w:val="single" w:sz="4" w:space="0" w:color="000000"/>
              <w:bottom w:val="nil" w:sz="6" w:space="0" w:color="auto"/>
              <w:right w:val="single" w:sz="4" w:space="0" w:color="000000"/>
            </w:tcBorders>
            <w:shd w:val="clear" w:color="auto" w:fill="D4D4D4"/>
          </w:tcPr>
          <w:p>
            <w:pPr/>
          </w:p>
        </w:tc>
        <w:tc>
          <w:tcPr>
            <w:tcW w:w="116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4D4D4"/>
          </w:tcPr>
          <w:p>
            <w:pPr/>
          </w:p>
        </w:tc>
        <w:tc>
          <w:tcPr>
            <w:tcW w:w="119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4D4D4"/>
          </w:tcPr>
          <w:p>
            <w:pPr/>
          </w:p>
        </w:tc>
        <w:tc>
          <w:tcPr>
            <w:tcW w:w="797" w:type="dxa"/>
            <w:vMerge/>
            <w:tcBorders>
              <w:left w:val="single" w:sz="4" w:space="0" w:color="000000"/>
              <w:bottom w:val="nil" w:sz="6" w:space="0" w:color="auto"/>
              <w:right w:val="single" w:sz="4" w:space="0" w:color="000000"/>
            </w:tcBorders>
            <w:shd w:val="clear" w:color="auto" w:fill="D4D4D4"/>
          </w:tcPr>
          <w:p>
            <w:pPr/>
          </w:p>
        </w:tc>
        <w:tc>
          <w:tcPr>
            <w:tcW w:w="2918"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356" w:type="dxa"/>
            <w:vMerge w:val="restart"/>
            <w:tcBorders>
              <w:top w:val="nil" w:sz="6" w:space="0" w:color="auto"/>
              <w:left w:val="single" w:sz="4" w:space="0" w:color="000000"/>
              <w:right w:val="single" w:sz="4" w:space="0" w:color="000000"/>
            </w:tcBorders>
            <w:shd w:val="clear" w:color="auto" w:fill="D4D4D4"/>
          </w:tcPr>
          <w:p>
            <w:pPr/>
          </w:p>
        </w:tc>
        <w:tc>
          <w:tcPr>
            <w:tcW w:w="1164" w:type="dxa"/>
            <w:vMerge/>
            <w:tcBorders>
              <w:left w:val="single" w:sz="4" w:space="0" w:color="000000"/>
              <w:bottom w:val="nil" w:sz="6" w:space="0" w:color="auto"/>
              <w:right w:val="single" w:sz="4" w:space="0" w:color="000000"/>
            </w:tcBorders>
            <w:shd w:val="clear" w:color="auto" w:fill="D4D4D4"/>
          </w:tcPr>
          <w:p>
            <w:pPr/>
          </w:p>
        </w:tc>
        <w:tc>
          <w:tcPr>
            <w:tcW w:w="1063" w:type="dxa"/>
            <w:vMerge/>
            <w:tcBorders>
              <w:left w:val="single" w:sz="4" w:space="0" w:color="000000"/>
              <w:right w:val="single" w:sz="4" w:space="0" w:color="000000"/>
            </w:tcBorders>
            <w:shd w:val="clear" w:color="auto" w:fill="D4D4D4"/>
          </w:tcPr>
          <w:p>
            <w:pPr/>
          </w:p>
        </w:tc>
        <w:tc>
          <w:tcPr>
            <w:tcW w:w="1195" w:type="dxa"/>
            <w:vMerge/>
            <w:tcBorders>
              <w:left w:val="single" w:sz="4" w:space="0" w:color="000000"/>
              <w:bottom w:val="nil" w:sz="6" w:space="0" w:color="auto"/>
              <w:right w:val="single" w:sz="4" w:space="0" w:color="000000"/>
            </w:tcBorders>
            <w:shd w:val="clear" w:color="auto" w:fill="D4D4D4"/>
          </w:tcPr>
          <w:p>
            <w:pPr/>
          </w:p>
        </w:tc>
        <w:tc>
          <w:tcPr>
            <w:tcW w:w="1063" w:type="dxa"/>
            <w:vMerge/>
            <w:tcBorders>
              <w:left w:val="single" w:sz="4" w:space="0" w:color="000000"/>
              <w:right w:val="single" w:sz="4" w:space="0" w:color="000000"/>
            </w:tcBorders>
            <w:shd w:val="clear" w:color="auto" w:fill="D4D4D4"/>
          </w:tcPr>
          <w:p>
            <w:pPr/>
          </w:p>
        </w:tc>
        <w:tc>
          <w:tcPr>
            <w:tcW w:w="797" w:type="dxa"/>
            <w:vMerge w:val="restart"/>
            <w:tcBorders>
              <w:top w:val="nil" w:sz="6" w:space="0" w:color="auto"/>
              <w:left w:val="single" w:sz="4" w:space="0" w:color="000000"/>
              <w:right w:val="single" w:sz="4" w:space="0" w:color="000000"/>
            </w:tcBorders>
            <w:shd w:val="clear" w:color="auto" w:fill="D4D4D4"/>
          </w:tcPr>
          <w:p>
            <w:pPr/>
          </w:p>
        </w:tc>
        <w:tc>
          <w:tcPr>
            <w:tcW w:w="2918"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356" w:type="dxa"/>
            <w:vMerge/>
            <w:tcBorders>
              <w:left w:val="single" w:sz="4" w:space="0" w:color="000000"/>
              <w:bottom w:val="single" w:sz="4" w:space="0" w:color="000000"/>
              <w:right w:val="single" w:sz="4" w:space="0" w:color="000000"/>
            </w:tcBorders>
            <w:shd w:val="clear" w:color="auto" w:fill="D4D4D4"/>
          </w:tcPr>
          <w:p>
            <w:pPr/>
          </w:p>
        </w:tc>
        <w:tc>
          <w:tcPr>
            <w:tcW w:w="1164" w:type="dxa"/>
            <w:tcBorders>
              <w:top w:val="nil" w:sz="6" w:space="0" w:color="auto"/>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1195" w:type="dxa"/>
            <w:tcBorders>
              <w:top w:val="nil" w:sz="6" w:space="0" w:color="auto"/>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2918" w:type="dxa"/>
            <w:vMerge/>
            <w:tcBorders>
              <w:left w:val="single" w:sz="4" w:space="0" w:color="000000"/>
              <w:bottom w:val="single" w:sz="4" w:space="0" w:color="000000"/>
              <w:right w:val="single" w:sz="4" w:space="0" w:color="000000"/>
            </w:tcBorders>
            <w:shd w:val="clear" w:color="auto" w:fill="D4D4D4"/>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4D4D4"/>
          </w:tcPr>
          <w:p>
            <w:pPr/>
          </w:p>
        </w:tc>
        <w:tc>
          <w:tcPr>
            <w:tcW w:w="1164"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107,746,044.5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4.89%</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175,414,869.91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8.83%</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-3.94%</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4D4D4"/>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4D4D4"/>
          </w:tcPr>
          <w:p>
            <w:pPr/>
          </w:p>
        </w:tc>
        <w:tc>
          <w:tcPr>
            <w:tcW w:w="1164" w:type="dxa"/>
            <w:vMerge/>
            <w:tcBorders>
              <w:left w:val="single" w:sz="9" w:space="0" w:color="D4D4D4"/>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4D4D4"/>
          </w:tcPr>
          <w:p>
            <w:pPr/>
          </w:p>
        </w:tc>
        <w:tc>
          <w:tcPr>
            <w:tcW w:w="1164"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631,391,344.6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28.67%</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499,877,239.79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25.17%</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3.50%</w:t>
            </w:r>
          </w:p>
        </w:tc>
        <w:tc>
          <w:tcPr>
            <w:tcW w:w="2918" w:type="dxa"/>
            <w:vMerge w:val="restart"/>
            <w:tcBorders>
              <w:top w:val="single" w:sz="4" w:space="0" w:color="000000"/>
              <w:left w:val="single" w:sz="4" w:space="0" w:color="000000"/>
              <w:right w:val="single" w:sz="4" w:space="0" w:color="000000"/>
            </w:tcBorders>
          </w:tcPr>
          <w:p>
            <w:pP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4D4D4"/>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4D4D4"/>
          </w:tcPr>
          <w:p>
            <w:pPr/>
          </w:p>
        </w:tc>
        <w:tc>
          <w:tcPr>
            <w:tcW w:w="1164" w:type="dxa"/>
            <w:vMerge/>
            <w:tcBorders>
              <w:left w:val="single" w:sz="9" w:space="0" w:color="D4D4D4"/>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4D4D4"/>
          </w:tcPr>
          <w:p>
            <w:pPr/>
          </w:p>
        </w:tc>
        <w:tc>
          <w:tcPr>
            <w:tcW w:w="1164"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302,802,265.5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13.75%</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210,737,375.36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10.61%</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3.14%</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4D4D4"/>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4D4D4"/>
          </w:tcPr>
          <w:p>
            <w:pPr/>
          </w:p>
        </w:tc>
        <w:tc>
          <w:tcPr>
            <w:tcW w:w="1164" w:type="dxa"/>
            <w:vMerge/>
            <w:tcBorders>
              <w:left w:val="single" w:sz="9" w:space="0" w:color="D4D4D4"/>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6,473,592.16</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7,506,212.67</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4D4D4"/>
          </w:tcPr>
          <w:p>
            <w:pPr/>
          </w:p>
        </w:tc>
        <w:tc>
          <w:tcPr>
            <w:tcW w:w="1164"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200,769,175.7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3" w:right="0"/>
              <w:jc w:val="left"/>
              <w:rPr>
                <w:rFonts w:ascii="Times New Roman" w:hAnsi="Times New Roman" w:cs="Times New Roman" w:eastAsia="Times New Roman" w:hint="default"/>
                <w:sz w:val="18"/>
                <w:szCs w:val="18"/>
              </w:rPr>
            </w:pPr>
            <w:r>
              <w:rPr>
                <w:rFonts w:ascii="Times New Roman"/>
                <w:sz w:val="18"/>
              </w:rPr>
              <w:t>9.11%</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208,091,414.79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10.48%</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-1.37%</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4D4D4"/>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4D4D4"/>
          </w:tcPr>
          <w:p>
            <w:pPr/>
          </w:p>
        </w:tc>
        <w:tc>
          <w:tcPr>
            <w:tcW w:w="1164" w:type="dxa"/>
            <w:vMerge/>
            <w:tcBorders>
              <w:left w:val="single" w:sz="9" w:space="0" w:color="D4D4D4"/>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52,277,662.89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4,193,028.36</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0.75%</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982"/>
        <w:jc w:val="left"/>
      </w:pPr>
      <w:r>
        <w:rPr/>
        <w:t>详见</w:t>
      </w:r>
      <w:r>
        <w:rPr>
          <w:rFonts w:ascii="Times New Roman" w:hAnsi="Times New Roman" w:cs="Times New Roman" w:eastAsia="Times New Roman" w:hint="default"/>
        </w:rPr>
        <w:t>2018</w:t>
      </w:r>
      <w:r>
        <w:rPr/>
        <w:t>年度报告第十一节（七、合并财务报表项目注释</w:t>
      </w:r>
      <w:r>
        <w:rPr>
          <w:rFonts w:ascii="Times New Roman" w:hAnsi="Times New Roman" w:cs="Times New Roman" w:eastAsia="Times New Roman" w:hint="default"/>
        </w:rPr>
        <w:t>70</w:t>
      </w:r>
      <w:r>
        <w:rPr/>
        <w:t>所有权或使用权受到限制的资产）</w:t>
      </w:r>
    </w:p>
    <w:p>
      <w:pPr>
        <w:spacing w:line="240" w:lineRule="auto" w:before="3"/>
        <w:rPr>
          <w:rFonts w:ascii="宋体" w:hAnsi="宋体" w:cs="宋体" w:eastAsia="宋体" w:hint="default"/>
          <w:sz w:val="24"/>
          <w:szCs w:val="24"/>
        </w:rPr>
      </w:pPr>
    </w:p>
    <w:p>
      <w:pPr>
        <w:pStyle w:val="Heading2"/>
        <w:spacing w:line="240" w:lineRule="auto"/>
        <w:ind w:right="982"/>
        <w:jc w:val="left"/>
        <w:rPr>
          <w:b w:val="0"/>
          <w:bCs w:val="0"/>
        </w:rPr>
      </w:pPr>
      <w:bookmarkStart w:name="五、投资状况分析" w:id="44"/>
      <w:bookmarkEnd w:id="44"/>
      <w:r>
        <w:rPr>
          <w:b w:val="0"/>
          <w:bCs w:val="0"/>
        </w:rPr>
      </w:r>
      <w:r>
        <w:rPr/>
        <w:t>五、投资状况分析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2"/>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22,734,879.49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255,256,734.84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-91.09%</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133"/>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683"/>
        <w:gridCol w:w="694"/>
        <w:gridCol w:w="662"/>
        <w:gridCol w:w="661"/>
        <w:gridCol w:w="662"/>
        <w:gridCol w:w="661"/>
        <w:gridCol w:w="659"/>
        <w:gridCol w:w="654"/>
        <w:gridCol w:w="659"/>
        <w:gridCol w:w="629"/>
        <w:gridCol w:w="739"/>
        <w:gridCol w:w="733"/>
        <w:gridCol w:w="734"/>
        <w:gridCol w:w="710"/>
      </w:tblGrid>
      <w:tr>
        <w:trPr>
          <w:trHeight w:val="403" w:hRule="exact"/>
        </w:trPr>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60" w:right="0"/>
              <w:jc w:val="left"/>
              <w:rPr>
                <w:rFonts w:ascii="宋体" w:hAnsi="宋体" w:cs="宋体" w:eastAsia="宋体" w:hint="default"/>
                <w:sz w:val="18"/>
                <w:szCs w:val="18"/>
              </w:rPr>
            </w:pPr>
            <w:r>
              <w:rPr>
                <w:rFonts w:ascii="宋体" w:hAnsi="宋体" w:cs="宋体" w:eastAsia="宋体" w:hint="default"/>
                <w:sz w:val="18"/>
                <w:szCs w:val="18"/>
              </w:rPr>
              <w:t>被投资</w:t>
            </w:r>
          </w:p>
        </w:tc>
        <w:tc>
          <w:tcPr>
            <w:tcW w:w="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70" w:right="0"/>
              <w:jc w:val="left"/>
              <w:rPr>
                <w:rFonts w:ascii="宋体" w:hAnsi="宋体" w:cs="宋体" w:eastAsia="宋体" w:hint="default"/>
                <w:sz w:val="18"/>
                <w:szCs w:val="18"/>
              </w:rPr>
            </w:pPr>
            <w:r>
              <w:rPr>
                <w:rFonts w:ascii="宋体" w:hAnsi="宋体" w:cs="宋体" w:eastAsia="宋体" w:hint="default"/>
                <w:sz w:val="18"/>
                <w:szCs w:val="18"/>
              </w:rPr>
              <w:t>主要业</w:t>
            </w:r>
          </w:p>
        </w:tc>
        <w:tc>
          <w:tcPr>
            <w:tcW w:w="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56" w:right="0"/>
              <w:jc w:val="left"/>
              <w:rPr>
                <w:rFonts w:ascii="宋体" w:hAnsi="宋体" w:cs="宋体" w:eastAsia="宋体" w:hint="default"/>
                <w:sz w:val="18"/>
                <w:szCs w:val="18"/>
              </w:rPr>
            </w:pPr>
            <w:r>
              <w:rPr>
                <w:rFonts w:ascii="宋体" w:hAnsi="宋体" w:cs="宋体" w:eastAsia="宋体" w:hint="default"/>
                <w:sz w:val="18"/>
                <w:szCs w:val="18"/>
              </w:rPr>
              <w:t>投资方</w:t>
            </w:r>
          </w:p>
        </w:tc>
        <w:tc>
          <w:tcPr>
            <w:tcW w:w="6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56" w:right="0"/>
              <w:jc w:val="left"/>
              <w:rPr>
                <w:rFonts w:ascii="宋体" w:hAnsi="宋体" w:cs="宋体" w:eastAsia="宋体" w:hint="default"/>
                <w:sz w:val="18"/>
                <w:szCs w:val="18"/>
              </w:rPr>
            </w:pPr>
            <w:r>
              <w:rPr>
                <w:rFonts w:ascii="宋体" w:hAnsi="宋体" w:cs="宋体" w:eastAsia="宋体" w:hint="default"/>
                <w:sz w:val="18"/>
                <w:szCs w:val="18"/>
              </w:rPr>
              <w:t>投资金</w:t>
            </w:r>
          </w:p>
        </w:tc>
        <w:tc>
          <w:tcPr>
            <w:tcW w:w="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57" w:right="0"/>
              <w:jc w:val="left"/>
              <w:rPr>
                <w:rFonts w:ascii="宋体" w:hAnsi="宋体" w:cs="宋体" w:eastAsia="宋体" w:hint="default"/>
                <w:sz w:val="18"/>
                <w:szCs w:val="18"/>
              </w:rPr>
            </w:pPr>
            <w:r>
              <w:rPr>
                <w:rFonts w:ascii="宋体" w:hAnsi="宋体" w:cs="宋体" w:eastAsia="宋体" w:hint="default"/>
                <w:sz w:val="18"/>
                <w:szCs w:val="18"/>
              </w:rPr>
              <w:t>持股比</w:t>
            </w:r>
          </w:p>
        </w:tc>
        <w:tc>
          <w:tcPr>
            <w:tcW w:w="6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57" w:right="0"/>
              <w:jc w:val="left"/>
              <w:rPr>
                <w:rFonts w:ascii="宋体" w:hAnsi="宋体" w:cs="宋体" w:eastAsia="宋体" w:hint="default"/>
                <w:sz w:val="18"/>
                <w:szCs w:val="18"/>
              </w:rPr>
            </w:pPr>
            <w:r>
              <w:rPr>
                <w:rFonts w:ascii="宋体" w:hAnsi="宋体" w:cs="宋体" w:eastAsia="宋体" w:hint="default"/>
                <w:sz w:val="18"/>
                <w:szCs w:val="18"/>
              </w:rPr>
              <w:t>资金来</w:t>
            </w:r>
          </w:p>
        </w:tc>
        <w:tc>
          <w:tcPr>
            <w:tcW w:w="6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4"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52" w:right="0"/>
              <w:jc w:val="left"/>
              <w:rPr>
                <w:rFonts w:ascii="宋体" w:hAnsi="宋体" w:cs="宋体" w:eastAsia="宋体" w:hint="default"/>
                <w:sz w:val="18"/>
                <w:szCs w:val="18"/>
              </w:rPr>
            </w:pPr>
            <w:r>
              <w:rPr>
                <w:rFonts w:ascii="宋体" w:hAnsi="宋体" w:cs="宋体" w:eastAsia="宋体" w:hint="default"/>
                <w:sz w:val="18"/>
                <w:szCs w:val="18"/>
              </w:rPr>
              <w:t>投资期</w:t>
            </w:r>
          </w:p>
        </w:tc>
        <w:tc>
          <w:tcPr>
            <w:tcW w:w="6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53" w:right="0"/>
              <w:jc w:val="left"/>
              <w:rPr>
                <w:rFonts w:ascii="宋体" w:hAnsi="宋体" w:cs="宋体" w:eastAsia="宋体" w:hint="default"/>
                <w:sz w:val="18"/>
                <w:szCs w:val="18"/>
              </w:rPr>
            </w:pPr>
            <w:r>
              <w:rPr>
                <w:rFonts w:ascii="宋体" w:hAnsi="宋体" w:cs="宋体" w:eastAsia="宋体" w:hint="default"/>
                <w:sz w:val="18"/>
                <w:szCs w:val="18"/>
              </w:rPr>
              <w:t>产品类</w:t>
            </w:r>
          </w:p>
        </w:tc>
        <w:tc>
          <w:tcPr>
            <w:tcW w:w="6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40" w:right="0"/>
              <w:jc w:val="left"/>
              <w:rPr>
                <w:rFonts w:ascii="宋体" w:hAnsi="宋体" w:cs="宋体" w:eastAsia="宋体" w:hint="default"/>
                <w:sz w:val="18"/>
                <w:szCs w:val="18"/>
              </w:rPr>
            </w:pPr>
            <w:r>
              <w:rPr>
                <w:rFonts w:ascii="宋体" w:hAnsi="宋体" w:cs="宋体" w:eastAsia="宋体" w:hint="default"/>
                <w:sz w:val="18"/>
                <w:szCs w:val="18"/>
              </w:rPr>
              <w:t>预计收</w:t>
            </w:r>
          </w:p>
        </w:tc>
        <w:tc>
          <w:tcPr>
            <w:tcW w:w="7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95" w:right="0"/>
              <w:jc w:val="left"/>
              <w:rPr>
                <w:rFonts w:ascii="宋体" w:hAnsi="宋体" w:cs="宋体" w:eastAsia="宋体" w:hint="default"/>
                <w:sz w:val="18"/>
                <w:szCs w:val="18"/>
              </w:rPr>
            </w:pPr>
            <w:r>
              <w:rPr>
                <w:rFonts w:ascii="宋体" w:hAnsi="宋体" w:cs="宋体" w:eastAsia="宋体" w:hint="default"/>
                <w:sz w:val="18"/>
                <w:szCs w:val="18"/>
              </w:rPr>
              <w:t>本期投</w:t>
            </w:r>
          </w:p>
        </w:tc>
        <w:tc>
          <w:tcPr>
            <w:tcW w:w="7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91" w:right="0"/>
              <w:jc w:val="left"/>
              <w:rPr>
                <w:rFonts w:ascii="宋体" w:hAnsi="宋体" w:cs="宋体" w:eastAsia="宋体" w:hint="default"/>
                <w:sz w:val="18"/>
                <w:szCs w:val="18"/>
              </w:rPr>
            </w:pPr>
            <w:r>
              <w:rPr>
                <w:rFonts w:ascii="宋体" w:hAnsi="宋体" w:cs="宋体" w:eastAsia="宋体" w:hint="default"/>
                <w:sz w:val="18"/>
                <w:szCs w:val="18"/>
              </w:rPr>
              <w:t>是否涉</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90" w:right="0"/>
              <w:jc w:val="left"/>
              <w:rPr>
                <w:rFonts w:ascii="宋体" w:hAnsi="宋体" w:cs="宋体" w:eastAsia="宋体" w:hint="default"/>
                <w:sz w:val="18"/>
                <w:szCs w:val="18"/>
              </w:rPr>
            </w:pPr>
            <w:r>
              <w:rPr>
                <w:rFonts w:ascii="宋体" w:hAnsi="宋体" w:cs="宋体" w:eastAsia="宋体" w:hint="default"/>
                <w:sz w:val="18"/>
                <w:szCs w:val="18"/>
              </w:rPr>
              <w:t>披露日</w:t>
            </w:r>
          </w:p>
        </w:tc>
        <w:tc>
          <w:tcPr>
            <w:tcW w:w="7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85" w:right="0"/>
              <w:jc w:val="left"/>
              <w:rPr>
                <w:rFonts w:ascii="宋体" w:hAnsi="宋体" w:cs="宋体" w:eastAsia="宋体" w:hint="default"/>
                <w:sz w:val="18"/>
                <w:szCs w:val="18"/>
              </w:rPr>
            </w:pPr>
            <w:r>
              <w:rPr>
                <w:rFonts w:ascii="宋体" w:hAnsi="宋体" w:cs="宋体" w:eastAsia="宋体" w:hint="default"/>
                <w:sz w:val="18"/>
                <w:szCs w:val="18"/>
              </w:rPr>
              <w:t>披露索</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94"/>
        <w:gridCol w:w="694"/>
        <w:gridCol w:w="662"/>
        <w:gridCol w:w="662"/>
        <w:gridCol w:w="660"/>
        <w:gridCol w:w="662"/>
        <w:gridCol w:w="658"/>
        <w:gridCol w:w="655"/>
        <w:gridCol w:w="660"/>
        <w:gridCol w:w="629"/>
        <w:gridCol w:w="739"/>
        <w:gridCol w:w="732"/>
        <w:gridCol w:w="734"/>
        <w:gridCol w:w="722"/>
      </w:tblGrid>
      <w:tr>
        <w:trPr>
          <w:trHeight w:val="674" w:hRule="exact"/>
        </w:trPr>
        <w:tc>
          <w:tcPr>
            <w:tcW w:w="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252" w:right="71" w:hanging="180"/>
              <w:jc w:val="left"/>
              <w:rPr>
                <w:rFonts w:ascii="宋体" w:hAnsi="宋体" w:cs="宋体" w:eastAsia="宋体" w:hint="default"/>
                <w:sz w:val="18"/>
                <w:szCs w:val="18"/>
              </w:rPr>
            </w:pPr>
            <w:r>
              <w:rPr>
                <w:rFonts w:ascii="宋体" w:hAnsi="宋体" w:cs="宋体" w:eastAsia="宋体" w:hint="default"/>
                <w:sz w:val="18"/>
                <w:szCs w:val="18"/>
              </w:rPr>
              <w:t>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51" w:right="0"/>
              <w:jc w:val="left"/>
              <w:rPr>
                <w:rFonts w:ascii="宋体" w:hAnsi="宋体" w:cs="宋体" w:eastAsia="宋体" w:hint="default"/>
                <w:sz w:val="18"/>
                <w:szCs w:val="18"/>
              </w:rPr>
            </w:pPr>
            <w:r>
              <w:rPr>
                <w:rFonts w:ascii="宋体" w:hAnsi="宋体" w:cs="宋体" w:eastAsia="宋体" w:hint="default"/>
                <w:sz w:val="18"/>
                <w:szCs w:val="18"/>
              </w:rPr>
              <w:t>务</w:t>
            </w:r>
          </w:p>
        </w:tc>
        <w:tc>
          <w:tcPr>
            <w:tcW w:w="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233"/>
              <w:jc w:val="right"/>
              <w:rPr>
                <w:rFonts w:ascii="宋体" w:hAnsi="宋体" w:cs="宋体" w:eastAsia="宋体" w:hint="default"/>
                <w:sz w:val="18"/>
                <w:szCs w:val="18"/>
              </w:rPr>
            </w:pPr>
            <w:r>
              <w:rPr>
                <w:rFonts w:ascii="宋体" w:hAnsi="宋体" w:cs="宋体" w:eastAsia="宋体" w:hint="default"/>
                <w:sz w:val="18"/>
                <w:szCs w:val="18"/>
              </w:rPr>
              <w:t>式</w:t>
            </w:r>
          </w:p>
        </w:tc>
        <w:tc>
          <w:tcPr>
            <w:tcW w:w="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6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39" w:right="0"/>
              <w:jc w:val="left"/>
              <w:rPr>
                <w:rFonts w:ascii="宋体" w:hAnsi="宋体" w:cs="宋体" w:eastAsia="宋体" w:hint="default"/>
                <w:sz w:val="18"/>
                <w:szCs w:val="18"/>
              </w:rPr>
            </w:pPr>
            <w:r>
              <w:rPr>
                <w:rFonts w:ascii="宋体" w:hAnsi="宋体" w:cs="宋体" w:eastAsia="宋体" w:hint="default"/>
                <w:sz w:val="18"/>
                <w:szCs w:val="18"/>
              </w:rPr>
              <w:t>源</w:t>
            </w:r>
          </w:p>
        </w:tc>
        <w:tc>
          <w:tcPr>
            <w:tcW w:w="65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228"/>
              <w:jc w:val="right"/>
              <w:rPr>
                <w:rFonts w:ascii="宋体" w:hAnsi="宋体" w:cs="宋体" w:eastAsia="宋体" w:hint="default"/>
                <w:sz w:val="18"/>
                <w:szCs w:val="18"/>
              </w:rPr>
            </w:pPr>
            <w:r>
              <w:rPr>
                <w:rFonts w:ascii="宋体" w:hAnsi="宋体" w:cs="宋体" w:eastAsia="宋体" w:hint="default"/>
                <w:sz w:val="18"/>
                <w:szCs w:val="18"/>
              </w:rPr>
              <w:t>限</w:t>
            </w:r>
          </w:p>
        </w:tc>
        <w:tc>
          <w:tcPr>
            <w:tcW w:w="6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型</w:t>
            </w:r>
          </w:p>
        </w:tc>
        <w:tc>
          <w:tcPr>
            <w:tcW w:w="6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0" w:right="0"/>
              <w:jc w:val="left"/>
              <w:rPr>
                <w:rFonts w:ascii="宋体" w:hAnsi="宋体" w:cs="宋体" w:eastAsia="宋体" w:hint="default"/>
                <w:sz w:val="18"/>
                <w:szCs w:val="18"/>
              </w:rPr>
            </w:pPr>
            <w:r>
              <w:rPr>
                <w:rFonts w:ascii="宋体" w:hAnsi="宋体" w:cs="宋体" w:eastAsia="宋体" w:hint="default"/>
                <w:sz w:val="18"/>
                <w:szCs w:val="18"/>
              </w:rPr>
              <w:t>益</w:t>
            </w:r>
          </w:p>
        </w:tc>
        <w:tc>
          <w:tcPr>
            <w:tcW w:w="7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95" w:right="0"/>
              <w:jc w:val="left"/>
              <w:rPr>
                <w:rFonts w:ascii="宋体" w:hAnsi="宋体" w:cs="宋体" w:eastAsia="宋体" w:hint="default"/>
                <w:sz w:val="18"/>
                <w:szCs w:val="18"/>
              </w:rPr>
            </w:pPr>
            <w:r>
              <w:rPr>
                <w:rFonts w:ascii="宋体" w:hAnsi="宋体" w:cs="宋体" w:eastAsia="宋体" w:hint="default"/>
                <w:sz w:val="18"/>
                <w:szCs w:val="18"/>
              </w:rPr>
              <w:t>资盈亏</w:t>
            </w:r>
          </w:p>
        </w:tc>
        <w:tc>
          <w:tcPr>
            <w:tcW w:w="7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269"/>
              <w:jc w:val="right"/>
              <w:rPr>
                <w:rFonts w:ascii="宋体" w:hAnsi="宋体" w:cs="宋体" w:eastAsia="宋体" w:hint="default"/>
                <w:sz w:val="18"/>
                <w:szCs w:val="18"/>
              </w:rPr>
            </w:pPr>
            <w:r>
              <w:rPr>
                <w:rFonts w:ascii="宋体" w:hAnsi="宋体" w:cs="宋体" w:eastAsia="宋体" w:hint="default"/>
                <w:sz w:val="18"/>
                <w:szCs w:val="18"/>
              </w:rPr>
              <w:t>诉</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182" w:right="91" w:hanging="92"/>
              <w:jc w:val="left"/>
              <w:rPr>
                <w:rFonts w:ascii="宋体" w:hAnsi="宋体" w:cs="宋体" w:eastAsia="宋体" w:hint="default"/>
                <w:sz w:val="18"/>
                <w:szCs w:val="18"/>
              </w:rPr>
            </w:pPr>
            <w:r>
              <w:rPr>
                <w:rFonts w:ascii="宋体" w:hAnsi="宋体" w:cs="宋体" w:eastAsia="宋体" w:hint="default"/>
                <w:sz w:val="18"/>
                <w:szCs w:val="18"/>
              </w:rPr>
              <w:t>期（如 有）</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177" w:right="84" w:hanging="92"/>
              <w:jc w:val="left"/>
              <w:rPr>
                <w:rFonts w:ascii="宋体" w:hAnsi="宋体" w:cs="宋体" w:eastAsia="宋体" w:hint="default"/>
                <w:sz w:val="18"/>
                <w:szCs w:val="18"/>
              </w:rPr>
            </w:pPr>
            <w:r>
              <w:rPr>
                <w:rFonts w:ascii="宋体" w:hAnsi="宋体" w:cs="宋体" w:eastAsia="宋体" w:hint="default"/>
                <w:sz w:val="18"/>
                <w:szCs w:val="18"/>
              </w:rPr>
              <w:t>引（如 有）</w:t>
            </w:r>
          </w:p>
        </w:tc>
      </w:tr>
      <w:tr>
        <w:trPr>
          <w:trHeight w:val="2273"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119"/>
              <w:jc w:val="both"/>
              <w:rPr>
                <w:rFonts w:ascii="宋体" w:hAnsi="宋体" w:cs="宋体" w:eastAsia="宋体" w:hint="default"/>
                <w:sz w:val="18"/>
                <w:szCs w:val="18"/>
              </w:rPr>
            </w:pPr>
            <w:r>
              <w:rPr>
                <w:rFonts w:ascii="宋体" w:hAnsi="宋体" w:cs="宋体" w:eastAsia="宋体" w:hint="default"/>
                <w:sz w:val="18"/>
                <w:szCs w:val="18"/>
              </w:rPr>
              <w:t>徐州疌 盛合伙 企业</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19"/>
              <w:jc w:val="both"/>
              <w:rPr>
                <w:rFonts w:ascii="宋体" w:hAnsi="宋体" w:cs="宋体" w:eastAsia="宋体" w:hint="default"/>
                <w:sz w:val="18"/>
                <w:szCs w:val="18"/>
              </w:rPr>
            </w:pPr>
            <w:r>
              <w:rPr>
                <w:rFonts w:ascii="宋体" w:hAnsi="宋体" w:cs="宋体" w:eastAsia="宋体" w:hint="default"/>
                <w:sz w:val="18"/>
                <w:szCs w:val="18"/>
              </w:rPr>
              <w:t>非证券 股权投 资及咨 询服务</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66"/>
              <w:jc w:val="right"/>
              <w:rPr>
                <w:rFonts w:ascii="宋体" w:hAnsi="宋体" w:cs="宋体" w:eastAsia="宋体" w:hint="default"/>
                <w:sz w:val="18"/>
                <w:szCs w:val="18"/>
              </w:rPr>
            </w:pPr>
            <w:r>
              <w:rPr>
                <w:rFonts w:ascii="宋体" w:hAnsi="宋体" w:cs="宋体" w:eastAsia="宋体" w:hint="default"/>
                <w:sz w:val="18"/>
                <w:szCs w:val="18"/>
              </w:rPr>
              <w:t>新设</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10,500,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69.08%</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6" w:right="84"/>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
              <w:jc w:val="both"/>
              <w:rPr>
                <w:rFonts w:ascii="宋体" w:hAnsi="宋体" w:cs="宋体" w:eastAsia="宋体" w:hint="default"/>
                <w:sz w:val="18"/>
                <w:szCs w:val="18"/>
              </w:rPr>
            </w:pPr>
            <w:r>
              <w:rPr>
                <w:rFonts w:ascii="宋体" w:hAnsi="宋体" w:cs="宋体" w:eastAsia="宋体" w:hint="default"/>
                <w:sz w:val="18"/>
                <w:szCs w:val="18"/>
              </w:rPr>
              <w:t>江苏徐 州老工 业基地 产业发 展基金</w:t>
            </w:r>
          </w:p>
          <w:p>
            <w:pPr>
              <w:pStyle w:val="TableParagraph"/>
              <w:spacing w:line="316" w:lineRule="auto" w:before="19"/>
              <w:ind w:left="23" w:right="83"/>
              <w:jc w:val="both"/>
              <w:rPr>
                <w:rFonts w:ascii="宋体" w:hAnsi="宋体" w:cs="宋体" w:eastAsia="宋体" w:hint="default"/>
                <w:sz w:val="18"/>
                <w:szCs w:val="18"/>
              </w:rPr>
            </w:pPr>
            <w:r>
              <w:rPr>
                <w:rFonts w:ascii="宋体" w:hAnsi="宋体" w:cs="宋体" w:eastAsia="宋体" w:hint="default"/>
                <w:sz w:val="18"/>
                <w:szCs w:val="18"/>
              </w:rPr>
              <w:t>（有限 合伙）</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永久</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84"/>
              <w:jc w:val="both"/>
              <w:rPr>
                <w:rFonts w:ascii="宋体" w:hAnsi="宋体" w:cs="宋体" w:eastAsia="宋体" w:hint="default"/>
                <w:sz w:val="18"/>
                <w:szCs w:val="18"/>
              </w:rPr>
            </w:pPr>
            <w:r>
              <w:rPr>
                <w:rFonts w:ascii="宋体" w:hAnsi="宋体" w:cs="宋体" w:eastAsia="宋体" w:hint="default"/>
                <w:sz w:val="18"/>
                <w:szCs w:val="18"/>
              </w:rPr>
              <w:t>非证券 股权投 资及咨 询服务</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2018-05</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4"/>
              <w:jc w:val="righ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10,500,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7"/>
              <w:jc w:val="right"/>
              <w:rPr>
                <w:rFonts w:ascii="Times New Roman" w:hAnsi="Times New Roman" w:cs="Times New Roman" w:eastAsia="Times New Roman" w:hint="default"/>
                <w:sz w:val="18"/>
                <w:szCs w:val="18"/>
              </w:rPr>
            </w:pPr>
            <w:r>
              <w:rPr>
                <w:rFonts w:ascii="Times New Roman"/>
                <w:sz w:val="18"/>
              </w:rPr>
              <w:t>--</w:t>
            </w:r>
          </w:p>
        </w:tc>
        <w:tc>
          <w:tcPr>
            <w:tcW w:w="6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8"/>
              <w:jc w:val="right"/>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133"/>
        <w:jc w:val="right"/>
      </w:pPr>
      <w:r>
        <w:rPr/>
        <w:pict>
          <v:group style="position:absolute;margin-left:491.640015pt;margin-top:89.701729pt;width:43pt;height:23.4pt;mso-position-horizontal-relative:page;mso-position-vertical-relative:paragraph;z-index:-1052440" coordorigin="9833,1794" coordsize="860,468">
            <v:shape style="position:absolute;left:9833;top:1794;width:860;height:468" coordorigin="9833,1794" coordsize="860,468" path="m9833,2262l10692,2262,10692,1794,9833,1794,9833,2262xe" filled="true" fillcolor="#ffffff" stroked="false">
              <v:path arrowok="t"/>
              <v:fill type="solid"/>
            </v:shape>
            <w10:wrap type="none"/>
          </v:group>
        </w:pict>
      </w: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1"/>
        <w:gridCol w:w="869"/>
        <w:gridCol w:w="871"/>
        <w:gridCol w:w="869"/>
        <w:gridCol w:w="871"/>
        <w:gridCol w:w="869"/>
        <w:gridCol w:w="871"/>
        <w:gridCol w:w="869"/>
      </w:tblGrid>
      <w:tr>
        <w:trPr>
          <w:trHeight w:val="1338" w:hRule="exact"/>
        </w:trPr>
        <w:tc>
          <w:tcPr>
            <w:tcW w:w="8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49" w:right="67"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1"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71" w:right="67"/>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69" w:right="71"/>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69" w:right="71"/>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113"/>
              <w:jc w:val="both"/>
              <w:rPr>
                <w:rFonts w:ascii="宋体" w:hAnsi="宋体" w:cs="宋体" w:eastAsia="宋体" w:hint="default"/>
                <w:sz w:val="18"/>
                <w:szCs w:val="18"/>
              </w:rPr>
            </w:pPr>
            <w:r>
              <w:rPr>
                <w:rFonts w:ascii="宋体" w:hAnsi="宋体" w:cs="宋体" w:eastAsia="宋体" w:hint="default"/>
                <w:sz w:val="18"/>
                <w:szCs w:val="18"/>
              </w:rPr>
              <w:t>公开发行 人民币普 通股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13,146.99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1,694.23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13,419.26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0.24</w:t>
            </w:r>
            <w:r>
              <w:rPr>
                <w:rFonts w:ascii="Times New Roman"/>
                <w:sz w:val="18"/>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5"/>
              <w:jc w:val="both"/>
              <w:rPr>
                <w:rFonts w:ascii="宋体" w:hAnsi="宋体" w:cs="宋体" w:eastAsia="宋体" w:hint="default"/>
                <w:sz w:val="18"/>
                <w:szCs w:val="18"/>
              </w:rPr>
            </w:pPr>
            <w:r>
              <w:rPr>
                <w:rFonts w:ascii="宋体" w:hAnsi="宋体" w:cs="宋体" w:eastAsia="宋体" w:hint="default"/>
                <w:sz w:val="18"/>
                <w:szCs w:val="18"/>
              </w:rPr>
              <w:t>利息结余 存放于募 集资金专 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113"/>
              <w:jc w:val="both"/>
              <w:rPr>
                <w:rFonts w:ascii="宋体" w:hAnsi="宋体" w:cs="宋体" w:eastAsia="宋体" w:hint="default"/>
                <w:sz w:val="18"/>
                <w:szCs w:val="18"/>
              </w:rPr>
            </w:pPr>
            <w:r>
              <w:rPr>
                <w:rFonts w:ascii="宋体" w:hAnsi="宋体" w:cs="宋体" w:eastAsia="宋体" w:hint="default"/>
                <w:sz w:val="18"/>
                <w:szCs w:val="18"/>
              </w:rPr>
              <w:t>非公开发 行人民币 普通股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28,364.87</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28,364.87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3"/>
              <w:jc w:val="both"/>
              <w:rPr>
                <w:rFonts w:ascii="宋体" w:hAnsi="宋体" w:cs="宋体" w:eastAsia="宋体" w:hint="default"/>
                <w:sz w:val="18"/>
                <w:szCs w:val="18"/>
              </w:rPr>
            </w:pPr>
            <w:r>
              <w:rPr>
                <w:rFonts w:ascii="宋体" w:hAnsi="宋体" w:cs="宋体" w:eastAsia="宋体" w:hint="default"/>
                <w:sz w:val="18"/>
                <w:szCs w:val="18"/>
              </w:rPr>
              <w:t>非公开发 行人民币 普通股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5.59</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66"/>
        <w:gridCol w:w="858"/>
        <w:gridCol w:w="880"/>
        <w:gridCol w:w="871"/>
        <w:gridCol w:w="869"/>
        <w:gridCol w:w="871"/>
        <w:gridCol w:w="869"/>
        <w:gridCol w:w="871"/>
        <w:gridCol w:w="881"/>
        <w:gridCol w:w="847"/>
        <w:gridCol w:w="881"/>
      </w:tblGrid>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88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46,511.86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1,699.82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46,784.13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1" w:right="0"/>
              <w:jc w:val="left"/>
              <w:rPr>
                <w:rFonts w:ascii="Times New Roman" w:hAnsi="Times New Roman" w:cs="Times New Roman" w:eastAsia="Times New Roman" w:hint="default"/>
                <w:sz w:val="18"/>
                <w:szCs w:val="18"/>
              </w:rPr>
            </w:pPr>
            <w:r>
              <w:rPr>
                <w:rFonts w:ascii="Times New Roman"/>
                <w:sz w:val="18"/>
              </w:rPr>
              <w:t>0.00%</w:t>
            </w:r>
          </w:p>
        </w:tc>
        <w:tc>
          <w:tcPr>
            <w:tcW w:w="88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0.24</w:t>
            </w:r>
          </w:p>
        </w:tc>
        <w:tc>
          <w:tcPr>
            <w:tcW w:w="8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81"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6682"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3" w:firstLine="360"/>
              <w:jc w:val="both"/>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186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号文核准，本公司由主承销商海通证券股份有限公司采用网下发行 和网上发行相结合的方式，向社会公众公开发行股份人民币普通股股票</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万股，发行价为每股人民币</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8.27</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元，共计募</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集资金</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16,540.00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万元，扣除承销和保荐费用</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万元后的募集资金为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14,540.00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万元，已由主承销商海通证券股份有</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限公司于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日汇入本公司募集资金监管账户。另减除上网发行费、招股说明书印刷费、审计费、验资费、律</w:t>
            </w:r>
          </w:p>
          <w:p>
            <w:pPr>
              <w:pStyle w:val="TableParagraph"/>
              <w:spacing w:line="300" w:lineRule="auto" w:before="63"/>
              <w:ind w:left="24" w:right="34"/>
              <w:jc w:val="both"/>
              <w:rPr>
                <w:rFonts w:ascii="宋体" w:hAnsi="宋体" w:cs="宋体" w:eastAsia="宋体" w:hint="default"/>
                <w:sz w:val="18"/>
                <w:szCs w:val="18"/>
              </w:rPr>
            </w:pPr>
            <w:r>
              <w:rPr>
                <w:rFonts w:ascii="宋体" w:hAnsi="宋体" w:cs="宋体" w:eastAsia="宋体" w:hint="default"/>
                <w:sz w:val="18"/>
                <w:szCs w:val="18"/>
              </w:rPr>
              <w:t>师费、评估费等与发行权益性证券直接相关的新增外部费用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1,393.01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万元后，公司本次募集资金净额为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13,146.99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w:t>
            </w:r>
            <w:r>
              <w:rPr>
                <w:rFonts w:ascii="宋体" w:hAnsi="宋体" w:cs="宋体" w:eastAsia="宋体" w:hint="default"/>
                <w:spacing w:val="-2"/>
                <w:sz w:val="18"/>
                <w:szCs w:val="18"/>
              </w:rPr>
              <w:t>上述募集资金到位情况业经天健会计师事务所（特殊普通合伙）验证，并由其出具《验资报告》（天健验〔</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25</w:t>
            </w:r>
            <w:r>
              <w:rPr>
                <w:rFonts w:ascii="Times New Roman" w:hAnsi="Times New Roman" w:cs="Times New Roman" w:eastAsia="Times New Roman" w:hint="default"/>
                <w:spacing w:val="18"/>
                <w:sz w:val="18"/>
                <w:szCs w:val="18"/>
              </w:rPr>
              <w:t> </w:t>
            </w:r>
            <w:r>
              <w:rPr>
                <w:rFonts w:ascii="宋体" w:hAnsi="宋体" w:cs="宋体" w:eastAsia="宋体" w:hint="default"/>
                <w:spacing w:val="-62"/>
                <w:sz w:val="18"/>
                <w:szCs w:val="18"/>
              </w:rPr>
              <w:t>号）。</w:t>
            </w:r>
            <w:r>
              <w:rPr>
                <w:rFonts w:ascii="宋体" w:hAnsi="宋体" w:cs="宋体" w:eastAsia="宋体" w:hint="default"/>
                <w:sz w:val="18"/>
                <w:szCs w:val="18"/>
              </w:rPr>
            </w:r>
          </w:p>
          <w:p>
            <w:pPr>
              <w:pStyle w:val="TableParagraph"/>
              <w:spacing w:line="300" w:lineRule="auto" w:before="13"/>
              <w:ind w:left="24"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2647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号文核准，本公司由主承销商太平洋证券股份有限公司采用非公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开发行方式向自然人侯友夫、华宝信托有限责任公司、富国基金管理有限公司和金鹰基金管理有限公司发行人民币普通股</w:t>
            </w:r>
          </w:p>
          <w:p>
            <w:pPr>
              <w:pStyle w:val="TableParagraph"/>
              <w:spacing w:line="240" w:lineRule="auto" w:before="31"/>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股）股票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6,261,899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股，发行价为每股人民币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47.27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元，募集资金总额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29,600.00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万元，扣除承销和保荐费用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1,230.00</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万元后的募集资金为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28,370.00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万元，已由主承销商太平洋证券股份有限公司于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日汇入本公司募集资金监管</w:t>
            </w:r>
          </w:p>
          <w:p>
            <w:pPr>
              <w:pStyle w:val="TableParagraph"/>
              <w:spacing w:line="300" w:lineRule="auto" w:before="63"/>
              <w:ind w:left="24" w:right="20"/>
              <w:jc w:val="both"/>
              <w:rPr>
                <w:rFonts w:ascii="宋体" w:hAnsi="宋体" w:cs="宋体" w:eastAsia="宋体" w:hint="default"/>
                <w:sz w:val="18"/>
                <w:szCs w:val="18"/>
              </w:rPr>
            </w:pPr>
            <w:r>
              <w:rPr>
                <w:rFonts w:ascii="宋体" w:hAnsi="宋体" w:cs="宋体" w:eastAsia="宋体" w:hint="default"/>
                <w:sz w:val="18"/>
                <w:szCs w:val="18"/>
              </w:rPr>
              <w:t>账户</w:t>
            </w:r>
            <w:r>
              <w:rPr>
                <w:rFonts w:ascii="宋体" w:hAnsi="宋体" w:cs="宋体" w:eastAsia="宋体" w:hint="default"/>
                <w:spacing w:val="-92"/>
                <w:sz w:val="18"/>
                <w:szCs w:val="18"/>
              </w:rPr>
              <w:t>。</w:t>
            </w:r>
            <w:r>
              <w:rPr>
                <w:rFonts w:ascii="宋体" w:hAnsi="宋体" w:cs="宋体" w:eastAsia="宋体" w:hint="default"/>
                <w:sz w:val="18"/>
                <w:szCs w:val="18"/>
              </w:rPr>
              <w:t>另减除验资费</w:t>
            </w:r>
            <w:r>
              <w:rPr>
                <w:rFonts w:ascii="宋体" w:hAnsi="宋体" w:cs="宋体" w:eastAsia="宋体" w:hint="default"/>
                <w:spacing w:val="-92"/>
                <w:sz w:val="18"/>
                <w:szCs w:val="18"/>
              </w:rPr>
              <w:t>、</w:t>
            </w:r>
            <w:r>
              <w:rPr>
                <w:rFonts w:ascii="宋体" w:hAnsi="宋体" w:cs="宋体" w:eastAsia="宋体" w:hint="default"/>
                <w:sz w:val="18"/>
                <w:szCs w:val="18"/>
              </w:rPr>
              <w:t>登记费</w:t>
            </w:r>
            <w:r>
              <w:rPr>
                <w:rFonts w:ascii="宋体" w:hAnsi="宋体" w:cs="宋体" w:eastAsia="宋体" w:hint="default"/>
                <w:spacing w:val="2"/>
                <w:sz w:val="18"/>
                <w:szCs w:val="18"/>
              </w:rPr>
              <w:t>等</w:t>
            </w:r>
            <w:r>
              <w:rPr>
                <w:rFonts w:ascii="宋体" w:hAnsi="宋体" w:cs="宋体" w:eastAsia="宋体" w:hint="default"/>
                <w:sz w:val="18"/>
                <w:szCs w:val="18"/>
              </w:rPr>
              <w:t>与发行权益性证券直接相关的新增外部费用</w:t>
            </w:r>
            <w:r>
              <w:rPr>
                <w:rFonts w:ascii="宋体" w:hAnsi="宋体" w:cs="宋体" w:eastAsia="宋体" w:hint="default"/>
                <w:spacing w:val="-57"/>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万元后</w:t>
            </w:r>
            <w:r>
              <w:rPr>
                <w:rFonts w:ascii="宋体" w:hAnsi="宋体" w:cs="宋体" w:eastAsia="宋体" w:hint="default"/>
                <w:spacing w:val="-92"/>
                <w:sz w:val="18"/>
                <w:szCs w:val="18"/>
              </w:rPr>
              <w:t>，</w:t>
            </w:r>
            <w:r>
              <w:rPr>
                <w:rFonts w:ascii="宋体" w:hAnsi="宋体" w:cs="宋体" w:eastAsia="宋体" w:hint="default"/>
                <w:sz w:val="18"/>
                <w:szCs w:val="18"/>
              </w:rPr>
              <w:t>公</w:t>
            </w:r>
            <w:r>
              <w:rPr>
                <w:rFonts w:ascii="宋体" w:hAnsi="宋体" w:cs="宋体" w:eastAsia="宋体" w:hint="default"/>
                <w:spacing w:val="-3"/>
                <w:sz w:val="18"/>
                <w:szCs w:val="18"/>
              </w:rPr>
              <w:t>司</w:t>
            </w:r>
            <w:r>
              <w:rPr>
                <w:rFonts w:ascii="宋体" w:hAnsi="宋体" w:cs="宋体" w:eastAsia="宋体" w:hint="default"/>
                <w:sz w:val="18"/>
                <w:szCs w:val="18"/>
              </w:rPr>
              <w:t>本次募集资金净额为</w:t>
            </w:r>
            <w:r>
              <w:rPr>
                <w:rFonts w:ascii="宋体" w:hAnsi="宋体" w:cs="宋体" w:eastAsia="宋体" w:hint="default"/>
                <w:spacing w:val="-57"/>
                <w:sz w:val="18"/>
                <w:szCs w:val="18"/>
              </w:rPr>
              <w:t> </w:t>
            </w:r>
            <w:r>
              <w:rPr>
                <w:rFonts w:ascii="Times New Roman" w:hAnsi="Times New Roman" w:cs="Times New Roman" w:eastAsia="Times New Roman" w:hint="default"/>
                <w:spacing w:val="1"/>
                <w:sz w:val="18"/>
                <w:szCs w:val="18"/>
              </w:rPr>
              <w:t>28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z w:val="18"/>
                <w:szCs w:val="18"/>
              </w:rPr>
              <w:t> </w:t>
            </w:r>
            <w:r>
              <w:rPr>
                <w:rFonts w:ascii="宋体" w:hAnsi="宋体" w:cs="宋体" w:eastAsia="宋体" w:hint="default"/>
                <w:sz w:val="18"/>
                <w:szCs w:val="18"/>
              </w:rPr>
              <w:t>万元。上述募集资金到位情况业经天健会计师事务所（特殊普通合伙）验证，并由其出具《验资报告</w:t>
            </w:r>
            <w:r>
              <w:rPr>
                <w:rFonts w:ascii="宋体" w:hAnsi="宋体" w:cs="宋体" w:eastAsia="宋体" w:hint="default"/>
                <w:spacing w:val="-92"/>
                <w:sz w:val="18"/>
                <w:szCs w:val="18"/>
              </w:rPr>
              <w:t>》</w:t>
            </w:r>
            <w:r>
              <w:rPr>
                <w:rFonts w:ascii="宋体" w:hAnsi="宋体" w:cs="宋体" w:eastAsia="宋体" w:hint="default"/>
                <w:sz w:val="18"/>
                <w:szCs w:val="18"/>
              </w:rPr>
              <w:t>（天健验〔</w:t>
            </w:r>
            <w:r>
              <w:rPr>
                <w:rFonts w:ascii="Times New Roman" w:hAnsi="Times New Roman" w:cs="Times New Roman" w:eastAsia="Times New Roman" w:hint="default"/>
                <w:spacing w:val="1"/>
                <w:sz w:val="18"/>
                <w:szCs w:val="18"/>
              </w:rPr>
              <w:t>2016</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z w:val="18"/>
                <w:szCs w:val="18"/>
              </w:rPr>
            </w:r>
          </w:p>
          <w:p>
            <w:pPr>
              <w:pStyle w:val="TableParagraph"/>
              <w:spacing w:line="300" w:lineRule="auto" w:before="51"/>
              <w:ind w:left="24" w:right="19" w:firstLine="360"/>
              <w:jc w:val="both"/>
              <w:rPr>
                <w:rFonts w:ascii="宋体" w:hAnsi="宋体" w:cs="宋体" w:eastAsia="宋体" w:hint="default"/>
                <w:sz w:val="18"/>
                <w:szCs w:val="18"/>
              </w:rPr>
            </w:pPr>
            <w:r>
              <w:rPr>
                <w:rFonts w:ascii="宋体" w:hAnsi="宋体" w:cs="宋体" w:eastAsia="宋体" w:hint="default"/>
                <w:spacing w:val="-3"/>
                <w:sz w:val="18"/>
                <w:szCs w:val="18"/>
              </w:rPr>
              <w:t>经中国证券监督管理委员会证监许可〔</w:t>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1608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号文核准，本公司由主承销商光大证券股份有限公司采用非公开发 行方式向自然人陈启伟、张宏星、中融基金管理有限公司发行人民币普通股（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股）股票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8,296,943 </w:t>
            </w:r>
            <w:r>
              <w:rPr>
                <w:rFonts w:ascii="宋体" w:hAnsi="宋体" w:cs="宋体" w:eastAsia="宋体" w:hint="default"/>
                <w:sz w:val="18"/>
                <w:szCs w:val="18"/>
              </w:rPr>
              <w:t>股，发行价为每股人 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6.87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元，募集资金总额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5,700.00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万元，坐扣财务顾问费</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万元（含税）和发行承销费</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650.00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万元（含税）后的募</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集资金为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万元，已由主承销商光大证券股份有限公司于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日汇入本公司募集资金监管账户。另减</w:t>
            </w:r>
          </w:p>
          <w:p>
            <w:pPr>
              <w:pStyle w:val="TableParagraph"/>
              <w:spacing w:line="300" w:lineRule="auto" w:before="63"/>
              <w:ind w:left="24" w:right="22"/>
              <w:jc w:val="both"/>
              <w:rPr>
                <w:rFonts w:ascii="宋体" w:hAnsi="宋体" w:cs="宋体" w:eastAsia="宋体" w:hint="default"/>
                <w:sz w:val="18"/>
                <w:szCs w:val="18"/>
              </w:rPr>
            </w:pPr>
            <w:r>
              <w:rPr>
                <w:rFonts w:ascii="宋体" w:hAnsi="宋体" w:cs="宋体" w:eastAsia="宋体" w:hint="default"/>
                <w:sz w:val="18"/>
                <w:szCs w:val="18"/>
              </w:rPr>
              <w:t>除验资费、登记费等与发行权益性证券直接相关的新增外部费用</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10.83</w:t>
            </w:r>
            <w:r>
              <w:rPr>
                <w:rFonts w:ascii="Times New Roman" w:hAnsi="Times New Roman" w:cs="Times New Roman" w:eastAsia="Times New Roman" w:hint="default"/>
                <w:spacing w:val="-6"/>
                <w:sz w:val="18"/>
                <w:szCs w:val="18"/>
              </w:rPr>
              <w:t> </w:t>
            </w:r>
            <w:r>
              <w:rPr>
                <w:rFonts w:ascii="宋体" w:hAnsi="宋体" w:cs="宋体" w:eastAsia="宋体" w:hint="default"/>
                <w:spacing w:val="-6"/>
                <w:sz w:val="18"/>
                <w:szCs w:val="18"/>
              </w:rPr>
              <w:t>万元（含税）后，公司本次募集资金净额为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5,039.17</w:t>
            </w:r>
            <w:r>
              <w:rPr>
                <w:rFonts w:ascii="Times New Roman" w:hAnsi="Times New Roman" w:cs="Times New Roman" w:eastAsia="Times New Roman" w:hint="default"/>
                <w:spacing w:val="-2"/>
                <w:sz w:val="18"/>
                <w:szCs w:val="18"/>
              </w:rPr>
              <w:t> </w:t>
            </w:r>
            <w:r>
              <w:rPr>
                <w:rFonts w:ascii="宋体" w:hAnsi="宋体" w:cs="宋体" w:eastAsia="宋体" w:hint="default"/>
                <w:spacing w:val="-2"/>
                <w:sz w:val="18"/>
                <w:szCs w:val="18"/>
              </w:rPr>
              <w:t>万元。上述募集资金到位情况业经天健会计师事务所（特殊普通合伙）验证，并由其出具《验资报告》（天健验〔</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w:t>
            </w:r>
            <w:r>
              <w:rPr>
                <w:rFonts w:ascii="宋体" w:hAnsi="宋体" w:cs="宋体" w:eastAsia="宋体" w:hint="default"/>
                <w:spacing w:val="-68"/>
                <w:sz w:val="18"/>
                <w:szCs w:val="18"/>
              </w:rPr>
              <w:t> </w:t>
            </w:r>
            <w:r>
              <w:rPr>
                <w:rFonts w:ascii="Times New Roman" w:hAnsi="Times New Roman" w:cs="Times New Roman" w:eastAsia="Times New Roman" w:hint="default"/>
                <w:spacing w:val="-1"/>
                <w:sz w:val="18"/>
                <w:szCs w:val="18"/>
              </w:rPr>
              <w:t>491</w:t>
            </w:r>
            <w:r>
              <w:rPr>
                <w:rFonts w:ascii="Times New Roman" w:hAnsi="Times New Roman" w:cs="Times New Roman" w:eastAsia="Times New Roman" w:hint="default"/>
                <w:spacing w:val="10"/>
                <w:sz w:val="18"/>
                <w:szCs w:val="18"/>
              </w:rPr>
              <w:t> </w:t>
            </w:r>
            <w:r>
              <w:rPr>
                <w:rFonts w:ascii="宋体" w:hAnsi="宋体" w:cs="宋体" w:eastAsia="宋体" w:hint="default"/>
                <w:spacing w:val="-6"/>
                <w:sz w:val="18"/>
                <w:szCs w:val="18"/>
              </w:rPr>
              <w:t>号）。扣除光大证券股份有限公司坐扣的</w:t>
            </w:r>
            <w:r>
              <w:rPr>
                <w:rFonts w:ascii="宋体" w:hAnsi="宋体" w:cs="宋体" w:eastAsia="宋体" w:hint="default"/>
                <w:spacing w:val="-36"/>
                <w:sz w:val="18"/>
                <w:szCs w:val="18"/>
              </w:rPr>
              <w:t> </w:t>
            </w:r>
            <w:r>
              <w:rPr>
                <w:rFonts w:ascii="Times New Roman" w:hAnsi="Times New Roman" w:cs="Times New Roman" w:eastAsia="Times New Roman" w:hint="default"/>
                <w:spacing w:val="-1"/>
                <w:sz w:val="18"/>
                <w:szCs w:val="18"/>
              </w:rPr>
              <w:t>50.00</w:t>
            </w:r>
            <w:r>
              <w:rPr>
                <w:rFonts w:ascii="Times New Roman" w:hAnsi="Times New Roman" w:cs="Times New Roman" w:eastAsia="Times New Roman" w:hint="default"/>
                <w:spacing w:val="10"/>
                <w:sz w:val="18"/>
                <w:szCs w:val="18"/>
              </w:rPr>
              <w:t> </w:t>
            </w:r>
            <w:r>
              <w:rPr>
                <w:rFonts w:ascii="宋体" w:hAnsi="宋体" w:cs="宋体" w:eastAsia="宋体" w:hint="default"/>
                <w:spacing w:val="-1"/>
                <w:sz w:val="18"/>
                <w:szCs w:val="18"/>
              </w:rPr>
              <w:t>万元财务顾问费及本公司以自有资金支付的外部发行费用</w:t>
            </w:r>
            <w:r>
              <w:rPr>
                <w:rFonts w:ascii="宋体" w:hAnsi="宋体" w:cs="宋体" w:eastAsia="宋体" w:hint="default"/>
                <w:spacing w:val="-36"/>
                <w:sz w:val="18"/>
                <w:szCs w:val="18"/>
              </w:rPr>
              <w:t> </w:t>
            </w:r>
            <w:r>
              <w:rPr>
                <w:rFonts w:ascii="Times New Roman" w:hAnsi="Times New Roman" w:cs="Times New Roman" w:eastAsia="Times New Roman" w:hint="default"/>
                <w:spacing w:val="-1"/>
                <w:sz w:val="18"/>
                <w:szCs w:val="18"/>
              </w:rPr>
              <w:t>10.83</w:t>
            </w:r>
            <w:r>
              <w:rPr>
                <w:rFonts w:ascii="Times New Roman" w:hAnsi="Times New Roman" w:cs="Times New Roman" w:eastAsia="Times New Roman" w:hint="default"/>
                <w:spacing w:val="10"/>
                <w:sz w:val="18"/>
                <w:szCs w:val="18"/>
              </w:rPr>
              <w:t> </w:t>
            </w:r>
            <w:r>
              <w:rPr>
                <w:rFonts w:ascii="宋体" w:hAnsi="宋体" w:cs="宋体" w:eastAsia="宋体" w:hint="default"/>
                <w:spacing w:val="-2"/>
                <w:sz w:val="18"/>
                <w:szCs w:val="18"/>
              </w:rPr>
              <w:t>万元，</w:t>
            </w:r>
            <w:r>
              <w:rPr>
                <w:rFonts w:ascii="宋体" w:hAnsi="宋体" w:cs="宋体" w:eastAsia="宋体" w:hint="default"/>
                <w:sz w:val="18"/>
                <w:szCs w:val="18"/>
              </w:rPr>
            </w:r>
          </w:p>
          <w:p>
            <w:pPr>
              <w:pStyle w:val="TableParagraph"/>
              <w:spacing w:line="240" w:lineRule="auto" w:before="13"/>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实际本次募集资金净额为 </w:t>
            </w: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133"/>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4"/>
        <w:gridCol w:w="722"/>
        <w:gridCol w:w="720"/>
        <w:gridCol w:w="722"/>
        <w:gridCol w:w="720"/>
        <w:gridCol w:w="720"/>
        <w:gridCol w:w="722"/>
        <w:gridCol w:w="722"/>
        <w:gridCol w:w="720"/>
        <w:gridCol w:w="722"/>
        <w:gridCol w:w="722"/>
        <w:gridCol w:w="722"/>
      </w:tblGrid>
      <w:tr>
        <w:trPr>
          <w:trHeight w:val="1651" w:hRule="exact"/>
        </w:trPr>
        <w:tc>
          <w:tcPr>
            <w:tcW w:w="16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62" w:right="91" w:hanging="272"/>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57" w:right="53"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6" w:right="83"/>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6"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6" w:right="83"/>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6"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1" w:right="67"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8" w:lineRule="exact"/>
              <w:ind w:left="3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86" w:right="84"/>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6" w:right="83"/>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88" w:right="83"/>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6"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86" w:right="84"/>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1"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58"/>
              <w:jc w:val="left"/>
              <w:rPr>
                <w:rFonts w:ascii="宋体" w:hAnsi="宋体" w:cs="宋体" w:eastAsia="宋体" w:hint="default"/>
                <w:sz w:val="18"/>
                <w:szCs w:val="18"/>
              </w:rPr>
            </w:pPr>
            <w:r>
              <w:rPr>
                <w:rFonts w:ascii="宋体" w:hAnsi="宋体" w:cs="宋体" w:eastAsia="宋体" w:hint="default"/>
                <w:sz w:val="18"/>
                <w:szCs w:val="18"/>
              </w:rPr>
              <w:t>散料搬运核心装置 及设备扩产项目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7,553.99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7,553.99</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7,667.8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101.51%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1,694.98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2,785.53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158"/>
              <w:jc w:val="left"/>
              <w:rPr>
                <w:rFonts w:ascii="宋体" w:hAnsi="宋体" w:cs="宋体" w:eastAsia="宋体" w:hint="default"/>
                <w:sz w:val="18"/>
                <w:szCs w:val="18"/>
              </w:rPr>
            </w:pPr>
            <w:r>
              <w:rPr>
                <w:rFonts w:ascii="宋体" w:hAnsi="宋体" w:cs="宋体" w:eastAsia="宋体" w:hint="default"/>
                <w:sz w:val="18"/>
                <w:szCs w:val="18"/>
              </w:rPr>
              <w:t>散料搬运设备研发 中心建设项目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1,942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1,942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588.17</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2,008.39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103.42%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8"/>
              <w:jc w:val="left"/>
              <w:rPr>
                <w:rFonts w:ascii="宋体" w:hAnsi="宋体" w:cs="宋体" w:eastAsia="宋体" w:hint="default"/>
                <w:sz w:val="18"/>
                <w:szCs w:val="18"/>
              </w:rPr>
            </w:pPr>
            <w:r>
              <w:rPr>
                <w:rFonts w:ascii="宋体" w:hAnsi="宋体" w:cs="宋体" w:eastAsia="宋体" w:hint="default"/>
                <w:sz w:val="18"/>
                <w:szCs w:val="18"/>
              </w:rPr>
              <w:t>营销网络与服务中 心建设项目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2,248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2,248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1,106.06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2,340.07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104.10%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20"/>
        <w:gridCol w:w="913"/>
        <w:gridCol w:w="722"/>
        <w:gridCol w:w="720"/>
        <w:gridCol w:w="722"/>
        <w:gridCol w:w="720"/>
        <w:gridCol w:w="721"/>
        <w:gridCol w:w="722"/>
        <w:gridCol w:w="722"/>
        <w:gridCol w:w="720"/>
        <w:gridCol w:w="723"/>
        <w:gridCol w:w="722"/>
        <w:gridCol w:w="722"/>
      </w:tblGrid>
      <w:tr>
        <w:trPr>
          <w:trHeight w:val="362" w:hRule="exact"/>
        </w:trPr>
        <w:tc>
          <w:tcPr>
            <w:tcW w:w="1633" w:type="dxa"/>
            <w:gridSpan w:val="2"/>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58"/>
              <w:jc w:val="left"/>
              <w:rPr>
                <w:rFonts w:ascii="宋体" w:hAnsi="宋体" w:cs="宋体" w:eastAsia="宋体" w:hint="default"/>
                <w:sz w:val="18"/>
                <w:szCs w:val="18"/>
              </w:rPr>
            </w:pPr>
            <w:r>
              <w:rPr>
                <w:rFonts w:ascii="宋体" w:hAnsi="宋体" w:cs="宋体" w:eastAsia="宋体" w:hint="default"/>
                <w:sz w:val="18"/>
                <w:szCs w:val="18"/>
              </w:rPr>
              <w:t>其他与主营业务相 关的营运资金</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1,403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1,403</w:t>
            </w:r>
          </w:p>
        </w:tc>
        <w:tc>
          <w:tcPr>
            <w:tcW w:w="720"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1,403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58"/>
              <w:jc w:val="both"/>
              <w:rPr>
                <w:rFonts w:ascii="宋体" w:hAnsi="宋体" w:cs="宋体" w:eastAsia="宋体" w:hint="default"/>
                <w:sz w:val="18"/>
                <w:szCs w:val="18"/>
              </w:rPr>
            </w:pPr>
            <w:r>
              <w:rPr>
                <w:rFonts w:ascii="宋体" w:hAnsi="宋体" w:cs="宋体" w:eastAsia="宋体" w:hint="default"/>
                <w:sz w:val="18"/>
                <w:szCs w:val="18"/>
              </w:rPr>
              <w:t>收购深圳市伟创自 动化设备有限公司 项目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28,364.8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28,364.8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20"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28,364.8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6,384.75</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24,074.7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58"/>
              <w:jc w:val="left"/>
              <w:rPr>
                <w:rFonts w:ascii="宋体" w:hAnsi="宋体" w:cs="宋体" w:eastAsia="宋体" w:hint="default"/>
                <w:sz w:val="18"/>
                <w:szCs w:val="18"/>
              </w:rPr>
            </w:pPr>
            <w:r>
              <w:rPr>
                <w:rFonts w:ascii="宋体" w:hAnsi="宋体" w:cs="宋体" w:eastAsia="宋体" w:hint="default"/>
                <w:sz w:val="18"/>
                <w:szCs w:val="18"/>
              </w:rPr>
              <w:t>收购山东天辰智能 停车有限公司项目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5.59</w:t>
            </w:r>
            <w:r>
              <w:rPr>
                <w:rFonts w:ascii="Times New Roman"/>
                <w:sz w:val="18"/>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3,701.11</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5,580.04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33"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722" w:type="dxa"/>
            <w:tcBorders>
              <w:top w:val="single" w:sz="4" w:space="0" w:color="000000"/>
              <w:left w:val="single" w:sz="4" w:space="0" w:color="000000"/>
              <w:bottom w:val="nil" w:sz="6" w:space="0" w:color="auto"/>
              <w:right w:val="single" w:sz="4" w:space="0" w:color="000000"/>
            </w:tcBorders>
            <w:shd w:val="clear" w:color="auto" w:fill="D4D4D4"/>
          </w:tcPr>
          <w:p>
            <w:pPr/>
          </w:p>
        </w:tc>
        <w:tc>
          <w:tcPr>
            <w:tcW w:w="720" w:type="dxa"/>
            <w:vMerge w:val="restart"/>
            <w:tcBorders>
              <w:top w:val="single" w:sz="4" w:space="0" w:color="000000"/>
              <w:left w:val="single" w:sz="10"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46,511.8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46,511.8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1,699.82</w:t>
            </w:r>
          </w:p>
        </w:tc>
        <w:tc>
          <w:tcPr>
            <w:tcW w:w="721" w:type="dxa"/>
            <w:vMerge w:val="restart"/>
            <w:tcBorders>
              <w:top w:val="single" w:sz="4" w:space="0" w:color="000000"/>
              <w:left w:val="single" w:sz="4" w:space="0" w:color="000000"/>
              <w:right w:val="single" w:sz="9" w:space="0" w:color="D4D4D4"/>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46,784.1</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z w:val="18"/>
              </w:rPr>
              <w:t>3</w:t>
            </w:r>
          </w:p>
        </w:tc>
        <w:tc>
          <w:tcPr>
            <w:tcW w:w="722" w:type="dxa"/>
            <w:tcBorders>
              <w:top w:val="single" w:sz="4" w:space="0" w:color="000000"/>
              <w:left w:val="single" w:sz="4" w:space="0" w:color="000000"/>
              <w:bottom w:val="nil" w:sz="6" w:space="0" w:color="auto"/>
              <w:right w:val="single" w:sz="4" w:space="0" w:color="000000"/>
            </w:tcBorders>
            <w:shd w:val="clear" w:color="auto" w:fill="D4D4D4"/>
          </w:tcPr>
          <w:p>
            <w:pPr/>
          </w:p>
        </w:tc>
        <w:tc>
          <w:tcPr>
            <w:tcW w:w="722" w:type="dxa"/>
            <w:tcBorders>
              <w:top w:val="single" w:sz="4" w:space="0" w:color="000000"/>
              <w:left w:val="single" w:sz="4" w:space="0" w:color="000000"/>
              <w:bottom w:val="nil" w:sz="6" w:space="0" w:color="auto"/>
              <w:right w:val="single" w:sz="4" w:space="0" w:color="000000"/>
            </w:tcBorders>
            <w:shd w:val="clear" w:color="auto" w:fill="D4D4D4"/>
          </w:tcPr>
          <w:p>
            <w:pPr/>
          </w:p>
        </w:tc>
        <w:tc>
          <w:tcPr>
            <w:tcW w:w="720" w:type="dxa"/>
            <w:vMerge w:val="restart"/>
            <w:tcBorders>
              <w:top w:val="single" w:sz="4" w:space="0" w:color="000000"/>
              <w:left w:val="single" w:sz="10" w:space="0" w:color="D4D4D4"/>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11,780.8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w:t>
            </w:r>
          </w:p>
        </w:tc>
        <w:tc>
          <w:tcPr>
            <w:tcW w:w="723" w:type="dxa"/>
            <w:vMerge w:val="restart"/>
            <w:tcBorders>
              <w:top w:val="single" w:sz="4" w:space="0" w:color="000000"/>
              <w:left w:val="single" w:sz="4" w:space="0" w:color="000000"/>
              <w:right w:val="single" w:sz="9" w:space="0" w:color="D4D4D4"/>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32,440.3</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z w:val="18"/>
              </w:rPr>
              <w:t>5</w:t>
            </w:r>
          </w:p>
        </w:tc>
        <w:tc>
          <w:tcPr>
            <w:tcW w:w="722" w:type="dxa"/>
            <w:tcBorders>
              <w:top w:val="single" w:sz="4" w:space="0" w:color="000000"/>
              <w:left w:val="single" w:sz="4" w:space="0" w:color="000000"/>
              <w:bottom w:val="nil" w:sz="6" w:space="0" w:color="auto"/>
              <w:right w:val="single" w:sz="4" w:space="0" w:color="000000"/>
            </w:tcBorders>
            <w:shd w:val="clear" w:color="auto" w:fill="D4D4D4"/>
          </w:tcPr>
          <w:p>
            <w:pPr/>
          </w:p>
        </w:tc>
        <w:tc>
          <w:tcPr>
            <w:tcW w:w="722"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4" w:hRule="exact"/>
        </w:trPr>
        <w:tc>
          <w:tcPr>
            <w:tcW w:w="1633" w:type="dxa"/>
            <w:gridSpan w:val="2"/>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2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z w:val="18"/>
              </w:rPr>
              <w:t>--</w:t>
            </w:r>
          </w:p>
        </w:tc>
        <w:tc>
          <w:tcPr>
            <w:tcW w:w="720" w:type="dxa"/>
            <w:vMerge/>
            <w:tcBorders>
              <w:left w:val="single" w:sz="10" w:space="0" w:color="D4D4D4"/>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1" w:type="dxa"/>
            <w:vMerge/>
            <w:tcBorders>
              <w:left w:val="single" w:sz="4" w:space="0" w:color="000000"/>
              <w:right w:val="single" w:sz="9" w:space="0" w:color="D4D4D4"/>
            </w:tcBorders>
          </w:tcPr>
          <w:p>
            <w:pPr/>
          </w:p>
        </w:tc>
        <w:tc>
          <w:tcPr>
            <w:tcW w:w="72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720" w:type="dxa"/>
            <w:vMerge/>
            <w:tcBorders>
              <w:left w:val="single" w:sz="10" w:space="0" w:color="D4D4D4"/>
              <w:right w:val="single" w:sz="4" w:space="0" w:color="000000"/>
            </w:tcBorders>
          </w:tcPr>
          <w:p>
            <w:pPr/>
          </w:p>
        </w:tc>
        <w:tc>
          <w:tcPr>
            <w:tcW w:w="723" w:type="dxa"/>
            <w:vMerge/>
            <w:tcBorders>
              <w:left w:val="single" w:sz="4" w:space="0" w:color="000000"/>
              <w:right w:val="single" w:sz="9" w:space="0" w:color="D4D4D4"/>
            </w:tcBorders>
          </w:tcPr>
          <w:p>
            <w:pPr/>
          </w:p>
        </w:tc>
        <w:tc>
          <w:tcPr>
            <w:tcW w:w="72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633"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722" w:type="dxa"/>
            <w:tcBorders>
              <w:top w:val="nil" w:sz="6" w:space="0" w:color="auto"/>
              <w:left w:val="single" w:sz="4" w:space="0" w:color="000000"/>
              <w:bottom w:val="single" w:sz="4" w:space="0" w:color="000000"/>
              <w:right w:val="single" w:sz="4" w:space="0" w:color="000000"/>
            </w:tcBorders>
            <w:shd w:val="clear" w:color="auto" w:fill="D4D4D4"/>
          </w:tcPr>
          <w:p>
            <w:pPr/>
          </w:p>
        </w:tc>
        <w:tc>
          <w:tcPr>
            <w:tcW w:w="720" w:type="dxa"/>
            <w:vMerge/>
            <w:tcBorders>
              <w:left w:val="single" w:sz="10" w:space="0" w:color="D4D4D4"/>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1" w:type="dxa"/>
            <w:vMerge/>
            <w:tcBorders>
              <w:left w:val="single" w:sz="4" w:space="0" w:color="000000"/>
              <w:bottom w:val="single" w:sz="4" w:space="0" w:color="000000"/>
              <w:right w:val="single" w:sz="9" w:space="0" w:color="D4D4D4"/>
            </w:tcBorders>
          </w:tcPr>
          <w:p>
            <w:pPr/>
          </w:p>
        </w:tc>
        <w:tc>
          <w:tcPr>
            <w:tcW w:w="722" w:type="dxa"/>
            <w:tcBorders>
              <w:top w:val="nil" w:sz="6" w:space="0" w:color="auto"/>
              <w:left w:val="single" w:sz="4" w:space="0" w:color="000000"/>
              <w:bottom w:val="single" w:sz="4" w:space="0" w:color="000000"/>
              <w:right w:val="single" w:sz="4" w:space="0" w:color="000000"/>
            </w:tcBorders>
            <w:shd w:val="clear" w:color="auto" w:fill="D4D4D4"/>
          </w:tcPr>
          <w:p>
            <w:pPr/>
          </w:p>
        </w:tc>
        <w:tc>
          <w:tcPr>
            <w:tcW w:w="722" w:type="dxa"/>
            <w:tcBorders>
              <w:top w:val="nil" w:sz="6" w:space="0" w:color="auto"/>
              <w:left w:val="single" w:sz="4" w:space="0" w:color="000000"/>
              <w:bottom w:val="single" w:sz="4" w:space="0" w:color="000000"/>
              <w:right w:val="single" w:sz="4" w:space="0" w:color="000000"/>
            </w:tcBorders>
            <w:shd w:val="clear" w:color="auto" w:fill="D4D4D4"/>
          </w:tcPr>
          <w:p>
            <w:pPr/>
          </w:p>
        </w:tc>
        <w:tc>
          <w:tcPr>
            <w:tcW w:w="720" w:type="dxa"/>
            <w:vMerge/>
            <w:tcBorders>
              <w:left w:val="single" w:sz="10" w:space="0" w:color="D4D4D4"/>
              <w:bottom w:val="single" w:sz="4" w:space="0" w:color="000000"/>
              <w:right w:val="single" w:sz="4" w:space="0" w:color="000000"/>
            </w:tcBorders>
          </w:tcPr>
          <w:p>
            <w:pPr/>
          </w:p>
        </w:tc>
        <w:tc>
          <w:tcPr>
            <w:tcW w:w="723" w:type="dxa"/>
            <w:vMerge/>
            <w:tcBorders>
              <w:left w:val="single" w:sz="4" w:space="0" w:color="000000"/>
              <w:bottom w:val="single" w:sz="4" w:space="0" w:color="000000"/>
              <w:right w:val="single" w:sz="9" w:space="0" w:color="D4D4D4"/>
            </w:tcBorders>
          </w:tcPr>
          <w:p>
            <w:pPr/>
          </w:p>
        </w:tc>
        <w:tc>
          <w:tcPr>
            <w:tcW w:w="722" w:type="dxa"/>
            <w:tcBorders>
              <w:top w:val="nil" w:sz="6" w:space="0" w:color="auto"/>
              <w:left w:val="single" w:sz="4" w:space="0" w:color="000000"/>
              <w:bottom w:val="single" w:sz="4" w:space="0" w:color="000000"/>
              <w:right w:val="single" w:sz="4" w:space="0" w:color="000000"/>
            </w:tcBorders>
            <w:shd w:val="clear" w:color="auto" w:fill="D4D4D4"/>
          </w:tcPr>
          <w:p>
            <w:pPr/>
          </w:p>
        </w:tc>
        <w:tc>
          <w:tcPr>
            <w:tcW w:w="722"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396" w:hRule="exact"/>
        </w:trPr>
        <w:tc>
          <w:tcPr>
            <w:tcW w:w="72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8850"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1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3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46,511.8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46,511.8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1,699.82</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46,784.1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11,780.8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32,440.3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r>
      <w:tr>
        <w:trPr>
          <w:trHeight w:val="1027" w:hRule="exact"/>
        </w:trPr>
        <w:tc>
          <w:tcPr>
            <w:tcW w:w="163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21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633" w:type="dxa"/>
            <w:gridSpan w:val="2"/>
            <w:tcBorders>
              <w:top w:val="single" w:sz="4" w:space="0" w:color="000000"/>
              <w:left w:val="single" w:sz="4" w:space="0" w:color="000000"/>
              <w:bottom w:val="single" w:sz="4" w:space="0" w:color="FFFFFF"/>
              <w:right w:val="single" w:sz="4" w:space="0" w:color="000000"/>
            </w:tcBorders>
            <w:shd w:val="clear" w:color="auto" w:fill="D4D4D4"/>
          </w:tcPr>
          <w:p>
            <w:pPr>
              <w:pStyle w:val="TableParagraph"/>
              <w:spacing w:line="316" w:lineRule="auto" w:before="49"/>
              <w:ind w:left="22" w:right="158"/>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22"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214" w:type="dxa"/>
            <w:gridSpan w:val="10"/>
            <w:tcBorders>
              <w:top w:val="single" w:sz="4" w:space="0" w:color="000000"/>
              <w:left w:val="single" w:sz="4" w:space="0" w:color="000000"/>
              <w:bottom w:val="single" w:sz="4" w:space="0" w:color="FFFFFF"/>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633" w:type="dxa"/>
            <w:gridSpan w:val="2"/>
            <w:vMerge w:val="restart"/>
            <w:tcBorders>
              <w:top w:val="single" w:sz="4" w:space="0" w:color="FFFFFF"/>
              <w:left w:val="single" w:sz="4" w:space="0" w:color="000000"/>
              <w:right w:val="single" w:sz="4" w:space="0" w:color="000000"/>
            </w:tcBorders>
            <w:shd w:val="clear" w:color="auto" w:fill="D4D4D4"/>
          </w:tcPr>
          <w:p>
            <w:pPr>
              <w:pStyle w:val="TableParagraph"/>
              <w:spacing w:line="316" w:lineRule="auto" w:before="94"/>
              <w:ind w:left="22" w:right="23"/>
              <w:jc w:val="left"/>
              <w:rPr>
                <w:rFonts w:ascii="宋体" w:hAnsi="宋体" w:cs="宋体" w:eastAsia="宋体" w:hint="default"/>
                <w:sz w:val="18"/>
                <w:szCs w:val="18"/>
              </w:rPr>
            </w:pPr>
            <w:r>
              <w:rPr>
                <w:rFonts w:ascii="宋体" w:hAnsi="宋体" w:cs="宋体" w:eastAsia="宋体" w:hint="default"/>
                <w:spacing w:val="-5"/>
                <w:sz w:val="18"/>
                <w:szCs w:val="18"/>
              </w:rPr>
              <w:t>超募资金的金额、用</w:t>
            </w:r>
            <w:r>
              <w:rPr>
                <w:rFonts w:ascii="宋体" w:hAnsi="宋体" w:cs="宋体" w:eastAsia="宋体" w:hint="default"/>
                <w:sz w:val="18"/>
                <w:szCs w:val="18"/>
              </w:rPr>
              <w:t> 途及使用进展情况</w:t>
            </w:r>
          </w:p>
        </w:tc>
        <w:tc>
          <w:tcPr>
            <w:tcW w:w="722" w:type="dxa"/>
            <w:tcBorders>
              <w:top w:val="single" w:sz="4" w:space="0" w:color="FFFFFF"/>
              <w:left w:val="single" w:sz="4" w:space="0" w:color="000000"/>
              <w:bottom w:val="single" w:sz="4" w:space="0" w:color="000000"/>
              <w:right w:val="single" w:sz="4" w:space="0" w:color="000000"/>
            </w:tcBorders>
            <w:shd w:val="clear" w:color="auto" w:fill="D4D4D4"/>
          </w:tcPr>
          <w:p>
            <w:pPr/>
          </w:p>
        </w:tc>
        <w:tc>
          <w:tcPr>
            <w:tcW w:w="7214" w:type="dxa"/>
            <w:gridSpan w:val="10"/>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633" w:type="dxa"/>
            <w:gridSpan w:val="2"/>
            <w:vMerge/>
            <w:tcBorders>
              <w:left w:val="single" w:sz="4" w:space="0" w:color="000000"/>
              <w:bottom w:val="single" w:sz="4" w:space="0" w:color="000000"/>
              <w:right w:val="single" w:sz="4" w:space="0" w:color="000000"/>
            </w:tcBorders>
            <w:shd w:val="clear" w:color="auto" w:fill="D4D4D4"/>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214" w:type="dxa"/>
            <w:gridSpan w:val="10"/>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3"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6" w:lineRule="auto"/>
              <w:ind w:left="22" w:right="158"/>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21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633" w:type="dxa"/>
            <w:gridSpan w:val="2"/>
            <w:vMerge/>
            <w:tcBorders>
              <w:left w:val="single" w:sz="4" w:space="0" w:color="000000"/>
              <w:right w:val="single" w:sz="4" w:space="0" w:color="000000"/>
            </w:tcBorders>
            <w:shd w:val="clear" w:color="auto" w:fill="D4D4D4"/>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214" w:type="dxa"/>
            <w:gridSpan w:val="10"/>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3" w:type="dxa"/>
            <w:gridSpan w:val="2"/>
            <w:vMerge/>
            <w:tcBorders>
              <w:left w:val="single" w:sz="4" w:space="0" w:color="000000"/>
              <w:bottom w:val="single" w:sz="4" w:space="0" w:color="000000"/>
              <w:right w:val="single" w:sz="4" w:space="0" w:color="000000"/>
            </w:tcBorders>
            <w:shd w:val="clear" w:color="auto" w:fill="D4D4D4"/>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214" w:type="dxa"/>
            <w:gridSpan w:val="10"/>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33"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6" w:lineRule="auto"/>
              <w:ind w:left="22" w:right="158"/>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21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633" w:type="dxa"/>
            <w:gridSpan w:val="2"/>
            <w:vMerge/>
            <w:tcBorders>
              <w:left w:val="single" w:sz="4" w:space="0" w:color="000000"/>
              <w:right w:val="single" w:sz="4" w:space="0" w:color="000000"/>
            </w:tcBorders>
            <w:shd w:val="clear" w:color="auto" w:fill="D4D4D4"/>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214" w:type="dxa"/>
            <w:gridSpan w:val="10"/>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33" w:type="dxa"/>
            <w:gridSpan w:val="2"/>
            <w:vMerge/>
            <w:tcBorders>
              <w:left w:val="single" w:sz="4" w:space="0" w:color="000000"/>
              <w:bottom w:val="single" w:sz="4" w:space="0" w:color="000000"/>
              <w:right w:val="single" w:sz="4" w:space="0" w:color="000000"/>
            </w:tcBorders>
            <w:shd w:val="clear" w:color="auto" w:fill="D4D4D4"/>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214" w:type="dxa"/>
            <w:gridSpan w:val="10"/>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3"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6" w:lineRule="auto"/>
              <w:ind w:left="22" w:right="158"/>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21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7" w:hRule="exact"/>
        </w:trPr>
        <w:tc>
          <w:tcPr>
            <w:tcW w:w="1633" w:type="dxa"/>
            <w:gridSpan w:val="2"/>
            <w:vMerge/>
            <w:tcBorders>
              <w:left w:val="single" w:sz="4" w:space="0" w:color="000000"/>
              <w:bottom w:val="single" w:sz="4" w:space="0" w:color="000000"/>
              <w:right w:val="single" w:sz="4" w:space="0" w:color="000000"/>
            </w:tcBorders>
            <w:shd w:val="clear" w:color="auto" w:fill="D4D4D4"/>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214"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日，公司第二届董事会第五次会议审议通过了《关于使用募集资金置换已预先</w:t>
            </w:r>
            <w:r>
              <w:rPr>
                <w:rFonts w:ascii="宋体" w:hAnsi="宋体" w:cs="宋体" w:eastAsia="宋体" w:hint="default"/>
                <w:sz w:val="18"/>
                <w:szCs w:val="18"/>
              </w:rPr>
              <w:t> </w:t>
            </w:r>
            <w:r>
              <w:rPr>
                <w:rFonts w:ascii="宋体" w:hAnsi="宋体" w:cs="宋体" w:eastAsia="宋体" w:hint="default"/>
                <w:spacing w:val="-3"/>
                <w:sz w:val="18"/>
                <w:szCs w:val="18"/>
              </w:rPr>
              <w:t>投入募投项目自筹资金的议案》，同意使用募集资金置换公司预先投入募集资金项目建设的</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自筹资金共计</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6,525.96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万元，其中：散料搬运核心装置及设备扩产项目</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6,318.14</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万元，散料</w:t>
            </w:r>
          </w:p>
          <w:p>
            <w:pPr>
              <w:pStyle w:val="TableParagraph"/>
              <w:spacing w:line="240" w:lineRule="auto" w:before="5"/>
              <w:ind w:left="23" w:right="0"/>
              <w:jc w:val="both"/>
              <w:rPr>
                <w:rFonts w:ascii="宋体" w:hAnsi="宋体" w:cs="宋体" w:eastAsia="宋体" w:hint="default"/>
                <w:sz w:val="18"/>
                <w:szCs w:val="18"/>
              </w:rPr>
            </w:pPr>
            <w:r>
              <w:rPr>
                <w:rFonts w:ascii="宋体" w:hAnsi="宋体" w:cs="宋体" w:eastAsia="宋体" w:hint="default"/>
                <w:sz w:val="18"/>
                <w:szCs w:val="18"/>
              </w:rPr>
              <w:t>搬运设备研发中心建设项目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207.82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日公司完成了上述置换。</w:t>
            </w:r>
          </w:p>
        </w:tc>
      </w:tr>
      <w:tr>
        <w:trPr>
          <w:trHeight w:val="403" w:hRule="exact"/>
        </w:trPr>
        <w:tc>
          <w:tcPr>
            <w:tcW w:w="1633"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2" w:right="158"/>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21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3" w:type="dxa"/>
            <w:gridSpan w:val="2"/>
            <w:vMerge/>
            <w:tcBorders>
              <w:left w:val="single" w:sz="4" w:space="0" w:color="000000"/>
              <w:bottom w:val="single" w:sz="4" w:space="0" w:color="000000"/>
              <w:right w:val="single" w:sz="4" w:space="0" w:color="000000"/>
            </w:tcBorders>
            <w:shd w:val="clear" w:color="auto" w:fill="D4D4D4"/>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214" w:type="dxa"/>
            <w:gridSpan w:val="10"/>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3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项目实施出现募集</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21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633"/>
        <w:gridCol w:w="722"/>
        <w:gridCol w:w="7214"/>
      </w:tblGrid>
      <w:tr>
        <w:trPr>
          <w:trHeight w:val="674" w:hRule="exact"/>
        </w:trPr>
        <w:tc>
          <w:tcPr>
            <w:tcW w:w="16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22" w:right="158"/>
              <w:jc w:val="left"/>
              <w:rPr>
                <w:rFonts w:ascii="宋体" w:hAnsi="宋体" w:cs="宋体" w:eastAsia="宋体" w:hint="default"/>
                <w:sz w:val="18"/>
                <w:szCs w:val="18"/>
              </w:rPr>
            </w:pPr>
            <w:r>
              <w:rPr>
                <w:rFonts w:ascii="宋体" w:hAnsi="宋体" w:cs="宋体" w:eastAsia="宋体" w:hint="default"/>
                <w:sz w:val="18"/>
                <w:szCs w:val="18"/>
              </w:rPr>
              <w:t>资金结余的金额及 原因</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利息结余</w:t>
            </w:r>
          </w:p>
        </w:tc>
      </w:tr>
      <w:tr>
        <w:trPr>
          <w:trHeight w:val="713" w:hRule="exact"/>
        </w:trPr>
        <w:tc>
          <w:tcPr>
            <w:tcW w:w="16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58"/>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存放于募集资金专户</w:t>
            </w:r>
          </w:p>
        </w:tc>
      </w:tr>
      <w:tr>
        <w:trPr>
          <w:trHeight w:val="1027" w:hRule="exact"/>
        </w:trPr>
        <w:tc>
          <w:tcPr>
            <w:tcW w:w="16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58"/>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982"/>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before="0"/>
        <w:ind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公司报告期不存在募集资金变更项目情况。</w:t>
      </w:r>
    </w:p>
    <w:p>
      <w:pPr>
        <w:spacing w:line="240" w:lineRule="auto" w:before="8"/>
        <w:rPr>
          <w:rFonts w:ascii="宋体" w:hAnsi="宋体" w:cs="宋体" w:eastAsia="宋体" w:hint="default"/>
          <w:sz w:val="19"/>
          <w:szCs w:val="19"/>
        </w:rPr>
      </w:pPr>
    </w:p>
    <w:p>
      <w:pPr>
        <w:pStyle w:val="Heading2"/>
        <w:spacing w:line="240" w:lineRule="auto"/>
        <w:ind w:right="982"/>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2"/>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before="0"/>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5"/>
        <w:rPr>
          <w:rFonts w:ascii="宋体" w:hAnsi="宋体" w:cs="宋体" w:eastAsia="宋体" w:hint="default"/>
          <w:sz w:val="21"/>
          <w:szCs w:val="21"/>
        </w:rPr>
      </w:pPr>
    </w:p>
    <w:p>
      <w:pPr>
        <w:pStyle w:val="Heading3"/>
        <w:spacing w:line="240" w:lineRule="auto"/>
        <w:ind w:right="982"/>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82"/>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82" w:top="1060" w:bottom="1180" w:left="980" w:right="0"/>
        </w:sectPr>
      </w:pPr>
    </w:p>
    <w:p>
      <w:pPr>
        <w:pStyle w:val="BodyText"/>
        <w:spacing w:line="240" w:lineRule="auto"/>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8"/>
        <w:jc w:val="left"/>
      </w:pPr>
      <w:r>
        <w:rPr/>
        <w:t>主要子公司及对公司净利润影响达</w:t>
      </w:r>
      <w:r>
        <w:rPr>
          <w:spacing w:val="-45"/>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060" w:bottom="1180" w:left="980" w:right="0"/>
          <w:cols w:num="2" w:equalWidth="0">
            <w:col w:w="4850" w:space="4068"/>
            <w:col w:w="2012"/>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6"/>
        <w:gridCol w:w="1046"/>
        <w:gridCol w:w="1044"/>
        <w:gridCol w:w="1044"/>
        <w:gridCol w:w="1046"/>
      </w:tblGrid>
      <w:tr>
        <w:trPr>
          <w:trHeight w:val="403" w:hRule="exact"/>
        </w:trPr>
        <w:tc>
          <w:tcPr>
            <w:tcW w:w="10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33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徐州五洋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散料搬运核 心装置的研 发、生产、 销售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3000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82,286,254.1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25,669,162.0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42,801,433.9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4,550,750.49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4,494,623.57</w:t>
            </w:r>
          </w:p>
        </w:tc>
      </w:tr>
      <w:tr>
        <w:trPr>
          <w:trHeight w:val="165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天沃重工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混凝土搅拌 站及干混砂 浆搅拌站研 发、生产销 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95,508,109.6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41,332,070.0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81,795,089.0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6,581,463.58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4,250,557.04</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五岳科技</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管型母线的 研发、生产 销售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10,971,484.7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7,842,645.22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3,989,707.57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-1,060,293.3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-1,060,293.3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0"/>
        </w:sectPr>
      </w:pPr>
    </w:p>
    <w:p>
      <w:pPr>
        <w:spacing w:line="240" w:lineRule="auto" w:before="6"/>
        <w:rPr>
          <w:rFonts w:ascii="宋体" w:hAnsi="宋体" w:cs="宋体" w:eastAsia="宋体" w:hint="default"/>
          <w:sz w:val="28"/>
          <w:szCs w:val="28"/>
        </w:rPr>
      </w:pPr>
      <w:r>
        <w:rPr/>
        <w:pict>
          <v:shape style="position:absolute;margin-left:215.639999pt;margin-top:283.799988pt;width:57.85pt;height:46.8pt;mso-position-horizontal-relative:page;mso-position-vertical-relative:page;z-index:-1052392" type="#_x0000_t202" filled="false" stroked="false">
            <v:textbox inset="0,0,0,0">
              <w:txbxContent>
                <w:p>
                  <w:pPr>
                    <w:spacing w:line="240" w:lineRule="auto" w:before="5"/>
                    <w:rPr>
                      <w:rFonts w:ascii="宋体" w:hAnsi="宋体" w:cs="宋体" w:eastAsia="宋体" w:hint="default"/>
                      <w:sz w:val="21"/>
                      <w:szCs w:val="21"/>
                    </w:rPr>
                  </w:pPr>
                </w:p>
                <w:p>
                  <w:pPr>
                    <w:pStyle w:val="BodyText"/>
                    <w:spacing w:line="240" w:lineRule="auto" w:before="0"/>
                    <w:ind w:left="0" w:right="0"/>
                    <w:jc w:val="left"/>
                  </w:pPr>
                  <w:r>
                    <w:rPr/>
                    <w:t>、</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6"/>
        <w:gridCol w:w="1046"/>
        <w:gridCol w:w="1044"/>
        <w:gridCol w:w="1044"/>
        <w:gridCol w:w="1046"/>
      </w:tblGrid>
      <w:tr>
        <w:trPr>
          <w:trHeight w:val="258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伟创自动化</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工业机器人 成套生产 线、智能化 机械式停车 设备、物流 及智能仓储 的研发、生 产、销售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840,470,614.</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507,820,635.</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602,958,247.</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75,085,641.2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70,544,792.4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w:t>
            </w:r>
          </w:p>
        </w:tc>
      </w:tr>
      <w:tr>
        <w:trPr>
          <w:trHeight w:val="258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天辰智能</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8"/>
              <w:jc w:val="both"/>
              <w:rPr>
                <w:rFonts w:ascii="宋体" w:hAnsi="宋体" w:cs="宋体" w:eastAsia="宋体" w:hint="default"/>
                <w:sz w:val="18"/>
                <w:szCs w:val="18"/>
              </w:rPr>
            </w:pPr>
            <w:r>
              <w:rPr>
                <w:rFonts w:ascii="宋体" w:hAnsi="宋体" w:cs="宋体" w:eastAsia="宋体" w:hint="default"/>
                <w:sz w:val="18"/>
                <w:szCs w:val="18"/>
              </w:rPr>
              <w:t>机械式停车 设备、自动 收费系统、 立体仓库设 备、自动化 物流设备的 研发、制造 销售及安装</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8000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936" w:lineRule="exact"/>
              <w:ind w:left="-1" w:right="-53"/>
              <w:jc w:val="left"/>
              <w:rPr>
                <w:rFonts w:ascii="宋体" w:hAnsi="宋体" w:cs="宋体" w:eastAsia="宋体" w:hint="default"/>
                <w:sz w:val="20"/>
                <w:szCs w:val="20"/>
              </w:rPr>
            </w:pPr>
            <w:r>
              <w:rPr>
                <w:rFonts w:ascii="宋体" w:hAnsi="宋体" w:cs="宋体" w:eastAsia="宋体" w:hint="default"/>
                <w:position w:val="-18"/>
                <w:sz w:val="20"/>
                <w:szCs w:val="20"/>
              </w:rPr>
              <w:pict>
                <v:group style="width:51.85pt;height:46.8pt;mso-position-horizontal-relative:char;mso-position-vertical-relative:line" coordorigin="0,0" coordsize="1037,936">
                  <v:group style="position:absolute;left:0;top:0;width:1037;height:936" coordorigin="0,0" coordsize="1037,936">
                    <v:shape style="position:absolute;left:0;top:0;width:1037;height:936" coordorigin="0,0" coordsize="1037,936" path="m0,936l1037,936,1037,0,0,0,0,936xe" filled="true" fillcolor="#ffffff" stroked="false">
                      <v:path arrowok="t"/>
                      <v:fill type="solid"/>
                    </v:shape>
                  </v:group>
                </v:group>
              </w:pict>
            </w:r>
            <w:r>
              <w:rPr>
                <w:rFonts w:ascii="宋体" w:hAnsi="宋体" w:cs="宋体" w:eastAsia="宋体" w:hint="default"/>
                <w:position w:val="-18"/>
                <w:sz w:val="20"/>
                <w:szCs w:val="20"/>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325,080,457.</w:t>
            </w:r>
            <w:r>
              <w:rPr>
                <w:rFonts w:ascii="Times New Roman"/>
                <w:sz w:val="18"/>
              </w:rPr>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134,869,345.</w:t>
            </w:r>
            <w:r>
              <w:rPr>
                <w:rFonts w:ascii="Times New Roman"/>
                <w:sz w:val="18"/>
              </w:rPr>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208,317,361.</w:t>
            </w:r>
            <w:r>
              <w:rPr>
                <w:rFonts w:ascii="Times New Roman"/>
                <w:sz w:val="18"/>
              </w:rPr>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47,772,975.9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40,402,190.3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w:t>
            </w:r>
          </w:p>
        </w:tc>
      </w:tr>
      <w:tr>
        <w:trPr>
          <w:trHeight w:val="133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华逸奇</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军用电子盘 和无人艇业 务研发、生 产、销售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23,264,612.4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15,347,182.5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5,336,208.84</w:t>
            </w:r>
            <w:r>
              <w:rPr>
                <w:rFonts w:ascii="Times New Roman"/>
                <w:sz w:val="18"/>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-1,338,223.0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-1,338,223.0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弘毅华浩</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8"/>
              <w:jc w:val="both"/>
              <w:rPr>
                <w:rFonts w:ascii="宋体" w:hAnsi="宋体" w:cs="宋体" w:eastAsia="宋体" w:hint="default"/>
                <w:sz w:val="18"/>
                <w:szCs w:val="18"/>
              </w:rPr>
            </w:pPr>
            <w:r>
              <w:rPr>
                <w:rFonts w:ascii="宋体" w:hAnsi="宋体" w:cs="宋体" w:eastAsia="宋体" w:hint="default"/>
                <w:sz w:val="18"/>
                <w:szCs w:val="18"/>
              </w:rPr>
              <w:t>停车场的投 资、建设、 运营业务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6000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11,589,545.8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11,456,186.9</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32,075.48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-1,204,085.6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-1,204,099.1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泰壬科技</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停车场、车 库投资、建 设、运营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14,150,008.8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12,690,983.7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94,339.62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-2,063,400.8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-2,063,400.8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w:t>
            </w:r>
          </w:p>
        </w:tc>
      </w:tr>
      <w:tr>
        <w:trPr>
          <w:trHeight w:val="7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惠邦租赁</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08"/>
              <w:jc w:val="left"/>
              <w:rPr>
                <w:rFonts w:ascii="宋体" w:hAnsi="宋体" w:cs="宋体" w:eastAsia="宋体" w:hint="default"/>
                <w:sz w:val="18"/>
                <w:szCs w:val="18"/>
              </w:rPr>
            </w:pPr>
            <w:r>
              <w:rPr>
                <w:rFonts w:ascii="宋体" w:hAnsi="宋体" w:cs="宋体" w:eastAsia="宋体" w:hint="default"/>
                <w:sz w:val="18"/>
                <w:szCs w:val="18"/>
              </w:rPr>
              <w:t>融资租赁业 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17"/>
              <w:jc w:val="left"/>
              <w:rPr>
                <w:rFonts w:ascii="宋体" w:hAnsi="宋体" w:cs="宋体" w:eastAsia="宋体" w:hint="default"/>
                <w:sz w:val="18"/>
                <w:szCs w:val="18"/>
              </w:rPr>
            </w:pPr>
            <w:r>
              <w:rPr>
                <w:rFonts w:ascii="宋体" w:hAnsi="宋体" w:cs="宋体" w:eastAsia="宋体" w:hint="default"/>
                <w:sz w:val="18"/>
                <w:szCs w:val="18"/>
              </w:rPr>
              <w:t>美元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109,320,811.</w:t>
            </w:r>
            <w:r>
              <w:rPr>
                <w:rFonts w:ascii="Times New Roman"/>
                <w:sz w:val="18"/>
              </w:rPr>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46,794,726.5</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6,073,542.31</w:t>
            </w:r>
            <w:r>
              <w:rPr>
                <w:rFonts w:ascii="Times New Roman"/>
                <w:sz w:val="18"/>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3,423,875.19</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2,616,752.73</w:t>
            </w:r>
            <w:r>
              <w:rPr>
                <w:rFonts w:ascii="Times New Roman"/>
                <w:sz w:val="18"/>
              </w:rPr>
            </w:r>
          </w:p>
        </w:tc>
      </w:tr>
      <w:tr>
        <w:trPr>
          <w:trHeight w:val="164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抚州五洋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停车场建 设、运营、 管理；智能 车库设备及 软件</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3,075,147.62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2,953,314.12</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-46,685.88</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-46,685.88</w:t>
            </w:r>
            <w:r>
              <w:rPr>
                <w:rFonts w:ascii="Times New Roman"/>
                <w:sz w:val="18"/>
              </w:rPr>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19"/>
              <w:jc w:val="left"/>
              <w:rPr>
                <w:rFonts w:ascii="宋体" w:hAnsi="宋体" w:cs="宋体" w:eastAsia="宋体" w:hint="default"/>
                <w:sz w:val="18"/>
                <w:szCs w:val="18"/>
              </w:rPr>
            </w:pPr>
            <w:r>
              <w:rPr>
                <w:rFonts w:ascii="宋体" w:hAnsi="宋体" w:cs="宋体" w:eastAsia="宋体" w:hint="default"/>
                <w:sz w:val="18"/>
                <w:szCs w:val="18"/>
              </w:rPr>
              <w:t>徐州疌盛合 伙企业</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8"/>
              <w:jc w:val="both"/>
              <w:rPr>
                <w:rFonts w:ascii="宋体" w:hAnsi="宋体" w:cs="宋体" w:eastAsia="宋体" w:hint="default"/>
                <w:sz w:val="18"/>
                <w:szCs w:val="18"/>
              </w:rPr>
            </w:pPr>
            <w:r>
              <w:rPr>
                <w:rFonts w:ascii="宋体" w:hAnsi="宋体" w:cs="宋体" w:eastAsia="宋体" w:hint="default"/>
                <w:sz w:val="18"/>
                <w:szCs w:val="18"/>
              </w:rPr>
              <w:t>非证券股权 投资及咨询 服务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7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15,200,000.0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15,200,000.0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2"/>
        <w:jc w:val="left"/>
      </w:pPr>
      <w:r>
        <w:rPr/>
        <w:t>报告期内取得和处置子公司的情况</w:t>
      </w:r>
    </w:p>
    <w:p>
      <w:pPr>
        <w:pStyle w:val="BodyText"/>
        <w:spacing w:line="240" w:lineRule="auto" w:before="115"/>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北京联合智能公司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抚州五洋公司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3190"/>
        <w:gridCol w:w="3192"/>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产业基金公司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2"/>
        <w:jc w:val="left"/>
      </w:pPr>
      <w:r>
        <w:rPr/>
        <w:t>主要控股参股公司情况说明</w:t>
      </w:r>
    </w:p>
    <w:p>
      <w:pPr>
        <w:spacing w:line="240" w:lineRule="auto" w:before="1"/>
        <w:rPr>
          <w:rFonts w:ascii="宋体" w:hAnsi="宋体" w:cs="宋体" w:eastAsia="宋体" w:hint="default"/>
          <w:sz w:val="25"/>
          <w:szCs w:val="25"/>
        </w:rPr>
      </w:pPr>
    </w:p>
    <w:p>
      <w:pPr>
        <w:pStyle w:val="Heading2"/>
        <w:spacing w:line="240" w:lineRule="auto"/>
        <w:ind w:right="982"/>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82"/>
        <w:jc w:val="left"/>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2"/>
        <w:jc w:val="left"/>
      </w:pPr>
      <w:r>
        <w:rPr/>
        <w:t>（一）行业格局和趋势</w:t>
      </w:r>
    </w:p>
    <w:p>
      <w:pPr>
        <w:pStyle w:val="BodyText"/>
        <w:spacing w:line="240" w:lineRule="auto" w:before="117"/>
        <w:ind w:left="512" w:right="982"/>
        <w:jc w:val="left"/>
      </w:pPr>
      <w:r>
        <w:rPr>
          <w:rFonts w:ascii="Times New Roman" w:hAnsi="Times New Roman" w:cs="Times New Roman" w:eastAsia="Times New Roman" w:hint="default"/>
        </w:rPr>
        <w:t>1</w:t>
      </w:r>
      <w:r>
        <w:rPr/>
        <w:t>、政策利好不断出台，助推停车行业快速发展</w:t>
      </w:r>
    </w:p>
    <w:p>
      <w:pPr>
        <w:pStyle w:val="BodyText"/>
        <w:spacing w:line="304" w:lineRule="auto" w:before="103"/>
        <w:ind w:right="1130" w:firstLine="360"/>
        <w:jc w:val="both"/>
      </w:pPr>
      <w:r>
        <w:rPr>
          <w:rFonts w:ascii="Times New Roman" w:hAnsi="Times New Roman" w:cs="Times New Roman" w:eastAsia="Times New Roman" w:hint="default"/>
        </w:rPr>
        <w:t>2015</w:t>
      </w:r>
      <w:r>
        <w:rPr/>
        <w:t>年以来，国家和地方政府出台了一系列鼓励停车场建设的政策：</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月国家发改委等七部委联合发布了《关于 加强城市停车设施建设的指导意见》，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月，住建部发布《城市停车设施规划导则》和《城市停车设施建设指南》。</w:t>
      </w:r>
      <w:r>
        <w:rPr>
          <w:spacing w:val="-85"/>
        </w:rPr>
        <w:t> </w:t>
      </w:r>
      <w:r>
        <w:rPr>
          <w:spacing w:val="-85"/>
        </w:rPr>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月，国家发改委发布《加快城市停车场建设近期工作要点与任务分工》。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月，国家发改委发布《关于开展</w:t>
      </w:r>
      <w:r>
        <w:rPr>
          <w:spacing w:val="-87"/>
        </w:rPr>
        <w:t> </w:t>
      </w:r>
      <w:r>
        <w:rPr>
          <w:spacing w:val="-87"/>
        </w:rPr>
      </w:r>
      <w:r>
        <w:rPr/>
        <w:t>城市停车场试点示范工作的通知》。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月，国务院发布《关于完善促进消费体制机制进一步激发居民消费潜力的若干</w:t>
      </w:r>
      <w:r>
        <w:rPr>
          <w:spacing w:val="-85"/>
        </w:rPr>
        <w:t> </w:t>
      </w:r>
      <w:r>
        <w:rPr>
          <w:spacing w:val="-85"/>
        </w:rPr>
      </w:r>
      <w:r>
        <w:rPr>
          <w:spacing w:val="-2"/>
        </w:rPr>
        <w:t>意见》，明确提到要构架更加成熟的消费细分市场，壮大消费新增长点，住行消费方面特意提出要加强城市停车场和新能源</w:t>
      </w:r>
      <w:r>
        <w:rPr>
          <w:spacing w:val="-64"/>
        </w:rPr>
        <w:t> </w:t>
      </w:r>
      <w:r>
        <w:rPr>
          <w:spacing w:val="-64"/>
        </w:rPr>
      </w:r>
      <w:r>
        <w:rPr/>
        <w:t>汽车充电设施建设。</w:t>
      </w:r>
    </w:p>
    <w:p>
      <w:pPr>
        <w:pStyle w:val="BodyText"/>
        <w:spacing w:line="300" w:lineRule="auto" w:before="66"/>
        <w:ind w:right="1130"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月，北京市政府颁布《北京市机动车停车管理条例》，该条例从政府的角度肯定了智慧停车的意义。</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月，深圳市发改委等</w:t>
      </w:r>
      <w:r>
        <w:rPr>
          <w:rFonts w:ascii="Times New Roman" w:hAnsi="Times New Roman" w:cs="Times New Roman" w:eastAsia="Times New Roman" w:hint="default"/>
        </w:rPr>
        <w:t>7</w:t>
      </w:r>
      <w:r>
        <w:rPr/>
        <w:t>部门联合下发《深圳市机械式立体停车设施管理暂行办法的通知》，明确提到要鼓励社会资本参与停</w:t>
      </w:r>
      <w:r>
        <w:rPr>
          <w:spacing w:val="-84"/>
        </w:rPr>
        <w:t> </w:t>
      </w:r>
      <w:r>
        <w:rPr>
          <w:spacing w:val="-84"/>
        </w:rPr>
      </w:r>
      <w:r>
        <w:rPr/>
        <w:t>车场建设，大幅简化立体车库报建审批手续，突破行政审批限制。</w:t>
      </w:r>
    </w:p>
    <w:p>
      <w:pPr>
        <w:pStyle w:val="BodyText"/>
        <w:spacing w:line="316" w:lineRule="auto" w:before="72"/>
        <w:ind w:right="1133" w:firstLine="360"/>
        <w:jc w:val="both"/>
      </w:pPr>
      <w:r>
        <w:rPr>
          <w:spacing w:val="-2"/>
        </w:rPr>
        <w:t>国家和地方政府密集出台的一系列停车行业的鼓励政策，为停车行业的发展提供了良好的政策环境，有助于公司把握停</w:t>
      </w:r>
      <w:r>
        <w:rPr/>
        <w:t> 车行业快速发展的契机，扩大业务规模，实现快速成长。</w:t>
      </w:r>
    </w:p>
    <w:p>
      <w:pPr>
        <w:pStyle w:val="BodyText"/>
        <w:spacing w:line="338" w:lineRule="auto" w:before="59"/>
        <w:ind w:left="604" w:right="1122" w:hanging="92"/>
        <w:jc w:val="left"/>
      </w:pPr>
      <w:r>
        <w:rPr>
          <w:rFonts w:ascii="Times New Roman" w:hAnsi="Times New Roman" w:cs="Times New Roman" w:eastAsia="Times New Roman" w:hint="default"/>
        </w:rPr>
        <w:t>2</w:t>
      </w:r>
      <w:r>
        <w:rPr/>
        <w:t>、智能制造保持长期增长态势 自</w:t>
      </w:r>
      <w:r>
        <w:rPr>
          <w:rFonts w:ascii="Times New Roman" w:hAnsi="Times New Roman" w:cs="Times New Roman" w:eastAsia="Times New Roman" w:hint="default"/>
        </w:rPr>
        <w:t>2015</w:t>
      </w:r>
      <w:r>
        <w:rPr/>
        <w:t>年国务院发布《中国制造</w:t>
      </w:r>
      <w:r>
        <w:rPr>
          <w:rFonts w:ascii="Times New Roman" w:hAnsi="Times New Roman" w:cs="Times New Roman" w:eastAsia="Times New Roman" w:hint="default"/>
        </w:rPr>
        <w:t>2025</w:t>
      </w:r>
      <w:r>
        <w:rPr/>
        <w:t>》，确定发展世界制造业强国的战略目标以来，国家已经出台了一系列的相关政</w:t>
      </w:r>
    </w:p>
    <w:p>
      <w:pPr>
        <w:pStyle w:val="BodyText"/>
        <w:spacing w:line="217" w:lineRule="exact" w:before="0"/>
        <w:ind w:right="982"/>
        <w:jc w:val="left"/>
      </w:pPr>
      <w:r>
        <w:rPr/>
        <w:t>策对高端智能产品、高新技术企业、先进装备制造业等进行扶持，从产品、企业和行业三个层面来鼓励工业机器人及其相关</w:t>
      </w:r>
    </w:p>
    <w:p>
      <w:pPr>
        <w:pStyle w:val="BodyText"/>
        <w:spacing w:line="300" w:lineRule="auto" w:before="76"/>
        <w:ind w:right="982"/>
        <w:jc w:val="left"/>
      </w:pPr>
      <w:r>
        <w:rPr>
          <w:spacing w:val="-2"/>
        </w:rPr>
        <w:t>行业发展。</w:t>
      </w:r>
      <w:r>
        <w:rPr>
          <w:rFonts w:ascii="Times New Roman" w:hAnsi="Times New Roman" w:cs="Times New Roman" w:eastAsia="Times New Roman" w:hint="default"/>
          <w:spacing w:val="-2"/>
        </w:rPr>
        <w:t>2016</w:t>
      </w:r>
      <w:r>
        <w:rPr>
          <w:spacing w:val="-2"/>
        </w:rPr>
        <w:t>年以来，国家各省市政府围绕高端制造发布多项产业促进政策，全面落实相关产业发展。智能制造是未来制</w:t>
      </w:r>
      <w:r>
        <w:rPr>
          <w:spacing w:val="-61"/>
        </w:rPr>
        <w:t> </w:t>
      </w:r>
      <w:r>
        <w:rPr>
          <w:spacing w:val="-61"/>
        </w:rPr>
      </w:r>
      <w:r>
        <w:rPr/>
        <w:t>造业的主攻方向，是各国抢占科技与市场制高点的关键入口，其市场发展空间十分广阔。</w:t>
      </w:r>
    </w:p>
    <w:p>
      <w:pPr>
        <w:pStyle w:val="BodyText"/>
        <w:spacing w:line="360" w:lineRule="auto" w:before="72"/>
        <w:ind w:left="512" w:right="982" w:hanging="360"/>
        <w:jc w:val="left"/>
      </w:pPr>
      <w:r>
        <w:rPr/>
        <w:t>（二）发展战略 </w:t>
      </w:r>
      <w:r>
        <w:rPr>
          <w:spacing w:val="-2"/>
        </w:rPr>
        <w:t>通过实施</w:t>
      </w:r>
      <w:r>
        <w:rPr>
          <w:rFonts w:ascii="Times New Roman" w:hAnsi="Times New Roman" w:cs="Times New Roman" w:eastAsia="Times New Roman" w:hint="default"/>
          <w:spacing w:val="-2"/>
        </w:rPr>
        <w:t>“</w:t>
      </w:r>
      <w:r>
        <w:rPr>
          <w:spacing w:val="-2"/>
        </w:rPr>
        <w:t>智造</w:t>
      </w:r>
      <w:r>
        <w:rPr>
          <w:rFonts w:ascii="Times New Roman" w:hAnsi="Times New Roman" w:cs="Times New Roman" w:eastAsia="Times New Roman" w:hint="default"/>
          <w:spacing w:val="-2"/>
        </w:rPr>
        <w:t>+</w:t>
      </w:r>
      <w:r>
        <w:rPr>
          <w:spacing w:val="-2"/>
        </w:rPr>
        <w:t>停车资源</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的战略，紧紧抓住获取</w:t>
      </w:r>
      <w:r>
        <w:rPr>
          <w:rFonts w:ascii="Times New Roman" w:hAnsi="Times New Roman" w:cs="Times New Roman" w:eastAsia="Times New Roman" w:hint="default"/>
          <w:spacing w:val="-2"/>
        </w:rPr>
        <w:t>“</w:t>
      </w:r>
      <w:r>
        <w:rPr>
          <w:spacing w:val="-2"/>
        </w:rPr>
        <w:t>停车资源</w:t>
      </w:r>
      <w:r>
        <w:rPr>
          <w:rFonts w:ascii="Times New Roman" w:hAnsi="Times New Roman" w:cs="Times New Roman" w:eastAsia="Times New Roman" w:hint="default"/>
          <w:spacing w:val="-2"/>
        </w:rPr>
        <w:t>”</w:t>
      </w:r>
      <w:r>
        <w:rPr>
          <w:spacing w:val="-2"/>
        </w:rPr>
        <w:t>的关键要点，通过智能制造、工业物联网的应用开</w:t>
      </w:r>
    </w:p>
    <w:p>
      <w:pPr>
        <w:pStyle w:val="BodyText"/>
        <w:spacing w:line="212" w:lineRule="exact" w:before="0"/>
        <w:ind w:right="982"/>
        <w:jc w:val="left"/>
      </w:pPr>
      <w:r>
        <w:rPr/>
        <w:t>发、城市级智慧停车云平台的技术研发，进一步提升公司获取停车资源的能力和数量。以</w:t>
      </w:r>
      <w:r>
        <w:rPr>
          <w:rFonts w:ascii="Times New Roman" w:hAnsi="Times New Roman" w:cs="Times New Roman" w:eastAsia="Times New Roman" w:hint="default"/>
        </w:rPr>
        <w:t>“</w:t>
      </w:r>
      <w:r>
        <w:rPr/>
        <w:t>智造</w:t>
      </w:r>
      <w:r>
        <w:rPr>
          <w:rFonts w:ascii="Times New Roman" w:hAnsi="Times New Roman" w:cs="Times New Roman" w:eastAsia="Times New Roman" w:hint="default"/>
        </w:rPr>
        <w:t>”</w:t>
      </w:r>
      <w:r>
        <w:rPr/>
        <w:t>作为抓手，扩大智造板块的</w:t>
      </w:r>
    </w:p>
    <w:p>
      <w:pPr>
        <w:pStyle w:val="BodyText"/>
        <w:spacing w:line="316" w:lineRule="auto" w:before="62"/>
        <w:ind w:right="982"/>
        <w:jc w:val="left"/>
      </w:pPr>
      <w:r>
        <w:rPr>
          <w:spacing w:val="-2"/>
        </w:rPr>
        <w:t>销售规模，提升机械式立体停车设备的市场占有率，同时，全力打造散料搬运核心装备、信息化自动生产线、智能仓储物流</w:t>
      </w:r>
      <w:r>
        <w:rPr>
          <w:spacing w:val="-67"/>
        </w:rPr>
        <w:t> </w:t>
      </w:r>
      <w:r>
        <w:rPr>
          <w:spacing w:val="-67"/>
        </w:rPr>
      </w:r>
      <w:r>
        <w:rPr/>
        <w:t>三个板块，实现销售收入较快增长。</w:t>
      </w:r>
    </w:p>
    <w:p>
      <w:pPr>
        <w:pStyle w:val="BodyText"/>
        <w:spacing w:line="240" w:lineRule="auto" w:before="57"/>
        <w:ind w:right="982"/>
        <w:jc w:val="left"/>
      </w:pPr>
      <w:r>
        <w:rPr/>
        <w:t>（三）</w:t>
      </w:r>
      <w:r>
        <w:rPr>
          <w:rFonts w:ascii="Times New Roman" w:hAnsi="Times New Roman" w:cs="Times New Roman" w:eastAsia="Times New Roman" w:hint="default"/>
        </w:rPr>
        <w:t>2019</w:t>
      </w:r>
      <w:r>
        <w:rPr/>
        <w:t>年经营计划</w:t>
      </w:r>
    </w:p>
    <w:p>
      <w:pPr>
        <w:pStyle w:val="BodyText"/>
        <w:spacing w:line="340" w:lineRule="auto" w:before="103"/>
        <w:ind w:left="512" w:right="982"/>
        <w:jc w:val="left"/>
      </w:pPr>
      <w:r>
        <w:rPr>
          <w:rFonts w:ascii="Times New Roman" w:hAnsi="Times New Roman" w:cs="Times New Roman" w:eastAsia="Times New Roman" w:hint="default"/>
        </w:rPr>
        <w:t>1</w:t>
      </w:r>
      <w:r>
        <w:rPr/>
        <w:t>、围绕获取</w:t>
      </w:r>
      <w:r>
        <w:rPr>
          <w:rFonts w:ascii="Times New Roman" w:hAnsi="Times New Roman" w:cs="Times New Roman" w:eastAsia="Times New Roman" w:hint="default"/>
        </w:rPr>
        <w:t>“</w:t>
      </w:r>
      <w:r>
        <w:rPr/>
        <w:t>停车资源</w:t>
      </w:r>
      <w:r>
        <w:rPr>
          <w:rFonts w:ascii="Times New Roman" w:hAnsi="Times New Roman" w:cs="Times New Roman" w:eastAsia="Times New Roman" w:hint="default"/>
        </w:rPr>
        <w:t>”</w:t>
      </w:r>
      <w:r>
        <w:rPr/>
        <w:t>为中心开展停车场投资建设运营。 </w:t>
      </w:r>
      <w:r>
        <w:rPr>
          <w:spacing w:val="-2"/>
        </w:rPr>
        <w:t>公司的</w:t>
      </w:r>
      <w:r>
        <w:rPr>
          <w:rFonts w:ascii="Times New Roman" w:hAnsi="Times New Roman" w:cs="Times New Roman" w:eastAsia="Times New Roman" w:hint="default"/>
          <w:spacing w:val="-2"/>
        </w:rPr>
        <w:t>“</w:t>
      </w:r>
      <w:r>
        <w:rPr>
          <w:spacing w:val="-2"/>
        </w:rPr>
        <w:t>停车资源</w:t>
      </w:r>
      <w:r>
        <w:rPr>
          <w:rFonts w:ascii="Times New Roman" w:hAnsi="Times New Roman" w:cs="Times New Roman" w:eastAsia="Times New Roman" w:hint="default"/>
          <w:spacing w:val="-2"/>
        </w:rPr>
        <w:t>”</w:t>
      </w:r>
      <w:r>
        <w:rPr>
          <w:spacing w:val="-2"/>
        </w:rPr>
        <w:t>可以分为三大类：一是维保类停车资源，通过设备销售和建设扩大规模；二是权益类停车资源，通过</w:t>
      </w:r>
    </w:p>
    <w:p>
      <w:pPr>
        <w:pStyle w:val="BodyText"/>
        <w:spacing w:line="215" w:lineRule="exact" w:before="0"/>
        <w:ind w:right="982"/>
        <w:jc w:val="left"/>
      </w:pPr>
      <w:r>
        <w:rPr/>
        <w:t>停车场投资建设来扩大规模；三是联盟类停车资源，通过使用公司的智慧停车云平台来扩大规模。</w:t>
      </w:r>
    </w:p>
    <w:p>
      <w:pPr>
        <w:pStyle w:val="BodyText"/>
        <w:spacing w:line="240" w:lineRule="auto" w:before="115"/>
        <w:ind w:left="512" w:right="982"/>
        <w:jc w:val="left"/>
      </w:pPr>
      <w:r>
        <w:rPr/>
        <w:t>⑴进一步扩大机械式立体停车设备生产、销售规模，提高市场占有率，大力推动城市大巴车立体车库的销售工作。</w:t>
      </w:r>
    </w:p>
    <w:p>
      <w:pPr>
        <w:pStyle w:val="BodyText"/>
        <w:spacing w:line="316" w:lineRule="auto" w:before="117"/>
        <w:ind w:right="1131" w:firstLine="360"/>
        <w:jc w:val="both"/>
      </w:pPr>
      <w:r>
        <w:rPr>
          <w:spacing w:val="-2"/>
        </w:rPr>
        <w:t>⑵加大公司对外停车场投资力度，实现权益类停车场较大幅度的增长。主要通过以下途径对外投资：一是参与各地政府</w:t>
      </w:r>
      <w:r>
        <w:rPr/>
        <w:t> 公共停车场建设；二是参与以医院为代表的事业单位的停车场建设；三是其他业主的停车场投资业务。</w:t>
      </w:r>
    </w:p>
    <w:p>
      <w:pPr>
        <w:pStyle w:val="BodyText"/>
        <w:spacing w:line="316" w:lineRule="auto" w:before="59"/>
        <w:ind w:right="1051" w:firstLine="360"/>
        <w:jc w:val="both"/>
      </w:pPr>
      <w:r>
        <w:rPr/>
        <w:t>⑶加快公司智慧停车云平台的建设，打造无人值守停车管理技术。通过云平台来整合抚州公司、南平公司、沈阳公司、 南昌公司等各自拥有的停车泊位，并通过无人值守解决方案进一步联盟其他社会停车场，扩大联盟类停车资源的规模。</w:t>
      </w:r>
    </w:p>
    <w:p>
      <w:pPr>
        <w:pStyle w:val="BodyText"/>
        <w:spacing w:line="240" w:lineRule="auto" w:before="57"/>
        <w:ind w:left="512" w:right="982"/>
        <w:jc w:val="left"/>
      </w:pPr>
      <w:r>
        <w:rPr>
          <w:rFonts w:ascii="Times New Roman" w:hAnsi="Times New Roman" w:cs="Times New Roman" w:eastAsia="Times New Roman" w:hint="default"/>
        </w:rPr>
        <w:t>2</w:t>
      </w:r>
      <w:r>
        <w:rPr/>
        <w:t>、认真经营好目前在手的</w:t>
      </w:r>
      <w:r>
        <w:rPr>
          <w:rFonts w:ascii="Times New Roman" w:hAnsi="Times New Roman" w:cs="Times New Roman" w:eastAsia="Times New Roman" w:hint="default"/>
        </w:rPr>
        <w:t>“</w:t>
      </w:r>
      <w:r>
        <w:rPr/>
        <w:t>停车资源</w:t>
      </w:r>
      <w:r>
        <w:rPr>
          <w:rFonts w:ascii="Times New Roman" w:hAnsi="Times New Roman" w:cs="Times New Roman" w:eastAsia="Times New Roman" w:hint="default"/>
        </w:rPr>
        <w:t>”</w:t>
      </w:r>
      <w:r>
        <w:rPr/>
        <w:t>，积极探索停车资源的增值收入。</w:t>
      </w:r>
    </w:p>
    <w:p>
      <w:pPr>
        <w:spacing w:after="0" w:line="240" w:lineRule="auto"/>
        <w:jc w:val="left"/>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316" w:lineRule="auto"/>
        <w:ind w:right="982" w:firstLine="360"/>
        <w:jc w:val="left"/>
      </w:pPr>
      <w:r>
        <w:rPr>
          <w:spacing w:val="-2"/>
        </w:rPr>
        <w:t>⑴建设一支优秀的维保队伍，从而确保公司当前的维保服务工作。以工业物联技术为依托，逐步将维保泊位上线，提高</w:t>
      </w:r>
      <w:r>
        <w:rPr/>
        <w:t> 维保效率。</w:t>
      </w:r>
    </w:p>
    <w:p>
      <w:pPr>
        <w:pStyle w:val="BodyText"/>
        <w:spacing w:line="240" w:lineRule="auto" w:before="59"/>
        <w:ind w:left="512" w:right="982"/>
        <w:jc w:val="left"/>
      </w:pPr>
      <w:r>
        <w:rPr/>
        <w:t>⑵依靠智慧停车云平台，不断完善停车管理水平。</w:t>
      </w:r>
    </w:p>
    <w:p>
      <w:pPr>
        <w:pStyle w:val="BodyText"/>
        <w:spacing w:line="316" w:lineRule="auto" w:before="115"/>
        <w:ind w:right="982" w:firstLine="360"/>
        <w:jc w:val="left"/>
      </w:pPr>
      <w:r>
        <w:rPr>
          <w:spacing w:val="-2"/>
        </w:rPr>
        <w:t>⑶探索停车资源的其他增值服务，比如：操作屏广告投放、停车泊位的充电服务、停车场的洗车服务、停车泊位的共享</w:t>
      </w:r>
      <w:r>
        <w:rPr/>
        <w:t> 服务等等。</w:t>
      </w:r>
    </w:p>
    <w:p>
      <w:pPr>
        <w:pStyle w:val="BodyText"/>
        <w:spacing w:line="340" w:lineRule="auto" w:before="59"/>
        <w:ind w:right="1934" w:firstLine="360"/>
        <w:jc w:val="left"/>
      </w:pPr>
      <w:r>
        <w:rPr>
          <w:rFonts w:ascii="Times New Roman" w:hAnsi="Times New Roman" w:cs="Times New Roman" w:eastAsia="Times New Roman" w:hint="default"/>
        </w:rPr>
        <w:t>3</w:t>
      </w:r>
      <w:r>
        <w:rPr/>
        <w:t>、进一步提升智能制造的销售规模。 提升机械式立体停车设备的市场占有率，确保自动化生产线、立体仓储、散料搬运等设备生产、销售稳定增长。</w:t>
      </w:r>
    </w:p>
    <w:p>
      <w:pPr>
        <w:pStyle w:val="BodyText"/>
        <w:spacing w:line="240" w:lineRule="auto" w:before="39"/>
        <w:ind w:left="512" w:right="982"/>
        <w:jc w:val="left"/>
      </w:pPr>
      <w:r>
        <w:rPr>
          <w:rFonts w:ascii="Times New Roman" w:hAnsi="Times New Roman" w:cs="Times New Roman" w:eastAsia="Times New Roman" w:hint="default"/>
        </w:rPr>
        <w:t>4</w:t>
      </w:r>
      <w:r>
        <w:rPr/>
        <w:t>、聚焦核心技术与产品的研发方向。</w:t>
      </w:r>
    </w:p>
    <w:p>
      <w:pPr>
        <w:pStyle w:val="BodyText"/>
        <w:spacing w:line="312" w:lineRule="auto" w:before="103"/>
        <w:ind w:right="982" w:firstLine="360"/>
        <w:jc w:val="left"/>
      </w:pPr>
      <w:r>
        <w:rPr>
          <w:rFonts w:ascii="Times New Roman" w:hAnsi="Times New Roman" w:cs="Times New Roman" w:eastAsia="Times New Roman" w:hint="default"/>
          <w:spacing w:val="-2"/>
        </w:rPr>
        <w:t>2019</w:t>
      </w:r>
      <w:r>
        <w:rPr>
          <w:spacing w:val="-2"/>
        </w:rPr>
        <w:t>年在核心技术与产品方面加大创新研发投入，扎实机械式立体停车设备与智能制造关键技术根基，提升业务的盈利</w:t>
      </w:r>
      <w:r>
        <w:rPr/>
        <w:t> </w:t>
      </w:r>
      <w:r>
        <w:rPr>
          <w:spacing w:val="-2"/>
        </w:rPr>
        <w:t>质量。坚持以市场需求为导向，走专业化道路，继续完善核心产品的型谱。根据科技发展趋势，强化人工智能技术、物联网</w:t>
      </w:r>
      <w:r>
        <w:rPr>
          <w:spacing w:val="-68"/>
        </w:rPr>
        <w:t> </w:t>
      </w:r>
      <w:r>
        <w:rPr>
          <w:spacing w:val="-68"/>
        </w:rPr>
      </w:r>
      <w:r>
        <w:rPr>
          <w:spacing w:val="-2"/>
        </w:rPr>
        <w:t>技术在停车行业与智能装备的落地应用，提高产品应用附加值，成为开启智能化新时代的领军企业。重点研发包括载车板式</w:t>
      </w:r>
      <w:r>
        <w:rPr>
          <w:spacing w:val="-63"/>
        </w:rPr>
        <w:t> </w:t>
      </w:r>
      <w:r>
        <w:rPr>
          <w:spacing w:val="-63"/>
        </w:rPr>
      </w:r>
      <w:r>
        <w:rPr/>
        <w:t>停车</w:t>
      </w:r>
      <w:r>
        <w:rPr>
          <w:rFonts w:ascii="Times New Roman" w:hAnsi="Times New Roman" w:cs="Times New Roman" w:eastAsia="Times New Roman" w:hint="default"/>
        </w:rPr>
        <w:t>AGV</w:t>
      </w:r>
      <w:r>
        <w:rPr/>
        <w:t>的进一步升级优化、大巴车立体车库其他库型的研发（公司已经拥有垂直升降类大巴车库生产资质）、双车板同</w:t>
      </w:r>
      <w:r>
        <w:rPr>
          <w:spacing w:val="-37"/>
        </w:rPr>
        <w:t> </w:t>
      </w:r>
      <w:r>
        <w:rPr>
          <w:spacing w:val="-37"/>
        </w:rPr>
      </w:r>
      <w:r>
        <w:rPr>
          <w:spacing w:val="-4"/>
        </w:rPr>
        <w:t>步交换技术的深化、智能搬运器研发、新型堆垛机研发、立体车库的充电技术研发、自动立机机构研发、自动翻转机构研发、</w:t>
      </w:r>
      <w:r>
        <w:rPr>
          <w:spacing w:val="-43"/>
        </w:rPr>
        <w:t> </w:t>
      </w:r>
      <w:r>
        <w:rPr>
          <w:spacing w:val="-43"/>
        </w:rPr>
      </w:r>
      <w:r>
        <w:rPr/>
        <w:t>自动开箱机构研发、自动落地机构研发、自动拆盘机构研发等等。</w:t>
      </w:r>
    </w:p>
    <w:p>
      <w:pPr>
        <w:pStyle w:val="BodyText"/>
        <w:spacing w:line="338" w:lineRule="auto" w:before="63"/>
        <w:ind w:left="512" w:right="982"/>
        <w:jc w:val="left"/>
      </w:pPr>
      <w:r>
        <w:rPr>
          <w:rFonts w:ascii="Times New Roman" w:hAnsi="Times New Roman" w:cs="Times New Roman" w:eastAsia="Times New Roman" w:hint="default"/>
        </w:rPr>
        <w:t>5</w:t>
      </w:r>
      <w:r>
        <w:rPr/>
        <w:t>、以预算管理为主线，做好年度目标分解和管理工作。 </w:t>
      </w:r>
      <w:r>
        <w:rPr>
          <w:spacing w:val="-2"/>
        </w:rPr>
        <w:t>划小核算单元，实行单元目标成本核算，推动全面预算计划管理，逐步建立基于精确的利润和投资回报率指标。认真做</w:t>
      </w:r>
    </w:p>
    <w:p>
      <w:pPr>
        <w:pStyle w:val="BodyText"/>
        <w:spacing w:line="316" w:lineRule="auto" w:before="2"/>
        <w:ind w:right="1131"/>
        <w:jc w:val="both"/>
      </w:pPr>
      <w:r>
        <w:rPr>
          <w:spacing w:val="-2"/>
        </w:rPr>
        <w:t>好公司年度目标的分解工作，把目标、计划、预算和决算工作有机结合好，保证各项工作得到有效的控制和年度目标的实际</w:t>
      </w:r>
      <w:r>
        <w:rPr>
          <w:spacing w:val="-64"/>
        </w:rPr>
        <w:t> </w:t>
      </w:r>
      <w:r>
        <w:rPr>
          <w:spacing w:val="-64"/>
        </w:rPr>
      </w:r>
      <w:r>
        <w:rPr>
          <w:spacing w:val="-2"/>
        </w:rPr>
        <w:t>落实；做好目标、计划、预算、核算和决算的定期检查、考核工作；不断改进监督和审计方式，做好目标计划的跟踪检查和</w:t>
      </w:r>
      <w:r>
        <w:rPr>
          <w:spacing w:val="-73"/>
        </w:rPr>
        <w:t> </w:t>
      </w:r>
      <w:r>
        <w:rPr>
          <w:spacing w:val="-73"/>
        </w:rPr>
      </w:r>
      <w:r>
        <w:rPr/>
        <w:t>审计工作。</w:t>
      </w:r>
    </w:p>
    <w:p>
      <w:pPr>
        <w:pStyle w:val="BodyText"/>
        <w:spacing w:line="340" w:lineRule="auto" w:before="59"/>
        <w:ind w:left="512" w:right="982"/>
        <w:jc w:val="left"/>
      </w:pPr>
      <w:r>
        <w:rPr>
          <w:rFonts w:ascii="Times New Roman" w:hAnsi="Times New Roman" w:cs="Times New Roman" w:eastAsia="Times New Roman" w:hint="default"/>
        </w:rPr>
        <w:t>6</w:t>
      </w:r>
      <w:r>
        <w:rPr/>
        <w:t>、推进管理制度的创新与人才队伍的建设。 </w:t>
      </w:r>
      <w:r>
        <w:rPr>
          <w:spacing w:val="-2"/>
        </w:rPr>
        <w:t>公司经营规模持续扩张，集团化管理水平对企业发展有至关重要的影响。</w:t>
      </w:r>
      <w:r>
        <w:rPr>
          <w:rFonts w:ascii="Times New Roman" w:hAnsi="Times New Roman" w:cs="Times New Roman" w:eastAsia="Times New Roman" w:hint="default"/>
          <w:spacing w:val="-2"/>
        </w:rPr>
        <w:t>2019</w:t>
      </w:r>
      <w:r>
        <w:rPr>
          <w:spacing w:val="-2"/>
        </w:rPr>
        <w:t>年公司将着重完善后备干部和人才梯队培</w:t>
      </w:r>
    </w:p>
    <w:p>
      <w:pPr>
        <w:pStyle w:val="BodyText"/>
        <w:spacing w:line="215" w:lineRule="exact" w:before="0"/>
        <w:ind w:right="0"/>
        <w:jc w:val="both"/>
      </w:pPr>
      <w:r>
        <w:rPr/>
        <w:t>养体系；加大高端人才的引进和培养，形成对公司在技术创新、市场推广及运营管理等多角度、深层次发展的支持，促进公</w:t>
      </w:r>
    </w:p>
    <w:p>
      <w:pPr>
        <w:pStyle w:val="BodyText"/>
        <w:spacing w:line="240" w:lineRule="auto" w:before="76"/>
        <w:ind w:right="0"/>
        <w:jc w:val="both"/>
      </w:pPr>
      <w:r>
        <w:rPr>
          <w:spacing w:val="-4"/>
        </w:rPr>
        <w:t>司不断踏上发展新台阶。此外，加强企业文化建设，优化绩效考核与激励机制，使员工融入公司发展，发扬共赢的团队精神。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6"/>
          <w:szCs w:val="16"/>
        </w:rPr>
      </w:pPr>
    </w:p>
    <w:p>
      <w:pPr>
        <w:pStyle w:val="Heading2"/>
        <w:spacing w:line="240" w:lineRule="auto"/>
        <w:ind w:right="0"/>
        <w:jc w:val="both"/>
        <w:rPr>
          <w:b w:val="0"/>
          <w:bCs w:val="0"/>
        </w:rPr>
      </w:pPr>
      <w:bookmarkStart w:name="十、接待调研、沟通、采访等活动登记表" w:id="59"/>
      <w:bookmarkEnd w:id="59"/>
      <w:r>
        <w:rPr>
          <w:b w:val="0"/>
          <w:bCs w:val="0"/>
        </w:rPr>
      </w:r>
      <w:r>
        <w:rPr/>
        <w:t>十、接待调研、沟通、采访等活动登记表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pStyle w:val="BodyText"/>
        <w:spacing w:line="340" w:lineRule="auto" w:before="0"/>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公司报告期内未发生接待调研、沟通、采访等活动。</w:t>
      </w:r>
    </w:p>
    <w:p>
      <w:pPr>
        <w:spacing w:after="0" w:line="340" w:lineRule="auto"/>
        <w:jc w:val="left"/>
        <w:sectPr>
          <w:pgSz w:w="11910" w:h="16840"/>
          <w:pgMar w:header="745" w:footer="982" w:top="1060" w:bottom="1180" w:left="980" w:right="0"/>
        </w:sectPr>
      </w:pPr>
    </w:p>
    <w:p>
      <w:pPr>
        <w:spacing w:line="240" w:lineRule="auto" w:before="0"/>
        <w:rPr>
          <w:rFonts w:ascii="宋体" w:hAnsi="宋体" w:cs="宋体" w:eastAsia="宋体" w:hint="default"/>
          <w:sz w:val="20"/>
          <w:szCs w:val="20"/>
        </w:rPr>
      </w:pPr>
      <w:r>
        <w:rPr/>
        <w:pict>
          <v:group style="position:absolute;margin-left:243.960007pt;margin-top:599.519958pt;width:289.7pt;height:19.6pt;mso-position-horizontal-relative:page;mso-position-vertical-relative:page;z-index:-1052368" coordorigin="4879,11990" coordsize="5794,392">
            <v:shape style="position:absolute;left:4879;top:11990;width:5794;height:392" coordorigin="4879,11990" coordsize="5794,392" path="m4879,12382l10673,12382,10673,11990,4879,11990,4879,12382xe" filled="true" fillcolor="#ffffff" stroked="false">
              <v:path arrowok="t"/>
              <v:fill type="solid"/>
            </v:shape>
            <w10:wrap type="none"/>
          </v:group>
        </w:pic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113"/>
        <w:jc w:val="center"/>
        <w:rPr>
          <w:b w:val="0"/>
          <w:bCs w:val="0"/>
        </w:rPr>
      </w:pPr>
      <w:bookmarkStart w:name="_TOC_250007" w:id="61"/>
      <w:bookmarkStart w:name="第五节 重要事项" w:id="62"/>
      <w:r>
        <w:rPr>
          <w:b w:val="0"/>
          <w:bCs w:val="0"/>
        </w:rPr>
      </w:r>
      <w:r>
        <w:rPr/>
        <w:t>第五节</w:t>
      </w:r>
      <w:r>
        <w:rPr>
          <w:spacing w:val="-4"/>
        </w:rPr>
        <w:t> </w:t>
      </w:r>
      <w:r>
        <w:rPr/>
        <w:t>重要事项</w:t>
      </w:r>
      <w:bookmarkEnd w:id="61"/>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982"/>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2"/>
        <w:jc w:val="left"/>
      </w:pPr>
      <w:r>
        <w:rPr/>
        <w:t>报告期内普通股利润分配政策，特别是现金分红政策的制定、执行或调整情况</w:t>
      </w:r>
    </w:p>
    <w:p>
      <w:pPr>
        <w:pStyle w:val="BodyText"/>
        <w:spacing w:line="338" w:lineRule="auto" w:before="117"/>
        <w:ind w:left="440" w:right="982" w:hanging="28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1"/>
        </w:rPr>
        <w:t>报告期内，公司严格按照《公司章程》的规定执行利润分配政策，分红标准和分红比例明确清晰，相关的决策程序和机</w:t>
      </w:r>
    </w:p>
    <w:p>
      <w:pPr>
        <w:pStyle w:val="BodyText"/>
        <w:spacing w:line="316" w:lineRule="auto" w:before="2"/>
        <w:ind w:right="982"/>
        <w:jc w:val="left"/>
      </w:pPr>
      <w:r>
        <w:rPr>
          <w:spacing w:val="-2"/>
        </w:rPr>
        <w:t>制完备。公司独立董事对利润分配事项发表独立意见。公司以详细公告形式向全体股东发出股东大会通知，并提供网络投票</w:t>
      </w:r>
      <w:r>
        <w:rPr>
          <w:spacing w:val="-63"/>
        </w:rPr>
        <w:t> </w:t>
      </w:r>
      <w:r>
        <w:rPr>
          <w:spacing w:val="-63"/>
        </w:rPr>
      </w:r>
      <w:r>
        <w:rPr/>
        <w:t>方式，中小股东有充分表达意见和诉求的机会，充分维护中小股东的合法权益。</w:t>
      </w:r>
    </w:p>
    <w:tbl>
      <w:tblPr>
        <w:tblW w:w="0" w:type="auto"/>
        <w:jc w:val="left"/>
        <w:tblInd w:w="160" w:type="dxa"/>
        <w:tblLayout w:type="fixed"/>
        <w:tblCellMar>
          <w:top w:w="0" w:type="dxa"/>
          <w:left w:w="0" w:type="dxa"/>
          <w:bottom w:w="0" w:type="dxa"/>
          <w:right w:w="0" w:type="dxa"/>
        </w:tblCellMar>
        <w:tblLook w:val="01E0"/>
      </w:tblPr>
      <w:tblGrid>
        <w:gridCol w:w="4760"/>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56"/>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12" w:right="56"/>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61"/>
        <w:ind w:right="982"/>
        <w:jc w:val="left"/>
      </w:pPr>
      <w:r>
        <w:rPr/>
        <w:t>公司报告期利润分配预案及资本公积金转增股本预案与公司章程和分红管理办法等的相关规定一致</w:t>
      </w:r>
    </w:p>
    <w:p>
      <w:pPr>
        <w:pStyle w:val="BodyText"/>
        <w:spacing w:line="350" w:lineRule="auto" w:before="115"/>
        <w:ind w:right="4274"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公司报告期利润分配预案及资本公积金转增股本预案符合公司章程等的相关规定。 本年度利润分配及资本公积金转增股本情况</w:t>
      </w:r>
    </w:p>
    <w:tbl>
      <w:tblPr>
        <w:tblW w:w="0" w:type="auto"/>
        <w:jc w:val="left"/>
        <w:tblInd w:w="160" w:type="dxa"/>
        <w:tblLayout w:type="fixed"/>
        <w:tblCellMar>
          <w:top w:w="0" w:type="dxa"/>
          <w:left w:w="0" w:type="dxa"/>
          <w:bottom w:w="0" w:type="dxa"/>
          <w:right w:w="0" w:type="dxa"/>
        </w:tblCellMar>
        <w:tblLook w:val="01E0"/>
      </w:tblPr>
      <w:tblGrid>
        <w:gridCol w:w="3695"/>
        <w:gridCol w:w="5862"/>
      </w:tblGrid>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0.37</w:t>
            </w:r>
            <w:r>
              <w:rPr>
                <w:rFonts w:ascii="Times New Roman"/>
                <w:sz w:val="18"/>
              </w:rPr>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715,630,489</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26,478,328.09</w:t>
            </w:r>
          </w:p>
        </w:tc>
      </w:tr>
      <w:tr>
        <w:trPr>
          <w:trHeight w:val="402" w:hRule="exact"/>
        </w:trPr>
        <w:tc>
          <w:tcPr>
            <w:tcW w:w="3695" w:type="dxa"/>
            <w:tcBorders>
              <w:top w:val="single" w:sz="4" w:space="0" w:color="000000"/>
              <w:left w:val="single" w:sz="4" w:space="0" w:color="000000"/>
              <w:bottom w:val="single" w:sz="4" w:space="0" w:color="000000"/>
              <w:right w:val="single" w:sz="13" w:space="0" w:color="FFFFFF"/>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62" w:type="dxa"/>
            <w:tcBorders>
              <w:top w:val="single" w:sz="4" w:space="0" w:color="000000"/>
              <w:left w:val="single" w:sz="22" w:space="0" w:color="FFFFFF"/>
              <w:bottom w:val="single" w:sz="4" w:space="0" w:color="000000"/>
              <w:right w:val="single" w:sz="4" w:space="0" w:color="000000"/>
            </w:tcBorders>
          </w:tcPr>
          <w:p>
            <w:pPr>
              <w:pStyle w:val="TableParagraph"/>
              <w:tabs>
                <w:tab w:pos="5493" w:val="left" w:leader="none"/>
              </w:tabs>
              <w:spacing w:line="240" w:lineRule="auto" w:before="49"/>
              <w:ind w:left="-135"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0.00</w:t>
            </w:r>
            <w:r>
              <w:rPr>
                <w:rFonts w:ascii="Times New Roman" w:hAnsi="Times New Roman" w:cs="Times New Roman" w:eastAsia="Times New Roman" w:hint="default"/>
                <w:sz w:val="18"/>
                <w:szCs w:val="18"/>
              </w:rPr>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26,478,328.09</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92,939,314.68</w:t>
            </w:r>
          </w:p>
        </w:tc>
      </w:tr>
      <w:tr>
        <w:trPr>
          <w:trHeight w:val="714"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12" w:right="71"/>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0"/>
        </w:sectPr>
      </w:pPr>
    </w:p>
    <w:p>
      <w:pPr>
        <w:spacing w:line="240" w:lineRule="auto" w:before="2"/>
        <w:rPr>
          <w:rFonts w:ascii="宋体" w:hAnsi="宋体" w:cs="宋体" w:eastAsia="宋体" w:hint="default"/>
          <w:sz w:val="28"/>
          <w:szCs w:val="28"/>
        </w:rPr>
      </w:pPr>
    </w:p>
    <w:p>
      <w:pPr>
        <w:spacing w:line="734" w:lineRule="exact"/>
        <w:ind w:left="148" w:right="0" w:firstLine="0"/>
        <w:rPr>
          <w:rFonts w:ascii="宋体" w:hAnsi="宋体" w:cs="宋体" w:eastAsia="宋体" w:hint="default"/>
          <w:sz w:val="20"/>
          <w:szCs w:val="20"/>
        </w:rPr>
      </w:pPr>
      <w:r>
        <w:rPr>
          <w:rFonts w:ascii="宋体" w:hAnsi="宋体" w:cs="宋体" w:eastAsia="宋体" w:hint="default"/>
          <w:position w:val="-14"/>
          <w:sz w:val="20"/>
          <w:szCs w:val="20"/>
        </w:rPr>
        <w:pict>
          <v:group style="width:481.8pt;height:36.75pt;mso-position-horizontal-relative:char;mso-position-vertical-relative:line" coordorigin="0,0" coordsize="9636,735">
            <v:group style="position:absolute;left:10;top:10;width:9560;height:2" coordorigin="10,10" coordsize="9560,2">
              <v:shape style="position:absolute;left:10;top:10;width:9560;height:2" coordorigin="10,10" coordsize="9560,0" path="m10,10l9569,10e" filled="false" stroked="true" strokeweight=".481pt" strokecolor="#000000">
                <v:path arrowok="t"/>
              </v:shape>
            </v:group>
            <v:group style="position:absolute;left:5;top:5;width:2;height:725" coordorigin="5,5" coordsize="2,725">
              <v:shape style="position:absolute;left:5;top:5;width:2;height:725" coordorigin="5,5" coordsize="0,725" path="m5,5l5,730e" filled="false" stroked="true" strokeweight=".48pt" strokecolor="#000000">
                <v:path arrowok="t"/>
              </v:shape>
            </v:group>
            <v:group style="position:absolute;left:10;top:725;width:9560;height:2" coordorigin="10,725" coordsize="9560,2">
              <v:shape style="position:absolute;left:10;top:725;width:9560;height:2" coordorigin="10,725" coordsize="9560,0" path="m10,725l9569,725e" filled="false" stroked="true" strokeweight=".48pt" strokecolor="#000000">
                <v:path arrowok="t"/>
              </v:shape>
            </v:group>
            <v:group style="position:absolute;left:9574;top:5;width:2;height:725" coordorigin="9574,5" coordsize="2,725">
              <v:shape style="position:absolute;left:9574;top:5;width:2;height:725" coordorigin="9574,5" coordsize="0,725" path="m9574,5l9574,730e" filled="false" stroked="true" strokeweight=".48pt" strokecolor="#000000">
                <v:path arrowok="t"/>
              </v:shape>
              <v:shape style="position:absolute;left:0;top:0;width:9636;height:735" type="#_x0000_t202" filled="false" stroked="false">
                <v:textbox inset="0,0,0,0">
                  <w:txbxContent>
                    <w:p>
                      <w:pPr>
                        <w:spacing w:before="63"/>
                        <w:ind w:left="33" w:right="0"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年利润分配预案为</w:t>
                      </w:r>
                      <w:r>
                        <w:rPr>
                          <w:rFonts w:ascii="宋体" w:hAnsi="宋体" w:cs="宋体" w:eastAsia="宋体" w:hint="default"/>
                          <w:spacing w:val="-8"/>
                          <w:sz w:val="18"/>
                          <w:szCs w:val="18"/>
                        </w:rPr>
                        <w:t>：</w:t>
                      </w:r>
                      <w:r>
                        <w:rPr>
                          <w:rFonts w:ascii="宋体" w:hAnsi="宋体" w:cs="宋体" w:eastAsia="宋体" w:hint="default"/>
                          <w:sz w:val="18"/>
                          <w:szCs w:val="18"/>
                        </w:rPr>
                        <w:t>以</w:t>
                      </w:r>
                      <w:r>
                        <w:rPr>
                          <w:rFonts w:ascii="宋体" w:hAnsi="宋体" w:cs="宋体" w:eastAsia="宋体" w:hint="default"/>
                          <w:spacing w:val="-3"/>
                          <w:sz w:val="18"/>
                          <w:szCs w:val="18"/>
                        </w:rPr>
                        <w:t>公</w:t>
                      </w:r>
                      <w:r>
                        <w:rPr>
                          <w:rFonts w:ascii="宋体" w:hAnsi="宋体" w:cs="宋体" w:eastAsia="宋体" w:hint="default"/>
                          <w:sz w:val="18"/>
                          <w:szCs w:val="18"/>
                        </w:rPr>
                        <w:t>司总股本</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w:t>
                      </w:r>
                      <w:r>
                        <w:rPr>
                          <w:rFonts w:ascii="宋体" w:hAnsi="宋体" w:cs="宋体" w:eastAsia="宋体" w:hint="default"/>
                          <w:spacing w:val="-3"/>
                          <w:sz w:val="18"/>
                          <w:szCs w:val="18"/>
                        </w:rPr>
                        <w:t>数</w:t>
                      </w:r>
                      <w:r>
                        <w:rPr>
                          <w:rFonts w:ascii="宋体" w:hAnsi="宋体" w:cs="宋体" w:eastAsia="宋体" w:hint="default"/>
                          <w:spacing w:val="-8"/>
                          <w:sz w:val="18"/>
                          <w:szCs w:val="18"/>
                        </w:rPr>
                        <w:t>，</w:t>
                      </w:r>
                      <w:r>
                        <w:rPr>
                          <w:rFonts w:ascii="宋体" w:hAnsi="宋体" w:cs="宋体" w:eastAsia="宋体" w:hint="default"/>
                          <w:sz w:val="18"/>
                          <w:szCs w:val="18"/>
                        </w:rPr>
                        <w:t>向全体股东每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w:t>
                      </w:r>
                      <w:r>
                        <w:rPr>
                          <w:rFonts w:ascii="宋体" w:hAnsi="宋体" w:cs="宋体" w:eastAsia="宋体" w:hint="default"/>
                          <w:spacing w:val="-3"/>
                          <w:sz w:val="18"/>
                          <w:szCs w:val="18"/>
                        </w:rPr>
                        <w:t>金</w:t>
                      </w:r>
                      <w:r>
                        <w:rPr>
                          <w:rFonts w:ascii="宋体" w:hAnsi="宋体" w:cs="宋体" w:eastAsia="宋体" w:hint="default"/>
                          <w:sz w:val="18"/>
                          <w:szCs w:val="18"/>
                        </w:rPr>
                        <w:t>红利</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元</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合计派</w:t>
                      </w:r>
                    </w:p>
                    <w:p>
                      <w:pPr>
                        <w:spacing w:before="63"/>
                        <w:ind w:left="33" w:right="0" w:firstLine="0"/>
                        <w:jc w:val="left"/>
                        <w:rPr>
                          <w:rFonts w:ascii="宋体" w:hAnsi="宋体" w:cs="宋体" w:eastAsia="宋体" w:hint="default"/>
                          <w:sz w:val="18"/>
                          <w:szCs w:val="18"/>
                        </w:rPr>
                      </w:pPr>
                      <w:r>
                        <w:rPr>
                          <w:rFonts w:ascii="宋体" w:hAnsi="宋体" w:cs="宋体" w:eastAsia="宋体" w:hint="default"/>
                          <w:sz w:val="18"/>
                          <w:szCs w:val="18"/>
                        </w:rPr>
                        <w:t>发现金红利人民币</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pacing w:val="-20"/>
                          <w:sz w:val="18"/>
                          <w:szCs w:val="18"/>
                        </w:rPr>
                        <w:t>元</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pacing w:val="-20"/>
                          <w:sz w:val="18"/>
                          <w:szCs w:val="18"/>
                        </w:rPr>
                        <w:t>，</w:t>
                      </w:r>
                      <w:r>
                        <w:rPr>
                          <w:rFonts w:ascii="宋体" w:hAnsi="宋体" w:cs="宋体" w:eastAsia="宋体" w:hint="default"/>
                          <w:sz w:val="18"/>
                          <w:szCs w:val="18"/>
                        </w:rPr>
                        <w:t>剩余未分配利</w:t>
                      </w:r>
                      <w:r>
                        <w:rPr>
                          <w:rFonts w:ascii="宋体" w:hAnsi="宋体" w:cs="宋体" w:eastAsia="宋体" w:hint="default"/>
                          <w:spacing w:val="2"/>
                          <w:sz w:val="18"/>
                          <w:szCs w:val="18"/>
                        </w:rPr>
                        <w:t>润</w:t>
                      </w:r>
                      <w:r>
                        <w:rPr>
                          <w:rFonts w:ascii="宋体" w:hAnsi="宋体" w:cs="宋体" w:eastAsia="宋体" w:hint="default"/>
                          <w:sz w:val="18"/>
                          <w:szCs w:val="18"/>
                        </w:rPr>
                        <w:t>结转以后年度</w:t>
                      </w:r>
                      <w:r>
                        <w:rPr>
                          <w:rFonts w:ascii="宋体" w:hAnsi="宋体" w:cs="宋体" w:eastAsia="宋体" w:hint="default"/>
                          <w:spacing w:val="-20"/>
                          <w:sz w:val="18"/>
                          <w:szCs w:val="18"/>
                        </w:rPr>
                        <w:t>；</w:t>
                      </w:r>
                      <w:r>
                        <w:rPr>
                          <w:rFonts w:ascii="宋体" w:hAnsi="宋体" w:cs="宋体" w:eastAsia="宋体" w:hint="default"/>
                          <w:sz w:val="18"/>
                          <w:szCs w:val="18"/>
                        </w:rPr>
                        <w:t>本年度不以资本公积金转增股本</w:t>
                      </w:r>
                      <w:r>
                        <w:rPr>
                          <w:rFonts w:ascii="宋体" w:hAnsi="宋体" w:cs="宋体" w:eastAsia="宋体" w:hint="default"/>
                          <w:spacing w:val="-20"/>
                          <w:sz w:val="18"/>
                          <w:szCs w:val="18"/>
                        </w:rPr>
                        <w:t>，</w:t>
                      </w:r>
                      <w:r>
                        <w:rPr>
                          <w:rFonts w:ascii="宋体" w:hAnsi="宋体" w:cs="宋体" w:eastAsia="宋体" w:hint="default"/>
                          <w:sz w:val="18"/>
                          <w:szCs w:val="18"/>
                        </w:rPr>
                        <w:t>不送红股。</w:t>
                      </w:r>
                    </w:p>
                  </w:txbxContent>
                </v:textbox>
                <w10:wrap type="none"/>
              </v:shape>
            </v:group>
          </v:group>
        </w:pict>
      </w:r>
      <w:r>
        <w:rPr>
          <w:rFonts w:ascii="宋体" w:hAnsi="宋体" w:cs="宋体" w:eastAsia="宋体" w:hint="default"/>
          <w:position w:val="-14"/>
          <w:sz w:val="20"/>
          <w:szCs w:val="20"/>
        </w:rPr>
      </w:r>
    </w:p>
    <w:p>
      <w:pPr>
        <w:pStyle w:val="BodyText"/>
        <w:spacing w:line="319" w:lineRule="auto"/>
        <w:ind w:right="982"/>
        <w:jc w:val="left"/>
      </w:pPr>
      <w:r>
        <w:rPr/>
        <w:t>公司近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61"/>
        </w:rPr>
        <w:t> </w:t>
      </w:r>
      <w:r>
        <w:rPr>
          <w:spacing w:val="-61"/>
        </w:rPr>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2016</w:t>
      </w:r>
      <w:r>
        <w:rPr>
          <w:spacing w:val="-2"/>
        </w:rPr>
        <w:t>年利润分配方案为：以公司总股本</w:t>
      </w:r>
      <w:r>
        <w:rPr>
          <w:rFonts w:ascii="Times New Roman" w:hAnsi="Times New Roman" w:cs="Times New Roman" w:eastAsia="Times New Roman" w:hint="default"/>
          <w:spacing w:val="-2"/>
        </w:rPr>
        <w:t>242,615,517</w:t>
      </w:r>
      <w:r>
        <w:rPr>
          <w:spacing w:val="-2"/>
        </w:rPr>
        <w:t>股为基数，向全体股东每</w:t>
      </w:r>
      <w:r>
        <w:rPr>
          <w:rFonts w:ascii="Times New Roman" w:hAnsi="Times New Roman" w:cs="Times New Roman" w:eastAsia="Times New Roman" w:hint="default"/>
          <w:spacing w:val="-2"/>
        </w:rPr>
        <w:t>10</w:t>
      </w:r>
      <w:r>
        <w:rPr>
          <w:spacing w:val="-2"/>
        </w:rPr>
        <w:t>股派发现金</w:t>
      </w:r>
      <w:r>
        <w:rPr>
          <w:rFonts w:ascii="Times New Roman" w:hAnsi="Times New Roman" w:cs="Times New Roman" w:eastAsia="Times New Roman" w:hint="default"/>
          <w:spacing w:val="-2"/>
        </w:rPr>
        <w:t>0</w:t>
      </w:r>
      <w:r>
        <w:rPr>
          <w:spacing w:val="-2"/>
        </w:rPr>
        <w:t>元人民币，未分配了利润结转</w:t>
      </w:r>
      <w:r>
        <w:rPr>
          <w:spacing w:val="-54"/>
        </w:rPr>
        <w:t> </w:t>
      </w:r>
      <w:r>
        <w:rPr>
          <w:spacing w:val="-54"/>
        </w:rPr>
      </w:r>
      <w:r>
        <w:rPr/>
        <w:t>下一年度。同时，以股本</w:t>
      </w:r>
      <w:r>
        <w:rPr>
          <w:rFonts w:ascii="Times New Roman" w:hAnsi="Times New Roman" w:cs="Times New Roman" w:eastAsia="Times New Roman" w:hint="default"/>
        </w:rPr>
        <w:t>242,615,517</w:t>
      </w:r>
      <w:r>
        <w:rPr/>
        <w:t>股为基数，以资本公积金转增股本，每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w:t>
      </w:r>
    </w:p>
    <w:p>
      <w:pPr>
        <w:pStyle w:val="BodyText"/>
        <w:spacing w:line="300" w:lineRule="auto" w:before="0"/>
        <w:ind w:right="1097"/>
        <w:jc w:val="both"/>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2017</w:t>
      </w:r>
      <w:r>
        <w:rPr>
          <w:spacing w:val="-1"/>
        </w:rPr>
        <w:t>年利润分配预案为：以公司总股本</w:t>
      </w:r>
      <w:r>
        <w:rPr>
          <w:rFonts w:ascii="Times New Roman" w:hAnsi="Times New Roman" w:cs="Times New Roman" w:eastAsia="Times New Roman" w:hint="default"/>
          <w:spacing w:val="-1"/>
        </w:rPr>
        <w:t>511,164,635</w:t>
      </w:r>
      <w:r>
        <w:rPr>
          <w:spacing w:val="-1"/>
        </w:rPr>
        <w:t>股为基数，向全体股东每</w:t>
      </w:r>
      <w:r>
        <w:rPr>
          <w:rFonts w:ascii="Times New Roman" w:hAnsi="Times New Roman" w:cs="Times New Roman" w:eastAsia="Times New Roman" w:hint="default"/>
          <w:spacing w:val="-1"/>
        </w:rPr>
        <w:t>10</w:t>
      </w:r>
      <w:r>
        <w:rPr>
          <w:spacing w:val="-1"/>
        </w:rPr>
        <w:t>股派发现金红利</w:t>
      </w:r>
      <w:r>
        <w:rPr>
          <w:rFonts w:ascii="Times New Roman" w:hAnsi="Times New Roman" w:cs="Times New Roman" w:eastAsia="Times New Roman" w:hint="default"/>
          <w:spacing w:val="-1"/>
        </w:rPr>
        <w:t>0.6</w:t>
      </w:r>
      <w:r>
        <w:rPr>
          <w:spacing w:val="-1"/>
        </w:rPr>
        <w:t>元（含税），合计派发</w:t>
      </w:r>
      <w:r>
        <w:rPr>
          <w:spacing w:val="-76"/>
        </w:rPr>
        <w:t> </w:t>
      </w:r>
      <w:r>
        <w:rPr>
          <w:spacing w:val="-76"/>
        </w:rPr>
      </w:r>
      <w:r>
        <w:rPr/>
        <w:t>现金红利人民币</w:t>
      </w:r>
      <w:r>
        <w:rPr>
          <w:rFonts w:ascii="Times New Roman" w:hAnsi="Times New Roman" w:cs="Times New Roman" w:eastAsia="Times New Roman" w:hint="default"/>
        </w:rPr>
        <w:t>30,669,878.1</w:t>
      </w:r>
      <w:r>
        <w:rPr/>
        <w:t>元（含税），剩余未分配利润结转下一年度。同时，以资本公积金转增股本，每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4</w:t>
      </w:r>
      <w:r>
        <w:rPr/>
        <w:t>股，</w:t>
      </w:r>
      <w:r>
        <w:rPr>
          <w:spacing w:val="-3"/>
        </w:rPr>
        <w:t> </w:t>
      </w:r>
      <w:r>
        <w:rPr/>
        <w:t>方案实施后，公司总股本由</w:t>
      </w:r>
      <w:r>
        <w:rPr>
          <w:rFonts w:ascii="Times New Roman" w:hAnsi="Times New Roman" w:cs="Times New Roman" w:eastAsia="Times New Roman" w:hint="default"/>
        </w:rPr>
        <w:t>511,164,635</w:t>
      </w:r>
      <w:r>
        <w:rPr/>
        <w:t>股增至</w:t>
      </w:r>
      <w:r>
        <w:rPr>
          <w:rFonts w:ascii="Times New Roman" w:hAnsi="Times New Roman" w:cs="Times New Roman" w:eastAsia="Times New Roman" w:hint="default"/>
        </w:rPr>
        <w:t>715,630,489</w:t>
      </w:r>
      <w:r>
        <w:rPr/>
        <w:t>股。</w:t>
      </w:r>
    </w:p>
    <w:p>
      <w:pPr>
        <w:pStyle w:val="BodyText"/>
        <w:spacing w:line="300" w:lineRule="auto" w:before="53"/>
        <w:ind w:right="982"/>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年利润分配元为：以公司总股本</w:t>
      </w:r>
      <w:r>
        <w:rPr>
          <w:rFonts w:ascii="Times New Roman" w:hAnsi="Times New Roman" w:cs="Times New Roman" w:eastAsia="Times New Roman" w:hint="default"/>
        </w:rPr>
        <w:t>715,630,489</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0.37</w:t>
      </w:r>
      <w:r>
        <w:rPr/>
        <w:t>元（含税），合计派发</w:t>
      </w:r>
      <w:r>
        <w:rPr>
          <w:spacing w:val="-51"/>
        </w:rPr>
        <w:t> </w:t>
      </w:r>
      <w:r>
        <w:rPr>
          <w:spacing w:val="-51"/>
        </w:rPr>
      </w:r>
      <w:r>
        <w:rPr/>
        <w:t>现金红利人民币</w:t>
      </w:r>
      <w:r>
        <w:rPr>
          <w:rFonts w:ascii="Times New Roman" w:hAnsi="Times New Roman" w:cs="Times New Roman" w:eastAsia="Times New Roman" w:hint="default"/>
        </w:rPr>
        <w:t>26,478,328.09</w:t>
      </w:r>
      <w:r>
        <w:rPr/>
        <w:t>元（含税），剩余未分配利润结转以后年度；本年度不以资本公积金转增股本，不送红股。</w:t>
      </w:r>
    </w:p>
    <w:p>
      <w:pPr>
        <w:spacing w:line="240" w:lineRule="auto" w:before="6"/>
        <w:rPr>
          <w:rFonts w:ascii="宋体" w:hAnsi="宋体" w:cs="宋体" w:eastAsia="宋体" w:hint="default"/>
          <w:sz w:val="27"/>
          <w:szCs w:val="27"/>
        </w:rPr>
      </w:pPr>
    </w:p>
    <w:p>
      <w:pPr>
        <w:pStyle w:val="BodyText"/>
        <w:spacing w:line="240" w:lineRule="auto"/>
        <w:ind w:right="982"/>
        <w:jc w:val="left"/>
      </w:pPr>
      <w:r>
        <w:rPr/>
        <w:t>公司近三年（包括本报告期）普通股现金分红情况表</w:t>
      </w:r>
    </w:p>
    <w:p>
      <w:pPr>
        <w:pStyle w:val="BodyText"/>
        <w:spacing w:line="240" w:lineRule="auto" w:before="117"/>
        <w:ind w:left="0" w:right="1133"/>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5"/>
        <w:gridCol w:w="1196"/>
        <w:gridCol w:w="1196"/>
        <w:gridCol w:w="1184"/>
        <w:gridCol w:w="1207"/>
        <w:gridCol w:w="1184"/>
      </w:tblGrid>
      <w:tr>
        <w:trPr>
          <w:trHeight w:val="161" w:hRule="exact"/>
        </w:trPr>
        <w:tc>
          <w:tcPr>
            <w:tcW w:w="1198" w:type="dxa"/>
            <w:vMerge w:val="restart"/>
            <w:tcBorders>
              <w:top w:val="single" w:sz="4" w:space="0" w:color="000000"/>
              <w:left w:val="single" w:sz="4" w:space="0" w:color="000000"/>
              <w:right w:val="single" w:sz="4" w:space="0" w:color="000000"/>
            </w:tcBorders>
            <w:shd w:val="clear" w:color="auto" w:fill="D4D4D4"/>
          </w:tcPr>
          <w:p>
            <w:pPr/>
          </w:p>
        </w:tc>
        <w:tc>
          <w:tcPr>
            <w:tcW w:w="1195" w:type="dxa"/>
            <w:vMerge w:val="restart"/>
            <w:tcBorders>
              <w:top w:val="single" w:sz="4" w:space="0" w:color="000000"/>
              <w:left w:val="single" w:sz="4" w:space="0" w:color="000000"/>
              <w:right w:val="single" w:sz="4" w:space="0" w:color="000000"/>
            </w:tcBorders>
            <w:shd w:val="clear" w:color="auto" w:fill="D4D4D4"/>
          </w:tcPr>
          <w:p>
            <w:pPr/>
          </w:p>
        </w:tc>
        <w:tc>
          <w:tcPr>
            <w:tcW w:w="1195" w:type="dxa"/>
            <w:vMerge w:val="restart"/>
            <w:tcBorders>
              <w:top w:val="single" w:sz="4" w:space="0" w:color="000000"/>
              <w:left w:val="single" w:sz="4" w:space="0" w:color="000000"/>
              <w:right w:val="single" w:sz="4" w:space="0" w:color="000000"/>
            </w:tcBorders>
            <w:shd w:val="clear" w:color="auto" w:fill="D4D4D4"/>
          </w:tcPr>
          <w:p>
            <w:pPr/>
          </w:p>
        </w:tc>
        <w:tc>
          <w:tcPr>
            <w:tcW w:w="1196" w:type="dxa"/>
            <w:tcBorders>
              <w:top w:val="single" w:sz="4" w:space="0" w:color="000000"/>
              <w:left w:val="single" w:sz="4" w:space="0" w:color="000000"/>
              <w:bottom w:val="nil" w:sz="6" w:space="0" w:color="auto"/>
              <w:right w:val="single" w:sz="4" w:space="0" w:color="000000"/>
            </w:tcBorders>
            <w:shd w:val="clear" w:color="auto" w:fill="D4D4D4"/>
          </w:tcPr>
          <w:p>
            <w:pPr/>
          </w:p>
        </w:tc>
        <w:tc>
          <w:tcPr>
            <w:tcW w:w="1196" w:type="dxa"/>
            <w:vMerge w:val="restart"/>
            <w:tcBorders>
              <w:top w:val="single" w:sz="4" w:space="0" w:color="000000"/>
              <w:left w:val="single" w:sz="4" w:space="0" w:color="000000"/>
              <w:right w:val="single" w:sz="4" w:space="0" w:color="000000"/>
            </w:tcBorders>
            <w:shd w:val="clear" w:color="auto" w:fill="D4D4D4"/>
          </w:tcPr>
          <w:p>
            <w:pPr/>
          </w:p>
        </w:tc>
        <w:tc>
          <w:tcPr>
            <w:tcW w:w="1184" w:type="dxa"/>
            <w:tcBorders>
              <w:top w:val="single" w:sz="4" w:space="0" w:color="000000"/>
              <w:left w:val="single" w:sz="4" w:space="0" w:color="000000"/>
              <w:bottom w:val="nil" w:sz="6" w:space="0" w:color="auto"/>
              <w:right w:val="single" w:sz="4" w:space="0" w:color="000000"/>
            </w:tcBorders>
            <w:shd w:val="clear" w:color="auto" w:fill="D4D4D4"/>
          </w:tcPr>
          <w:p>
            <w:pPr/>
          </w:p>
        </w:tc>
        <w:tc>
          <w:tcPr>
            <w:tcW w:w="1207" w:type="dxa"/>
            <w:vMerge w:val="restart"/>
            <w:tcBorders>
              <w:top w:val="single" w:sz="4" w:space="0" w:color="000000"/>
              <w:left w:val="single" w:sz="4" w:space="0" w:color="000000"/>
              <w:right w:val="single" w:sz="4" w:space="0" w:color="000000"/>
            </w:tcBorders>
            <w:shd w:val="clear" w:color="auto" w:fill="D4D4D4"/>
          </w:tcPr>
          <w:p>
            <w:pPr/>
          </w:p>
        </w:tc>
        <w:tc>
          <w:tcPr>
            <w:tcW w:w="118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51" w:right="41"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4D4D4"/>
          </w:tcPr>
          <w:p>
            <w:pPr/>
          </w:p>
        </w:tc>
        <w:tc>
          <w:tcPr>
            <w:tcW w:w="1195" w:type="dxa"/>
            <w:vMerge/>
            <w:tcBorders>
              <w:left w:val="single" w:sz="4" w:space="0" w:color="000000"/>
              <w:right w:val="single" w:sz="4" w:space="0" w:color="000000"/>
            </w:tcBorders>
            <w:shd w:val="clear" w:color="auto" w:fill="D4D4D4"/>
          </w:tcPr>
          <w:p>
            <w:pPr/>
          </w:p>
        </w:tc>
        <w:tc>
          <w:tcPr>
            <w:tcW w:w="1195" w:type="dxa"/>
            <w:vMerge/>
            <w:tcBorders>
              <w:left w:val="single" w:sz="4" w:space="0" w:color="000000"/>
              <w:bottom w:val="nil" w:sz="6" w:space="0" w:color="auto"/>
              <w:right w:val="single" w:sz="4" w:space="0" w:color="000000"/>
            </w:tcBorders>
            <w:shd w:val="clear" w:color="auto" w:fill="D4D4D4"/>
          </w:tcPr>
          <w:p>
            <w:pPr/>
          </w:p>
        </w:tc>
        <w:tc>
          <w:tcPr>
            <w:tcW w:w="1196"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2" w:right="53"/>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6" w:type="dxa"/>
            <w:vMerge/>
            <w:tcBorders>
              <w:left w:val="single" w:sz="4" w:space="0" w:color="000000"/>
              <w:right w:val="single" w:sz="4" w:space="0" w:color="000000"/>
            </w:tcBorders>
            <w:shd w:val="clear" w:color="auto" w:fill="D4D4D4"/>
          </w:tcPr>
          <w:p>
            <w:pPr/>
          </w:p>
        </w:tc>
        <w:tc>
          <w:tcPr>
            <w:tcW w:w="1184"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2" w:right="41"/>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7" w:type="dxa"/>
            <w:vMerge/>
            <w:tcBorders>
              <w:left w:val="single" w:sz="4" w:space="0" w:color="000000"/>
              <w:right w:val="single" w:sz="4" w:space="0" w:color="000000"/>
            </w:tcBorders>
            <w:shd w:val="clear" w:color="auto" w:fill="D4D4D4"/>
          </w:tcPr>
          <w:p>
            <w:pPr/>
          </w:p>
        </w:tc>
        <w:tc>
          <w:tcPr>
            <w:tcW w:w="1184" w:type="dxa"/>
            <w:vMerge/>
            <w:tcBorders>
              <w:left w:val="single" w:sz="4" w:space="0" w:color="000000"/>
              <w:right w:val="single" w:sz="4" w:space="0" w:color="000000"/>
            </w:tcBorders>
            <w:shd w:val="clear" w:color="auto" w:fill="D4D4D4"/>
          </w:tcPr>
          <w:p>
            <w:pPr/>
          </w:p>
        </w:tc>
      </w:tr>
      <w:tr>
        <w:trPr>
          <w:trHeight w:val="156" w:hRule="exact"/>
        </w:trPr>
        <w:tc>
          <w:tcPr>
            <w:tcW w:w="1198" w:type="dxa"/>
            <w:vMerge/>
            <w:tcBorders>
              <w:left w:val="single" w:sz="4" w:space="0" w:color="000000"/>
              <w:right w:val="single" w:sz="4" w:space="0" w:color="000000"/>
            </w:tcBorders>
            <w:shd w:val="clear" w:color="auto" w:fill="D4D4D4"/>
          </w:tcPr>
          <w:p>
            <w:pPr/>
          </w:p>
        </w:tc>
        <w:tc>
          <w:tcPr>
            <w:tcW w:w="1195" w:type="dxa"/>
            <w:vMerge/>
            <w:tcBorders>
              <w:left w:val="single" w:sz="4" w:space="0" w:color="000000"/>
              <w:right w:val="single" w:sz="4" w:space="0" w:color="000000"/>
            </w:tcBorders>
            <w:shd w:val="clear" w:color="auto" w:fill="D4D4D4"/>
          </w:tcPr>
          <w:p>
            <w:pPr/>
          </w:p>
        </w:tc>
        <w:tc>
          <w:tcPr>
            <w:tcW w:w="119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2"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6" w:type="dxa"/>
            <w:vMerge/>
            <w:tcBorders>
              <w:left w:val="single" w:sz="4" w:space="0" w:color="000000"/>
              <w:right w:val="single" w:sz="4" w:space="0" w:color="000000"/>
            </w:tcBorders>
            <w:shd w:val="clear" w:color="auto" w:fill="D4D4D4"/>
          </w:tcPr>
          <w:p>
            <w:pPr/>
          </w:p>
        </w:tc>
        <w:tc>
          <w:tcPr>
            <w:tcW w:w="1196" w:type="dxa"/>
            <w:vMerge/>
            <w:tcBorders>
              <w:left w:val="single" w:sz="4" w:space="0" w:color="000000"/>
              <w:bottom w:val="nil" w:sz="6" w:space="0" w:color="auto"/>
              <w:right w:val="single" w:sz="4" w:space="0" w:color="000000"/>
            </w:tcBorders>
            <w:shd w:val="clear" w:color="auto" w:fill="D4D4D4"/>
          </w:tcPr>
          <w:p>
            <w:pPr/>
          </w:p>
        </w:tc>
        <w:tc>
          <w:tcPr>
            <w:tcW w:w="1184" w:type="dxa"/>
            <w:vMerge/>
            <w:tcBorders>
              <w:left w:val="single" w:sz="4" w:space="0" w:color="000000"/>
              <w:right w:val="single" w:sz="4" w:space="0" w:color="000000"/>
            </w:tcBorders>
            <w:shd w:val="clear" w:color="auto" w:fill="D4D4D4"/>
          </w:tcPr>
          <w:p>
            <w:pPr/>
          </w:p>
        </w:tc>
        <w:tc>
          <w:tcPr>
            <w:tcW w:w="1207" w:type="dxa"/>
            <w:vMerge/>
            <w:tcBorders>
              <w:left w:val="single" w:sz="4" w:space="0" w:color="000000"/>
              <w:right w:val="single" w:sz="4" w:space="0" w:color="000000"/>
            </w:tcBorders>
            <w:shd w:val="clear" w:color="auto" w:fill="D4D4D4"/>
          </w:tcPr>
          <w:p>
            <w:pPr/>
          </w:p>
        </w:tc>
        <w:tc>
          <w:tcPr>
            <w:tcW w:w="1184" w:type="dxa"/>
            <w:vMerge/>
            <w:tcBorders>
              <w:left w:val="single" w:sz="4" w:space="0" w:color="000000"/>
              <w:right w:val="single" w:sz="4" w:space="0" w:color="000000"/>
            </w:tcBorders>
            <w:shd w:val="clear" w:color="auto" w:fill="D4D4D4"/>
          </w:tcPr>
          <w:p>
            <w:pPr/>
          </w:p>
        </w:tc>
      </w:tr>
      <w:tr>
        <w:trPr>
          <w:trHeight w:val="156" w:hRule="exact"/>
        </w:trPr>
        <w:tc>
          <w:tcPr>
            <w:tcW w:w="1198" w:type="dxa"/>
            <w:vMerge/>
            <w:tcBorders>
              <w:left w:val="single" w:sz="4" w:space="0" w:color="000000"/>
              <w:right w:val="single" w:sz="4" w:space="0" w:color="000000"/>
            </w:tcBorders>
            <w:shd w:val="clear" w:color="auto" w:fill="D4D4D4"/>
          </w:tcPr>
          <w:p>
            <w:pPr/>
          </w:p>
        </w:tc>
        <w:tc>
          <w:tcPr>
            <w:tcW w:w="1195" w:type="dxa"/>
            <w:vMerge/>
            <w:tcBorders>
              <w:left w:val="single" w:sz="4" w:space="0" w:color="000000"/>
              <w:right w:val="single" w:sz="4" w:space="0" w:color="000000"/>
            </w:tcBorders>
            <w:shd w:val="clear" w:color="auto" w:fill="D4D4D4"/>
          </w:tcPr>
          <w:p>
            <w:pPr/>
          </w:p>
        </w:tc>
        <w:tc>
          <w:tcPr>
            <w:tcW w:w="1195" w:type="dxa"/>
            <w:vMerge/>
            <w:tcBorders>
              <w:left w:val="single" w:sz="4" w:space="0" w:color="000000"/>
              <w:right w:val="single" w:sz="4" w:space="0" w:color="000000"/>
            </w:tcBorders>
            <w:shd w:val="clear" w:color="auto" w:fill="D4D4D4"/>
          </w:tcPr>
          <w:p>
            <w:pPr/>
          </w:p>
        </w:tc>
        <w:tc>
          <w:tcPr>
            <w:tcW w:w="1196" w:type="dxa"/>
            <w:vMerge/>
            <w:tcBorders>
              <w:left w:val="single" w:sz="4" w:space="0" w:color="000000"/>
              <w:right w:val="single" w:sz="4" w:space="0" w:color="000000"/>
            </w:tcBorders>
            <w:shd w:val="clear" w:color="auto" w:fill="D4D4D4"/>
          </w:tcPr>
          <w:p>
            <w:pPr/>
          </w:p>
        </w:tc>
        <w:tc>
          <w:tcPr>
            <w:tcW w:w="119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51"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4" w:type="dxa"/>
            <w:vMerge/>
            <w:tcBorders>
              <w:left w:val="single" w:sz="4" w:space="0" w:color="000000"/>
              <w:right w:val="single" w:sz="4" w:space="0" w:color="000000"/>
            </w:tcBorders>
            <w:shd w:val="clear" w:color="auto" w:fill="D4D4D4"/>
          </w:tcPr>
          <w:p>
            <w:pPr/>
          </w:p>
        </w:tc>
        <w:tc>
          <w:tcPr>
            <w:tcW w:w="1207" w:type="dxa"/>
            <w:vMerge/>
            <w:tcBorders>
              <w:left w:val="single" w:sz="4" w:space="0" w:color="000000"/>
              <w:bottom w:val="nil" w:sz="6" w:space="0" w:color="auto"/>
              <w:right w:val="single" w:sz="4" w:space="0" w:color="000000"/>
            </w:tcBorders>
            <w:shd w:val="clear" w:color="auto" w:fill="D4D4D4"/>
          </w:tcPr>
          <w:p>
            <w:pPr/>
          </w:p>
        </w:tc>
        <w:tc>
          <w:tcPr>
            <w:tcW w:w="1184" w:type="dxa"/>
            <w:vMerge/>
            <w:tcBorders>
              <w:left w:val="single" w:sz="4" w:space="0" w:color="000000"/>
              <w:right w:val="single" w:sz="4" w:space="0" w:color="000000"/>
            </w:tcBorders>
            <w:shd w:val="clear" w:color="auto" w:fill="D4D4D4"/>
          </w:tcPr>
          <w:p>
            <w:pPr/>
          </w:p>
        </w:tc>
      </w:tr>
      <w:tr>
        <w:trPr>
          <w:trHeight w:val="156" w:hRule="exact"/>
        </w:trPr>
        <w:tc>
          <w:tcPr>
            <w:tcW w:w="1198" w:type="dxa"/>
            <w:vMerge/>
            <w:tcBorders>
              <w:left w:val="single" w:sz="4" w:space="0" w:color="000000"/>
              <w:right w:val="single" w:sz="4" w:space="0" w:color="000000"/>
            </w:tcBorders>
            <w:shd w:val="clear" w:color="auto" w:fill="D4D4D4"/>
          </w:tcPr>
          <w:p>
            <w:pPr/>
          </w:p>
        </w:tc>
        <w:tc>
          <w:tcPr>
            <w:tcW w:w="1195" w:type="dxa"/>
            <w:vMerge/>
            <w:tcBorders>
              <w:left w:val="single" w:sz="4" w:space="0" w:color="000000"/>
              <w:bottom w:val="nil" w:sz="6" w:space="0" w:color="auto"/>
              <w:right w:val="single" w:sz="4" w:space="0" w:color="000000"/>
            </w:tcBorders>
            <w:shd w:val="clear" w:color="auto" w:fill="D4D4D4"/>
          </w:tcPr>
          <w:p>
            <w:pPr/>
          </w:p>
        </w:tc>
        <w:tc>
          <w:tcPr>
            <w:tcW w:w="1195" w:type="dxa"/>
            <w:vMerge/>
            <w:tcBorders>
              <w:left w:val="single" w:sz="4" w:space="0" w:color="000000"/>
              <w:right w:val="single" w:sz="4" w:space="0" w:color="000000"/>
            </w:tcBorders>
            <w:shd w:val="clear" w:color="auto" w:fill="D4D4D4"/>
          </w:tcPr>
          <w:p>
            <w:pPr/>
          </w:p>
        </w:tc>
        <w:tc>
          <w:tcPr>
            <w:tcW w:w="1196" w:type="dxa"/>
            <w:vMerge/>
            <w:tcBorders>
              <w:left w:val="single" w:sz="4" w:space="0" w:color="000000"/>
              <w:right w:val="single" w:sz="4" w:space="0" w:color="000000"/>
            </w:tcBorders>
            <w:shd w:val="clear" w:color="auto" w:fill="D4D4D4"/>
          </w:tcPr>
          <w:p>
            <w:pPr/>
          </w:p>
        </w:tc>
        <w:tc>
          <w:tcPr>
            <w:tcW w:w="1196" w:type="dxa"/>
            <w:vMerge/>
            <w:tcBorders>
              <w:left w:val="single" w:sz="4" w:space="0" w:color="000000"/>
              <w:right w:val="single" w:sz="4" w:space="0" w:color="000000"/>
            </w:tcBorders>
            <w:shd w:val="clear" w:color="auto" w:fill="D4D4D4"/>
          </w:tcPr>
          <w:p>
            <w:pPr/>
          </w:p>
        </w:tc>
        <w:tc>
          <w:tcPr>
            <w:tcW w:w="1184" w:type="dxa"/>
            <w:vMerge/>
            <w:tcBorders>
              <w:left w:val="single" w:sz="4" w:space="0" w:color="000000"/>
              <w:right w:val="single" w:sz="4" w:space="0" w:color="000000"/>
            </w:tcBorders>
            <w:shd w:val="clear" w:color="auto" w:fill="D4D4D4"/>
          </w:tcPr>
          <w:p>
            <w:pPr/>
          </w:p>
        </w:tc>
        <w:tc>
          <w:tcPr>
            <w:tcW w:w="120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63"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23" w:right="140"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4D4D4"/>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4D4D4"/>
          </w:tcPr>
          <w:p>
            <w:pPr/>
          </w:p>
        </w:tc>
        <w:tc>
          <w:tcPr>
            <w:tcW w:w="119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5" w:type="dxa"/>
            <w:vMerge/>
            <w:tcBorders>
              <w:left w:val="single" w:sz="4" w:space="0" w:color="000000"/>
              <w:right w:val="single" w:sz="4" w:space="0" w:color="000000"/>
            </w:tcBorders>
            <w:shd w:val="clear" w:color="auto" w:fill="D4D4D4"/>
          </w:tcPr>
          <w:p>
            <w:pPr/>
          </w:p>
        </w:tc>
        <w:tc>
          <w:tcPr>
            <w:tcW w:w="1196" w:type="dxa"/>
            <w:vMerge/>
            <w:tcBorders>
              <w:left w:val="single" w:sz="4" w:space="0" w:color="000000"/>
              <w:right w:val="single" w:sz="4" w:space="0" w:color="000000"/>
            </w:tcBorders>
            <w:shd w:val="clear" w:color="auto" w:fill="D4D4D4"/>
          </w:tcPr>
          <w:p>
            <w:pPr/>
          </w:p>
        </w:tc>
        <w:tc>
          <w:tcPr>
            <w:tcW w:w="1196" w:type="dxa"/>
            <w:vMerge/>
            <w:tcBorders>
              <w:left w:val="single" w:sz="4" w:space="0" w:color="000000"/>
              <w:right w:val="single" w:sz="4" w:space="0" w:color="000000"/>
            </w:tcBorders>
            <w:shd w:val="clear" w:color="auto" w:fill="D4D4D4"/>
          </w:tcPr>
          <w:p>
            <w:pPr/>
          </w:p>
        </w:tc>
        <w:tc>
          <w:tcPr>
            <w:tcW w:w="1184" w:type="dxa"/>
            <w:vMerge/>
            <w:tcBorders>
              <w:left w:val="single" w:sz="4" w:space="0" w:color="000000"/>
              <w:right w:val="single" w:sz="4" w:space="0" w:color="000000"/>
            </w:tcBorders>
            <w:shd w:val="clear" w:color="auto" w:fill="D4D4D4"/>
          </w:tcPr>
          <w:p>
            <w:pPr/>
          </w:p>
        </w:tc>
        <w:tc>
          <w:tcPr>
            <w:tcW w:w="1207" w:type="dxa"/>
            <w:vMerge/>
            <w:tcBorders>
              <w:left w:val="single" w:sz="4" w:space="0" w:color="000000"/>
              <w:right w:val="single" w:sz="4" w:space="0" w:color="000000"/>
            </w:tcBorders>
            <w:shd w:val="clear" w:color="auto" w:fill="D4D4D4"/>
          </w:tcPr>
          <w:p>
            <w:pPr/>
          </w:p>
        </w:tc>
        <w:tc>
          <w:tcPr>
            <w:tcW w:w="1184" w:type="dxa"/>
            <w:vMerge/>
            <w:tcBorders>
              <w:left w:val="single" w:sz="4" w:space="0" w:color="000000"/>
              <w:right w:val="single" w:sz="4" w:space="0" w:color="000000"/>
            </w:tcBorders>
            <w:shd w:val="clear" w:color="auto" w:fill="D4D4D4"/>
          </w:tcPr>
          <w:p>
            <w:pPr/>
          </w:p>
        </w:tc>
      </w:tr>
      <w:tr>
        <w:trPr>
          <w:trHeight w:val="394" w:hRule="exact"/>
        </w:trPr>
        <w:tc>
          <w:tcPr>
            <w:tcW w:w="119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vMerge/>
            <w:tcBorders>
              <w:left w:val="single" w:sz="4" w:space="0" w:color="000000"/>
              <w:right w:val="single" w:sz="4" w:space="0" w:color="000000"/>
            </w:tcBorders>
            <w:shd w:val="clear" w:color="auto" w:fill="D4D4D4"/>
          </w:tcPr>
          <w:p>
            <w:pPr/>
          </w:p>
        </w:tc>
        <w:tc>
          <w:tcPr>
            <w:tcW w:w="1195" w:type="dxa"/>
            <w:vMerge/>
            <w:tcBorders>
              <w:left w:val="single" w:sz="4" w:space="0" w:color="000000"/>
              <w:right w:val="single" w:sz="4" w:space="0" w:color="000000"/>
            </w:tcBorders>
            <w:shd w:val="clear" w:color="auto" w:fill="D4D4D4"/>
          </w:tcPr>
          <w:p>
            <w:pPr/>
          </w:p>
        </w:tc>
        <w:tc>
          <w:tcPr>
            <w:tcW w:w="1196" w:type="dxa"/>
            <w:vMerge/>
            <w:tcBorders>
              <w:left w:val="single" w:sz="4" w:space="0" w:color="000000"/>
              <w:right w:val="single" w:sz="4" w:space="0" w:color="000000"/>
            </w:tcBorders>
            <w:shd w:val="clear" w:color="auto" w:fill="D4D4D4"/>
          </w:tcPr>
          <w:p>
            <w:pPr/>
          </w:p>
        </w:tc>
        <w:tc>
          <w:tcPr>
            <w:tcW w:w="1196" w:type="dxa"/>
            <w:vMerge/>
            <w:tcBorders>
              <w:left w:val="single" w:sz="4" w:space="0" w:color="000000"/>
              <w:right w:val="single" w:sz="4" w:space="0" w:color="000000"/>
            </w:tcBorders>
            <w:shd w:val="clear" w:color="auto" w:fill="D4D4D4"/>
          </w:tcPr>
          <w:p>
            <w:pPr/>
          </w:p>
        </w:tc>
        <w:tc>
          <w:tcPr>
            <w:tcW w:w="1184" w:type="dxa"/>
            <w:vMerge/>
            <w:tcBorders>
              <w:left w:val="single" w:sz="4" w:space="0" w:color="000000"/>
              <w:right w:val="single" w:sz="4" w:space="0" w:color="000000"/>
            </w:tcBorders>
            <w:shd w:val="clear" w:color="auto" w:fill="D4D4D4"/>
          </w:tcPr>
          <w:p>
            <w:pPr/>
          </w:p>
        </w:tc>
        <w:tc>
          <w:tcPr>
            <w:tcW w:w="1207" w:type="dxa"/>
            <w:vMerge/>
            <w:tcBorders>
              <w:left w:val="single" w:sz="4" w:space="0" w:color="000000"/>
              <w:right w:val="single" w:sz="4" w:space="0" w:color="000000"/>
            </w:tcBorders>
            <w:shd w:val="clear" w:color="auto" w:fill="D4D4D4"/>
          </w:tcPr>
          <w:p>
            <w:pPr/>
          </w:p>
        </w:tc>
        <w:tc>
          <w:tcPr>
            <w:tcW w:w="1184" w:type="dxa"/>
            <w:vMerge/>
            <w:tcBorders>
              <w:left w:val="single" w:sz="4" w:space="0" w:color="000000"/>
              <w:right w:val="single" w:sz="4" w:space="0" w:color="000000"/>
            </w:tcBorders>
            <w:shd w:val="clear" w:color="auto" w:fill="D4D4D4"/>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4D4D4"/>
          </w:tcPr>
          <w:p>
            <w:pPr/>
          </w:p>
        </w:tc>
        <w:tc>
          <w:tcPr>
            <w:tcW w:w="1195" w:type="dxa"/>
            <w:vMerge/>
            <w:tcBorders>
              <w:left w:val="single" w:sz="4" w:space="0" w:color="000000"/>
              <w:bottom w:val="nil" w:sz="6" w:space="0" w:color="auto"/>
              <w:right w:val="single" w:sz="4" w:space="0" w:color="000000"/>
            </w:tcBorders>
            <w:shd w:val="clear" w:color="auto" w:fill="D4D4D4"/>
          </w:tcPr>
          <w:p>
            <w:pPr/>
          </w:p>
        </w:tc>
        <w:tc>
          <w:tcPr>
            <w:tcW w:w="1195" w:type="dxa"/>
            <w:vMerge/>
            <w:tcBorders>
              <w:left w:val="single" w:sz="4" w:space="0" w:color="000000"/>
              <w:right w:val="single" w:sz="4" w:space="0" w:color="000000"/>
            </w:tcBorders>
            <w:shd w:val="clear" w:color="auto" w:fill="D4D4D4"/>
          </w:tcPr>
          <w:p>
            <w:pPr/>
          </w:p>
        </w:tc>
        <w:tc>
          <w:tcPr>
            <w:tcW w:w="1196" w:type="dxa"/>
            <w:vMerge/>
            <w:tcBorders>
              <w:left w:val="single" w:sz="4" w:space="0" w:color="000000"/>
              <w:right w:val="single" w:sz="4" w:space="0" w:color="000000"/>
            </w:tcBorders>
            <w:shd w:val="clear" w:color="auto" w:fill="D4D4D4"/>
          </w:tcPr>
          <w:p>
            <w:pPr/>
          </w:p>
        </w:tc>
        <w:tc>
          <w:tcPr>
            <w:tcW w:w="1196" w:type="dxa"/>
            <w:vMerge/>
            <w:tcBorders>
              <w:left w:val="single" w:sz="4" w:space="0" w:color="000000"/>
              <w:right w:val="single" w:sz="4" w:space="0" w:color="000000"/>
            </w:tcBorders>
            <w:shd w:val="clear" w:color="auto" w:fill="D4D4D4"/>
          </w:tcPr>
          <w:p>
            <w:pPr/>
          </w:p>
        </w:tc>
        <w:tc>
          <w:tcPr>
            <w:tcW w:w="1184" w:type="dxa"/>
            <w:vMerge/>
            <w:tcBorders>
              <w:left w:val="single" w:sz="4" w:space="0" w:color="000000"/>
              <w:right w:val="single" w:sz="4" w:space="0" w:color="000000"/>
            </w:tcBorders>
            <w:shd w:val="clear" w:color="auto" w:fill="D4D4D4"/>
          </w:tcPr>
          <w:p>
            <w:pPr/>
          </w:p>
        </w:tc>
        <w:tc>
          <w:tcPr>
            <w:tcW w:w="1207" w:type="dxa"/>
            <w:vMerge/>
            <w:tcBorders>
              <w:left w:val="single" w:sz="4" w:space="0" w:color="000000"/>
              <w:right w:val="single" w:sz="4" w:space="0" w:color="000000"/>
            </w:tcBorders>
            <w:shd w:val="clear" w:color="auto" w:fill="D4D4D4"/>
          </w:tcPr>
          <w:p>
            <w:pPr/>
          </w:p>
        </w:tc>
        <w:tc>
          <w:tcPr>
            <w:tcW w:w="1184" w:type="dxa"/>
            <w:vMerge/>
            <w:tcBorders>
              <w:left w:val="single" w:sz="4" w:space="0" w:color="000000"/>
              <w:right w:val="single" w:sz="4" w:space="0" w:color="000000"/>
            </w:tcBorders>
            <w:shd w:val="clear" w:color="auto" w:fill="D4D4D4"/>
          </w:tcPr>
          <w:p>
            <w:pPr/>
          </w:p>
        </w:tc>
      </w:tr>
      <w:tr>
        <w:trPr>
          <w:trHeight w:val="156" w:hRule="exact"/>
        </w:trPr>
        <w:tc>
          <w:tcPr>
            <w:tcW w:w="1198" w:type="dxa"/>
            <w:vMerge/>
            <w:tcBorders>
              <w:left w:val="single" w:sz="4" w:space="0" w:color="000000"/>
              <w:right w:val="single" w:sz="4" w:space="0" w:color="000000"/>
            </w:tcBorders>
            <w:shd w:val="clear" w:color="auto" w:fill="D4D4D4"/>
          </w:tcPr>
          <w:p>
            <w:pPr/>
          </w:p>
        </w:tc>
        <w:tc>
          <w:tcPr>
            <w:tcW w:w="1195" w:type="dxa"/>
            <w:vMerge w:val="restart"/>
            <w:tcBorders>
              <w:top w:val="nil" w:sz="6" w:space="0" w:color="auto"/>
              <w:left w:val="single" w:sz="4" w:space="0" w:color="000000"/>
              <w:right w:val="single" w:sz="4" w:space="0" w:color="000000"/>
            </w:tcBorders>
            <w:shd w:val="clear" w:color="auto" w:fill="D4D4D4"/>
          </w:tcPr>
          <w:p>
            <w:pPr/>
          </w:p>
        </w:tc>
        <w:tc>
          <w:tcPr>
            <w:tcW w:w="1195" w:type="dxa"/>
            <w:vMerge/>
            <w:tcBorders>
              <w:left w:val="single" w:sz="4" w:space="0" w:color="000000"/>
              <w:right w:val="single" w:sz="4" w:space="0" w:color="000000"/>
            </w:tcBorders>
            <w:shd w:val="clear" w:color="auto" w:fill="D4D4D4"/>
          </w:tcPr>
          <w:p>
            <w:pPr/>
          </w:p>
        </w:tc>
        <w:tc>
          <w:tcPr>
            <w:tcW w:w="1196" w:type="dxa"/>
            <w:vMerge/>
            <w:tcBorders>
              <w:left w:val="single" w:sz="4" w:space="0" w:color="000000"/>
              <w:right w:val="single" w:sz="4" w:space="0" w:color="000000"/>
            </w:tcBorders>
            <w:shd w:val="clear" w:color="auto" w:fill="D4D4D4"/>
          </w:tcPr>
          <w:p>
            <w:pPr/>
          </w:p>
        </w:tc>
        <w:tc>
          <w:tcPr>
            <w:tcW w:w="1196" w:type="dxa"/>
            <w:vMerge/>
            <w:tcBorders>
              <w:left w:val="single" w:sz="4" w:space="0" w:color="000000"/>
              <w:right w:val="single" w:sz="4" w:space="0" w:color="000000"/>
            </w:tcBorders>
            <w:shd w:val="clear" w:color="auto" w:fill="D4D4D4"/>
          </w:tcPr>
          <w:p>
            <w:pPr/>
          </w:p>
        </w:tc>
        <w:tc>
          <w:tcPr>
            <w:tcW w:w="1184" w:type="dxa"/>
            <w:vMerge/>
            <w:tcBorders>
              <w:left w:val="single" w:sz="4" w:space="0" w:color="000000"/>
              <w:right w:val="single" w:sz="4" w:space="0" w:color="000000"/>
            </w:tcBorders>
            <w:shd w:val="clear" w:color="auto" w:fill="D4D4D4"/>
          </w:tcPr>
          <w:p>
            <w:pPr/>
          </w:p>
        </w:tc>
        <w:tc>
          <w:tcPr>
            <w:tcW w:w="1207" w:type="dxa"/>
            <w:vMerge/>
            <w:tcBorders>
              <w:left w:val="single" w:sz="4" w:space="0" w:color="000000"/>
              <w:bottom w:val="nil" w:sz="6" w:space="0" w:color="auto"/>
              <w:right w:val="single" w:sz="4" w:space="0" w:color="000000"/>
            </w:tcBorders>
            <w:shd w:val="clear" w:color="auto" w:fill="D4D4D4"/>
          </w:tcPr>
          <w:p>
            <w:pPr/>
          </w:p>
        </w:tc>
        <w:tc>
          <w:tcPr>
            <w:tcW w:w="1184" w:type="dxa"/>
            <w:vMerge/>
            <w:tcBorders>
              <w:left w:val="single" w:sz="4" w:space="0" w:color="000000"/>
              <w:right w:val="single" w:sz="4" w:space="0" w:color="000000"/>
            </w:tcBorders>
            <w:shd w:val="clear" w:color="auto" w:fill="D4D4D4"/>
          </w:tcPr>
          <w:p>
            <w:pPr/>
          </w:p>
        </w:tc>
      </w:tr>
      <w:tr>
        <w:trPr>
          <w:trHeight w:val="156" w:hRule="exact"/>
        </w:trPr>
        <w:tc>
          <w:tcPr>
            <w:tcW w:w="1198" w:type="dxa"/>
            <w:vMerge/>
            <w:tcBorders>
              <w:left w:val="single" w:sz="4" w:space="0" w:color="000000"/>
              <w:right w:val="single" w:sz="4" w:space="0" w:color="000000"/>
            </w:tcBorders>
            <w:shd w:val="clear" w:color="auto" w:fill="D4D4D4"/>
          </w:tcPr>
          <w:p>
            <w:pPr/>
          </w:p>
        </w:tc>
        <w:tc>
          <w:tcPr>
            <w:tcW w:w="1195" w:type="dxa"/>
            <w:vMerge/>
            <w:tcBorders>
              <w:left w:val="single" w:sz="4" w:space="0" w:color="000000"/>
              <w:right w:val="single" w:sz="4" w:space="0" w:color="000000"/>
            </w:tcBorders>
            <w:shd w:val="clear" w:color="auto" w:fill="D4D4D4"/>
          </w:tcPr>
          <w:p>
            <w:pPr/>
          </w:p>
        </w:tc>
        <w:tc>
          <w:tcPr>
            <w:tcW w:w="1195" w:type="dxa"/>
            <w:vMerge/>
            <w:tcBorders>
              <w:left w:val="single" w:sz="4" w:space="0" w:color="000000"/>
              <w:right w:val="single" w:sz="4" w:space="0" w:color="000000"/>
            </w:tcBorders>
            <w:shd w:val="clear" w:color="auto" w:fill="D4D4D4"/>
          </w:tcPr>
          <w:p>
            <w:pPr/>
          </w:p>
        </w:tc>
        <w:tc>
          <w:tcPr>
            <w:tcW w:w="1196" w:type="dxa"/>
            <w:vMerge/>
            <w:tcBorders>
              <w:left w:val="single" w:sz="4" w:space="0" w:color="000000"/>
              <w:right w:val="single" w:sz="4" w:space="0" w:color="000000"/>
            </w:tcBorders>
            <w:shd w:val="clear" w:color="auto" w:fill="D4D4D4"/>
          </w:tcPr>
          <w:p>
            <w:pPr/>
          </w:p>
        </w:tc>
        <w:tc>
          <w:tcPr>
            <w:tcW w:w="1196" w:type="dxa"/>
            <w:vMerge/>
            <w:tcBorders>
              <w:left w:val="single" w:sz="4" w:space="0" w:color="000000"/>
              <w:bottom w:val="nil" w:sz="6" w:space="0" w:color="auto"/>
              <w:right w:val="single" w:sz="4" w:space="0" w:color="000000"/>
            </w:tcBorders>
            <w:shd w:val="clear" w:color="auto" w:fill="D4D4D4"/>
          </w:tcPr>
          <w:p>
            <w:pPr/>
          </w:p>
        </w:tc>
        <w:tc>
          <w:tcPr>
            <w:tcW w:w="1184" w:type="dxa"/>
            <w:vMerge/>
            <w:tcBorders>
              <w:left w:val="single" w:sz="4" w:space="0" w:color="000000"/>
              <w:right w:val="single" w:sz="4" w:space="0" w:color="000000"/>
            </w:tcBorders>
            <w:shd w:val="clear" w:color="auto" w:fill="D4D4D4"/>
          </w:tcPr>
          <w:p>
            <w:pPr/>
          </w:p>
        </w:tc>
        <w:tc>
          <w:tcPr>
            <w:tcW w:w="1207" w:type="dxa"/>
            <w:vMerge w:val="restart"/>
            <w:tcBorders>
              <w:top w:val="nil" w:sz="6" w:space="0" w:color="auto"/>
              <w:left w:val="single" w:sz="4" w:space="0" w:color="000000"/>
              <w:right w:val="single" w:sz="4" w:space="0" w:color="000000"/>
            </w:tcBorders>
            <w:shd w:val="clear" w:color="auto" w:fill="D4D4D4"/>
          </w:tcPr>
          <w:p>
            <w:pPr/>
          </w:p>
        </w:tc>
        <w:tc>
          <w:tcPr>
            <w:tcW w:w="1184" w:type="dxa"/>
            <w:vMerge/>
            <w:tcBorders>
              <w:left w:val="single" w:sz="4" w:space="0" w:color="000000"/>
              <w:right w:val="single" w:sz="4" w:space="0" w:color="000000"/>
            </w:tcBorders>
            <w:shd w:val="clear" w:color="auto" w:fill="D4D4D4"/>
          </w:tcPr>
          <w:p>
            <w:pPr/>
          </w:p>
        </w:tc>
      </w:tr>
      <w:tr>
        <w:trPr>
          <w:trHeight w:val="156" w:hRule="exact"/>
        </w:trPr>
        <w:tc>
          <w:tcPr>
            <w:tcW w:w="1198" w:type="dxa"/>
            <w:vMerge/>
            <w:tcBorders>
              <w:left w:val="single" w:sz="4" w:space="0" w:color="000000"/>
              <w:right w:val="single" w:sz="4" w:space="0" w:color="000000"/>
            </w:tcBorders>
            <w:shd w:val="clear" w:color="auto" w:fill="D4D4D4"/>
          </w:tcPr>
          <w:p>
            <w:pPr/>
          </w:p>
        </w:tc>
        <w:tc>
          <w:tcPr>
            <w:tcW w:w="1195" w:type="dxa"/>
            <w:vMerge/>
            <w:tcBorders>
              <w:left w:val="single" w:sz="4" w:space="0" w:color="000000"/>
              <w:right w:val="single" w:sz="4" w:space="0" w:color="000000"/>
            </w:tcBorders>
            <w:shd w:val="clear" w:color="auto" w:fill="D4D4D4"/>
          </w:tcPr>
          <w:p>
            <w:pPr/>
          </w:p>
        </w:tc>
        <w:tc>
          <w:tcPr>
            <w:tcW w:w="1195" w:type="dxa"/>
            <w:vMerge/>
            <w:tcBorders>
              <w:left w:val="single" w:sz="4" w:space="0" w:color="000000"/>
              <w:bottom w:val="nil" w:sz="6" w:space="0" w:color="auto"/>
              <w:right w:val="single" w:sz="4" w:space="0" w:color="000000"/>
            </w:tcBorders>
            <w:shd w:val="clear" w:color="auto" w:fill="D4D4D4"/>
          </w:tcPr>
          <w:p>
            <w:pPr/>
          </w:p>
        </w:tc>
        <w:tc>
          <w:tcPr>
            <w:tcW w:w="1196" w:type="dxa"/>
            <w:vMerge/>
            <w:tcBorders>
              <w:left w:val="single" w:sz="4" w:space="0" w:color="000000"/>
              <w:right w:val="single" w:sz="4" w:space="0" w:color="000000"/>
            </w:tcBorders>
            <w:shd w:val="clear" w:color="auto" w:fill="D4D4D4"/>
          </w:tcPr>
          <w:p>
            <w:pPr/>
          </w:p>
        </w:tc>
        <w:tc>
          <w:tcPr>
            <w:tcW w:w="1196" w:type="dxa"/>
            <w:vMerge w:val="restart"/>
            <w:tcBorders>
              <w:top w:val="nil" w:sz="6" w:space="0" w:color="auto"/>
              <w:left w:val="single" w:sz="4" w:space="0" w:color="000000"/>
              <w:right w:val="single" w:sz="4" w:space="0" w:color="000000"/>
            </w:tcBorders>
            <w:shd w:val="clear" w:color="auto" w:fill="D4D4D4"/>
          </w:tcPr>
          <w:p>
            <w:pPr/>
          </w:p>
        </w:tc>
        <w:tc>
          <w:tcPr>
            <w:tcW w:w="1184" w:type="dxa"/>
            <w:vMerge/>
            <w:tcBorders>
              <w:left w:val="single" w:sz="4" w:space="0" w:color="000000"/>
              <w:right w:val="single" w:sz="4" w:space="0" w:color="000000"/>
            </w:tcBorders>
            <w:shd w:val="clear" w:color="auto" w:fill="D4D4D4"/>
          </w:tcPr>
          <w:p>
            <w:pPr/>
          </w:p>
        </w:tc>
        <w:tc>
          <w:tcPr>
            <w:tcW w:w="1207" w:type="dxa"/>
            <w:vMerge/>
            <w:tcBorders>
              <w:left w:val="single" w:sz="4" w:space="0" w:color="000000"/>
              <w:right w:val="single" w:sz="4" w:space="0" w:color="000000"/>
            </w:tcBorders>
            <w:shd w:val="clear" w:color="auto" w:fill="D4D4D4"/>
          </w:tcPr>
          <w:p>
            <w:pPr/>
          </w:p>
        </w:tc>
        <w:tc>
          <w:tcPr>
            <w:tcW w:w="1184" w:type="dxa"/>
            <w:vMerge/>
            <w:tcBorders>
              <w:left w:val="single" w:sz="4" w:space="0" w:color="000000"/>
              <w:right w:val="single" w:sz="4" w:space="0" w:color="000000"/>
            </w:tcBorders>
            <w:shd w:val="clear" w:color="auto" w:fill="D4D4D4"/>
          </w:tcPr>
          <w:p>
            <w:pPr/>
          </w:p>
        </w:tc>
      </w:tr>
      <w:tr>
        <w:trPr>
          <w:trHeight w:val="156" w:hRule="exact"/>
        </w:trPr>
        <w:tc>
          <w:tcPr>
            <w:tcW w:w="1198" w:type="dxa"/>
            <w:vMerge/>
            <w:tcBorders>
              <w:left w:val="single" w:sz="4" w:space="0" w:color="000000"/>
              <w:right w:val="single" w:sz="4" w:space="0" w:color="000000"/>
            </w:tcBorders>
            <w:shd w:val="clear" w:color="auto" w:fill="D4D4D4"/>
          </w:tcPr>
          <w:p>
            <w:pPr/>
          </w:p>
        </w:tc>
        <w:tc>
          <w:tcPr>
            <w:tcW w:w="1195" w:type="dxa"/>
            <w:vMerge/>
            <w:tcBorders>
              <w:left w:val="single" w:sz="4" w:space="0" w:color="000000"/>
              <w:right w:val="single" w:sz="4" w:space="0" w:color="000000"/>
            </w:tcBorders>
            <w:shd w:val="clear" w:color="auto" w:fill="D4D4D4"/>
          </w:tcPr>
          <w:p>
            <w:pPr/>
          </w:p>
        </w:tc>
        <w:tc>
          <w:tcPr>
            <w:tcW w:w="1195" w:type="dxa"/>
            <w:vMerge w:val="restart"/>
            <w:tcBorders>
              <w:top w:val="nil" w:sz="6" w:space="0" w:color="auto"/>
              <w:left w:val="single" w:sz="4" w:space="0" w:color="000000"/>
              <w:right w:val="single" w:sz="4" w:space="0" w:color="000000"/>
            </w:tcBorders>
            <w:shd w:val="clear" w:color="auto" w:fill="D4D4D4"/>
          </w:tcPr>
          <w:p>
            <w:pPr/>
          </w:p>
        </w:tc>
        <w:tc>
          <w:tcPr>
            <w:tcW w:w="1196" w:type="dxa"/>
            <w:vMerge/>
            <w:tcBorders>
              <w:left w:val="single" w:sz="4" w:space="0" w:color="000000"/>
              <w:bottom w:val="nil" w:sz="6" w:space="0" w:color="auto"/>
              <w:right w:val="single" w:sz="4" w:space="0" w:color="000000"/>
            </w:tcBorders>
            <w:shd w:val="clear" w:color="auto" w:fill="D4D4D4"/>
          </w:tcPr>
          <w:p>
            <w:pPr/>
          </w:p>
        </w:tc>
        <w:tc>
          <w:tcPr>
            <w:tcW w:w="1196" w:type="dxa"/>
            <w:vMerge/>
            <w:tcBorders>
              <w:left w:val="single" w:sz="4" w:space="0" w:color="000000"/>
              <w:right w:val="single" w:sz="4" w:space="0" w:color="000000"/>
            </w:tcBorders>
            <w:shd w:val="clear" w:color="auto" w:fill="D4D4D4"/>
          </w:tcPr>
          <w:p>
            <w:pPr/>
          </w:p>
        </w:tc>
        <w:tc>
          <w:tcPr>
            <w:tcW w:w="1184" w:type="dxa"/>
            <w:vMerge/>
            <w:tcBorders>
              <w:left w:val="single" w:sz="4" w:space="0" w:color="000000"/>
              <w:bottom w:val="nil" w:sz="6" w:space="0" w:color="auto"/>
              <w:right w:val="single" w:sz="4" w:space="0" w:color="000000"/>
            </w:tcBorders>
            <w:shd w:val="clear" w:color="auto" w:fill="D4D4D4"/>
          </w:tcPr>
          <w:p>
            <w:pPr/>
          </w:p>
        </w:tc>
        <w:tc>
          <w:tcPr>
            <w:tcW w:w="1207" w:type="dxa"/>
            <w:vMerge/>
            <w:tcBorders>
              <w:left w:val="single" w:sz="4" w:space="0" w:color="000000"/>
              <w:right w:val="single" w:sz="4" w:space="0" w:color="000000"/>
            </w:tcBorders>
            <w:shd w:val="clear" w:color="auto" w:fill="D4D4D4"/>
          </w:tcPr>
          <w:p>
            <w:pPr/>
          </w:p>
        </w:tc>
        <w:tc>
          <w:tcPr>
            <w:tcW w:w="1184" w:type="dxa"/>
            <w:vMerge/>
            <w:tcBorders>
              <w:left w:val="single" w:sz="4" w:space="0" w:color="000000"/>
              <w:right w:val="single" w:sz="4" w:space="0" w:color="000000"/>
            </w:tcBorders>
            <w:shd w:val="clear" w:color="auto" w:fill="D4D4D4"/>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96" w:type="dxa"/>
            <w:tcBorders>
              <w:top w:val="nil" w:sz="6" w:space="0" w:color="auto"/>
              <w:left w:val="single" w:sz="4" w:space="0" w:color="000000"/>
              <w:bottom w:val="single" w:sz="4" w:space="0" w:color="000000"/>
              <w:right w:val="single" w:sz="4" w:space="0" w:color="000000"/>
            </w:tcBorders>
            <w:shd w:val="clear" w:color="auto" w:fill="D4D4D4"/>
          </w:tcPr>
          <w:p>
            <w:pPr/>
          </w:p>
        </w:tc>
        <w:tc>
          <w:tcPr>
            <w:tcW w:w="1196" w:type="dxa"/>
            <w:vMerge/>
            <w:tcBorders>
              <w:left w:val="single" w:sz="4" w:space="0" w:color="000000"/>
              <w:bottom w:val="single" w:sz="4" w:space="0" w:color="000000"/>
              <w:right w:val="single" w:sz="4" w:space="0" w:color="000000"/>
            </w:tcBorders>
            <w:shd w:val="clear" w:color="auto" w:fill="D4D4D4"/>
          </w:tcPr>
          <w:p>
            <w:pPr/>
          </w:p>
        </w:tc>
        <w:tc>
          <w:tcPr>
            <w:tcW w:w="1184" w:type="dxa"/>
            <w:tcBorders>
              <w:top w:val="nil" w:sz="6" w:space="0" w:color="auto"/>
              <w:left w:val="single" w:sz="4" w:space="0" w:color="000000"/>
              <w:bottom w:val="single" w:sz="4" w:space="0" w:color="000000"/>
              <w:right w:val="single" w:sz="4" w:space="0" w:color="000000"/>
            </w:tcBorders>
            <w:shd w:val="clear" w:color="auto" w:fill="D4D4D4"/>
          </w:tcPr>
          <w:p>
            <w:pPr/>
          </w:p>
        </w:tc>
        <w:tc>
          <w:tcPr>
            <w:tcW w:w="1207" w:type="dxa"/>
            <w:vMerge/>
            <w:tcBorders>
              <w:left w:val="single" w:sz="4" w:space="0" w:color="000000"/>
              <w:bottom w:val="single" w:sz="4" w:space="0" w:color="000000"/>
              <w:right w:val="single" w:sz="4" w:space="0" w:color="000000"/>
            </w:tcBorders>
            <w:shd w:val="clear" w:color="auto" w:fill="D4D4D4"/>
          </w:tcPr>
          <w:p>
            <w:pPr/>
          </w:p>
        </w:tc>
        <w:tc>
          <w:tcPr>
            <w:tcW w:w="1184"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26,478,328.09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130,995,099.47</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20.21%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26,478,328.09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z w:val="18"/>
              </w:rPr>
              <w:t>20.21%</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30,669,878.10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77,566,911.73</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39.54%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30,669,878.10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z w:val="18"/>
              </w:rPr>
              <w:t>39.54%</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72,687,070.28</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982"/>
        <w:jc w:val="left"/>
      </w:pPr>
      <w:r>
        <w:rPr/>
        <w:t>公司报告期内盈利且母公司可供普通股股东分配利润为正但未提出普通股现金红利分配预案</w:t>
      </w:r>
    </w:p>
    <w:p>
      <w:pPr>
        <w:pStyle w:val="BodyText"/>
        <w:spacing w:line="240" w:lineRule="auto" w:before="117"/>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82"/>
        <w:jc w:val="left"/>
        <w:rPr>
          <w:b w:val="0"/>
          <w:bCs w:val="0"/>
        </w:rPr>
      </w:pPr>
      <w:bookmarkStart w:name="二、承诺事项履行情况" w:id="64"/>
      <w:bookmarkEnd w:id="64"/>
      <w:r>
        <w:rPr>
          <w:b w:val="0"/>
          <w:bCs w:val="0"/>
        </w:rPr>
      </w: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59" w:lineRule="auto"/>
        <w:ind w:right="982"/>
        <w:jc w:val="left"/>
        <w:rPr>
          <w:b w:val="0"/>
          <w:bCs w:val="0"/>
        </w:rPr>
      </w:pPr>
      <w:bookmarkStart w:name="1、公司实际控制人、股东、关联方、收购人以及公司等承诺相关方在报告期内履行完毕及" w:id="65"/>
      <w:bookmarkEnd w:id="65"/>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3" w:hRule="exact"/>
        </w:trPr>
        <w:tc>
          <w:tcPr>
            <w:tcW w:w="28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4"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3" w:type="dxa"/>
            <w:tcBorders>
              <w:top w:val="single" w:sz="4" w:space="0" w:color="000000"/>
              <w:left w:val="single" w:sz="13" w:space="0" w:color="D4D4D4"/>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766" w:hRule="exact"/>
        </w:trPr>
        <w:tc>
          <w:tcPr>
            <w:tcW w:w="2837" w:type="dxa"/>
            <w:tcBorders>
              <w:top w:val="single" w:sz="4" w:space="0" w:color="000000"/>
              <w:left w:val="single" w:sz="4" w:space="0" w:color="000000"/>
              <w:bottom w:val="nil" w:sz="6" w:space="0" w:color="auto"/>
              <w:right w:val="single" w:sz="4" w:space="0" w:color="000000"/>
            </w:tcBorders>
            <w:shd w:val="clear" w:color="auto" w:fill="D4D4D4"/>
          </w:tcPr>
          <w:p>
            <w:pPr/>
          </w:p>
        </w:tc>
        <w:tc>
          <w:tcPr>
            <w:tcW w:w="1123" w:type="dxa"/>
            <w:vMerge w:val="restart"/>
            <w:tcBorders>
              <w:top w:val="single" w:sz="4" w:space="0" w:color="000000"/>
              <w:left w:val="single" w:sz="10" w:space="0" w:color="D4D4D4"/>
              <w:right w:val="single" w:sz="4" w:space="0" w:color="000000"/>
            </w:tcBorders>
          </w:tcPr>
          <w:p>
            <w:pPr>
              <w:pStyle w:val="TableParagraph"/>
              <w:spacing w:line="316" w:lineRule="auto" w:before="49"/>
              <w:ind w:left="16" w:right="7"/>
              <w:jc w:val="left"/>
              <w:rPr>
                <w:rFonts w:ascii="宋体" w:hAnsi="宋体" w:cs="宋体" w:eastAsia="宋体" w:hint="default"/>
                <w:sz w:val="18"/>
                <w:szCs w:val="18"/>
              </w:rPr>
            </w:pPr>
            <w:r>
              <w:rPr>
                <w:rFonts w:ascii="宋体" w:hAnsi="宋体" w:cs="宋体" w:eastAsia="宋体" w:hint="default"/>
                <w:sz w:val="18"/>
                <w:szCs w:val="18"/>
              </w:rPr>
              <w:t>林伟通、童 敏、胡云高、 </w:t>
            </w:r>
            <w:r>
              <w:rPr>
                <w:rFonts w:ascii="宋体" w:hAnsi="宋体" w:cs="宋体" w:eastAsia="宋体" w:hint="default"/>
                <w:spacing w:val="-3"/>
                <w:sz w:val="18"/>
                <w:szCs w:val="18"/>
              </w:rPr>
              <w:t>李明英、深圳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市伟业创富 投资合伙企 业（有限合</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6"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139"/>
              <w:jc w:val="both"/>
              <w:rPr>
                <w:rFonts w:ascii="宋体" w:hAnsi="宋体" w:cs="宋体" w:eastAsia="宋体"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 以资产认购 而取得的徐 州五洋科技 股份有限公 司股份自上</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10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3" w:right="-8"/>
              <w:jc w:val="left"/>
              <w:rPr>
                <w:rFonts w:ascii="宋体" w:hAnsi="宋体" w:cs="宋体" w:eastAsia="宋体" w:hint="default"/>
                <w:sz w:val="18"/>
                <w:szCs w:val="18"/>
              </w:rPr>
            </w:pPr>
            <w:r>
              <w:rPr>
                <w:rFonts w:ascii="宋体" w:hAnsi="宋体" w:cs="宋体" w:eastAsia="宋体" w:hint="default"/>
                <w:sz w:val="18"/>
                <w:szCs w:val="18"/>
              </w:rPr>
              <w:t>截至报告期 </w:t>
            </w:r>
            <w:r>
              <w:rPr>
                <w:rFonts w:ascii="宋体" w:hAnsi="宋体" w:cs="宋体" w:eastAsia="宋体" w:hint="default"/>
                <w:spacing w:val="-5"/>
                <w:sz w:val="18"/>
                <w:szCs w:val="18"/>
              </w:rPr>
              <w:t>末，承诺人严</w:t>
            </w:r>
            <w:r>
              <w:rPr>
                <w:rFonts w:ascii="宋体" w:hAnsi="宋体" w:cs="宋体" w:eastAsia="宋体" w:hint="default"/>
                <w:sz w:val="18"/>
                <w:szCs w:val="18"/>
              </w:rPr>
              <w:t> 格信守承诺， 未发现违反 承诺的情况。</w:t>
            </w:r>
          </w:p>
        </w:tc>
      </w:tr>
      <w:tr>
        <w:trPr>
          <w:trHeight w:val="391" w:hRule="exact"/>
        </w:trPr>
        <w:tc>
          <w:tcPr>
            <w:tcW w:w="283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3" w:type="dxa"/>
            <w:vMerge/>
            <w:tcBorders>
              <w:left w:val="single" w:sz="10" w:space="0" w:color="D4D4D4"/>
              <w:right w:val="single" w:sz="4" w:space="0" w:color="000000"/>
            </w:tcBorders>
          </w:tcPr>
          <w:p>
            <w:pP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766" w:hRule="exact"/>
        </w:trPr>
        <w:tc>
          <w:tcPr>
            <w:tcW w:w="2837" w:type="dxa"/>
            <w:tcBorders>
              <w:top w:val="nil" w:sz="6" w:space="0" w:color="auto"/>
              <w:left w:val="single" w:sz="4" w:space="0" w:color="000000"/>
              <w:bottom w:val="single" w:sz="4" w:space="0" w:color="000000"/>
              <w:right w:val="single" w:sz="4" w:space="0" w:color="000000"/>
            </w:tcBorders>
            <w:shd w:val="clear" w:color="auto" w:fill="D4D4D4"/>
          </w:tcPr>
          <w:p>
            <w:pPr/>
          </w:p>
        </w:tc>
        <w:tc>
          <w:tcPr>
            <w:tcW w:w="1123" w:type="dxa"/>
            <w:vMerge/>
            <w:tcBorders>
              <w:left w:val="single" w:sz="10" w:space="0" w:color="D4D4D4"/>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9410"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8"/>
              <w:jc w:val="left"/>
              <w:rPr>
                <w:rFonts w:ascii="宋体" w:hAnsi="宋体" w:cs="宋体" w:eastAsia="宋体" w:hint="default"/>
                <w:sz w:val="18"/>
                <w:szCs w:val="18"/>
              </w:rPr>
            </w:pPr>
            <w:r>
              <w:rPr>
                <w:rFonts w:ascii="宋体" w:hAnsi="宋体" w:cs="宋体" w:eastAsia="宋体" w:hint="default"/>
                <w:spacing w:val="-16"/>
                <w:sz w:val="18"/>
                <w:szCs w:val="18"/>
              </w:rPr>
              <w:t>伙）、鲁证创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业投资有限 公司</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1"/>
              <w:jc w:val="left"/>
              <w:rPr>
                <w:rFonts w:ascii="宋体" w:hAnsi="宋体" w:cs="宋体" w:eastAsia="宋体" w:hint="default"/>
                <w:sz w:val="18"/>
                <w:szCs w:val="18"/>
              </w:rPr>
            </w:pPr>
            <w:r>
              <w:rPr>
                <w:rFonts w:ascii="宋体" w:hAnsi="宋体" w:cs="宋体" w:eastAsia="宋体" w:hint="default"/>
                <w:sz w:val="18"/>
                <w:szCs w:val="18"/>
              </w:rPr>
              <w:t>市之日起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 让，之后按照 中国证监会 和深圳证券 交易所的相 关规定执行。 本次发行结 束后，由于公 司送红股、转 增股本等原 因增持的公 司股份，亦应 遵守上述约 定。若本次发 行的对象所 认购股份锁 定期的规定 与证券监管 机构的最新 监管意见不 相符，公司及 林伟通、童 敏、胡云高、 伟业创富、鲁 证创投将根 据相关证券 监管机构的 监管意见进 行相应调整。</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418"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1"/>
              <w:ind w:left="23" w:right="19"/>
              <w:jc w:val="left"/>
              <w:rPr>
                <w:rFonts w:ascii="宋体" w:hAnsi="宋体" w:cs="宋体" w:eastAsia="宋体" w:hint="default"/>
                <w:sz w:val="18"/>
                <w:szCs w:val="18"/>
              </w:rPr>
            </w:pPr>
            <w:r>
              <w:rPr>
                <w:rFonts w:ascii="宋体" w:hAnsi="宋体" w:cs="宋体" w:eastAsia="宋体" w:hint="default"/>
                <w:spacing w:val="-3"/>
                <w:sz w:val="18"/>
                <w:szCs w:val="18"/>
              </w:rPr>
              <w:t>陈启伟、张宏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星、中融基金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管理有限公 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4"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
              <w:jc w:val="left"/>
              <w:rPr>
                <w:rFonts w:ascii="宋体" w:hAnsi="宋体" w:cs="宋体" w:eastAsia="宋体" w:hint="default"/>
                <w:sz w:val="18"/>
                <w:szCs w:val="18"/>
              </w:rPr>
            </w:pPr>
            <w:r>
              <w:rPr>
                <w:rFonts w:ascii="宋体" w:hAnsi="宋体" w:cs="宋体" w:eastAsia="宋体" w:hint="default"/>
                <w:sz w:val="18"/>
                <w:szCs w:val="18"/>
              </w:rPr>
              <w:t>自本次非公 开发行股票 结束之日起 十二月内不 转让所认购 的股份。锁定 期届满后减 持将遵守中 国证监会《上 市公司股东、 董监高减持 股份的若干 </w:t>
            </w:r>
            <w:r>
              <w:rPr>
                <w:rFonts w:ascii="宋体" w:hAnsi="宋体" w:cs="宋体" w:eastAsia="宋体" w:hint="default"/>
                <w:spacing w:val="-16"/>
                <w:sz w:val="18"/>
                <w:szCs w:val="18"/>
              </w:rPr>
              <w:t>规定》，深圳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证券交易所</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z w:val="18"/>
                <w:szCs w:val="18"/>
              </w:rPr>
              <w:t>截至报告期 </w:t>
            </w:r>
            <w:r>
              <w:rPr>
                <w:rFonts w:ascii="宋体" w:hAnsi="宋体" w:cs="宋体" w:eastAsia="宋体" w:hint="default"/>
                <w:spacing w:val="-5"/>
                <w:sz w:val="18"/>
                <w:szCs w:val="18"/>
              </w:rPr>
              <w:t>末，承诺人严</w:t>
            </w:r>
            <w:r>
              <w:rPr>
                <w:rFonts w:ascii="宋体" w:hAnsi="宋体" w:cs="宋体" w:eastAsia="宋体" w:hint="default"/>
                <w:sz w:val="18"/>
                <w:szCs w:val="18"/>
              </w:rPr>
              <w:t> 格信守承诺， 未发现违反 承诺的情况。</w:t>
            </w:r>
          </w:p>
        </w:tc>
      </w:tr>
    </w:tbl>
    <w:p>
      <w:pPr>
        <w:spacing w:after="0" w:line="316" w:lineRule="auto"/>
        <w:jc w:val="left"/>
        <w:rPr>
          <w:rFonts w:ascii="宋体" w:hAnsi="宋体" w:cs="宋体" w:eastAsia="宋体" w:hint="default"/>
          <w:sz w:val="18"/>
          <w:szCs w:val="18"/>
        </w:rPr>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2858"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1"/>
              <w:jc w:val="left"/>
              <w:rPr>
                <w:rFonts w:ascii="宋体" w:hAnsi="宋体" w:cs="宋体" w:eastAsia="宋体" w:hint="default"/>
                <w:sz w:val="18"/>
                <w:szCs w:val="18"/>
              </w:rPr>
            </w:pPr>
            <w:r>
              <w:rPr>
                <w:rFonts w:ascii="宋体" w:hAnsi="宋体" w:cs="宋体" w:eastAsia="宋体" w:hint="default"/>
                <w:sz w:val="18"/>
                <w:szCs w:val="18"/>
              </w:rPr>
              <w:t>《股票上市 </w:t>
            </w:r>
            <w:r>
              <w:rPr>
                <w:rFonts w:ascii="宋体" w:hAnsi="宋体" w:cs="宋体" w:eastAsia="宋体" w:hint="default"/>
                <w:spacing w:val="-28"/>
                <w:sz w:val="18"/>
                <w:szCs w:val="18"/>
              </w:rPr>
              <w:t>规则》、《深圳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证券交易所 上市公司股 东及董事、监</w:t>
            </w:r>
            <w:r>
              <w:rPr>
                <w:rFonts w:ascii="宋体" w:hAnsi="宋体" w:cs="宋体" w:eastAsia="宋体" w:hint="default"/>
                <w:sz w:val="18"/>
                <w:szCs w:val="18"/>
              </w:rPr>
              <w:t> 事、高级管理 人员减持股 份实施细则》 的相关规定。</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8513" w:hRule="exact"/>
        </w:trPr>
        <w:tc>
          <w:tcPr>
            <w:tcW w:w="2836" w:type="dxa"/>
            <w:vMerge/>
            <w:tcBorders>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
              <w:jc w:val="left"/>
              <w:rPr>
                <w:rFonts w:ascii="宋体" w:hAnsi="宋体" w:cs="宋体" w:eastAsia="宋体" w:hint="default"/>
                <w:sz w:val="18"/>
                <w:szCs w:val="18"/>
              </w:rPr>
            </w:pPr>
            <w:r>
              <w:rPr>
                <w:rFonts w:ascii="宋体" w:hAnsi="宋体" w:cs="宋体" w:eastAsia="宋体" w:hint="default"/>
                <w:sz w:val="18"/>
                <w:szCs w:val="18"/>
              </w:rPr>
              <w:t>张敦静、宋 笑、张宗纲、 张宗强、张 超、孙景云、 </w:t>
            </w:r>
            <w:r>
              <w:rPr>
                <w:rFonts w:ascii="宋体" w:hAnsi="宋体" w:cs="宋体" w:eastAsia="宋体" w:hint="default"/>
                <w:spacing w:val="-3"/>
                <w:sz w:val="18"/>
                <w:szCs w:val="18"/>
              </w:rPr>
              <w:t>潘云珍、姜永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洪、王凯、俞</w:t>
            </w:r>
            <w:r>
              <w:rPr>
                <w:rFonts w:ascii="宋体" w:hAnsi="宋体" w:cs="宋体" w:eastAsia="宋体" w:hint="default"/>
                <w:sz w:val="18"/>
                <w:szCs w:val="18"/>
              </w:rPr>
              <w:t> 成虎、王竞 雄、刘健、杨 为红、郭虎、 孙丰合、朱 震、马骏、李 维、董金柱、 </w:t>
            </w:r>
            <w:r>
              <w:rPr>
                <w:rFonts w:ascii="宋体" w:hAnsi="宋体" w:cs="宋体" w:eastAsia="宋体" w:hint="default"/>
                <w:spacing w:val="-3"/>
                <w:sz w:val="18"/>
                <w:szCs w:val="18"/>
              </w:rPr>
              <w:t>王业宁、于承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三、郭富胜、 侯思宇、邹 莹、张蕾、郑</w:t>
            </w:r>
            <w:r>
              <w:rPr>
                <w:rFonts w:ascii="宋体" w:hAnsi="宋体" w:cs="宋体" w:eastAsia="宋体" w:hint="default"/>
                <w:sz w:val="18"/>
                <w:szCs w:val="18"/>
              </w:rPr>
              <w:t> 秀珍、刘德 宝、张敦翠、 </w:t>
            </w:r>
            <w:r>
              <w:rPr>
                <w:rFonts w:ascii="宋体" w:hAnsi="宋体" w:cs="宋体" w:eastAsia="宋体" w:hint="default"/>
                <w:spacing w:val="-3"/>
                <w:sz w:val="18"/>
                <w:szCs w:val="18"/>
              </w:rPr>
              <w:t>秦玉霞、杨士</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杰、蒋绪海、 </w:t>
            </w:r>
            <w:r>
              <w:rPr>
                <w:rFonts w:ascii="宋体" w:hAnsi="宋体" w:cs="宋体" w:eastAsia="宋体" w:hint="default"/>
                <w:spacing w:val="-3"/>
                <w:sz w:val="18"/>
                <w:szCs w:val="18"/>
              </w:rPr>
              <w:t>孙继静、杨希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金、范克利、 </w:t>
            </w:r>
            <w:r>
              <w:rPr>
                <w:rFonts w:ascii="宋体" w:hAnsi="宋体" w:cs="宋体" w:eastAsia="宋体" w:hint="default"/>
                <w:spacing w:val="-3"/>
                <w:sz w:val="18"/>
                <w:szCs w:val="18"/>
              </w:rPr>
              <w:t>张保钢、王金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涛、付亨顺、 </w:t>
            </w:r>
            <w:r>
              <w:rPr>
                <w:rFonts w:ascii="宋体" w:hAnsi="宋体" w:cs="宋体" w:eastAsia="宋体" w:hint="default"/>
                <w:spacing w:val="-3"/>
                <w:sz w:val="18"/>
                <w:szCs w:val="18"/>
              </w:rPr>
              <w:t>孙宝莉、卢玉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青、张玲、李</w:t>
            </w:r>
            <w:r>
              <w:rPr>
                <w:rFonts w:ascii="宋体" w:hAnsi="宋体" w:cs="宋体" w:eastAsia="宋体" w:hint="default"/>
                <w:sz w:val="18"/>
                <w:szCs w:val="18"/>
              </w:rPr>
              <w:t> 玉禄</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3" w:right="19"/>
              <w:jc w:val="left"/>
              <w:rPr>
                <w:rFonts w:ascii="宋体" w:hAnsi="宋体" w:cs="宋体" w:eastAsia="宋体" w:hint="default"/>
                <w:sz w:val="18"/>
                <w:szCs w:val="18"/>
              </w:rPr>
            </w:pPr>
            <w:r>
              <w:rPr>
                <w:rFonts w:ascii="宋体" w:hAnsi="宋体" w:cs="宋体" w:eastAsia="宋体" w:hint="default"/>
                <w:sz w:val="18"/>
                <w:szCs w:val="18"/>
              </w:rPr>
              <w:t>本人在本次 交易中认购 的上市公司 </w:t>
            </w:r>
            <w:r>
              <w:rPr>
                <w:rFonts w:ascii="宋体" w:hAnsi="宋体" w:cs="宋体" w:eastAsia="宋体" w:hint="default"/>
                <w:spacing w:val="-2"/>
                <w:sz w:val="18"/>
                <w:szCs w:val="18"/>
              </w:rPr>
              <w:t>股份，自股份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上市之日起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 </w:t>
            </w:r>
            <w:r>
              <w:rPr>
                <w:rFonts w:ascii="宋体" w:hAnsi="宋体" w:cs="宋体" w:eastAsia="宋体" w:hint="default"/>
                <w:spacing w:val="-2"/>
                <w:sz w:val="18"/>
                <w:szCs w:val="18"/>
              </w:rPr>
              <w:t>得转让，之后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按照中国证 监会与深圳 证券交易所 的有关规定 执行。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z w:val="18"/>
                <w:szCs w:val="18"/>
              </w:rPr>
              <w:t>截至报告期 </w:t>
            </w:r>
            <w:r>
              <w:rPr>
                <w:rFonts w:ascii="宋体" w:hAnsi="宋体" w:cs="宋体" w:eastAsia="宋体" w:hint="default"/>
                <w:spacing w:val="-5"/>
                <w:sz w:val="18"/>
                <w:szCs w:val="18"/>
              </w:rPr>
              <w:t>末，承诺人严</w:t>
            </w:r>
            <w:r>
              <w:rPr>
                <w:rFonts w:ascii="宋体" w:hAnsi="宋体" w:cs="宋体" w:eastAsia="宋体" w:hint="default"/>
                <w:sz w:val="18"/>
                <w:szCs w:val="18"/>
              </w:rPr>
              <w:t> 格信守承诺， 未发现违反 承诺的情况。</w:t>
            </w:r>
          </w:p>
        </w:tc>
      </w:tr>
      <w:tr>
        <w:trPr>
          <w:trHeight w:val="2546"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侯友夫</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8"/>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1"/>
              <w:jc w:val="both"/>
              <w:rPr>
                <w:rFonts w:ascii="Times New Roman" w:hAnsi="Times New Roman" w:cs="Times New Roman" w:eastAsia="Times New Roman" w:hint="default"/>
                <w:sz w:val="18"/>
                <w:szCs w:val="18"/>
              </w:rPr>
            </w:pPr>
            <w:r>
              <w:rPr>
                <w:rFonts w:ascii="宋体" w:hAnsi="宋体" w:cs="宋体" w:eastAsia="宋体" w:hint="default"/>
                <w:sz w:val="18"/>
                <w:szCs w:val="18"/>
              </w:rPr>
              <w:t>自发行完毕 上市之日起 自愿锁定</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36</w:t>
            </w:r>
          </w:p>
          <w:p>
            <w:pPr>
              <w:pStyle w:val="TableParagraph"/>
              <w:spacing w:line="314" w:lineRule="auto"/>
              <w:ind w:left="23" w:right="19"/>
              <w:jc w:val="left"/>
              <w:rPr>
                <w:rFonts w:ascii="宋体" w:hAnsi="宋体" w:cs="宋体" w:eastAsia="宋体" w:hint="default"/>
                <w:sz w:val="18"/>
                <w:szCs w:val="18"/>
              </w:rPr>
            </w:pPr>
            <w:r>
              <w:rPr>
                <w:rFonts w:ascii="宋体" w:hAnsi="宋体" w:cs="宋体" w:eastAsia="宋体" w:hint="default"/>
                <w:sz w:val="18"/>
                <w:szCs w:val="18"/>
              </w:rPr>
              <w:t>个月，即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个月内不上 市交易或者 </w:t>
            </w:r>
            <w:r>
              <w:rPr>
                <w:rFonts w:ascii="宋体" w:hAnsi="宋体" w:cs="宋体" w:eastAsia="宋体" w:hint="default"/>
                <w:spacing w:val="-2"/>
                <w:sz w:val="18"/>
                <w:szCs w:val="18"/>
              </w:rPr>
              <w:t>转让。在锁定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期内，因本次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z w:val="18"/>
                <w:szCs w:val="18"/>
              </w:rPr>
              <w:t>截至报告期 </w:t>
            </w:r>
            <w:r>
              <w:rPr>
                <w:rFonts w:ascii="宋体" w:hAnsi="宋体" w:cs="宋体" w:eastAsia="宋体" w:hint="default"/>
                <w:spacing w:val="-5"/>
                <w:sz w:val="18"/>
                <w:szCs w:val="18"/>
              </w:rPr>
              <w:t>末，承诺人严</w:t>
            </w:r>
            <w:r>
              <w:rPr>
                <w:rFonts w:ascii="宋体" w:hAnsi="宋体" w:cs="宋体" w:eastAsia="宋体" w:hint="default"/>
                <w:sz w:val="18"/>
                <w:szCs w:val="18"/>
              </w:rPr>
              <w:t> 格信守承诺， 未发现违反 承诺的情况。</w:t>
            </w:r>
          </w:p>
        </w:tc>
      </w:tr>
    </w:tbl>
    <w:p>
      <w:pPr>
        <w:spacing w:after="0" w:line="316" w:lineRule="auto"/>
        <w:jc w:val="left"/>
        <w:rPr>
          <w:rFonts w:ascii="宋体" w:hAnsi="宋体" w:cs="宋体" w:eastAsia="宋体" w:hint="default"/>
          <w:sz w:val="18"/>
          <w:szCs w:val="18"/>
        </w:rPr>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2858"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1"/>
              <w:jc w:val="left"/>
              <w:rPr>
                <w:rFonts w:ascii="宋体" w:hAnsi="宋体" w:cs="宋体" w:eastAsia="宋体" w:hint="default"/>
                <w:sz w:val="18"/>
                <w:szCs w:val="18"/>
              </w:rPr>
            </w:pPr>
            <w:r>
              <w:rPr>
                <w:rFonts w:ascii="宋体" w:hAnsi="宋体" w:cs="宋体" w:eastAsia="宋体" w:hint="default"/>
                <w:sz w:val="18"/>
                <w:szCs w:val="18"/>
              </w:rPr>
              <w:t>发行的股份 而产生的任 何股份（包括 但不限于股 份拆细、派送 红股等方式 增持的股份） 也不转让或 上市交易。</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3833" w:hRule="exact"/>
        </w:trPr>
        <w:tc>
          <w:tcPr>
            <w:tcW w:w="2836" w:type="dxa"/>
            <w:vMerge/>
            <w:tcBorders>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187"/>
              <w:jc w:val="both"/>
              <w:rPr>
                <w:rFonts w:ascii="宋体" w:hAnsi="宋体" w:cs="宋体" w:eastAsia="宋体" w:hint="default"/>
                <w:sz w:val="18"/>
                <w:szCs w:val="18"/>
              </w:rPr>
            </w:pPr>
            <w:r>
              <w:rPr>
                <w:rFonts w:ascii="宋体" w:hAnsi="宋体" w:cs="宋体" w:eastAsia="宋体" w:hint="default"/>
                <w:sz w:val="18"/>
                <w:szCs w:val="18"/>
              </w:rPr>
              <w:t>济南天辰机 器集团有限 公司、侯秀 峰、侯玉鹏</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 在本次交易 中认购的上 市公司股份， 自股份上市 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月内不得转 让，之后按照 中国证监会 与深圳证券 交易所的有 关规定执行。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5"/>
              <w:jc w:val="left"/>
              <w:rPr>
                <w:rFonts w:ascii="宋体" w:hAnsi="宋体" w:cs="宋体" w:eastAsia="宋体" w:hint="default"/>
                <w:sz w:val="18"/>
                <w:szCs w:val="18"/>
              </w:rPr>
            </w:pPr>
            <w:r>
              <w:rPr>
                <w:rFonts w:ascii="宋体" w:hAnsi="宋体" w:cs="宋体" w:eastAsia="宋体" w:hint="default"/>
                <w:sz w:val="18"/>
                <w:szCs w:val="18"/>
              </w:rPr>
              <w:t>截至报告期 </w:t>
            </w:r>
            <w:r>
              <w:rPr>
                <w:rFonts w:ascii="宋体" w:hAnsi="宋体" w:cs="宋体" w:eastAsia="宋体" w:hint="default"/>
                <w:spacing w:val="-5"/>
                <w:sz w:val="18"/>
                <w:szCs w:val="18"/>
              </w:rPr>
              <w:t>末，承诺人严</w:t>
            </w:r>
            <w:r>
              <w:rPr>
                <w:rFonts w:ascii="宋体" w:hAnsi="宋体" w:cs="宋体" w:eastAsia="宋体" w:hint="default"/>
                <w:sz w:val="18"/>
                <w:szCs w:val="18"/>
              </w:rPr>
              <w:t> 格信守承诺， 未发现违反 承诺的情况。</w:t>
            </w:r>
          </w:p>
        </w:tc>
      </w:tr>
      <w:tr>
        <w:trPr>
          <w:trHeight w:val="7226"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6" w:lineRule="auto"/>
              <w:ind w:left="23" w:right="187"/>
              <w:jc w:val="both"/>
              <w:rPr>
                <w:rFonts w:ascii="宋体" w:hAnsi="宋体" w:cs="宋体" w:eastAsia="宋体" w:hint="default"/>
                <w:sz w:val="18"/>
                <w:szCs w:val="18"/>
              </w:rPr>
            </w:pPr>
            <w:r>
              <w:rPr>
                <w:rFonts w:ascii="宋体" w:hAnsi="宋体" w:cs="宋体" w:eastAsia="宋体" w:hint="default"/>
                <w:sz w:val="18"/>
                <w:szCs w:val="18"/>
              </w:rPr>
              <w:t>济南天辰机 器集团有限 公司、侯秀 峰、侯玉鹏</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6" w:lineRule="auto"/>
              <w:ind w:left="26" w:right="191"/>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pacing w:val="-2"/>
                <w:sz w:val="18"/>
                <w:szCs w:val="18"/>
              </w:rPr>
              <w:t>（一）盈利承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诺：天辰智能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248"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312" w:lineRule="auto" w:before="63"/>
              <w:ind w:left="23"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年度的 净利润承诺 数分别为 </w:t>
            </w:r>
            <w:r>
              <w:rPr>
                <w:rFonts w:ascii="Times New Roman" w:hAnsi="Times New Roman" w:cs="Times New Roman" w:eastAsia="Times New Roman" w:hint="default"/>
                <w:sz w:val="18"/>
                <w:szCs w:val="18"/>
              </w:rPr>
              <w:t>2,300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万元和</w:t>
            </w:r>
          </w:p>
          <w:p>
            <w:pPr>
              <w:pStyle w:val="TableParagraph"/>
              <w:spacing w:line="314" w:lineRule="auto" w:before="63"/>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4,600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济南天辰机 器集团有限 公司、侯秀 </w:t>
            </w:r>
            <w:r>
              <w:rPr>
                <w:rFonts w:ascii="宋体" w:hAnsi="宋体" w:cs="宋体" w:eastAsia="宋体" w:hint="default"/>
                <w:spacing w:val="-2"/>
                <w:sz w:val="18"/>
                <w:szCs w:val="18"/>
              </w:rPr>
              <w:t>峰、侯玉鹏承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诺，天辰智能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240" w:lineRule="auto" w:before="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年度及</w:t>
            </w:r>
          </w:p>
          <w:p>
            <w:pPr>
              <w:pStyle w:val="TableParagraph"/>
              <w:spacing w:line="309" w:lineRule="auto" w:before="63"/>
              <w:ind w:left="23" w:right="141"/>
              <w:jc w:val="both"/>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年度四 年累计实际 净利润将不</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p>
          <w:p>
            <w:pPr>
              <w:pStyle w:val="TableParagraph"/>
              <w:spacing w:line="300" w:lineRule="auto" w:before="63"/>
              <w:ind w:left="23" w:right="137"/>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年度业 绩承诺期间</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7"/>
              <w:ind w:left="23" w:right="-5"/>
              <w:jc w:val="left"/>
              <w:rPr>
                <w:rFonts w:ascii="宋体" w:hAnsi="宋体" w:cs="宋体" w:eastAsia="宋体" w:hint="default"/>
                <w:sz w:val="18"/>
                <w:szCs w:val="18"/>
              </w:rPr>
            </w:pPr>
            <w:r>
              <w:rPr>
                <w:rFonts w:ascii="宋体" w:hAnsi="宋体" w:cs="宋体" w:eastAsia="宋体" w:hint="default"/>
                <w:sz w:val="18"/>
                <w:szCs w:val="18"/>
              </w:rPr>
              <w:t>截至报告期 </w:t>
            </w:r>
            <w:r>
              <w:rPr>
                <w:rFonts w:ascii="宋体" w:hAnsi="宋体" w:cs="宋体" w:eastAsia="宋体" w:hint="default"/>
                <w:spacing w:val="-5"/>
                <w:sz w:val="18"/>
                <w:szCs w:val="18"/>
              </w:rPr>
              <w:t>末，承诺人严</w:t>
            </w:r>
            <w:r>
              <w:rPr>
                <w:rFonts w:ascii="宋体" w:hAnsi="宋体" w:cs="宋体" w:eastAsia="宋体" w:hint="default"/>
                <w:sz w:val="18"/>
                <w:szCs w:val="18"/>
              </w:rPr>
              <w:t> 格信守承诺， 未发现违反 承诺的情况。</w:t>
            </w:r>
          </w:p>
        </w:tc>
      </w:tr>
    </w:tbl>
    <w:p>
      <w:pPr>
        <w:spacing w:after="0" w:line="316" w:lineRule="auto"/>
        <w:jc w:val="left"/>
        <w:rPr>
          <w:rFonts w:ascii="宋体" w:hAnsi="宋体" w:cs="宋体" w:eastAsia="宋体" w:hint="default"/>
          <w:sz w:val="18"/>
          <w:szCs w:val="18"/>
        </w:rPr>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319"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14,000</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万元。若本次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交易未能如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度实施完毕，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则盈利承诺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期相应顺延，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即盈利承诺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期调整为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利润承诺数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不低于评估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报告中预测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净利润，实际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盈利补偿测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算期间以此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类推。本协议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所述</w:t>
            </w: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均指扣除非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经常性损益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后的净利润。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（二）盈利承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诺补偿方案：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若经合格审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计机构审核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确认，天辰智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能在盈利承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诺期前三个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会计年度的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实际净利润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数未能达到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济南天辰机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器集团有限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公司、侯秀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峰、侯玉鹏的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净利润承诺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数，济南天辰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机器集团有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限公司、侯秀</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2234" w:hRule="exact"/>
        </w:trPr>
        <w:tc>
          <w:tcPr>
            <w:tcW w:w="283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pacing w:val="-2"/>
                <w:sz w:val="18"/>
                <w:szCs w:val="18"/>
              </w:rPr>
              <w:t>峰、侯玉鹏同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意承担不可 撤销的连带 </w:t>
            </w:r>
            <w:r>
              <w:rPr>
                <w:rFonts w:ascii="宋体" w:hAnsi="宋体" w:cs="宋体" w:eastAsia="宋体" w:hint="default"/>
                <w:spacing w:val="-2"/>
                <w:sz w:val="18"/>
                <w:szCs w:val="18"/>
              </w:rPr>
              <w:t>补偿责任。具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体盈利承诺 补偿方案如 下：</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9137" w:hRule="exact"/>
        </w:trPr>
        <w:tc>
          <w:tcPr>
            <w:tcW w:w="283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3" w:right="7"/>
              <w:jc w:val="left"/>
              <w:rPr>
                <w:rFonts w:ascii="宋体" w:hAnsi="宋体" w:cs="宋体" w:eastAsia="宋体" w:hint="default"/>
                <w:sz w:val="18"/>
                <w:szCs w:val="18"/>
              </w:rPr>
            </w:pPr>
            <w:r>
              <w:rPr>
                <w:rFonts w:ascii="宋体" w:hAnsi="宋体" w:cs="宋体" w:eastAsia="宋体" w:hint="default"/>
                <w:sz w:val="18"/>
                <w:szCs w:val="18"/>
              </w:rPr>
              <w:t>侯友夫、蔡 敏、寿招爱、 </w:t>
            </w:r>
            <w:r>
              <w:rPr>
                <w:rFonts w:ascii="宋体" w:hAnsi="宋体" w:cs="宋体" w:eastAsia="宋体" w:hint="default"/>
                <w:spacing w:val="-3"/>
                <w:sz w:val="18"/>
                <w:szCs w:val="18"/>
              </w:rPr>
              <w:t>刘龙保、孙晋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明</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1"/>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自公司股票 上市之日起 三十六个月 </w:t>
            </w:r>
            <w:r>
              <w:rPr>
                <w:rFonts w:ascii="宋体" w:hAnsi="宋体" w:cs="宋体" w:eastAsia="宋体" w:hint="default"/>
                <w:spacing w:val="-2"/>
                <w:sz w:val="18"/>
                <w:szCs w:val="18"/>
              </w:rPr>
              <w:t>内，不转让或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者委托他人 管理本人直 接或间接持 有的公司股 </w:t>
            </w:r>
            <w:r>
              <w:rPr>
                <w:rFonts w:ascii="宋体" w:hAnsi="宋体" w:cs="宋体" w:eastAsia="宋体" w:hint="default"/>
                <w:spacing w:val="-2"/>
                <w:sz w:val="18"/>
                <w:szCs w:val="18"/>
              </w:rPr>
              <w:t>份，也不由公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司收购该部 </w:t>
            </w:r>
            <w:r>
              <w:rPr>
                <w:rFonts w:ascii="宋体" w:hAnsi="宋体" w:cs="宋体" w:eastAsia="宋体" w:hint="default"/>
                <w:spacing w:val="-2"/>
                <w:sz w:val="18"/>
                <w:szCs w:val="18"/>
              </w:rPr>
              <w:t>分股份；在本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人及本人关 联方担任公 司董事、监 </w:t>
            </w:r>
            <w:r>
              <w:rPr>
                <w:rFonts w:ascii="宋体" w:hAnsi="宋体" w:cs="宋体" w:eastAsia="宋体" w:hint="default"/>
                <w:spacing w:val="-2"/>
                <w:sz w:val="18"/>
                <w:szCs w:val="18"/>
              </w:rPr>
              <w:t>事、高级管理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人员职务期 间每年转让 的股份不超 过本人直接 或间接持有 的公司股份 总数的百分 </w:t>
            </w:r>
            <w:r>
              <w:rPr>
                <w:rFonts w:ascii="宋体" w:hAnsi="宋体" w:cs="宋体" w:eastAsia="宋体" w:hint="default"/>
                <w:spacing w:val="-2"/>
                <w:sz w:val="18"/>
                <w:szCs w:val="18"/>
              </w:rPr>
              <w:t>之二十五，并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且在离职后 六个月内不 转让本人直 接或间接持 有的公司股 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23" w:right="-8"/>
              <w:jc w:val="left"/>
              <w:rPr>
                <w:rFonts w:ascii="宋体" w:hAnsi="宋体" w:cs="宋体" w:eastAsia="宋体" w:hint="default"/>
                <w:sz w:val="18"/>
                <w:szCs w:val="18"/>
              </w:rPr>
            </w:pPr>
            <w:r>
              <w:rPr>
                <w:rFonts w:ascii="宋体" w:hAnsi="宋体" w:cs="宋体" w:eastAsia="宋体" w:hint="default"/>
                <w:sz w:val="18"/>
                <w:szCs w:val="18"/>
              </w:rPr>
              <w:t>截至报告期 </w:t>
            </w:r>
            <w:r>
              <w:rPr>
                <w:rFonts w:ascii="宋体" w:hAnsi="宋体" w:cs="宋体" w:eastAsia="宋体" w:hint="default"/>
                <w:spacing w:val="-5"/>
                <w:sz w:val="18"/>
                <w:szCs w:val="18"/>
              </w:rPr>
              <w:t>末，承诺人严</w:t>
            </w:r>
            <w:r>
              <w:rPr>
                <w:rFonts w:ascii="宋体" w:hAnsi="宋体" w:cs="宋体" w:eastAsia="宋体" w:hint="default"/>
                <w:sz w:val="18"/>
                <w:szCs w:val="18"/>
              </w:rPr>
              <w:t> 格信守承诺， 未发现违反 承诺的情况。</w:t>
            </w:r>
          </w:p>
        </w:tc>
      </w:tr>
      <w:tr>
        <w:trPr>
          <w:trHeight w:val="2546"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3" w:right="7"/>
              <w:jc w:val="left"/>
              <w:rPr>
                <w:rFonts w:ascii="宋体" w:hAnsi="宋体" w:cs="宋体" w:eastAsia="宋体" w:hint="default"/>
                <w:sz w:val="18"/>
                <w:szCs w:val="18"/>
              </w:rPr>
            </w:pPr>
            <w:r>
              <w:rPr>
                <w:rFonts w:ascii="宋体" w:hAnsi="宋体" w:cs="宋体" w:eastAsia="宋体" w:hint="default"/>
                <w:sz w:val="18"/>
                <w:szCs w:val="18"/>
              </w:rPr>
              <w:t>侯友夫、蔡 敏、寿招爱、 </w:t>
            </w:r>
            <w:r>
              <w:rPr>
                <w:rFonts w:ascii="宋体" w:hAnsi="宋体" w:cs="宋体" w:eastAsia="宋体" w:hint="default"/>
                <w:spacing w:val="-3"/>
                <w:sz w:val="18"/>
                <w:szCs w:val="18"/>
              </w:rPr>
              <w:t>刘龙保、孙晋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明</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8"/>
              <w:ind w:left="26"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
              <w:jc w:val="left"/>
              <w:rPr>
                <w:rFonts w:ascii="宋体" w:hAnsi="宋体" w:cs="宋体" w:eastAsia="宋体" w:hint="default"/>
                <w:sz w:val="18"/>
                <w:szCs w:val="18"/>
              </w:rPr>
            </w:pPr>
            <w:r>
              <w:rPr>
                <w:rFonts w:ascii="宋体" w:hAnsi="宋体" w:cs="宋体" w:eastAsia="宋体" w:hint="default"/>
                <w:sz w:val="18"/>
                <w:szCs w:val="18"/>
              </w:rPr>
              <w:t>本人所持公 司股票在锁 定期满后两 年内减持的， 其减持价格</w:t>
            </w:r>
          </w:p>
          <w:p>
            <w:pPr>
              <w:pStyle w:val="TableParagraph"/>
              <w:spacing w:line="316" w:lineRule="auto" w:before="19"/>
              <w:ind w:left="23" w:right="11"/>
              <w:jc w:val="left"/>
              <w:rPr>
                <w:rFonts w:ascii="宋体" w:hAnsi="宋体" w:cs="宋体" w:eastAsia="宋体" w:hint="default"/>
                <w:sz w:val="18"/>
                <w:szCs w:val="18"/>
              </w:rPr>
            </w:pPr>
            <w:r>
              <w:rPr>
                <w:rFonts w:ascii="宋体" w:hAnsi="宋体" w:cs="宋体" w:eastAsia="宋体" w:hint="default"/>
                <w:sz w:val="18"/>
                <w:szCs w:val="18"/>
              </w:rPr>
              <w:t>（如果因派 发现金红利、 送股、转增股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6" w:lineRule="auto"/>
              <w:ind w:left="23" w:right="185"/>
              <w:jc w:val="both"/>
              <w:rPr>
                <w:rFonts w:ascii="宋体" w:hAnsi="宋体" w:cs="宋体" w:eastAsia="宋体" w:hint="default"/>
                <w:sz w:val="18"/>
                <w:szCs w:val="18"/>
              </w:rPr>
            </w:pPr>
            <w:r>
              <w:rPr>
                <w:rFonts w:ascii="宋体" w:hAnsi="宋体" w:cs="宋体" w:eastAsia="宋体" w:hint="default"/>
                <w:sz w:val="18"/>
                <w:szCs w:val="18"/>
              </w:rPr>
              <w:t>作出承诺开 始至承诺履 行完毕</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23" w:right="-8"/>
              <w:jc w:val="left"/>
              <w:rPr>
                <w:rFonts w:ascii="宋体" w:hAnsi="宋体" w:cs="宋体" w:eastAsia="宋体" w:hint="default"/>
                <w:sz w:val="18"/>
                <w:szCs w:val="18"/>
              </w:rPr>
            </w:pPr>
            <w:r>
              <w:rPr>
                <w:rFonts w:ascii="宋体" w:hAnsi="宋体" w:cs="宋体" w:eastAsia="宋体" w:hint="default"/>
                <w:sz w:val="18"/>
                <w:szCs w:val="18"/>
              </w:rPr>
              <w:t>截至报告期 </w:t>
            </w:r>
            <w:r>
              <w:rPr>
                <w:rFonts w:ascii="宋体" w:hAnsi="宋体" w:cs="宋体" w:eastAsia="宋体" w:hint="default"/>
                <w:spacing w:val="-5"/>
                <w:sz w:val="18"/>
                <w:szCs w:val="18"/>
              </w:rPr>
              <w:t>末，承诺人严</w:t>
            </w:r>
            <w:r>
              <w:rPr>
                <w:rFonts w:ascii="宋体" w:hAnsi="宋体" w:cs="宋体" w:eastAsia="宋体" w:hint="default"/>
                <w:sz w:val="18"/>
                <w:szCs w:val="18"/>
              </w:rPr>
              <w:t> 格信守承诺， 未发现违反 承诺的情况。</w:t>
            </w:r>
          </w:p>
        </w:tc>
      </w:tr>
    </w:tbl>
    <w:p>
      <w:pPr>
        <w:spacing w:after="0" w:line="316" w:lineRule="auto"/>
        <w:jc w:val="left"/>
        <w:rPr>
          <w:rFonts w:ascii="宋体" w:hAnsi="宋体" w:cs="宋体" w:eastAsia="宋体" w:hint="default"/>
          <w:sz w:val="18"/>
          <w:szCs w:val="18"/>
        </w:rPr>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315"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本、增发新股</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等原因进行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除权、除息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的，须按照深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圳证券交易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所的有关规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定作复权处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理）不低于发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行价；在符合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法律法规及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相关规定的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前提下，在所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持股票锁定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期满后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月内不超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，期满后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超</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50%</w:t>
            </w:r>
            <w:r>
              <w:rPr>
                <w:rFonts w:ascii="宋体" w:hAnsi="宋体" w:cs="宋体" w:eastAsia="宋体" w:hint="default"/>
                <w:spacing w:val="-4"/>
                <w:sz w:val="18"/>
                <w:szCs w:val="18"/>
              </w:rPr>
              <w:t>；减持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时，应尽量避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免短期内大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量减持对公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司股价造成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下跌性影响，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且须提前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交易日公告；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减持方式为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通过交易系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统或大宗交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易的方式减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持。公司上市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个月内如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公司股票连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日的收盘价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（如果因派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发现金红利、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送股、转增股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本、增发新股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等原因进行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除权、除息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的，须按照深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圳证券交易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所的有关规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定作复权处</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4418"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17"/>
              <w:jc w:val="left"/>
              <w:rPr>
                <w:rFonts w:ascii="宋体" w:hAnsi="宋体" w:cs="宋体" w:eastAsia="宋体" w:hint="default"/>
                <w:sz w:val="18"/>
                <w:szCs w:val="18"/>
              </w:rPr>
            </w:pPr>
            <w:r>
              <w:rPr>
                <w:rFonts w:ascii="宋体" w:hAnsi="宋体" w:cs="宋体" w:eastAsia="宋体" w:hint="default"/>
                <w:spacing w:val="-8"/>
                <w:sz w:val="18"/>
                <w:szCs w:val="18"/>
              </w:rPr>
              <w:t>理</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下同）均低</w:t>
            </w:r>
            <w:r>
              <w:rPr>
                <w:rFonts w:ascii="宋体" w:hAnsi="宋体" w:cs="宋体" w:eastAsia="宋体" w:hint="default"/>
                <w:sz w:val="18"/>
                <w:szCs w:val="18"/>
              </w:rPr>
              <w:t> 于发行价，或 者上市后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 月期末收盘 价低于发行 价，持有公司 股票的锁定 期限自动延 长至少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月。本人不因 职务变更、离 职等原因，而 放弃履行上 述承诺。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3521" w:hRule="exact"/>
        </w:trPr>
        <w:tc>
          <w:tcPr>
            <w:tcW w:w="2836" w:type="dxa"/>
            <w:vMerge/>
            <w:tcBorders>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7"/>
              <w:jc w:val="left"/>
              <w:rPr>
                <w:rFonts w:ascii="宋体" w:hAnsi="宋体" w:cs="宋体" w:eastAsia="宋体" w:hint="default"/>
                <w:sz w:val="18"/>
                <w:szCs w:val="18"/>
              </w:rPr>
            </w:pPr>
            <w:r>
              <w:rPr>
                <w:rFonts w:ascii="宋体" w:hAnsi="宋体" w:cs="宋体" w:eastAsia="宋体" w:hint="default"/>
                <w:sz w:val="18"/>
                <w:szCs w:val="18"/>
              </w:rPr>
              <w:t>王安生、黄 振、房玉修、 祁辉、魏志 国、孙杰、杨 启栋、龙建 宇、孟庆睿、 </w:t>
            </w:r>
            <w:r>
              <w:rPr>
                <w:rFonts w:ascii="宋体" w:hAnsi="宋体" w:cs="宋体" w:eastAsia="宋体" w:hint="default"/>
                <w:spacing w:val="-3"/>
                <w:sz w:val="18"/>
                <w:szCs w:val="18"/>
              </w:rPr>
              <w:t>卫振勇、杜家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华</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自公司股票 上市之日起 三十六个月 </w:t>
            </w:r>
            <w:r>
              <w:rPr>
                <w:rFonts w:ascii="宋体" w:hAnsi="宋体" w:cs="宋体" w:eastAsia="宋体" w:hint="default"/>
                <w:spacing w:val="-2"/>
                <w:sz w:val="18"/>
                <w:szCs w:val="18"/>
              </w:rPr>
              <w:t>内，不转让或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者委托他人 管理本人直 接或间接持 有的公司股 </w:t>
            </w:r>
            <w:r>
              <w:rPr>
                <w:rFonts w:ascii="宋体" w:hAnsi="宋体" w:cs="宋体" w:eastAsia="宋体" w:hint="default"/>
                <w:spacing w:val="-2"/>
                <w:sz w:val="18"/>
                <w:szCs w:val="18"/>
              </w:rPr>
              <w:t>份，也不由公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司收购该部 分股份。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5"/>
              <w:jc w:val="left"/>
              <w:rPr>
                <w:rFonts w:ascii="宋体" w:hAnsi="宋体" w:cs="宋体" w:eastAsia="宋体" w:hint="default"/>
                <w:sz w:val="18"/>
                <w:szCs w:val="18"/>
              </w:rPr>
            </w:pPr>
            <w:r>
              <w:rPr>
                <w:rFonts w:ascii="宋体" w:hAnsi="宋体" w:cs="宋体" w:eastAsia="宋体" w:hint="default"/>
                <w:sz w:val="18"/>
                <w:szCs w:val="18"/>
              </w:rPr>
              <w:t>截至报告期 </w:t>
            </w:r>
            <w:r>
              <w:rPr>
                <w:rFonts w:ascii="宋体" w:hAnsi="宋体" w:cs="宋体" w:eastAsia="宋体" w:hint="default"/>
                <w:spacing w:val="-5"/>
                <w:sz w:val="18"/>
                <w:szCs w:val="18"/>
              </w:rPr>
              <w:t>末，承诺人严</w:t>
            </w:r>
            <w:r>
              <w:rPr>
                <w:rFonts w:ascii="宋体" w:hAnsi="宋体" w:cs="宋体" w:eastAsia="宋体" w:hint="default"/>
                <w:sz w:val="18"/>
                <w:szCs w:val="18"/>
              </w:rPr>
              <w:t> 格信守承诺， 未发现违反 承诺的情况。</w:t>
            </w:r>
          </w:p>
        </w:tc>
      </w:tr>
      <w:tr>
        <w:trPr>
          <w:trHeight w:val="5978"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宋体" w:hAnsi="宋体" w:cs="宋体" w:eastAsia="宋体" w:hint="default"/>
                <w:sz w:val="18"/>
                <w:szCs w:val="18"/>
              </w:rPr>
            </w:pPr>
            <w:r>
              <w:rPr>
                <w:rFonts w:ascii="宋体" w:hAnsi="宋体" w:cs="宋体" w:eastAsia="宋体" w:hint="default"/>
                <w:sz w:val="18"/>
                <w:szCs w:val="18"/>
              </w:rPr>
              <w:t>尹碧有</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316"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自公司股票 上市之日起 三十六个月 </w:t>
            </w:r>
            <w:r>
              <w:rPr>
                <w:rFonts w:ascii="宋体" w:hAnsi="宋体" w:cs="宋体" w:eastAsia="宋体" w:hint="default"/>
                <w:spacing w:val="-2"/>
                <w:sz w:val="18"/>
                <w:szCs w:val="18"/>
              </w:rPr>
              <w:t>内，不转让或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者委托他人 管理本人直 接或间接持 有的公司股 </w:t>
            </w:r>
            <w:r>
              <w:rPr>
                <w:rFonts w:ascii="宋体" w:hAnsi="宋体" w:cs="宋体" w:eastAsia="宋体" w:hint="default"/>
                <w:spacing w:val="-2"/>
                <w:sz w:val="18"/>
                <w:szCs w:val="18"/>
              </w:rPr>
              <w:t>份，也不由公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司收购该部 </w:t>
            </w:r>
            <w:r>
              <w:rPr>
                <w:rFonts w:ascii="宋体" w:hAnsi="宋体" w:cs="宋体" w:eastAsia="宋体" w:hint="default"/>
                <w:spacing w:val="-2"/>
                <w:sz w:val="18"/>
                <w:szCs w:val="18"/>
              </w:rPr>
              <w:t>分股份。在本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人及本人关 联方担任公 司董事、监 </w:t>
            </w:r>
            <w:r>
              <w:rPr>
                <w:rFonts w:ascii="宋体" w:hAnsi="宋体" w:cs="宋体" w:eastAsia="宋体" w:hint="default"/>
                <w:spacing w:val="-2"/>
                <w:sz w:val="18"/>
                <w:szCs w:val="18"/>
              </w:rPr>
              <w:t>事、高级管理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人员职务期 间每年转让 的股份不超 过本人直接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16" w:lineRule="auto"/>
              <w:ind w:left="23" w:right="185"/>
              <w:jc w:val="both"/>
              <w:rPr>
                <w:rFonts w:ascii="宋体" w:hAnsi="宋体" w:cs="宋体" w:eastAsia="宋体" w:hint="default"/>
                <w:sz w:val="18"/>
                <w:szCs w:val="18"/>
              </w:rPr>
            </w:pPr>
            <w:r>
              <w:rPr>
                <w:rFonts w:ascii="宋体" w:hAnsi="宋体" w:cs="宋体" w:eastAsia="宋体" w:hint="default"/>
                <w:sz w:val="18"/>
                <w:szCs w:val="18"/>
              </w:rPr>
              <w:t>作出承诺开 始至承诺履 行完毕</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4"/>
              <w:ind w:left="23" w:right="-5"/>
              <w:jc w:val="left"/>
              <w:rPr>
                <w:rFonts w:ascii="宋体" w:hAnsi="宋体" w:cs="宋体" w:eastAsia="宋体" w:hint="default"/>
                <w:sz w:val="18"/>
                <w:szCs w:val="18"/>
              </w:rPr>
            </w:pPr>
            <w:r>
              <w:rPr>
                <w:rFonts w:ascii="宋体" w:hAnsi="宋体" w:cs="宋体" w:eastAsia="宋体" w:hint="default"/>
                <w:sz w:val="18"/>
                <w:szCs w:val="18"/>
              </w:rPr>
              <w:t>截至报告期 </w:t>
            </w:r>
            <w:r>
              <w:rPr>
                <w:rFonts w:ascii="宋体" w:hAnsi="宋体" w:cs="宋体" w:eastAsia="宋体" w:hint="default"/>
                <w:spacing w:val="-5"/>
                <w:sz w:val="18"/>
                <w:szCs w:val="18"/>
              </w:rPr>
              <w:t>末，承诺人严</w:t>
            </w:r>
            <w:r>
              <w:rPr>
                <w:rFonts w:ascii="宋体" w:hAnsi="宋体" w:cs="宋体" w:eastAsia="宋体" w:hint="default"/>
                <w:sz w:val="18"/>
                <w:szCs w:val="18"/>
              </w:rPr>
              <w:t> 格信守承诺， 未发现违反 承诺的情况。</w:t>
            </w:r>
          </w:p>
        </w:tc>
      </w:tr>
    </w:tbl>
    <w:p>
      <w:pPr>
        <w:spacing w:after="0" w:line="316" w:lineRule="auto"/>
        <w:jc w:val="left"/>
        <w:rPr>
          <w:rFonts w:ascii="宋体" w:hAnsi="宋体" w:cs="宋体" w:eastAsia="宋体" w:hint="default"/>
          <w:sz w:val="18"/>
          <w:szCs w:val="18"/>
        </w:rPr>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559998pt;margin-top:230.999985pt;width:61.8pt;height:179.4pt;mso-position-horizontal-relative:page;mso-position-vertical-relative:page;z-index:-10522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4"/>
                      <w:szCs w:val="14"/>
                    </w:rPr>
                  </w:pPr>
                </w:p>
                <w:p>
                  <w:pPr>
                    <w:pStyle w:val="BodyText"/>
                    <w:spacing w:line="240" w:lineRule="auto" w:before="0"/>
                    <w:ind w:left="0" w:right="0"/>
                    <w:jc w:val="left"/>
                  </w:pPr>
                  <w:r>
                    <w:rPr/>
                    <w:t>）</w:t>
                  </w:r>
                </w:p>
              </w:txbxContent>
            </v:textbox>
            <w10:wrap type="none"/>
          </v:shape>
        </w:pict>
      </w:r>
      <w:r>
        <w:rPr/>
        <w:pict>
          <v:shape style="position:absolute;margin-left:361.559998pt;margin-top:714.23999pt;width:61.8pt;height:53.65pt;mso-position-horizontal-relative:page;mso-position-vertical-relative:page;z-index:-10522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1"/>
                      <w:szCs w:val="21"/>
                    </w:rPr>
                  </w:pPr>
                </w:p>
                <w:p>
                  <w:pPr>
                    <w:pStyle w:val="BodyText"/>
                    <w:spacing w:line="240" w:lineRule="auto" w:before="0"/>
                    <w:ind w:left="0" w:right="0"/>
                    <w:jc w:val="left"/>
                  </w:pPr>
                  <w:r>
                    <w:rPr/>
                    <w:t>）</w:t>
                  </w:r>
                </w:p>
              </w:txbxContent>
            </v:textbox>
            <w10:wrap type="none"/>
          </v:shape>
        </w:pict>
      </w:r>
      <w:r>
        <w:rPr/>
        <w:pict>
          <v:group style="position:absolute;margin-left:367.559998pt;margin-top:230.999985pt;width:55.8pt;height:179.4pt;mso-position-horizontal-relative:page;mso-position-vertical-relative:page;z-index:-1052248" coordorigin="7351,4620" coordsize="1116,3588">
            <v:shape style="position:absolute;left:7351;top:4620;width:1116;height:3588" coordorigin="7351,4620" coordsize="1116,3588" path="m7351,8208l8467,8208,8467,4620,7351,4620,7351,8208xe" filled="true" fillcolor="#ffffff" stroked="false">
              <v:path arrowok="t"/>
              <v:fill type="solid"/>
            </v:shape>
            <w10:wrap type="none"/>
          </v:group>
        </w:pict>
      </w:r>
      <w:r>
        <w:rPr/>
        <w:pict>
          <v:group style="position:absolute;margin-left:367.559998pt;margin-top:714.23999pt;width:55.8pt;height:53.65pt;mso-position-horizontal-relative:page;mso-position-vertical-relative:page;z-index:-1052224" coordorigin="7351,14285" coordsize="1116,1073">
            <v:shape style="position:absolute;left:7351;top:14285;width:1116;height:1073" coordorigin="7351,14285" coordsize="1116,1073" path="m7351,15358l8467,15358,8467,14285,7351,14285,7351,15358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315"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或间接持有</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的公司股份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总数的百分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之二十五，并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且在离职后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六个月内不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转让本人直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接或间接持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有的公司股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60"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355" w:hRule="exact"/>
        </w:trPr>
        <w:tc>
          <w:tcPr>
            <w:tcW w:w="2836" w:type="dxa"/>
            <w:vMerge/>
            <w:tcBorders>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当公司启动</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股价稳定措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施的条件成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就时，若公司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决定增持股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票方式，控股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股东、实际控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制人承诺：</w:t>
            </w:r>
            <w:r>
              <w:rPr>
                <w:rFonts w:ascii="Times New Roman" w:hAnsi="Times New Roman" w:cs="Times New Roman" w:eastAsia="Times New Roman" w:hint="default"/>
                <w:sz w:val="18"/>
                <w:szCs w:val="18"/>
              </w:rPr>
              <w:t>1</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公司控股股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东、实际控制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人应在符合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截至报告期</w:t>
            </w:r>
          </w:p>
        </w:tc>
      </w:tr>
      <w:tr>
        <w:trPr>
          <w:trHeight w:val="936"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87"/>
              <w:jc w:val="left"/>
              <w:rPr>
                <w:rFonts w:ascii="宋体" w:hAnsi="宋体" w:cs="宋体" w:eastAsia="宋体" w:hint="default"/>
                <w:sz w:val="18"/>
                <w:szCs w:val="18"/>
              </w:rPr>
            </w:pPr>
            <w:r>
              <w:rPr>
                <w:rFonts w:ascii="宋体" w:hAnsi="宋体" w:cs="宋体" w:eastAsia="宋体" w:hint="default"/>
                <w:sz w:val="18"/>
                <w:szCs w:val="18"/>
              </w:rPr>
              <w:t>侯友夫、蔡 敏、寿招爱</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股份增持承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9"/>
              <w:jc w:val="left"/>
              <w:rPr>
                <w:rFonts w:ascii="宋体" w:hAnsi="宋体" w:cs="宋体" w:eastAsia="宋体" w:hint="default"/>
                <w:sz w:val="18"/>
                <w:szCs w:val="18"/>
              </w:rPr>
            </w:pPr>
            <w:r>
              <w:rPr>
                <w:rFonts w:ascii="宋体" w:hAnsi="宋体" w:cs="宋体" w:eastAsia="宋体" w:hint="default"/>
                <w:sz w:val="18"/>
                <w:szCs w:val="18"/>
              </w:rPr>
              <w:t>《上市公司 收购管理办 </w:t>
            </w:r>
            <w:r>
              <w:rPr>
                <w:rFonts w:ascii="宋体" w:hAnsi="宋体" w:cs="宋体" w:eastAsia="宋体" w:hint="default"/>
                <w:spacing w:val="-2"/>
                <w:sz w:val="18"/>
                <w:szCs w:val="18"/>
              </w:rPr>
              <w:t>法》及《创业</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85"/>
              <w:jc w:val="both"/>
              <w:rPr>
                <w:rFonts w:ascii="宋体" w:hAnsi="宋体" w:cs="宋体" w:eastAsia="宋体" w:hint="default"/>
                <w:sz w:val="18"/>
                <w:szCs w:val="18"/>
              </w:rPr>
            </w:pPr>
            <w:r>
              <w:rPr>
                <w:rFonts w:ascii="宋体" w:hAnsi="宋体" w:cs="宋体" w:eastAsia="宋体" w:hint="default"/>
                <w:sz w:val="18"/>
                <w:szCs w:val="18"/>
              </w:rPr>
              <w:t>作出承诺开 始至承诺履 行完毕</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8"/>
              <w:jc w:val="both"/>
              <w:rPr>
                <w:rFonts w:ascii="宋体" w:hAnsi="宋体" w:cs="宋体" w:eastAsia="宋体" w:hint="default"/>
                <w:sz w:val="18"/>
                <w:szCs w:val="18"/>
              </w:rPr>
            </w:pPr>
            <w:r>
              <w:rPr>
                <w:rFonts w:ascii="宋体" w:hAnsi="宋体" w:cs="宋体" w:eastAsia="宋体" w:hint="default"/>
                <w:spacing w:val="-5"/>
                <w:sz w:val="18"/>
                <w:szCs w:val="18"/>
              </w:rPr>
              <w:t>末，承诺人严</w:t>
            </w:r>
            <w:r>
              <w:rPr>
                <w:rFonts w:ascii="宋体" w:hAnsi="宋体" w:cs="宋体" w:eastAsia="宋体" w:hint="default"/>
                <w:sz w:val="18"/>
                <w:szCs w:val="18"/>
              </w:rPr>
              <w:t> 格信守承诺， 未发现违反</w:t>
            </w: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板信息披露</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8"/>
              <w:jc w:val="left"/>
              <w:rPr>
                <w:rFonts w:ascii="宋体" w:hAnsi="宋体" w:cs="宋体" w:eastAsia="宋体" w:hint="default"/>
                <w:sz w:val="18"/>
                <w:szCs w:val="18"/>
              </w:rPr>
            </w:pPr>
            <w:r>
              <w:rPr>
                <w:rFonts w:ascii="宋体" w:hAnsi="宋体" w:cs="宋体" w:eastAsia="宋体" w:hint="default"/>
                <w:sz w:val="18"/>
                <w:szCs w:val="18"/>
              </w:rPr>
              <w:t>承诺的情况。</w:t>
            </w: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业务备忘录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东及其一致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行动人增持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股份业务管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理》等法律法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规的条件和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要求的前提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下，对公司股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票进行增持。</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2836" w:type="dxa"/>
            <w:vMerge/>
            <w:tcBorders>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当公司启动</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股价稳定措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施的条件成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截至报告期</w:t>
            </w:r>
          </w:p>
        </w:tc>
      </w:tr>
      <w:tr>
        <w:trPr>
          <w:trHeight w:val="936"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316" w:lineRule="auto" w:before="157"/>
              <w:ind w:left="23" w:right="19"/>
              <w:jc w:val="left"/>
              <w:rPr>
                <w:rFonts w:ascii="宋体" w:hAnsi="宋体" w:cs="宋体" w:eastAsia="宋体" w:hint="default"/>
                <w:sz w:val="18"/>
                <w:szCs w:val="18"/>
              </w:rPr>
            </w:pPr>
            <w:r>
              <w:rPr>
                <w:rFonts w:ascii="宋体" w:hAnsi="宋体" w:cs="宋体" w:eastAsia="宋体" w:hint="default"/>
                <w:spacing w:val="-3"/>
                <w:sz w:val="18"/>
                <w:szCs w:val="18"/>
              </w:rPr>
              <w:t>刘龙保、孙晋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明</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316" w:lineRule="auto" w:before="157"/>
              <w:ind w:left="26" w:right="191"/>
              <w:jc w:val="left"/>
              <w:rPr>
                <w:rFonts w:ascii="宋体" w:hAnsi="宋体" w:cs="宋体" w:eastAsia="宋体" w:hint="default"/>
                <w:sz w:val="18"/>
                <w:szCs w:val="18"/>
              </w:rPr>
            </w:pPr>
            <w:r>
              <w:rPr>
                <w:rFonts w:ascii="宋体" w:hAnsi="宋体" w:cs="宋体" w:eastAsia="宋体" w:hint="default"/>
                <w:sz w:val="18"/>
                <w:szCs w:val="18"/>
              </w:rPr>
              <w:t>股份增持承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3" w:right="19"/>
              <w:jc w:val="left"/>
              <w:rPr>
                <w:rFonts w:ascii="宋体" w:hAnsi="宋体" w:cs="宋体" w:eastAsia="宋体" w:hint="default"/>
                <w:sz w:val="18"/>
                <w:szCs w:val="18"/>
              </w:rPr>
            </w:pPr>
            <w:r>
              <w:rPr>
                <w:rFonts w:ascii="宋体" w:hAnsi="宋体" w:cs="宋体" w:eastAsia="宋体" w:hint="default"/>
                <w:spacing w:val="-2"/>
                <w:sz w:val="18"/>
                <w:szCs w:val="18"/>
              </w:rPr>
              <w:t>就时，若公司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决定增持股 票方式，董</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3" w:right="185"/>
              <w:jc w:val="both"/>
              <w:rPr>
                <w:rFonts w:ascii="宋体" w:hAnsi="宋体" w:cs="宋体" w:eastAsia="宋体" w:hint="default"/>
                <w:sz w:val="18"/>
                <w:szCs w:val="18"/>
              </w:rPr>
            </w:pPr>
            <w:r>
              <w:rPr>
                <w:rFonts w:ascii="宋体" w:hAnsi="宋体" w:cs="宋体" w:eastAsia="宋体" w:hint="default"/>
                <w:sz w:val="18"/>
                <w:szCs w:val="18"/>
              </w:rPr>
              <w:t>作出承诺开 始至承诺履 行完毕</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3" w:right="-8"/>
              <w:jc w:val="both"/>
              <w:rPr>
                <w:rFonts w:ascii="宋体" w:hAnsi="宋体" w:cs="宋体" w:eastAsia="宋体" w:hint="default"/>
                <w:sz w:val="18"/>
                <w:szCs w:val="18"/>
              </w:rPr>
            </w:pPr>
            <w:r>
              <w:rPr>
                <w:rFonts w:ascii="宋体" w:hAnsi="宋体" w:cs="宋体" w:eastAsia="宋体" w:hint="default"/>
                <w:spacing w:val="-5"/>
                <w:sz w:val="18"/>
                <w:szCs w:val="18"/>
              </w:rPr>
              <w:t>末，承诺人严</w:t>
            </w:r>
            <w:r>
              <w:rPr>
                <w:rFonts w:ascii="宋体" w:hAnsi="宋体" w:cs="宋体" w:eastAsia="宋体" w:hint="default"/>
                <w:sz w:val="18"/>
                <w:szCs w:val="18"/>
              </w:rPr>
              <w:t> 格信守承诺， 未发现违反</w:t>
            </w:r>
          </w:p>
        </w:tc>
      </w:tr>
      <w:tr>
        <w:trPr>
          <w:trHeight w:val="32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事、高级管理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8"/>
              <w:jc w:val="left"/>
              <w:rPr>
                <w:rFonts w:ascii="宋体" w:hAnsi="宋体" w:cs="宋体" w:eastAsia="宋体" w:hint="default"/>
                <w:sz w:val="18"/>
                <w:szCs w:val="18"/>
              </w:rPr>
            </w:pPr>
            <w:r>
              <w:rPr>
                <w:rFonts w:ascii="宋体" w:hAnsi="宋体" w:cs="宋体" w:eastAsia="宋体" w:hint="default"/>
                <w:sz w:val="18"/>
                <w:szCs w:val="18"/>
              </w:rPr>
              <w:t>承诺的情况。</w:t>
            </w:r>
          </w:p>
        </w:tc>
      </w:tr>
      <w:tr>
        <w:trPr>
          <w:trHeight w:val="317"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人员承诺：</w:t>
            </w:r>
            <w:r>
              <w:rPr>
                <w:rFonts w:ascii="Times New Roman" w:hAnsi="Times New Roman" w:cs="Times New Roman" w:eastAsia="Times New Roman" w:hint="default"/>
                <w:sz w:val="18"/>
                <w:szCs w:val="18"/>
              </w:rPr>
              <w:t>1</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在公司任职</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5978"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1"/>
              <w:jc w:val="left"/>
              <w:rPr>
                <w:rFonts w:ascii="宋体" w:hAnsi="宋体" w:cs="宋体" w:eastAsia="宋体" w:hint="default"/>
                <w:sz w:val="18"/>
                <w:szCs w:val="18"/>
              </w:rPr>
            </w:pPr>
            <w:r>
              <w:rPr>
                <w:rFonts w:ascii="宋体" w:hAnsi="宋体" w:cs="宋体" w:eastAsia="宋体" w:hint="default"/>
                <w:sz w:val="18"/>
                <w:szCs w:val="18"/>
              </w:rPr>
              <w:t>并领取薪酬 的公司董事</w:t>
            </w:r>
          </w:p>
          <w:p>
            <w:pPr>
              <w:pStyle w:val="TableParagraph"/>
              <w:spacing w:line="316" w:lineRule="auto" w:before="19"/>
              <w:ind w:left="23" w:right="19"/>
              <w:jc w:val="left"/>
              <w:rPr>
                <w:rFonts w:ascii="宋体" w:hAnsi="宋体" w:cs="宋体" w:eastAsia="宋体" w:hint="default"/>
                <w:sz w:val="18"/>
                <w:szCs w:val="18"/>
              </w:rPr>
            </w:pPr>
            <w:r>
              <w:rPr>
                <w:rFonts w:ascii="宋体" w:hAnsi="宋体" w:cs="宋体" w:eastAsia="宋体" w:hint="default"/>
                <w:sz w:val="18"/>
                <w:szCs w:val="18"/>
              </w:rPr>
              <w:t>（不包括独 </w:t>
            </w:r>
            <w:r>
              <w:rPr>
                <w:rFonts w:ascii="宋体" w:hAnsi="宋体" w:cs="宋体" w:eastAsia="宋体" w:hint="default"/>
                <w:spacing w:val="-16"/>
                <w:sz w:val="18"/>
                <w:szCs w:val="18"/>
              </w:rPr>
              <w:t>立董事）、高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级管理人员 </w:t>
            </w:r>
            <w:r>
              <w:rPr>
                <w:rFonts w:ascii="宋体" w:hAnsi="宋体" w:cs="宋体" w:eastAsia="宋体" w:hint="default"/>
                <w:spacing w:val="-2"/>
                <w:sz w:val="18"/>
                <w:szCs w:val="18"/>
              </w:rPr>
              <w:t>应在符合《上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市公司收购 </w:t>
            </w:r>
            <w:r>
              <w:rPr>
                <w:rFonts w:ascii="宋体" w:hAnsi="宋体" w:cs="宋体" w:eastAsia="宋体" w:hint="default"/>
                <w:spacing w:val="-2"/>
                <w:sz w:val="18"/>
                <w:szCs w:val="18"/>
              </w:rPr>
              <w:t>管理办法》及</w:t>
            </w:r>
          </w:p>
          <w:p>
            <w:pPr>
              <w:pStyle w:val="TableParagraph"/>
              <w:spacing w:line="316" w:lineRule="auto" w:before="19"/>
              <w:ind w:left="23" w:right="11"/>
              <w:jc w:val="left"/>
              <w:rPr>
                <w:rFonts w:ascii="宋体" w:hAnsi="宋体" w:cs="宋体" w:eastAsia="宋体" w:hint="default"/>
                <w:sz w:val="18"/>
                <w:szCs w:val="18"/>
              </w:rPr>
            </w:pPr>
            <w:r>
              <w:rPr>
                <w:rFonts w:ascii="宋体" w:hAnsi="宋体" w:cs="宋体" w:eastAsia="宋体" w:hint="default"/>
                <w:sz w:val="18"/>
                <w:szCs w:val="18"/>
              </w:rPr>
              <w:t>《上市公司 董事、监事和 高级管理人 员所持本公 司股份及其 变动管理规 则》等法律法 规的条件和 要求的前提 下，对公司股 票进行增持。</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850"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4" w:lineRule="auto"/>
              <w:ind w:left="23" w:right="187"/>
              <w:jc w:val="left"/>
              <w:rPr>
                <w:rFonts w:ascii="宋体" w:hAnsi="宋体" w:cs="宋体" w:eastAsia="宋体" w:hint="default"/>
                <w:sz w:val="18"/>
                <w:szCs w:val="18"/>
              </w:rPr>
            </w:pPr>
            <w:r>
              <w:rPr>
                <w:rFonts w:ascii="宋体" w:hAnsi="宋体" w:cs="宋体" w:eastAsia="宋体" w:hint="default"/>
                <w:sz w:val="18"/>
                <w:szCs w:val="18"/>
              </w:rPr>
              <w:t>侯友夫、蔡 敏、寿招爱</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9"/>
              <w:jc w:val="left"/>
              <w:rPr>
                <w:rFonts w:ascii="宋体" w:hAnsi="宋体" w:cs="宋体" w:eastAsia="宋体" w:hint="default"/>
                <w:sz w:val="18"/>
                <w:szCs w:val="18"/>
              </w:rPr>
            </w:pPr>
            <w:r>
              <w:rPr>
                <w:rFonts w:ascii="宋体" w:hAnsi="宋体" w:cs="宋体" w:eastAsia="宋体" w:hint="default"/>
                <w:sz w:val="18"/>
                <w:szCs w:val="18"/>
              </w:rPr>
              <w:t>本人目前未 以任何形式 直接或间接 从事与发行 人相同或相 似的业务，未 拥有与发行 人业务相同 或相似的控 股</w:t>
            </w:r>
            <w:r>
              <w:rPr>
                <w:rFonts w:ascii="Times New Roman" w:hAnsi="Times New Roman" w:cs="Times New Roman" w:eastAsia="Times New Roman" w:hint="default"/>
                <w:sz w:val="18"/>
                <w:szCs w:val="18"/>
              </w:rPr>
              <w:t>/</w:t>
            </w:r>
            <w:r>
              <w:rPr>
                <w:rFonts w:ascii="宋体" w:hAnsi="宋体" w:cs="宋体" w:eastAsia="宋体" w:hint="default"/>
                <w:sz w:val="18"/>
                <w:szCs w:val="18"/>
              </w:rPr>
              <w:t>参股公司、 联营公司及 合营公司，将 来也不会从 事与发行人 相同或相似 的业务；本人 将不投资与 发行人相同 或相类似的 企业或项目， 以避免对发 行人的生产 经营构成直 接或间接的 竞争；保证本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568"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0"/>
                <w:sz w:val="20"/>
                <w:szCs w:val="20"/>
              </w:rPr>
              <w:pict>
                <v:group style="width:55.8pt;height:178.45pt;mso-position-horizontal-relative:char;mso-position-vertical-relative:line" coordorigin="0,0" coordsize="1116,3569">
                  <v:group style="position:absolute;left:0;top:0;width:1116;height:3569" coordorigin="0,0" coordsize="1116,3569">
                    <v:shape style="position:absolute;left:0;top:0;width:1116;height:3569" coordorigin="0,0" coordsize="1116,3569" path="m0,3569l1116,3569,1116,0,0,0,0,3569xe" filled="true" fillcolor="#ffffff" stroked="false">
                      <v:path arrowok="t"/>
                      <v:fill type="solid"/>
                    </v:shape>
                  </v:group>
                </v:group>
              </w:pict>
            </w:r>
            <w:r>
              <w:rPr>
                <w:rFonts w:ascii="Times New Roman" w:hAnsi="Times New Roman" w:cs="Times New Roman" w:eastAsia="Times New Roman" w:hint="default"/>
                <w:position w:val="-70"/>
                <w:sz w:val="20"/>
                <w:szCs w:val="20"/>
              </w:rPr>
            </w:r>
          </w:p>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0"/>
              <w:ind w:left="23" w:right="185"/>
              <w:jc w:val="both"/>
              <w:rPr>
                <w:rFonts w:ascii="宋体" w:hAnsi="宋体" w:cs="宋体" w:eastAsia="宋体" w:hint="default"/>
                <w:sz w:val="18"/>
                <w:szCs w:val="18"/>
              </w:rPr>
            </w:pPr>
            <w:r>
              <w:rPr>
                <w:rFonts w:ascii="宋体" w:hAnsi="宋体" w:cs="宋体" w:eastAsia="宋体" w:hint="default"/>
                <w:sz w:val="18"/>
                <w:szCs w:val="18"/>
              </w:rPr>
              <w:t>作出承诺开 始至承诺履 行完毕</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z w:val="18"/>
                <w:szCs w:val="18"/>
              </w:rPr>
              <w:t>截至报告期 </w:t>
            </w:r>
            <w:r>
              <w:rPr>
                <w:rFonts w:ascii="宋体" w:hAnsi="宋体" w:cs="宋体" w:eastAsia="宋体" w:hint="default"/>
                <w:spacing w:val="-5"/>
                <w:sz w:val="18"/>
                <w:szCs w:val="18"/>
              </w:rPr>
              <w:t>末，承诺人严</w:t>
            </w:r>
            <w:r>
              <w:rPr>
                <w:rFonts w:ascii="宋体" w:hAnsi="宋体" w:cs="宋体" w:eastAsia="宋体" w:hint="default"/>
                <w:sz w:val="18"/>
                <w:szCs w:val="18"/>
              </w:rPr>
              <w:t> 格信守承诺， 未发现违反 承诺的情况。</w:t>
            </w:r>
          </w:p>
        </w:tc>
      </w:tr>
    </w:tbl>
    <w:p>
      <w:pPr>
        <w:spacing w:after="0" w:line="316" w:lineRule="auto"/>
        <w:jc w:val="left"/>
        <w:rPr>
          <w:rFonts w:ascii="宋体" w:hAnsi="宋体" w:cs="宋体" w:eastAsia="宋体" w:hint="default"/>
          <w:sz w:val="18"/>
          <w:szCs w:val="18"/>
        </w:rPr>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5978"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1"/>
              <w:jc w:val="left"/>
              <w:rPr>
                <w:rFonts w:ascii="宋体" w:hAnsi="宋体" w:cs="宋体" w:eastAsia="宋体" w:hint="default"/>
                <w:sz w:val="18"/>
                <w:szCs w:val="18"/>
              </w:rPr>
            </w:pPr>
            <w:r>
              <w:rPr>
                <w:rFonts w:ascii="宋体" w:hAnsi="宋体" w:cs="宋体" w:eastAsia="宋体" w:hint="default"/>
                <w:sz w:val="18"/>
                <w:szCs w:val="18"/>
              </w:rPr>
              <w:t>人及与本人 关系密切的 家庭成员不 直接或间接 从事、参与或 进行与发行 人的生产、经 营相竞争的 任何经营活 动；若违反上 述承诺，本人 将承担相应 的法律责任， 包括但不限 于由此给发 行人及其他 中小股东造 成的全部损 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5081" w:hRule="exact"/>
        </w:trPr>
        <w:tc>
          <w:tcPr>
            <w:tcW w:w="2836" w:type="dxa"/>
            <w:vMerge/>
            <w:tcBorders>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6" w:right="191"/>
              <w:jc w:val="left"/>
              <w:rPr>
                <w:rFonts w:ascii="宋体" w:hAnsi="宋体" w:cs="宋体" w:eastAsia="宋体" w:hint="default"/>
                <w:sz w:val="18"/>
                <w:szCs w:val="18"/>
              </w:rPr>
            </w:pPr>
            <w:r>
              <w:rPr>
                <w:rFonts w:ascii="宋体" w:hAnsi="宋体" w:cs="宋体" w:eastAsia="宋体" w:hint="default"/>
                <w:sz w:val="18"/>
                <w:szCs w:val="18"/>
              </w:rPr>
              <w:t>募集资金使 用承诺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
              <w:jc w:val="left"/>
              <w:rPr>
                <w:rFonts w:ascii="宋体" w:hAnsi="宋体" w:cs="宋体" w:eastAsia="宋体" w:hint="default"/>
                <w:sz w:val="18"/>
                <w:szCs w:val="18"/>
              </w:rPr>
            </w:pPr>
            <w:r>
              <w:rPr>
                <w:rFonts w:ascii="宋体" w:hAnsi="宋体" w:cs="宋体" w:eastAsia="宋体" w:hint="default"/>
                <w:sz w:val="18"/>
                <w:szCs w:val="18"/>
              </w:rPr>
              <w:t>将通过强化 募集资金管 理、加快募投 项目投资进 度、提高募集 资金使用效 率、加强国内 市场开拓、加 强技术创新 等措施，从而 提升资产质 量，提高销售 收入，增厚未 来收益，实现 可持续发展， 以填补回报。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3" w:right="185"/>
              <w:jc w:val="both"/>
              <w:rPr>
                <w:rFonts w:ascii="宋体" w:hAnsi="宋体" w:cs="宋体" w:eastAsia="宋体" w:hint="default"/>
                <w:sz w:val="18"/>
                <w:szCs w:val="18"/>
              </w:rPr>
            </w:pPr>
            <w:r>
              <w:rPr>
                <w:rFonts w:ascii="宋体" w:hAnsi="宋体" w:cs="宋体" w:eastAsia="宋体" w:hint="default"/>
                <w:sz w:val="18"/>
                <w:szCs w:val="18"/>
              </w:rPr>
              <w:t>作出承诺开 始至承诺履 行完毕</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3" w:right="-5"/>
              <w:jc w:val="left"/>
              <w:rPr>
                <w:rFonts w:ascii="宋体" w:hAnsi="宋体" w:cs="宋体" w:eastAsia="宋体" w:hint="default"/>
                <w:sz w:val="18"/>
                <w:szCs w:val="18"/>
              </w:rPr>
            </w:pPr>
            <w:r>
              <w:rPr>
                <w:rFonts w:ascii="宋体" w:hAnsi="宋体" w:cs="宋体" w:eastAsia="宋体" w:hint="default"/>
                <w:sz w:val="18"/>
                <w:szCs w:val="18"/>
              </w:rPr>
              <w:t>截至报告期 </w:t>
            </w:r>
            <w:r>
              <w:rPr>
                <w:rFonts w:ascii="宋体" w:hAnsi="宋体" w:cs="宋体" w:eastAsia="宋体" w:hint="default"/>
                <w:spacing w:val="-5"/>
                <w:sz w:val="18"/>
                <w:szCs w:val="18"/>
              </w:rPr>
              <w:t>末，承诺人严</w:t>
            </w:r>
            <w:r>
              <w:rPr>
                <w:rFonts w:ascii="宋体" w:hAnsi="宋体" w:cs="宋体" w:eastAsia="宋体" w:hint="default"/>
                <w:sz w:val="18"/>
                <w:szCs w:val="18"/>
              </w:rPr>
              <w:t> 格信守承诺， 未发现违反 承诺的情况。</w:t>
            </w:r>
          </w:p>
        </w:tc>
      </w:tr>
      <w:tr>
        <w:trPr>
          <w:trHeight w:val="2858"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6"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股份回购承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
              <w:jc w:val="left"/>
              <w:rPr>
                <w:rFonts w:ascii="宋体" w:hAnsi="宋体" w:cs="宋体" w:eastAsia="宋体" w:hint="default"/>
                <w:sz w:val="18"/>
                <w:szCs w:val="18"/>
              </w:rPr>
            </w:pPr>
            <w:r>
              <w:rPr>
                <w:rFonts w:ascii="宋体" w:hAnsi="宋体" w:cs="宋体" w:eastAsia="宋体" w:hint="default"/>
                <w:sz w:val="18"/>
                <w:szCs w:val="18"/>
              </w:rPr>
              <w:t>当公司启动 股价稳定措 施的条件成 就时，若公司 决定启动回 购股票方式， 公司：</w:t>
            </w:r>
            <w:r>
              <w:rPr>
                <w:rFonts w:ascii="Times New Roman" w:hAnsi="Times New Roman" w:cs="Times New Roman" w:eastAsia="Times New Roman" w:hint="default"/>
                <w:sz w:val="18"/>
                <w:szCs w:val="18"/>
              </w:rPr>
              <w:t>1</w:t>
            </w:r>
            <w:r>
              <w:rPr>
                <w:rFonts w:ascii="宋体" w:hAnsi="宋体" w:cs="宋体" w:eastAsia="宋体" w:hint="default"/>
                <w:sz w:val="18"/>
                <w:szCs w:val="18"/>
              </w:rPr>
              <w:t>）公 司为稳定股 价之目的回</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8"/>
              <w:ind w:left="23" w:right="185"/>
              <w:jc w:val="both"/>
              <w:rPr>
                <w:rFonts w:ascii="宋体" w:hAnsi="宋体" w:cs="宋体" w:eastAsia="宋体" w:hint="default"/>
                <w:sz w:val="18"/>
                <w:szCs w:val="18"/>
              </w:rPr>
            </w:pPr>
            <w:r>
              <w:rPr>
                <w:rFonts w:ascii="宋体" w:hAnsi="宋体" w:cs="宋体" w:eastAsia="宋体" w:hint="default"/>
                <w:sz w:val="18"/>
                <w:szCs w:val="18"/>
              </w:rPr>
              <w:t>作出承诺开 始至承诺履 行完毕</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z w:val="18"/>
                <w:szCs w:val="18"/>
              </w:rPr>
              <w:t>截至报告期 </w:t>
            </w:r>
            <w:r>
              <w:rPr>
                <w:rFonts w:ascii="宋体" w:hAnsi="宋体" w:cs="宋体" w:eastAsia="宋体" w:hint="default"/>
                <w:spacing w:val="-5"/>
                <w:sz w:val="18"/>
                <w:szCs w:val="18"/>
              </w:rPr>
              <w:t>末，承诺人严</w:t>
            </w:r>
            <w:r>
              <w:rPr>
                <w:rFonts w:ascii="宋体" w:hAnsi="宋体" w:cs="宋体" w:eastAsia="宋体" w:hint="default"/>
                <w:sz w:val="18"/>
                <w:szCs w:val="18"/>
              </w:rPr>
              <w:t> 格信守承诺， 未发现违反 承诺的情况。</w:t>
            </w:r>
          </w:p>
        </w:tc>
      </w:tr>
    </w:tbl>
    <w:p>
      <w:pPr>
        <w:spacing w:after="0" w:line="316" w:lineRule="auto"/>
        <w:jc w:val="left"/>
        <w:rPr>
          <w:rFonts w:ascii="宋体" w:hAnsi="宋体" w:cs="宋体" w:eastAsia="宋体" w:hint="default"/>
          <w:sz w:val="18"/>
          <w:szCs w:val="18"/>
        </w:rPr>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315"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购股份，应符</w:t>
            </w:r>
          </w:p>
        </w:tc>
        <w:tc>
          <w:tcPr>
            <w:tcW w:w="1126" w:type="dxa"/>
            <w:vMerge w:val="restart"/>
            <w:tcBorders>
              <w:top w:val="single" w:sz="4" w:space="0" w:color="000000"/>
              <w:left w:val="single" w:sz="4" w:space="0" w:color="000000"/>
              <w:right w:val="single" w:sz="4" w:space="0" w:color="000000"/>
            </w:tcBorders>
          </w:tcPr>
          <w:p>
            <w:pPr>
              <w:pStyle w:val="TableParagraph"/>
              <w:spacing w:line="5032"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0"/>
                <w:sz w:val="20"/>
                <w:szCs w:val="20"/>
              </w:rPr>
              <w:pict>
                <v:group style="width:55.8pt;height:251.65pt;mso-position-horizontal-relative:char;mso-position-vertical-relative:line" coordorigin="0,0" coordsize="1116,5033">
                  <v:group style="position:absolute;left:0;top:0;width:1116;height:5033" coordorigin="0,0" coordsize="1116,5033">
                    <v:shape style="position:absolute;left:0;top:0;width:1116;height:5033" coordorigin="0,0" coordsize="1116,5033" path="m0,5033l1116,5033,1116,0,0,0,0,5033xe" filled="true" fillcolor="#ffffff" stroked="false">
                      <v:path arrowok="t"/>
                      <v:fill type="solid"/>
                    </v:shape>
                  </v:group>
                </v:group>
              </w:pict>
            </w:r>
            <w:r>
              <w:rPr>
                <w:rFonts w:ascii="Times New Roman" w:hAnsi="Times New Roman" w:cs="Times New Roman" w:eastAsia="Times New Roman" w:hint="default"/>
                <w:position w:val="-100"/>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回购社会公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众股份管理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办法（试行）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及《关于上市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公司以集中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竞价交易方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式回购股份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的补充规定》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等相关法律、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法规的规定，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且不应导致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公司股权分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布不符合上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60"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市条件。</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401" w:hRule="exact"/>
        </w:trPr>
        <w:tc>
          <w:tcPr>
            <w:tcW w:w="2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tcBorders>
              <w:top w:val="single" w:sz="4" w:space="0" w:color="000000"/>
              <w:left w:val="single" w:sz="13" w:space="0" w:color="D4D4D4"/>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single" w:sz="4" w:space="0" w:color="000000"/>
              <w:left w:val="single" w:sz="13" w:space="0" w:color="D4D4D4"/>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23" w:type="dxa"/>
            <w:tcBorders>
              <w:top w:val="single" w:sz="4" w:space="0" w:color="000000"/>
              <w:left w:val="single" w:sz="13" w:space="0" w:color="D4D4D4"/>
              <w:bottom w:val="single" w:sz="4" w:space="0" w:color="000000"/>
              <w:right w:val="single" w:sz="14" w:space="0" w:color="D4D4D4"/>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106"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83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730" w:type="dxa"/>
            <w:gridSpan w:val="6"/>
            <w:tcBorders>
              <w:top w:val="single" w:sz="4" w:space="0" w:color="000000"/>
              <w:left w:val="single" w:sz="4" w:space="0" w:color="000000"/>
              <w:bottom w:val="single" w:sz="4" w:space="0" w:color="000000"/>
              <w:right w:val="single" w:sz="4" w:space="0" w:color="000000"/>
            </w:tcBorders>
            <w:shd w:val="clear" w:color="auto" w:fill="D4D4D4"/>
          </w:tcPr>
          <w:p>
            <w:pP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6"/>
        <w:ind w:right="982"/>
        <w:jc w:val="left"/>
        <w:rPr>
          <w:b w:val="0"/>
          <w:bCs w:val="0"/>
        </w:rPr>
      </w:pPr>
      <w:r>
        <w:rPr/>
        <w:pict>
          <v:shape style="position:absolute;margin-left:361.440002pt;margin-top:-345.096344pt;width:61.95pt;height:251.65pt;mso-position-horizontal-relative:page;mso-position-vertical-relative:paragraph;z-index:-105215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3"/>
                      <w:szCs w:val="23"/>
                    </w:rPr>
                  </w:pPr>
                </w:p>
                <w:p>
                  <w:pPr>
                    <w:pStyle w:val="BodyText"/>
                    <w:spacing w:line="240" w:lineRule="auto" w:before="0"/>
                    <w:ind w:left="0" w:right="0"/>
                    <w:jc w:val="left"/>
                  </w:pPr>
                  <w:r>
                    <w:rPr/>
                    <w:t>》</w:t>
                  </w:r>
                </w:p>
              </w:txbxContent>
            </v:textbox>
            <w10:wrap type="none"/>
          </v:shape>
        </w:pict>
      </w: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82"/>
        <w:jc w:val="left"/>
        <w:rPr>
          <w:b w:val="0"/>
          <w:bCs w:val="0"/>
        </w:rPr>
      </w:pPr>
      <w:bookmarkStart w:name="三、控股股东及其关联方对上市公司的非经营性占用资金情况" w:id="67"/>
      <w:bookmarkEnd w:id="67"/>
      <w:r>
        <w:rPr>
          <w:b w:val="0"/>
          <w:bCs w:val="0"/>
        </w:rPr>
      </w: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before="0"/>
        <w:ind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982"/>
        <w:jc w:val="left"/>
        <w:rPr>
          <w:b w:val="0"/>
          <w:bCs w:val="0"/>
        </w:rPr>
      </w:pPr>
      <w:bookmarkStart w:name="四、董事会对最近一期“非标准审计报告”相关情况的说明" w:id="68"/>
      <w:bookmarkEnd w:id="68"/>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before="0"/>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82"/>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before="0"/>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82"/>
        <w:jc w:val="left"/>
        <w:rPr>
          <w:b w:val="0"/>
          <w:bCs w:val="0"/>
        </w:rPr>
      </w:pPr>
      <w:bookmarkStart w:name="六、董事会关于报告期会计政策、会计估计变更或重大会计差错更正的说明" w:id="70"/>
      <w:bookmarkEnd w:id="70"/>
      <w:r>
        <w:rPr>
          <w:b w:val="0"/>
          <w:bCs w:val="0"/>
        </w:rPr>
      </w: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224" w:right="982"/>
        <w:jc w:val="left"/>
      </w:pPr>
      <w:r>
        <w:rPr>
          <w:rFonts w:ascii="Times New Roman" w:hAnsi="Times New Roman" w:cs="Times New Roman" w:eastAsia="Times New Roman" w:hint="default"/>
          <w:spacing w:val="-6"/>
        </w:rPr>
        <w:t>2019</w:t>
      </w:r>
      <w:r>
        <w:rPr>
          <w:spacing w:val="-6"/>
        </w:rPr>
        <w:t>年</w:t>
      </w:r>
      <w:r>
        <w:rPr>
          <w:rFonts w:ascii="Times New Roman" w:hAnsi="Times New Roman" w:cs="Times New Roman" w:eastAsia="Times New Roman" w:hint="default"/>
          <w:spacing w:val="-6"/>
        </w:rPr>
        <w:t>4</w:t>
      </w:r>
      <w:r>
        <w:rPr>
          <w:spacing w:val="-6"/>
        </w:rPr>
        <w:t>月</w:t>
      </w:r>
      <w:r>
        <w:rPr>
          <w:rFonts w:ascii="Times New Roman" w:hAnsi="Times New Roman" w:cs="Times New Roman" w:eastAsia="Times New Roman" w:hint="default"/>
          <w:spacing w:val="-6"/>
        </w:rPr>
        <w:t>18</w:t>
      </w:r>
      <w:r>
        <w:rPr>
          <w:spacing w:val="-6"/>
        </w:rPr>
        <w:t>日，公司召开第三届董事会第十四次会议、第三届监事会第七次会议，审议通过了《关于会计政策变更的议案》，</w:t>
      </w:r>
    </w:p>
    <w:p>
      <w:pPr>
        <w:spacing w:after="0" w:line="240" w:lineRule="auto"/>
        <w:jc w:val="left"/>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309" w:lineRule="auto"/>
        <w:ind w:right="982"/>
        <w:jc w:val="left"/>
      </w:pPr>
      <w:r>
        <w:rPr/>
        <w:t>公司独立董事对此发表了同意的独立意见。 </w:t>
      </w:r>
      <w:r>
        <w:rPr>
          <w:spacing w:val="-1"/>
        </w:rPr>
        <w:t>根据财政部《关于修订印发</w:t>
      </w:r>
      <w:r>
        <w:rPr>
          <w:rFonts w:ascii="Times New Roman" w:hAnsi="Times New Roman" w:cs="Times New Roman" w:eastAsia="Times New Roman" w:hint="default"/>
          <w:spacing w:val="-1"/>
        </w:rPr>
        <w:t>2018</w:t>
      </w:r>
      <w:r>
        <w:rPr>
          <w:spacing w:val="-1"/>
        </w:rPr>
        <w:t>年度一般企业财务报表格式的通知》（财会</w:t>
      </w:r>
      <w:r>
        <w:rPr>
          <w:rFonts w:ascii="Times New Roman" w:hAnsi="Times New Roman" w:cs="Times New Roman" w:eastAsia="Times New Roman" w:hint="default"/>
          <w:spacing w:val="-1"/>
        </w:rPr>
        <w:t>[2018]15</w:t>
      </w:r>
      <w:r>
        <w:rPr>
          <w:spacing w:val="-1"/>
        </w:rPr>
        <w:t>号）的要求，公司调整以下财务报表的</w:t>
      </w:r>
      <w:r>
        <w:rPr>
          <w:spacing w:val="-56"/>
        </w:rPr>
        <w:t> </w:t>
      </w:r>
      <w:r>
        <w:rPr>
          <w:spacing w:val="-56"/>
        </w:rPr>
      </w:r>
      <w:r>
        <w:rPr/>
        <w:t>列报，并对可比会计期间的比较数据相应进行调整：</w:t>
      </w:r>
    </w:p>
    <w:p>
      <w:pPr>
        <w:pStyle w:val="BodyText"/>
        <w:spacing w:line="240" w:lineRule="auto" w:before="24"/>
        <w:ind w:right="982"/>
        <w:jc w:val="left"/>
      </w:pPr>
      <w:r>
        <w:rPr/>
        <w:t>（一）资产负债表</w:t>
      </w:r>
    </w:p>
    <w:p>
      <w:pPr>
        <w:pStyle w:val="BodyText"/>
        <w:spacing w:line="240" w:lineRule="auto" w:before="76"/>
        <w:ind w:right="982"/>
        <w:jc w:val="left"/>
      </w:pPr>
      <w:r>
        <w:rPr>
          <w:rFonts w:ascii="Times New Roman" w:hAnsi="Times New Roman" w:cs="Times New Roman" w:eastAsia="Times New Roman" w:hint="default"/>
        </w:rPr>
        <w:t>1</w:t>
      </w:r>
      <w:r>
        <w:rPr/>
        <w:t>、原</w:t>
      </w:r>
      <w:r>
        <w:rPr>
          <w:rFonts w:ascii="Times New Roman" w:hAnsi="Times New Roman" w:cs="Times New Roman" w:eastAsia="Times New Roman" w:hint="default"/>
        </w:rPr>
        <w:t>“</w:t>
      </w:r>
      <w:r>
        <w:rPr/>
        <w:t>应收票据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项目合并计入新增的</w:t>
      </w:r>
      <w:r>
        <w:rPr>
          <w:rFonts w:ascii="Times New Roman" w:hAnsi="Times New Roman" w:cs="Times New Roman" w:eastAsia="Times New Roman" w:hint="default"/>
        </w:rPr>
        <w:t>“</w:t>
      </w:r>
      <w:r>
        <w:rPr/>
        <w:t>应收票据及应收账款</w:t>
      </w:r>
      <w:r>
        <w:rPr>
          <w:rFonts w:ascii="Times New Roman" w:hAnsi="Times New Roman" w:cs="Times New Roman" w:eastAsia="Times New Roman" w:hint="default"/>
        </w:rPr>
        <w:t>”</w:t>
      </w:r>
      <w:r>
        <w:rPr/>
        <w:t>项目；</w:t>
      </w:r>
    </w:p>
    <w:p>
      <w:pPr>
        <w:pStyle w:val="BodyText"/>
        <w:spacing w:line="240" w:lineRule="auto" w:before="62"/>
        <w:ind w:right="982"/>
        <w:jc w:val="left"/>
      </w:pPr>
      <w:r>
        <w:rPr>
          <w:rFonts w:ascii="Times New Roman" w:hAnsi="Times New Roman" w:cs="Times New Roman" w:eastAsia="Times New Roman" w:hint="default"/>
        </w:rPr>
        <w:t>2</w:t>
      </w:r>
      <w:r>
        <w:rPr/>
        <w:t>、原</w:t>
      </w:r>
      <w:r>
        <w:rPr>
          <w:rFonts w:ascii="Times New Roman" w:hAnsi="Times New Roman" w:cs="Times New Roman" w:eastAsia="Times New Roman" w:hint="default"/>
        </w:rPr>
        <w:t>“</w:t>
      </w:r>
      <w:r>
        <w:rPr/>
        <w:t>应收利息</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应收股利</w:t>
      </w:r>
      <w:r>
        <w:rPr>
          <w:rFonts w:ascii="Times New Roman" w:hAnsi="Times New Roman" w:cs="Times New Roman" w:eastAsia="Times New Roman" w:hint="default"/>
        </w:rPr>
        <w:t>”</w:t>
      </w:r>
      <w:r>
        <w:rPr/>
        <w:t>项目合并计入</w:t>
      </w:r>
      <w:r>
        <w:rPr>
          <w:rFonts w:ascii="Times New Roman" w:hAnsi="Times New Roman" w:cs="Times New Roman" w:eastAsia="Times New Roman" w:hint="default"/>
        </w:rPr>
        <w:t>“</w:t>
      </w:r>
      <w:r>
        <w:rPr/>
        <w:t>其他应收款</w:t>
      </w:r>
      <w:r>
        <w:rPr>
          <w:rFonts w:ascii="Times New Roman" w:hAnsi="Times New Roman" w:cs="Times New Roman" w:eastAsia="Times New Roman" w:hint="default"/>
        </w:rPr>
        <w:t>”</w:t>
      </w:r>
      <w:r>
        <w:rPr/>
        <w:t>项目；</w:t>
      </w:r>
    </w:p>
    <w:p>
      <w:pPr>
        <w:pStyle w:val="BodyText"/>
        <w:spacing w:line="240" w:lineRule="auto" w:before="62"/>
        <w:ind w:right="982"/>
        <w:jc w:val="left"/>
      </w:pPr>
      <w:r>
        <w:rPr>
          <w:rFonts w:ascii="Times New Roman" w:hAnsi="Times New Roman" w:cs="Times New Roman" w:eastAsia="Times New Roman" w:hint="default"/>
        </w:rPr>
        <w:t>3</w:t>
      </w:r>
      <w:r>
        <w:rPr/>
        <w:t>、原</w:t>
      </w:r>
      <w:r>
        <w:rPr>
          <w:rFonts w:ascii="Times New Roman" w:hAnsi="Times New Roman" w:cs="Times New Roman" w:eastAsia="Times New Roman" w:hint="default"/>
        </w:rPr>
        <w:t>“</w:t>
      </w:r>
      <w:r>
        <w:rPr/>
        <w:t>固定资产清理</w:t>
      </w:r>
      <w:r>
        <w:rPr>
          <w:rFonts w:ascii="Times New Roman" w:hAnsi="Times New Roman" w:cs="Times New Roman" w:eastAsia="Times New Roman" w:hint="default"/>
        </w:rPr>
        <w:t>”</w:t>
      </w:r>
      <w:r>
        <w:rPr/>
        <w:t>项目合并计入</w:t>
      </w:r>
      <w:r>
        <w:rPr>
          <w:rFonts w:ascii="Times New Roman" w:hAnsi="Times New Roman" w:cs="Times New Roman" w:eastAsia="Times New Roman" w:hint="default"/>
        </w:rPr>
        <w:t>“</w:t>
      </w:r>
      <w:r>
        <w:rPr/>
        <w:t>固定资产</w:t>
      </w:r>
      <w:r>
        <w:rPr>
          <w:rFonts w:ascii="Times New Roman" w:hAnsi="Times New Roman" w:cs="Times New Roman" w:eastAsia="Times New Roman" w:hint="default"/>
        </w:rPr>
        <w:t>”</w:t>
      </w:r>
      <w:r>
        <w:rPr/>
        <w:t>项目；</w:t>
      </w:r>
    </w:p>
    <w:p>
      <w:pPr>
        <w:pStyle w:val="BodyText"/>
        <w:spacing w:line="240" w:lineRule="auto" w:before="62"/>
        <w:ind w:right="982"/>
        <w:jc w:val="left"/>
      </w:pPr>
      <w:r>
        <w:rPr>
          <w:rFonts w:ascii="Times New Roman" w:hAnsi="Times New Roman" w:cs="Times New Roman" w:eastAsia="Times New Roman" w:hint="default"/>
        </w:rPr>
        <w:t>4</w:t>
      </w:r>
      <w:r>
        <w:rPr/>
        <w:t>、原</w:t>
      </w:r>
      <w:r>
        <w:rPr>
          <w:rFonts w:ascii="Times New Roman" w:hAnsi="Times New Roman" w:cs="Times New Roman" w:eastAsia="Times New Roman" w:hint="default"/>
        </w:rPr>
        <w:t>“</w:t>
      </w:r>
      <w:r>
        <w:rPr/>
        <w:t>工程物资</w:t>
      </w:r>
      <w:r>
        <w:rPr>
          <w:rFonts w:ascii="Times New Roman" w:hAnsi="Times New Roman" w:cs="Times New Roman" w:eastAsia="Times New Roman" w:hint="default"/>
        </w:rPr>
        <w:t>”</w:t>
      </w:r>
      <w:r>
        <w:rPr/>
        <w:t>项目合并计入</w:t>
      </w:r>
      <w:r>
        <w:rPr>
          <w:rFonts w:ascii="Times New Roman" w:hAnsi="Times New Roman" w:cs="Times New Roman" w:eastAsia="Times New Roman" w:hint="default"/>
        </w:rPr>
        <w:t>“</w:t>
      </w:r>
      <w:r>
        <w:rPr/>
        <w:t>在建工程</w:t>
      </w:r>
      <w:r>
        <w:rPr>
          <w:rFonts w:ascii="Times New Roman" w:hAnsi="Times New Roman" w:cs="Times New Roman" w:eastAsia="Times New Roman" w:hint="default"/>
        </w:rPr>
        <w:t>”</w:t>
      </w:r>
      <w:r>
        <w:rPr/>
        <w:t>项目；</w:t>
      </w:r>
    </w:p>
    <w:p>
      <w:pPr>
        <w:pStyle w:val="BodyText"/>
        <w:spacing w:line="240" w:lineRule="auto" w:before="62"/>
        <w:ind w:right="982"/>
        <w:jc w:val="left"/>
      </w:pPr>
      <w:r>
        <w:rPr>
          <w:rFonts w:ascii="Times New Roman" w:hAnsi="Times New Roman" w:cs="Times New Roman" w:eastAsia="Times New Roman" w:hint="default"/>
        </w:rPr>
        <w:t>5</w:t>
      </w:r>
      <w:r>
        <w:rPr/>
        <w:t>、原</w:t>
      </w:r>
      <w:r>
        <w:rPr>
          <w:rFonts w:ascii="Times New Roman" w:hAnsi="Times New Roman" w:cs="Times New Roman" w:eastAsia="Times New Roman" w:hint="default"/>
        </w:rPr>
        <w:t>“</w:t>
      </w:r>
      <w:r>
        <w:rPr/>
        <w:t>应付票据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应付账款</w:t>
      </w:r>
      <w:r>
        <w:rPr>
          <w:rFonts w:ascii="Times New Roman" w:hAnsi="Times New Roman" w:cs="Times New Roman" w:eastAsia="Times New Roman" w:hint="default"/>
        </w:rPr>
        <w:t>”</w:t>
      </w:r>
      <w:r>
        <w:rPr/>
        <w:t>项目合并计入新增的</w:t>
      </w:r>
      <w:r>
        <w:rPr>
          <w:rFonts w:ascii="Times New Roman" w:hAnsi="Times New Roman" w:cs="Times New Roman" w:eastAsia="Times New Roman" w:hint="default"/>
        </w:rPr>
        <w:t>“</w:t>
      </w:r>
      <w:r>
        <w:rPr/>
        <w:t>应付票据及应付账款</w:t>
      </w:r>
      <w:r>
        <w:rPr>
          <w:rFonts w:ascii="Times New Roman" w:hAnsi="Times New Roman" w:cs="Times New Roman" w:eastAsia="Times New Roman" w:hint="default"/>
        </w:rPr>
        <w:t>”</w:t>
      </w:r>
      <w:r>
        <w:rPr/>
        <w:t>项目；</w:t>
      </w:r>
    </w:p>
    <w:p>
      <w:pPr>
        <w:pStyle w:val="BodyText"/>
        <w:spacing w:line="240" w:lineRule="auto" w:before="62"/>
        <w:ind w:right="982"/>
        <w:jc w:val="left"/>
      </w:pPr>
      <w:r>
        <w:rPr>
          <w:rFonts w:ascii="Times New Roman" w:hAnsi="Times New Roman" w:cs="Times New Roman" w:eastAsia="Times New Roman" w:hint="default"/>
        </w:rPr>
        <w:t>6</w:t>
      </w:r>
      <w:r>
        <w:rPr/>
        <w:t>、原</w:t>
      </w:r>
      <w:r>
        <w:rPr>
          <w:rFonts w:ascii="Times New Roman" w:hAnsi="Times New Roman" w:cs="Times New Roman" w:eastAsia="Times New Roman" w:hint="default"/>
        </w:rPr>
        <w:t>“</w:t>
      </w:r>
      <w:r>
        <w:rPr/>
        <w:t>应付利息</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应付股利</w:t>
      </w:r>
      <w:r>
        <w:rPr>
          <w:rFonts w:ascii="Times New Roman" w:hAnsi="Times New Roman" w:cs="Times New Roman" w:eastAsia="Times New Roman" w:hint="default"/>
        </w:rPr>
        <w:t>”</w:t>
      </w:r>
      <w:r>
        <w:rPr/>
        <w:t>项目合并计入</w:t>
      </w:r>
      <w:r>
        <w:rPr>
          <w:rFonts w:ascii="Times New Roman" w:hAnsi="Times New Roman" w:cs="Times New Roman" w:eastAsia="Times New Roman" w:hint="default"/>
        </w:rPr>
        <w:t>“</w:t>
      </w:r>
      <w:r>
        <w:rPr/>
        <w:t>其他应付款</w:t>
      </w:r>
      <w:r>
        <w:rPr>
          <w:rFonts w:ascii="Times New Roman" w:hAnsi="Times New Roman" w:cs="Times New Roman" w:eastAsia="Times New Roman" w:hint="default"/>
        </w:rPr>
        <w:t>”</w:t>
      </w:r>
      <w:r>
        <w:rPr/>
        <w:t>项目。</w:t>
      </w:r>
    </w:p>
    <w:p>
      <w:pPr>
        <w:pStyle w:val="BodyText"/>
        <w:spacing w:line="240" w:lineRule="auto" w:before="62"/>
        <w:ind w:right="982"/>
        <w:jc w:val="left"/>
      </w:pPr>
      <w:r>
        <w:rPr>
          <w:rFonts w:ascii="Times New Roman" w:hAnsi="Times New Roman" w:cs="Times New Roman" w:eastAsia="Times New Roman" w:hint="default"/>
        </w:rPr>
        <w:t>7</w:t>
      </w:r>
      <w:r>
        <w:rPr/>
        <w:t>、原</w:t>
      </w:r>
      <w:r>
        <w:rPr>
          <w:rFonts w:ascii="Times New Roman" w:hAnsi="Times New Roman" w:cs="Times New Roman" w:eastAsia="Times New Roman" w:hint="default"/>
        </w:rPr>
        <w:t>“</w:t>
      </w:r>
      <w:r>
        <w:rPr/>
        <w:t>专项应付款</w:t>
      </w:r>
      <w:r>
        <w:rPr>
          <w:rFonts w:ascii="Times New Roman" w:hAnsi="Times New Roman" w:cs="Times New Roman" w:eastAsia="Times New Roman" w:hint="default"/>
        </w:rPr>
        <w:t>”</w:t>
      </w:r>
      <w:r>
        <w:rPr/>
        <w:t>项目合并计入</w:t>
      </w:r>
      <w:r>
        <w:rPr>
          <w:rFonts w:ascii="Times New Roman" w:hAnsi="Times New Roman" w:cs="Times New Roman" w:eastAsia="Times New Roman" w:hint="default"/>
        </w:rPr>
        <w:t>“</w:t>
      </w:r>
      <w:r>
        <w:rPr/>
        <w:t>长期应付款</w:t>
      </w:r>
      <w:r>
        <w:rPr>
          <w:rFonts w:ascii="Times New Roman" w:hAnsi="Times New Roman" w:cs="Times New Roman" w:eastAsia="Times New Roman" w:hint="default"/>
        </w:rPr>
        <w:t>”</w:t>
      </w:r>
      <w:r>
        <w:rPr/>
        <w:t>项目。</w:t>
      </w:r>
    </w:p>
    <w:p>
      <w:pPr>
        <w:pStyle w:val="BodyText"/>
        <w:spacing w:line="240" w:lineRule="auto" w:before="62"/>
        <w:ind w:right="982"/>
        <w:jc w:val="left"/>
      </w:pPr>
      <w:r>
        <w:rPr/>
        <w:t>（二）利润表</w:t>
      </w:r>
    </w:p>
    <w:p>
      <w:pPr>
        <w:pStyle w:val="BodyText"/>
        <w:spacing w:line="240" w:lineRule="auto" w:before="76"/>
        <w:ind w:right="982"/>
        <w:jc w:val="left"/>
      </w:pPr>
      <w:r>
        <w:rPr>
          <w:rFonts w:ascii="Times New Roman" w:hAnsi="Times New Roman" w:cs="Times New Roman" w:eastAsia="Times New Roman" w:hint="default"/>
        </w:rPr>
        <w:t>1</w:t>
      </w:r>
      <w:r>
        <w:rPr/>
        <w:t>、新增</w:t>
      </w:r>
      <w:r>
        <w:rPr>
          <w:rFonts w:ascii="Times New Roman" w:hAnsi="Times New Roman" w:cs="Times New Roman" w:eastAsia="Times New Roman" w:hint="default"/>
        </w:rPr>
        <w:t>“</w:t>
      </w:r>
      <w:r>
        <w:rPr/>
        <w:t>研发费用</w:t>
      </w:r>
      <w:r>
        <w:rPr>
          <w:rFonts w:ascii="Times New Roman" w:hAnsi="Times New Roman" w:cs="Times New Roman" w:eastAsia="Times New Roman" w:hint="default"/>
        </w:rPr>
        <w:t>”</w:t>
      </w:r>
      <w:r>
        <w:rPr/>
        <w:t>项目，原计入</w:t>
      </w:r>
      <w:r>
        <w:rPr>
          <w:rFonts w:ascii="Times New Roman" w:hAnsi="Times New Roman" w:cs="Times New Roman" w:eastAsia="Times New Roman" w:hint="default"/>
        </w:rPr>
        <w:t>“</w:t>
      </w:r>
      <w:r>
        <w:rPr/>
        <w:t>管理费用</w:t>
      </w:r>
      <w:r>
        <w:rPr>
          <w:rFonts w:ascii="Times New Roman" w:hAnsi="Times New Roman" w:cs="Times New Roman" w:eastAsia="Times New Roman" w:hint="default"/>
        </w:rPr>
        <w:t>”</w:t>
      </w:r>
      <w:r>
        <w:rPr/>
        <w:t>项目的研发费用单独列示为</w:t>
      </w:r>
      <w:r>
        <w:rPr>
          <w:rFonts w:ascii="Times New Roman" w:hAnsi="Times New Roman" w:cs="Times New Roman" w:eastAsia="Times New Roman" w:hint="default"/>
        </w:rPr>
        <w:t>“</w:t>
      </w:r>
      <w:r>
        <w:rPr/>
        <w:t>研发费用</w:t>
      </w:r>
      <w:r>
        <w:rPr>
          <w:rFonts w:ascii="Times New Roman" w:hAnsi="Times New Roman" w:cs="Times New Roman" w:eastAsia="Times New Roman" w:hint="default"/>
        </w:rPr>
        <w:t>”</w:t>
      </w:r>
      <w:r>
        <w:rPr/>
        <w:t>项目；</w:t>
      </w:r>
    </w:p>
    <w:p>
      <w:pPr>
        <w:pStyle w:val="BodyText"/>
        <w:spacing w:line="300" w:lineRule="auto" w:before="62"/>
        <w:ind w:right="5685"/>
        <w:jc w:val="left"/>
      </w:pPr>
      <w:r>
        <w:rPr>
          <w:rFonts w:ascii="Times New Roman" w:hAnsi="Times New Roman" w:cs="Times New Roman" w:eastAsia="Times New Roman" w:hint="default"/>
        </w:rPr>
        <w:t>2</w:t>
      </w:r>
      <w:r>
        <w:rPr/>
        <w:t>、在</w:t>
      </w:r>
      <w:r>
        <w:rPr>
          <w:rFonts w:ascii="Times New Roman" w:hAnsi="Times New Roman" w:cs="Times New Roman" w:eastAsia="Times New Roman" w:hint="default"/>
        </w:rPr>
        <w:t>“</w:t>
      </w:r>
      <w:r>
        <w:rPr/>
        <w:t>财务费用</w:t>
      </w:r>
      <w:r>
        <w:rPr>
          <w:rFonts w:ascii="Times New Roman" w:hAnsi="Times New Roman" w:cs="Times New Roman" w:eastAsia="Times New Roman" w:hint="default"/>
        </w:rPr>
        <w:t>”</w:t>
      </w:r>
      <w:r>
        <w:rPr/>
        <w:t>项目下列示</w:t>
      </w:r>
      <w:r>
        <w:rPr>
          <w:rFonts w:ascii="Times New Roman" w:hAnsi="Times New Roman" w:cs="Times New Roman" w:eastAsia="Times New Roman" w:hint="default"/>
        </w:rPr>
        <w:t>“</w:t>
      </w:r>
      <w:r>
        <w:rPr/>
        <w:t>利息费用</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利息收入</w:t>
      </w:r>
      <w:r>
        <w:rPr>
          <w:rFonts w:ascii="Times New Roman" w:hAnsi="Times New Roman" w:cs="Times New Roman" w:eastAsia="Times New Roman" w:hint="default"/>
        </w:rPr>
        <w:t>”</w:t>
      </w:r>
      <w:r>
        <w:rPr/>
        <w:t>明细项目。 </w:t>
      </w: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现金流量表</w:t>
      </w:r>
    </w:p>
    <w:p>
      <w:pPr>
        <w:pStyle w:val="BodyText"/>
        <w:spacing w:line="316" w:lineRule="auto" w:before="13"/>
        <w:ind w:right="1034"/>
        <w:jc w:val="left"/>
      </w:pPr>
      <w:r>
        <w:rPr/>
        <w:t>企业实际收到的政府补助，无论是与资产相关还是与收益相关，在编制现金流量表时均作为经营活动产生的现金流量列报。 </w:t>
      </w:r>
      <w:r>
        <w:rPr>
          <w:spacing w:val="-2"/>
        </w:rPr>
        <w:t>除上述项目调整外，本次会计政策变更不涉及对公司以前年度报表的追溯调整。公司本次会计政策变更，不影响公司当期损</w:t>
      </w:r>
      <w:r>
        <w:rPr>
          <w:spacing w:val="-63"/>
        </w:rPr>
        <w:t> </w:t>
      </w:r>
      <w:r>
        <w:rPr>
          <w:spacing w:val="-63"/>
        </w:rPr>
      </w:r>
      <w:r>
        <w:rPr/>
        <w:t>益，不会对公司财务报表产生重大影响。</w:t>
      </w:r>
    </w:p>
    <w:p>
      <w:pPr>
        <w:spacing w:line="240" w:lineRule="auto" w:before="12"/>
        <w:rPr>
          <w:rFonts w:ascii="宋体" w:hAnsi="宋体" w:cs="宋体" w:eastAsia="宋体" w:hint="default"/>
          <w:sz w:val="20"/>
          <w:szCs w:val="20"/>
        </w:rPr>
      </w:pPr>
    </w:p>
    <w:p>
      <w:pPr>
        <w:pStyle w:val="Heading2"/>
        <w:spacing w:line="240" w:lineRule="auto"/>
        <w:ind w:right="982"/>
        <w:jc w:val="left"/>
        <w:rPr>
          <w:b w:val="0"/>
          <w:bCs w:val="0"/>
        </w:rPr>
      </w:pPr>
      <w:bookmarkStart w:name="七、与上年度财务报告相比，合并报表范围发生变化的情况说明" w:id="71"/>
      <w:bookmarkEnd w:id="71"/>
      <w:r>
        <w:rPr>
          <w:b w:val="0"/>
          <w:bCs w:val="0"/>
        </w:rPr>
      </w: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61"/>
        <w:ind w:left="572" w:right="982"/>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处置子公司</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994"/>
        <w:gridCol w:w="1133"/>
        <w:gridCol w:w="850"/>
        <w:gridCol w:w="852"/>
        <w:gridCol w:w="1284"/>
        <w:gridCol w:w="1267"/>
        <w:gridCol w:w="2285"/>
      </w:tblGrid>
      <w:tr>
        <w:trPr>
          <w:trHeight w:val="1171"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417" w:lineRule="auto" w:before="121"/>
              <w:ind w:left="309" w:right="216"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417" w:lineRule="auto" w:before="121"/>
              <w:ind w:left="379" w:right="197" w:hanging="180"/>
              <w:jc w:val="left"/>
              <w:rPr>
                <w:rFonts w:ascii="宋体" w:hAnsi="宋体" w:cs="宋体" w:eastAsia="宋体" w:hint="default"/>
                <w:sz w:val="18"/>
                <w:szCs w:val="18"/>
              </w:rPr>
            </w:pPr>
            <w:r>
              <w:rPr>
                <w:rFonts w:ascii="宋体" w:hAnsi="宋体" w:cs="宋体" w:eastAsia="宋体" w:hint="default"/>
                <w:sz w:val="18"/>
                <w:szCs w:val="18"/>
              </w:rPr>
              <w:t>股权处置 价款</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417" w:lineRule="auto" w:before="121"/>
              <w:ind w:left="105" w:right="53"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股权处置 比例</w:t>
            </w:r>
            <w:r>
              <w:rPr>
                <w:rFonts w:ascii="Times New Roman" w:hAnsi="Times New Roman" w:cs="Times New Roman" w:eastAsia="Times New Roman" w:hint="default"/>
                <w:sz w:val="18"/>
                <w:szCs w:val="18"/>
              </w:rPr>
              <w:t>(%)</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417" w:lineRule="auto" w:before="121"/>
              <w:ind w:left="240" w:right="55" w:hanging="180"/>
              <w:jc w:val="left"/>
              <w:rPr>
                <w:rFonts w:ascii="宋体" w:hAnsi="宋体" w:cs="宋体" w:eastAsia="宋体" w:hint="default"/>
                <w:sz w:val="18"/>
                <w:szCs w:val="18"/>
              </w:rPr>
            </w:pPr>
            <w:r>
              <w:rPr>
                <w:rFonts w:ascii="宋体" w:hAnsi="宋体" w:cs="宋体" w:eastAsia="宋体" w:hint="default"/>
                <w:sz w:val="18"/>
                <w:szCs w:val="18"/>
              </w:rPr>
              <w:t>股权处置 方式</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417" w:lineRule="auto" w:before="121"/>
              <w:ind w:left="278" w:right="269"/>
              <w:jc w:val="left"/>
              <w:rPr>
                <w:rFonts w:ascii="宋体" w:hAnsi="宋体" w:cs="宋体" w:eastAsia="宋体" w:hint="default"/>
                <w:sz w:val="18"/>
                <w:szCs w:val="18"/>
              </w:rPr>
            </w:pPr>
            <w:r>
              <w:rPr>
                <w:rFonts w:ascii="宋体" w:hAnsi="宋体" w:cs="宋体" w:eastAsia="宋体" w:hint="default"/>
                <w:sz w:val="18"/>
                <w:szCs w:val="18"/>
              </w:rPr>
              <w:t>丧失控制 权的时点</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left="4" w:right="0"/>
              <w:jc w:val="center"/>
              <w:rPr>
                <w:rFonts w:ascii="宋体" w:hAnsi="宋体" w:cs="宋体" w:eastAsia="宋体" w:hint="default"/>
                <w:sz w:val="18"/>
                <w:szCs w:val="18"/>
              </w:rPr>
            </w:pPr>
            <w:r>
              <w:rPr>
                <w:rFonts w:ascii="宋体" w:hAnsi="宋体" w:cs="宋体" w:eastAsia="宋体" w:hint="default"/>
                <w:sz w:val="18"/>
                <w:szCs w:val="18"/>
              </w:rPr>
              <w:t>丧失控制</w:t>
            </w:r>
          </w:p>
          <w:p>
            <w:pPr>
              <w:pStyle w:val="TableParagraph"/>
              <w:spacing w:line="240" w:lineRule="auto" w:before="5"/>
              <w:ind w:right="0"/>
              <w:jc w:val="left"/>
              <w:rPr>
                <w:rFonts w:ascii="宋体" w:hAnsi="宋体" w:cs="宋体" w:eastAsia="宋体" w:hint="default"/>
                <w:sz w:val="13"/>
                <w:szCs w:val="13"/>
              </w:rPr>
            </w:pPr>
          </w:p>
          <w:p>
            <w:pPr>
              <w:pStyle w:val="TableParagraph"/>
              <w:spacing w:line="316" w:lineRule="auto"/>
              <w:ind w:left="88" w:right="81"/>
              <w:jc w:val="center"/>
              <w:rPr>
                <w:rFonts w:ascii="宋体" w:hAnsi="宋体" w:cs="宋体" w:eastAsia="宋体" w:hint="default"/>
                <w:sz w:val="18"/>
                <w:szCs w:val="18"/>
              </w:rPr>
            </w:pPr>
            <w:r>
              <w:rPr>
                <w:rFonts w:ascii="宋体" w:hAnsi="宋体" w:cs="宋体" w:eastAsia="宋体" w:hint="default"/>
                <w:sz w:val="18"/>
                <w:szCs w:val="18"/>
              </w:rPr>
              <w:t>权时点的确定 依据</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21"/>
              <w:ind w:left="57" w:right="50"/>
              <w:jc w:val="center"/>
              <w:rPr>
                <w:rFonts w:ascii="宋体" w:hAnsi="宋体" w:cs="宋体" w:eastAsia="宋体" w:hint="default"/>
                <w:sz w:val="18"/>
                <w:szCs w:val="18"/>
              </w:rPr>
            </w:pPr>
            <w:r>
              <w:rPr>
                <w:rFonts w:ascii="宋体" w:hAnsi="宋体" w:cs="宋体" w:eastAsia="宋体" w:hint="default"/>
                <w:sz w:val="18"/>
                <w:szCs w:val="18"/>
              </w:rPr>
              <w:t>处置价款于处置投资对应的 合并财务报表层面享有该子 公司净资产份额的差额</w:t>
            </w:r>
          </w:p>
        </w:tc>
      </w:tr>
      <w:tr>
        <w:trPr>
          <w:trHeight w:val="449"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left="4" w:right="0"/>
              <w:jc w:val="left"/>
              <w:rPr>
                <w:rFonts w:ascii="宋体" w:hAnsi="宋体" w:cs="宋体" w:eastAsia="宋体" w:hint="default"/>
                <w:sz w:val="18"/>
                <w:szCs w:val="18"/>
              </w:rPr>
            </w:pPr>
            <w:r>
              <w:rPr>
                <w:rFonts w:ascii="宋体" w:hAnsi="宋体" w:cs="宋体" w:eastAsia="宋体" w:hint="default"/>
                <w:sz w:val="18"/>
                <w:szCs w:val="18"/>
              </w:rPr>
              <w:t>联合智能</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04" w:right="-1"/>
              <w:jc w:val="left"/>
              <w:rPr>
                <w:rFonts w:ascii="Times New Roman" w:hAnsi="Times New Roman" w:cs="Times New Roman" w:eastAsia="Times New Roman" w:hint="default"/>
                <w:sz w:val="18"/>
                <w:szCs w:val="18"/>
              </w:rPr>
            </w:pPr>
            <w:r>
              <w:rPr>
                <w:rFonts w:ascii="Times New Roman"/>
                <w:sz w:val="18"/>
              </w:rPr>
              <w:t>547,197.59</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35</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left="475"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left="98"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left="170" w:right="0"/>
              <w:jc w:val="left"/>
              <w:rPr>
                <w:rFonts w:ascii="宋体" w:hAnsi="宋体" w:cs="宋体" w:eastAsia="宋体" w:hint="default"/>
                <w:sz w:val="18"/>
                <w:szCs w:val="18"/>
              </w:rPr>
            </w:pPr>
            <w:r>
              <w:rPr>
                <w:rFonts w:ascii="宋体" w:hAnsi="宋体" w:cs="宋体" w:eastAsia="宋体" w:hint="default"/>
                <w:sz w:val="18"/>
                <w:szCs w:val="18"/>
              </w:rPr>
              <w:t>完成工商变更</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left="1459"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5,960.05</w:t>
            </w:r>
            <w:r>
              <w:rPr>
                <w:rFonts w:ascii="宋体" w:hAnsi="宋体" w:cs="宋体" w:eastAsia="宋体" w:hint="default"/>
                <w:sz w:val="18"/>
                <w:szCs w:val="18"/>
              </w:rPr>
              <w:t>元</w:t>
            </w:r>
          </w:p>
        </w:tc>
      </w:tr>
    </w:tbl>
    <w:p>
      <w:pPr>
        <w:spacing w:line="240" w:lineRule="auto" w:before="12"/>
        <w:rPr>
          <w:rFonts w:ascii="宋体" w:hAnsi="宋体" w:cs="宋体" w:eastAsia="宋体" w:hint="default"/>
          <w:sz w:val="4"/>
          <w:szCs w:val="4"/>
        </w:rPr>
      </w:pPr>
    </w:p>
    <w:p>
      <w:pPr>
        <w:pStyle w:val="BodyText"/>
        <w:spacing w:line="240" w:lineRule="auto"/>
        <w:ind w:left="476" w:right="982"/>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其他原因的合并范围变动</w:t>
      </w:r>
    </w:p>
    <w:p>
      <w:pPr>
        <w:spacing w:line="240" w:lineRule="auto" w:before="13"/>
        <w:rPr>
          <w:rFonts w:ascii="宋体" w:hAnsi="宋体" w:cs="宋体" w:eastAsia="宋体" w:hint="default"/>
          <w:sz w:val="3"/>
          <w:szCs w:val="3"/>
        </w:rPr>
      </w:pPr>
    </w:p>
    <w:tbl>
      <w:tblPr>
        <w:tblW w:w="0" w:type="auto"/>
        <w:jc w:val="left"/>
        <w:tblInd w:w="143" w:type="dxa"/>
        <w:tblLayout w:type="fixed"/>
        <w:tblCellMar>
          <w:top w:w="0" w:type="dxa"/>
          <w:left w:w="0" w:type="dxa"/>
          <w:bottom w:w="0" w:type="dxa"/>
          <w:right w:w="0" w:type="dxa"/>
        </w:tblCellMar>
        <w:tblLook w:val="01E0"/>
      </w:tblPr>
      <w:tblGrid>
        <w:gridCol w:w="1570"/>
        <w:gridCol w:w="1274"/>
        <w:gridCol w:w="1560"/>
        <w:gridCol w:w="1560"/>
        <w:gridCol w:w="1560"/>
        <w:gridCol w:w="1133"/>
      </w:tblGrid>
      <w:tr>
        <w:trPr>
          <w:trHeight w:val="353" w:hRule="exact"/>
        </w:trPr>
        <w:tc>
          <w:tcPr>
            <w:tcW w:w="1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410"/>
              <w:jc w:val="right"/>
              <w:rPr>
                <w:rFonts w:ascii="宋体" w:hAnsi="宋体" w:cs="宋体" w:eastAsia="宋体" w:hint="default"/>
                <w:sz w:val="18"/>
                <w:szCs w:val="18"/>
              </w:rPr>
            </w:pPr>
            <w:r>
              <w:rPr>
                <w:rFonts w:ascii="宋体" w:hAnsi="宋体" w:cs="宋体" w:eastAsia="宋体" w:hint="default"/>
                <w:sz w:val="18"/>
                <w:szCs w:val="18"/>
              </w:rPr>
              <w:t>公司名称</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股权取得方式</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股权取得时点</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认缴出资额</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实际出资额</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出资比例</w:t>
            </w:r>
          </w:p>
        </w:tc>
      </w:tr>
      <w:tr>
        <w:trPr>
          <w:trHeight w:val="353" w:hRule="exact"/>
        </w:trPr>
        <w:tc>
          <w:tcPr>
            <w:tcW w:w="1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410"/>
              <w:jc w:val="right"/>
              <w:rPr>
                <w:rFonts w:ascii="宋体" w:hAnsi="宋体" w:cs="宋体" w:eastAsia="宋体" w:hint="default"/>
                <w:sz w:val="18"/>
                <w:szCs w:val="18"/>
              </w:rPr>
            </w:pPr>
            <w:r>
              <w:rPr>
                <w:rFonts w:ascii="宋体" w:hAnsi="宋体" w:cs="宋体" w:eastAsia="宋体" w:hint="default"/>
                <w:sz w:val="18"/>
                <w:szCs w:val="18"/>
              </w:rPr>
              <w:t>抚州五洋</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7,000</w:t>
            </w:r>
            <w:r>
              <w:rPr>
                <w:rFonts w:ascii="宋体" w:hAnsi="宋体" w:cs="宋体" w:eastAsia="宋体" w:hint="default"/>
                <w:sz w:val="18"/>
                <w:szCs w:val="18"/>
              </w:rPr>
              <w:t>万元</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210</w:t>
            </w:r>
            <w:r>
              <w:rPr>
                <w:rFonts w:ascii="宋体" w:hAnsi="宋体" w:cs="宋体" w:eastAsia="宋体" w:hint="default"/>
                <w:sz w:val="18"/>
                <w:szCs w:val="18"/>
              </w:rPr>
              <w:t>万</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70%</w:t>
            </w:r>
          </w:p>
        </w:tc>
      </w:tr>
      <w:tr>
        <w:trPr>
          <w:trHeight w:val="353" w:hRule="exact"/>
        </w:trPr>
        <w:tc>
          <w:tcPr>
            <w:tcW w:w="1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410"/>
              <w:jc w:val="right"/>
              <w:rPr>
                <w:rFonts w:ascii="宋体" w:hAnsi="宋体" w:cs="宋体" w:eastAsia="宋体" w:hint="default"/>
                <w:sz w:val="18"/>
                <w:szCs w:val="18"/>
              </w:rPr>
            </w:pPr>
            <w:r>
              <w:rPr>
                <w:rFonts w:ascii="宋体" w:hAnsi="宋体" w:cs="宋体" w:eastAsia="宋体" w:hint="default"/>
                <w:sz w:val="18"/>
                <w:szCs w:val="18"/>
              </w:rPr>
              <w:t>徐州疌盛</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35,000</w:t>
            </w:r>
            <w:r>
              <w:rPr>
                <w:rFonts w:ascii="宋体" w:hAnsi="宋体" w:cs="宋体" w:eastAsia="宋体" w:hint="default"/>
                <w:sz w:val="18"/>
                <w:szCs w:val="18"/>
              </w:rPr>
              <w:t>万</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1,050</w:t>
            </w:r>
            <w:r>
              <w:rPr>
                <w:rFonts w:ascii="宋体" w:hAnsi="宋体" w:cs="宋体" w:eastAsia="宋体" w:hint="default"/>
                <w:sz w:val="18"/>
                <w:szCs w:val="18"/>
              </w:rPr>
              <w:t>万</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69.08%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Heading2"/>
        <w:spacing w:line="240" w:lineRule="auto" w:before="26"/>
        <w:ind w:right="982"/>
        <w:jc w:val="left"/>
        <w:rPr>
          <w:b w:val="0"/>
          <w:bCs w:val="0"/>
        </w:rPr>
      </w:pPr>
      <w:bookmarkStart w:name="八、聘任、解聘会计师事务所情况" w:id="72"/>
      <w:bookmarkEnd w:id="72"/>
      <w:r>
        <w:rPr>
          <w:b w:val="0"/>
          <w:bCs w:val="0"/>
        </w:rPr>
      </w:r>
      <w:r>
        <w:rPr/>
        <w:t>八、聘任、解聘会计师事务所情况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982"/>
        <w:jc w:val="left"/>
      </w:pPr>
      <w:r>
        <w:rPr/>
        <w:t>现聘任的会计事务所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9"/>
        <w:gridCol w:w="4778"/>
      </w:tblGrid>
      <w:tr>
        <w:trPr>
          <w:trHeight w:val="403" w:hRule="exact"/>
        </w:trPr>
        <w:tc>
          <w:tcPr>
            <w:tcW w:w="4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4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w:t>
            </w:r>
          </w:p>
        </w:tc>
      </w:tr>
      <w:tr>
        <w:trPr>
          <w:trHeight w:val="402" w:hRule="exact"/>
        </w:trPr>
        <w:tc>
          <w:tcPr>
            <w:tcW w:w="4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9"/>
        <w:gridCol w:w="4778"/>
      </w:tblGrid>
      <w:tr>
        <w:trPr>
          <w:trHeight w:val="402" w:hRule="exact"/>
        </w:trPr>
        <w:tc>
          <w:tcPr>
            <w:tcW w:w="4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缪志坚、梁政洪</w:t>
            </w:r>
          </w:p>
        </w:tc>
      </w:tr>
      <w:tr>
        <w:trPr>
          <w:trHeight w:val="402" w:hRule="exact"/>
        </w:trPr>
        <w:tc>
          <w:tcPr>
            <w:tcW w:w="4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8</w:t>
            </w:r>
          </w:p>
        </w:tc>
      </w:tr>
      <w:tr>
        <w:trPr>
          <w:trHeight w:val="403" w:hRule="exact"/>
        </w:trPr>
        <w:tc>
          <w:tcPr>
            <w:tcW w:w="4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982"/>
        <w:jc w:val="left"/>
      </w:pPr>
      <w:r>
        <w:rPr/>
        <w:t>是否改聘会计师事务所</w:t>
      </w:r>
    </w:p>
    <w:p>
      <w:pPr>
        <w:pStyle w:val="BodyText"/>
        <w:spacing w:line="340" w:lineRule="auto" w:before="115"/>
        <w:ind w:right="6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39"/>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82"/>
        <w:jc w:val="left"/>
        <w:rPr>
          <w:b w:val="0"/>
          <w:bCs w:val="0"/>
        </w:rPr>
      </w:pPr>
      <w:bookmarkStart w:name="九、年度报告披露后面临暂停上市和终止上市情况" w:id="73"/>
      <w:bookmarkEnd w:id="73"/>
      <w:r>
        <w:rPr>
          <w:b w:val="0"/>
          <w:bCs w:val="0"/>
        </w:rPr>
      </w: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82"/>
        <w:jc w:val="left"/>
        <w:rPr>
          <w:b w:val="0"/>
          <w:bCs w:val="0"/>
        </w:rPr>
      </w:pPr>
      <w:bookmarkStart w:name="十、破产重整相关事项" w:id="74"/>
      <w:bookmarkEnd w:id="74"/>
      <w:r>
        <w:rPr>
          <w:b w:val="0"/>
          <w:bCs w:val="0"/>
        </w:rPr>
      </w:r>
      <w:r>
        <w:rPr/>
        <w:t>十、破产重整相关事项</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982"/>
        <w:jc w:val="left"/>
        <w:rPr>
          <w:b w:val="0"/>
          <w:bCs w:val="0"/>
        </w:rPr>
      </w:pPr>
      <w:bookmarkStart w:name="十一、重大诉讼、仲裁事项" w:id="75"/>
      <w:bookmarkEnd w:id="75"/>
      <w:r>
        <w:rPr>
          <w:b w:val="0"/>
          <w:bCs w:val="0"/>
        </w:rPr>
      </w: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before="0"/>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w:t>
      </w:r>
    </w:p>
    <w:p>
      <w:pPr>
        <w:spacing w:line="240" w:lineRule="auto" w:before="8"/>
        <w:rPr>
          <w:rFonts w:ascii="宋体" w:hAnsi="宋体" w:cs="宋体" w:eastAsia="宋体" w:hint="default"/>
          <w:sz w:val="19"/>
          <w:szCs w:val="19"/>
        </w:rPr>
      </w:pPr>
    </w:p>
    <w:p>
      <w:pPr>
        <w:pStyle w:val="Heading2"/>
        <w:spacing w:line="240" w:lineRule="auto"/>
        <w:ind w:right="982"/>
        <w:jc w:val="left"/>
        <w:rPr>
          <w:b w:val="0"/>
          <w:bCs w:val="0"/>
        </w:rPr>
      </w:pPr>
      <w:bookmarkStart w:name="十二、处罚及整改情况" w:id="76"/>
      <w:bookmarkEnd w:id="76"/>
      <w:r>
        <w:rPr>
          <w:b w:val="0"/>
          <w:bCs w:val="0"/>
        </w:rPr>
      </w:r>
      <w:r>
        <w:rPr/>
        <w:t>十二、处罚及整改情况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before="0"/>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8"/>
        <w:rPr>
          <w:rFonts w:ascii="宋体" w:hAnsi="宋体" w:cs="宋体" w:eastAsia="宋体" w:hint="default"/>
          <w:sz w:val="19"/>
          <w:szCs w:val="19"/>
        </w:rPr>
      </w:pPr>
    </w:p>
    <w:p>
      <w:pPr>
        <w:pStyle w:val="Heading2"/>
        <w:spacing w:line="240" w:lineRule="auto"/>
        <w:ind w:right="982"/>
        <w:jc w:val="left"/>
        <w:rPr>
          <w:b w:val="0"/>
          <w:bCs w:val="0"/>
        </w:rPr>
      </w:pPr>
      <w:bookmarkStart w:name="十三、公司及其控股股东、实际控制人的诚信状况" w:id="77"/>
      <w:bookmarkEnd w:id="77"/>
      <w:r>
        <w:rPr>
          <w:b w:val="0"/>
          <w:bCs w:val="0"/>
        </w:rPr>
      </w: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328" w:lineRule="auto" w:before="0"/>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报告期内，公司及其控股股东、实际控制人的诚信状况良好，不存在未履行法院生效判决、所负数额较大的债务到期未清偿</w:t>
      </w:r>
      <w:r>
        <w:rPr>
          <w:spacing w:val="-65"/>
        </w:rPr>
        <w:t> </w:t>
      </w:r>
      <w:r>
        <w:rPr>
          <w:spacing w:val="-65"/>
        </w:rPr>
      </w:r>
      <w:r>
        <w:rPr/>
        <w:t>等情况。</w:t>
      </w:r>
    </w:p>
    <w:p>
      <w:pPr>
        <w:spacing w:line="240" w:lineRule="auto" w:before="2"/>
        <w:rPr>
          <w:rFonts w:ascii="宋体" w:hAnsi="宋体" w:cs="宋体" w:eastAsia="宋体" w:hint="default"/>
          <w:sz w:val="20"/>
          <w:szCs w:val="20"/>
        </w:rPr>
      </w:pPr>
    </w:p>
    <w:p>
      <w:pPr>
        <w:pStyle w:val="Heading2"/>
        <w:spacing w:line="240" w:lineRule="auto"/>
        <w:ind w:right="982"/>
        <w:jc w:val="left"/>
        <w:rPr>
          <w:b w:val="0"/>
          <w:bCs w:val="0"/>
        </w:rPr>
      </w:pPr>
      <w:bookmarkStart w:name="十四、公司股权激励计划、员工持股计划或其他员工激励措施的实施情况" w:id="78"/>
      <w:bookmarkEnd w:id="78"/>
      <w:r>
        <w:rPr>
          <w:b w:val="0"/>
          <w:bCs w:val="0"/>
        </w:rPr>
      </w:r>
      <w:r>
        <w:rPr/>
        <w:t>十四、公司股权激励计划、员工持股计划或其他员工激励措施的实施情况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left="440" w:right="982" w:hanging="28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1"/>
        </w:rPr>
        <w:t>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23</w:t>
      </w:r>
      <w:r>
        <w:rPr>
          <w:spacing w:val="-1"/>
        </w:rPr>
        <w:t>日召开公司第二届董事会第二十八次会议、第二届监事会第二十四次会议；</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10</w:t>
      </w:r>
      <w:r>
        <w:rPr>
          <w:spacing w:val="-1"/>
        </w:rPr>
        <w:t>日召开公司</w:t>
      </w:r>
    </w:p>
    <w:p>
      <w:pPr>
        <w:pStyle w:val="BodyText"/>
        <w:spacing w:line="228" w:lineRule="exact" w:before="0"/>
        <w:ind w:right="982"/>
        <w:jc w:val="left"/>
      </w:pPr>
      <w:r>
        <w:rPr>
          <w:rFonts w:ascii="Times New Roman" w:hAnsi="Times New Roman" w:cs="Times New Roman" w:eastAsia="Times New Roman" w:hint="default"/>
        </w:rPr>
        <w:t>2017</w:t>
      </w:r>
      <w:r>
        <w:rPr/>
        <w:t>年第二次临时股东大会，审议通过了《关于</w:t>
      </w:r>
      <w:r>
        <w:rPr>
          <w:rFonts w:ascii="Times New Roman" w:hAnsi="Times New Roman" w:cs="Times New Roman" w:eastAsia="Times New Roman" w:hint="default"/>
        </w:rPr>
        <w:t>&lt;</w:t>
      </w:r>
      <w:r>
        <w:rPr/>
        <w:t>徐州五洋科技股份有限公司第一期员工持股计划（草案）</w:t>
      </w:r>
      <w:r>
        <w:rPr>
          <w:rFonts w:ascii="Times New Roman" w:hAnsi="Times New Roman" w:cs="Times New Roman" w:eastAsia="Times New Roman" w:hint="default"/>
        </w:rPr>
        <w:t>&gt;</w:t>
      </w:r>
      <w:r>
        <w:rPr/>
        <w:t>及其摘要的议</w:t>
      </w:r>
    </w:p>
    <w:p>
      <w:pPr>
        <w:pStyle w:val="BodyText"/>
        <w:spacing w:line="304" w:lineRule="auto" w:before="62"/>
        <w:ind w:right="1132"/>
        <w:jc w:val="both"/>
      </w:pPr>
      <w:r>
        <w:rPr>
          <w:spacing w:val="-2"/>
        </w:rPr>
        <w:t>案》等相关议案，同意公司实施第一期员工持股计划。具体内容详见同日公司在中国证监会创业板指定信息披露网站巨潮资</w:t>
      </w:r>
      <w:r>
        <w:rPr>
          <w:spacing w:val="-66"/>
        </w:rPr>
        <w:t> </w:t>
      </w:r>
      <w:r>
        <w:rPr>
          <w:spacing w:val="-66"/>
        </w:rPr>
      </w:r>
      <w:r>
        <w:rPr>
          <w:spacing w:val="-1"/>
        </w:rPr>
        <w:t>讯网披露的相关公告。</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29</w:t>
      </w:r>
      <w:r>
        <w:rPr>
          <w:spacing w:val="-1"/>
        </w:rPr>
        <w:t>日，第一期员工持股计划</w:t>
      </w:r>
      <w:r>
        <w:rPr>
          <w:rFonts w:ascii="Times New Roman" w:hAnsi="Times New Roman" w:cs="Times New Roman" w:eastAsia="Times New Roman" w:hint="default"/>
          <w:spacing w:val="-1"/>
        </w:rPr>
        <w:t>—“</w:t>
      </w:r>
      <w:r>
        <w:rPr>
          <w:spacing w:val="-1"/>
        </w:rPr>
        <w:t>四川信托</w:t>
      </w:r>
      <w:r>
        <w:rPr>
          <w:rFonts w:ascii="Times New Roman" w:hAnsi="Times New Roman" w:cs="Times New Roman" w:eastAsia="Times New Roman" w:hint="default"/>
          <w:spacing w:val="-1"/>
        </w:rPr>
        <w:t>-</w:t>
      </w:r>
      <w:r>
        <w:rPr>
          <w:spacing w:val="-1"/>
        </w:rPr>
        <w:t>五洋科技员工持股计划集合资金信托计划</w:t>
      </w:r>
      <w:r>
        <w:rPr>
          <w:rFonts w:ascii="Times New Roman" w:hAnsi="Times New Roman" w:cs="Times New Roman" w:eastAsia="Times New Roman" w:hint="default"/>
          <w:spacing w:val="-1"/>
        </w:rPr>
        <w:t>”</w:t>
      </w:r>
      <w:r>
        <w:rPr>
          <w:spacing w:val="-1"/>
        </w:rPr>
        <w:t>已通过</w:t>
      </w:r>
      <w:r>
        <w:rPr>
          <w:spacing w:val="-69"/>
        </w:rPr>
        <w:t> </w:t>
      </w:r>
      <w:r>
        <w:rPr>
          <w:spacing w:val="-2"/>
        </w:rPr>
        <w:t>二级市场购买的方式共计买入公司股票</w:t>
      </w:r>
      <w:r>
        <w:rPr>
          <w:rFonts w:ascii="Times New Roman" w:hAnsi="Times New Roman" w:cs="Times New Roman" w:eastAsia="Times New Roman" w:hint="default"/>
          <w:spacing w:val="-2"/>
        </w:rPr>
        <w:t>8,675,400</w:t>
      </w:r>
      <w:r>
        <w:rPr>
          <w:spacing w:val="-2"/>
        </w:rPr>
        <w:t>股，成交均价约为人民币</w:t>
      </w:r>
      <w:r>
        <w:rPr>
          <w:rFonts w:ascii="Times New Roman" w:hAnsi="Times New Roman" w:cs="Times New Roman" w:eastAsia="Times New Roman" w:hint="default"/>
          <w:spacing w:val="-2"/>
        </w:rPr>
        <w:t>8.98</w:t>
      </w:r>
      <w:r>
        <w:rPr>
          <w:spacing w:val="-2"/>
        </w:rPr>
        <w:t>元</w:t>
      </w:r>
      <w:r>
        <w:rPr>
          <w:rFonts w:ascii="Times New Roman" w:hAnsi="Times New Roman" w:cs="Times New Roman" w:eastAsia="Times New Roman" w:hint="default"/>
          <w:spacing w:val="-2"/>
        </w:rPr>
        <w:t>/</w:t>
      </w:r>
      <w:r>
        <w:rPr>
          <w:spacing w:val="-2"/>
        </w:rPr>
        <w:t>股。公司第一期员工持股计划已完成股票购</w:t>
      </w:r>
      <w:r>
        <w:rPr>
          <w:spacing w:val="-61"/>
        </w:rPr>
        <w:t> </w:t>
      </w:r>
      <w:r>
        <w:rPr>
          <w:spacing w:val="-61"/>
        </w:rPr>
      </w:r>
      <w:r>
        <w:rPr/>
        <w:t>买，该计划所购买的股票锁定期为公告披露日起</w:t>
      </w:r>
      <w:r>
        <w:rPr>
          <w:rFonts w:ascii="Times New Roman" w:hAnsi="Times New Roman" w:cs="Times New Roman" w:eastAsia="Times New Roman" w:hint="default"/>
        </w:rPr>
        <w:t>12</w:t>
      </w:r>
      <w:r>
        <w:rPr/>
        <w:t>个月，即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日，上述员 工持股计划尚未出售相关股票。</w:t>
      </w:r>
    </w:p>
    <w:p>
      <w:pPr>
        <w:spacing w:after="0" w:line="304" w:lineRule="auto"/>
        <w:jc w:val="both"/>
        <w:sectPr>
          <w:pgSz w:w="11910" w:h="16840"/>
          <w:pgMar w:header="745" w:footer="982" w:top="1060" w:bottom="118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982"/>
        <w:jc w:val="left"/>
        <w:rPr>
          <w:b w:val="0"/>
          <w:bCs w:val="0"/>
        </w:rPr>
      </w:pPr>
      <w:bookmarkStart w:name="十五、重大关联交易" w:id="79"/>
      <w:bookmarkEnd w:id="79"/>
      <w:r>
        <w:rPr>
          <w:b w:val="0"/>
          <w:bCs w:val="0"/>
        </w:rPr>
      </w: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2"/>
        <w:jc w:val="left"/>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9"/>
        <w:gridCol w:w="677"/>
        <w:gridCol w:w="677"/>
        <w:gridCol w:w="703"/>
        <w:gridCol w:w="679"/>
        <w:gridCol w:w="674"/>
        <w:gridCol w:w="674"/>
        <w:gridCol w:w="674"/>
        <w:gridCol w:w="674"/>
        <w:gridCol w:w="674"/>
        <w:gridCol w:w="672"/>
        <w:gridCol w:w="674"/>
        <w:gridCol w:w="670"/>
        <w:gridCol w:w="646"/>
      </w:tblGrid>
      <w:tr>
        <w:trPr>
          <w:trHeight w:val="1337" w:hRule="exact"/>
        </w:trPr>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04" w:right="31" w:hanging="269"/>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4" w:right="60"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4" w:right="60"/>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6" w:right="74"/>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2" w:right="60"/>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2" w:right="60"/>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6" w:lineRule="auto" w:before="19"/>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2"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2"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59"/>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2" w:right="60"/>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0"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8" w:right="47"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383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徐州苏兴 金属材料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1"/>
              <w:jc w:val="both"/>
              <w:rPr>
                <w:rFonts w:ascii="宋体" w:hAnsi="宋体" w:cs="宋体" w:eastAsia="宋体" w:hint="default"/>
                <w:sz w:val="18"/>
                <w:szCs w:val="18"/>
              </w:rPr>
            </w:pPr>
            <w:r>
              <w:rPr>
                <w:rFonts w:ascii="宋体" w:hAnsi="宋体" w:cs="宋体" w:eastAsia="宋体" w:hint="default"/>
                <w:sz w:val="18"/>
                <w:szCs w:val="18"/>
              </w:rPr>
              <w:t>公司实 际控制 人之一 蔡敏的 堂兄之 女蔡秀 芳配偶 的父母 控制的 企业， 视作关 联方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3" w:right="101"/>
              <w:jc w:val="left"/>
              <w:rPr>
                <w:rFonts w:ascii="宋体" w:hAnsi="宋体" w:cs="宋体" w:eastAsia="宋体" w:hint="default"/>
                <w:sz w:val="18"/>
                <w:szCs w:val="18"/>
              </w:rPr>
            </w:pPr>
            <w:r>
              <w:rPr>
                <w:rFonts w:ascii="宋体" w:hAnsi="宋体" w:cs="宋体" w:eastAsia="宋体" w:hint="default"/>
                <w:sz w:val="18"/>
                <w:szCs w:val="18"/>
              </w:rPr>
              <w:t>其他关 联方</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钢材</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3" w:right="103"/>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00" w:lineRule="auto"/>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0.377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 元</w:t>
            </w:r>
            <w:r>
              <w:rPr>
                <w:rFonts w:ascii="Times New Roman" w:hAnsi="Times New Roman" w:cs="Times New Roman" w:eastAsia="Times New Roman" w:hint="default"/>
                <w:sz w:val="18"/>
                <w:szCs w:val="18"/>
              </w:rPr>
              <w:t>/</w:t>
            </w:r>
            <w:r>
              <w:rPr>
                <w:rFonts w:ascii="宋体" w:hAnsi="宋体" w:cs="宋体" w:eastAsia="宋体" w:hint="default"/>
                <w:sz w:val="18"/>
                <w:szCs w:val="18"/>
              </w:rPr>
              <w:t>吨</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pacing w:val="-1"/>
                <w:sz w:val="18"/>
              </w:rPr>
              <w:t>540.36</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175" w:right="0"/>
              <w:jc w:val="left"/>
              <w:rPr>
                <w:rFonts w:ascii="Times New Roman" w:hAnsi="Times New Roman" w:cs="Times New Roman" w:eastAsia="Times New Roman" w:hint="default"/>
                <w:sz w:val="18"/>
                <w:szCs w:val="18"/>
              </w:rPr>
            </w:pPr>
            <w:r>
              <w:rPr>
                <w:rFonts w:ascii="Times New Roman"/>
                <w:sz w:val="18"/>
              </w:rPr>
              <w:t>2.61%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z w:val="18"/>
              </w:rPr>
              <w:t>800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3" w:right="96"/>
              <w:jc w:val="both"/>
              <w:rPr>
                <w:rFonts w:ascii="宋体" w:hAnsi="宋体" w:cs="宋体" w:eastAsia="宋体" w:hint="default"/>
                <w:sz w:val="18"/>
                <w:szCs w:val="18"/>
              </w:rPr>
            </w:pPr>
            <w:r>
              <w:rPr>
                <w:rFonts w:ascii="宋体" w:hAnsi="宋体" w:cs="宋体" w:eastAsia="宋体" w:hint="default"/>
                <w:sz w:val="18"/>
                <w:szCs w:val="18"/>
              </w:rPr>
              <w:t>银行转 账和银 行承兑 汇票</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00" w:lineRule="auto"/>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0.376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 元</w:t>
            </w:r>
            <w:r>
              <w:rPr>
                <w:rFonts w:ascii="Times New Roman" w:hAnsi="Times New Roman" w:cs="Times New Roman" w:eastAsia="Times New Roman" w:hint="default"/>
                <w:sz w:val="18"/>
                <w:szCs w:val="18"/>
              </w:rPr>
              <w:t>/</w:t>
            </w:r>
            <w:r>
              <w:rPr>
                <w:rFonts w:ascii="宋体" w:hAnsi="宋体" w:cs="宋体" w:eastAsia="宋体" w:hint="default"/>
                <w:sz w:val="18"/>
                <w:szCs w:val="18"/>
              </w:rPr>
              <w:t>吨</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022</w:t>
            </w:r>
          </w:p>
        </w:tc>
      </w:tr>
      <w:tr>
        <w:trPr>
          <w:trHeight w:val="4769"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侯友夫、 姚昕、林 伟通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101"/>
              <w:jc w:val="both"/>
              <w:rPr>
                <w:rFonts w:ascii="Times New Roman" w:hAnsi="Times New Roman" w:cs="Times New Roman" w:eastAsia="Times New Roman" w:hint="default"/>
                <w:sz w:val="18"/>
                <w:szCs w:val="18"/>
              </w:rPr>
            </w:pPr>
            <w:r>
              <w:rPr>
                <w:rFonts w:ascii="宋体" w:hAnsi="宋体" w:cs="宋体" w:eastAsia="宋体" w:hint="default"/>
                <w:sz w:val="18"/>
                <w:szCs w:val="18"/>
              </w:rPr>
              <w:t>侯友夫 为公司 实际控 制人之 一，姚 昕系公 司离任 董事童 敏的子 女、林 伟通系 公司股 东持股 比例为 </w:t>
            </w:r>
            <w:r>
              <w:rPr>
                <w:rFonts w:ascii="Times New Roman" w:hAnsi="Times New Roman" w:cs="Times New Roman" w:eastAsia="Times New Roman" w:hint="default"/>
                <w:sz w:val="18"/>
                <w:szCs w:val="18"/>
              </w:rPr>
              <w:t>2.65%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23" w:right="101"/>
              <w:jc w:val="left"/>
              <w:rPr>
                <w:rFonts w:ascii="宋体" w:hAnsi="宋体" w:cs="宋体" w:eastAsia="宋体" w:hint="default"/>
                <w:sz w:val="18"/>
                <w:szCs w:val="18"/>
              </w:rPr>
            </w:pPr>
            <w:r>
              <w:rPr>
                <w:rFonts w:ascii="宋体" w:hAnsi="宋体" w:cs="宋体" w:eastAsia="宋体" w:hint="default"/>
                <w:sz w:val="18"/>
                <w:szCs w:val="18"/>
              </w:rPr>
              <w:t>其他关 联方</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24" w:right="127"/>
              <w:jc w:val="left"/>
              <w:rPr>
                <w:rFonts w:ascii="宋体" w:hAnsi="宋体" w:cs="宋体" w:eastAsia="宋体" w:hint="default"/>
                <w:sz w:val="18"/>
                <w:szCs w:val="18"/>
              </w:rPr>
            </w:pPr>
            <w:r>
              <w:rPr>
                <w:rFonts w:ascii="宋体" w:hAnsi="宋体" w:cs="宋体" w:eastAsia="宋体" w:hint="default"/>
                <w:sz w:val="18"/>
                <w:szCs w:val="18"/>
              </w:rPr>
              <w:t>房屋租 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23" w:right="103"/>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179.84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平方</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月</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spacing w:val="-1"/>
                <w:sz w:val="18"/>
              </w:rPr>
              <w:t>242.18</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z w:val="18"/>
              </w:rPr>
              <w:t>300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00" w:lineRule="auto"/>
              <w:ind w:left="23"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180 </w:t>
            </w:r>
            <w:r>
              <w:rPr>
                <w:rFonts w:ascii="宋体" w:hAnsi="宋体" w:cs="宋体" w:eastAsia="宋体" w:hint="default"/>
                <w:sz w:val="18"/>
                <w:szCs w:val="18"/>
              </w:rPr>
              <w:t>元</w:t>
            </w:r>
            <w:r>
              <w:rPr>
                <w:rFonts w:ascii="Times New Roman" w:hAnsi="Times New Roman" w:cs="Times New Roman" w:eastAsia="Times New Roman" w:hint="default"/>
                <w:sz w:val="18"/>
                <w:szCs w:val="18"/>
              </w:rPr>
              <w:t>/ </w:t>
            </w:r>
            <w:r>
              <w:rPr>
                <w:rFonts w:ascii="宋体" w:hAnsi="宋体" w:cs="宋体" w:eastAsia="宋体" w:hint="default"/>
                <w:sz w:val="18"/>
                <w:szCs w:val="18"/>
              </w:rPr>
              <w:t>平方</w:t>
            </w:r>
            <w:r>
              <w:rPr>
                <w:rFonts w:ascii="Times New Roman" w:hAnsi="Times New Roman" w:cs="Times New Roman" w:eastAsia="Times New Roman" w:hint="default"/>
                <w:sz w:val="18"/>
                <w:szCs w:val="18"/>
              </w:rPr>
              <w:t>/</w:t>
            </w:r>
            <w:r>
              <w:rPr>
                <w:rFonts w:ascii="宋体" w:hAnsi="宋体" w:cs="宋体" w:eastAsia="宋体" w:hint="default"/>
                <w:sz w:val="18"/>
                <w:szCs w:val="18"/>
              </w:rPr>
              <w:t>月</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022</w:t>
            </w:r>
          </w:p>
        </w:tc>
      </w:tr>
      <w:tr>
        <w:trPr>
          <w:trHeight w:val="403"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782.54</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1,100</w:t>
            </w:r>
          </w:p>
        </w:tc>
        <w:tc>
          <w:tcPr>
            <w:tcW w:w="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6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3" w:type="dxa"/>
            <w:gridSpan w:val="10"/>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7"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z w:val="18"/>
                <w:szCs w:val="18"/>
              </w:rPr>
              <w:t> 实际履行情况（如有）</w:t>
            </w:r>
          </w:p>
        </w:tc>
        <w:tc>
          <w:tcPr>
            <w:tcW w:w="6713" w:type="dxa"/>
            <w:gridSpan w:val="10"/>
            <w:tcBorders>
              <w:top w:val="single" w:sz="4" w:space="0" w:color="000000"/>
              <w:left w:val="single" w:sz="9"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w:t>
            </w:r>
          </w:p>
        </w:tc>
        <w:tc>
          <w:tcPr>
            <w:tcW w:w="6713" w:type="dxa"/>
            <w:gridSpan w:val="10"/>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0"/>
        </w:sectPr>
      </w:pPr>
    </w:p>
    <w:p>
      <w:pPr>
        <w:spacing w:line="240" w:lineRule="auto" w:before="2"/>
        <w:rPr>
          <w:rFonts w:ascii="宋体" w:hAnsi="宋体" w:cs="宋体" w:eastAsia="宋体" w:hint="default"/>
          <w:sz w:val="28"/>
          <w:szCs w:val="28"/>
        </w:rPr>
      </w:pPr>
    </w:p>
    <w:p>
      <w:pPr>
        <w:spacing w:line="381"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19.1pt;mso-position-horizontal-relative:char;mso-position-vertical-relative:line" coordorigin="0,0" coordsize="9579,382">
            <v:group style="position:absolute;left:23;top:14;width:2;height:353" coordorigin="23,14" coordsize="2,353">
              <v:shape style="position:absolute;left:23;top:14;width:2;height:353" coordorigin="23,14" coordsize="0,353" path="m23,14l23,367e" filled="false" stroked="true" strokeweight="1.08pt" strokecolor="#d4d4d4">
                <v:path arrowok="t"/>
              </v:shape>
            </v:group>
            <v:group style="position:absolute;left:2845;top:14;width:2;height:353" coordorigin="2845,14" coordsize="2,353">
              <v:shape style="position:absolute;left:2845;top:14;width:2;height:353" coordorigin="2845,14" coordsize="0,353" path="m2845,14l2845,367e" filled="false" stroked="true" strokeweight="1.08pt" strokecolor="#d4d4d4">
                <v:path arrowok="t"/>
              </v:shape>
            </v:group>
            <v:group style="position:absolute;left:34;top:14;width:2801;height:353" coordorigin="34,14" coordsize="2801,353">
              <v:shape style="position:absolute;left:34;top:14;width:2801;height:353" coordorigin="34,14" coordsize="2801,353" path="m34,367l2834,367,2834,14,34,14,34,367xe" filled="true" fillcolor="#d4d4d4" stroked="false">
                <v:path arrowok="t"/>
                <v:fill type="solid"/>
              </v:shape>
            </v:group>
            <v:group style="position:absolute;left:10;top:10;width:2847;height:2" coordorigin="10,10" coordsize="2847,2">
              <v:shape style="position:absolute;left:10;top:10;width:2847;height:2" coordorigin="10,10" coordsize="2847,0" path="m10,10l2856,10e" filled="false" stroked="true" strokeweight=".481pt" strokecolor="#000000">
                <v:path arrowok="t"/>
              </v:shape>
            </v:group>
            <v:group style="position:absolute;left:2866;top:10;width:6704;height:2" coordorigin="2866,10" coordsize="6704,2">
              <v:shape style="position:absolute;left:2866;top:10;width:6704;height:2" coordorigin="2866,10" coordsize="6704,0" path="m2866,10l9569,10e" filled="false" stroked="true" strokeweight=".481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2847;height:2" coordorigin="10,372" coordsize="2847,2">
              <v:shape style="position:absolute;left:10;top:372;width:2847;height:2" coordorigin="10,372" coordsize="2847,0" path="m10,372l2856,372e" filled="false" stroked="true" strokeweight=".48pt" strokecolor="#000000">
                <v:path arrowok="t"/>
              </v:shape>
            </v:group>
            <v:group style="position:absolute;left:2861;top:5;width:2;height:372" coordorigin="2861,5" coordsize="2,372">
              <v:shape style="position:absolute;left:2861;top:5;width:2;height:372" coordorigin="2861,5" coordsize="0,372" path="m2861,5l2861,377e" filled="false" stroked="true" strokeweight=".481pt" strokecolor="#000000">
                <v:path arrowok="t"/>
              </v:shape>
            </v:group>
            <v:group style="position:absolute;left:2866;top:372;width:6704;height:2" coordorigin="2866,372" coordsize="6704,2">
              <v:shape style="position:absolute;left:2866;top:372;width:6704;height:2" coordorigin="2866,372" coordsize="6704,0" path="m2866,372l9569,372e" filled="false" stroked="true" strokeweight=".48pt" strokecolor="#000000">
                <v:path arrowok="t"/>
              </v:shape>
            </v:group>
            <v:group style="position:absolute;left:9574;top:5;width:2;height:372" coordorigin="9574,5" coordsize="2,372">
              <v:shape style="position:absolute;left:9574;top:5;width:2;height:372" coordorigin="9574,5" coordsize="0,372" path="m9574,5l9574,377e" filled="false" stroked="true" strokeweight=".48pt" strokecolor="#000000">
                <v:path arrowok="t"/>
              </v:shape>
              <v:shape style="position:absolute;left:6;top:10;width:2855;height:363" type="#_x0000_t202" filled="false" stroked="false">
                <v:textbox inset="0,0,0,0">
                  <w:txbxContent>
                    <w:p>
                      <w:pPr>
                        <w:spacing w:before="13"/>
                        <w:ind w:left="27" w:right="0" w:firstLine="0"/>
                        <w:jc w:val="left"/>
                        <w:rPr>
                          <w:rFonts w:ascii="宋体" w:hAnsi="宋体" w:cs="宋体" w:eastAsia="宋体" w:hint="default"/>
                          <w:sz w:val="18"/>
                          <w:szCs w:val="18"/>
                        </w:rPr>
                      </w:pPr>
                      <w:r>
                        <w:rPr>
                          <w:rFonts w:ascii="宋体" w:hAnsi="宋体" w:cs="宋体" w:eastAsia="宋体" w:hint="default"/>
                          <w:sz w:val="18"/>
                          <w:szCs w:val="18"/>
                        </w:rPr>
                        <w:t>的原因（如适用）</w:t>
                      </w:r>
                    </w:p>
                  </w:txbxContent>
                </v:textbox>
                <w10:wrap type="none"/>
              </v:shape>
            </v:group>
          </v:group>
        </w:pict>
      </w:r>
      <w:r>
        <w:rPr>
          <w:rFonts w:ascii="宋体" w:hAnsi="宋体" w:cs="宋体" w:eastAsia="宋体" w:hint="default"/>
          <w:position w:val="-7"/>
          <w:sz w:val="20"/>
          <w:szCs w:val="20"/>
        </w:rPr>
      </w:r>
    </w:p>
    <w:p>
      <w:pPr>
        <w:spacing w:line="240" w:lineRule="auto" w:before="12"/>
        <w:rPr>
          <w:rFonts w:ascii="宋体" w:hAnsi="宋体" w:cs="宋体" w:eastAsia="宋体" w:hint="default"/>
          <w:sz w:val="18"/>
          <w:szCs w:val="18"/>
        </w:rPr>
      </w:pPr>
    </w:p>
    <w:p>
      <w:pPr>
        <w:pStyle w:val="Heading3"/>
        <w:spacing w:line="240" w:lineRule="auto" w:before="36"/>
        <w:ind w:right="982"/>
        <w:jc w:val="left"/>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before="0"/>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7"/>
        <w:rPr>
          <w:rFonts w:ascii="宋体" w:hAnsi="宋体" w:cs="宋体" w:eastAsia="宋体" w:hint="default"/>
          <w:sz w:val="21"/>
          <w:szCs w:val="21"/>
        </w:rPr>
      </w:pPr>
    </w:p>
    <w:p>
      <w:pPr>
        <w:pStyle w:val="Heading3"/>
        <w:spacing w:line="240" w:lineRule="auto"/>
        <w:ind w:right="982"/>
        <w:jc w:val="left"/>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before="0"/>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7"/>
        <w:rPr>
          <w:rFonts w:ascii="宋体" w:hAnsi="宋体" w:cs="宋体" w:eastAsia="宋体" w:hint="default"/>
          <w:sz w:val="21"/>
          <w:szCs w:val="21"/>
        </w:rPr>
      </w:pPr>
    </w:p>
    <w:p>
      <w:pPr>
        <w:pStyle w:val="Heading3"/>
        <w:spacing w:line="240" w:lineRule="auto"/>
        <w:ind w:right="982"/>
        <w:jc w:val="left"/>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是否存在非经营性关联债权债务往来</w:t>
      </w:r>
    </w:p>
    <w:p>
      <w:pPr>
        <w:pStyle w:val="BodyText"/>
        <w:spacing w:line="340" w:lineRule="auto" w:before="39"/>
        <w:ind w:right="94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应收关联方债权</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932"/>
        <w:gridCol w:w="943"/>
        <w:gridCol w:w="958"/>
        <w:gridCol w:w="958"/>
        <w:gridCol w:w="955"/>
        <w:gridCol w:w="958"/>
        <w:gridCol w:w="958"/>
        <w:gridCol w:w="958"/>
        <w:gridCol w:w="955"/>
        <w:gridCol w:w="994"/>
      </w:tblGrid>
      <w:tr>
        <w:trPr>
          <w:trHeight w:val="1025" w:hRule="exact"/>
        </w:trPr>
        <w:tc>
          <w:tcPr>
            <w:tcW w:w="9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9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7"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23"/>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4"/>
              <w:ind w:left="11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23"/>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23"/>
              <w:jc w:val="left"/>
              <w:rPr>
                <w:rFonts w:ascii="宋体" w:hAnsi="宋体" w:cs="宋体" w:eastAsia="宋体" w:hint="default"/>
                <w:sz w:val="18"/>
                <w:szCs w:val="18"/>
              </w:rPr>
            </w:pPr>
            <w:r>
              <w:rPr>
                <w:rFonts w:ascii="宋体" w:hAnsi="宋体" w:cs="宋体" w:eastAsia="宋体" w:hint="default"/>
                <w:sz w:val="18"/>
                <w:szCs w:val="18"/>
              </w:rPr>
              <w:t>本期收回金 额（万元）</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92"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4"/>
              <w:ind w:left="11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74"/>
              <w:ind w:left="131" w:right="0"/>
              <w:jc w:val="left"/>
              <w:rPr>
                <w:rFonts w:ascii="宋体" w:hAnsi="宋体" w:cs="宋体" w:eastAsia="宋体" w:hint="default"/>
                <w:sz w:val="18"/>
                <w:szCs w:val="18"/>
              </w:rPr>
            </w:pPr>
            <w:r>
              <w:rPr>
                <w:rFonts w:ascii="宋体" w:hAnsi="宋体" w:cs="宋体" w:eastAsia="宋体" w:hint="default"/>
                <w:sz w:val="18"/>
                <w:szCs w:val="18"/>
              </w:rPr>
              <w:t>（万元）</w:t>
            </w:r>
          </w:p>
        </w:tc>
      </w:tr>
    </w:tbl>
    <w:p>
      <w:pPr>
        <w:pStyle w:val="BodyText"/>
        <w:spacing w:line="240" w:lineRule="auto" w:before="49"/>
        <w:ind w:right="982"/>
        <w:jc w:val="left"/>
      </w:pPr>
      <w:r>
        <w:rPr/>
        <w:t>应付关联方债务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59"/>
        <w:gridCol w:w="1037"/>
        <w:gridCol w:w="1044"/>
        <w:gridCol w:w="1044"/>
        <w:gridCol w:w="1044"/>
        <w:gridCol w:w="1044"/>
        <w:gridCol w:w="1044"/>
        <w:gridCol w:w="1044"/>
        <w:gridCol w:w="1109"/>
      </w:tblGrid>
      <w:tr>
        <w:trPr>
          <w:trHeight w:val="713" w:hRule="exact"/>
        </w:trPr>
        <w:tc>
          <w:tcPr>
            <w:tcW w:w="11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0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51"/>
              <w:jc w:val="right"/>
              <w:rPr>
                <w:rFonts w:ascii="宋体" w:hAnsi="宋体" w:cs="宋体" w:eastAsia="宋体" w:hint="default"/>
                <w:sz w:val="18"/>
                <w:szCs w:val="18"/>
              </w:rPr>
            </w:pPr>
            <w:r>
              <w:rPr>
                <w:rFonts w:ascii="宋体" w:hAnsi="宋体" w:cs="宋体" w:eastAsia="宋体" w:hint="default"/>
                <w:sz w:val="18"/>
                <w:szCs w:val="18"/>
              </w:rPr>
              <w:t>关联关系</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4"/>
              <w:ind w:left="16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本期归还金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4"/>
              <w:ind w:left="16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372" w:right="19" w:hanging="346"/>
              <w:jc w:val="left"/>
              <w:rPr>
                <w:rFonts w:ascii="宋体" w:hAnsi="宋体" w:cs="宋体" w:eastAsia="宋体" w:hint="default"/>
                <w:sz w:val="18"/>
                <w:szCs w:val="18"/>
              </w:rPr>
            </w:pPr>
            <w:r>
              <w:rPr>
                <w:rFonts w:ascii="宋体" w:hAnsi="宋体" w:cs="宋体" w:eastAsia="宋体" w:hint="default"/>
                <w:spacing w:val="-5"/>
                <w:sz w:val="18"/>
                <w:szCs w:val="18"/>
              </w:rPr>
              <w:t>期末余额（万</w:t>
            </w:r>
            <w:r>
              <w:rPr>
                <w:rFonts w:ascii="宋体" w:hAnsi="宋体" w:cs="宋体" w:eastAsia="宋体" w:hint="default"/>
                <w:sz w:val="18"/>
                <w:szCs w:val="18"/>
              </w:rPr>
              <w:t> 元）</w:t>
            </w:r>
          </w:p>
        </w:tc>
      </w:tr>
      <w:tr>
        <w:trPr>
          <w:trHeight w:val="715"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left"/>
              <w:rPr>
                <w:rFonts w:ascii="宋体" w:hAnsi="宋体" w:cs="宋体" w:eastAsia="宋体" w:hint="default"/>
                <w:sz w:val="18"/>
                <w:szCs w:val="18"/>
              </w:rPr>
            </w:pPr>
            <w:r>
              <w:rPr>
                <w:rFonts w:ascii="宋体" w:hAnsi="宋体" w:cs="宋体" w:eastAsia="宋体" w:hint="default"/>
                <w:sz w:val="18"/>
                <w:szCs w:val="18"/>
              </w:rPr>
              <w:t>济南天辰机器 集团有限公司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其他关联方</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暂借款</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2.22</w:t>
            </w:r>
            <w:r>
              <w:rPr>
                <w:rFonts w:ascii="Times New Roman"/>
                <w:sz w:val="18"/>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3" w:right="0"/>
              <w:jc w:val="left"/>
              <w:rPr>
                <w:rFonts w:ascii="Times New Roman" w:hAnsi="Times New Roman" w:cs="Times New Roman" w:eastAsia="Times New Roman" w:hint="default"/>
                <w:sz w:val="18"/>
                <w:szCs w:val="18"/>
              </w:rPr>
            </w:pPr>
            <w:r>
              <w:rPr>
                <w:rFonts w:ascii="Times New Roman"/>
                <w:sz w:val="18"/>
              </w:rPr>
              <w:t>7,355.67</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9" w:right="0"/>
              <w:jc w:val="left"/>
              <w:rPr>
                <w:rFonts w:ascii="Times New Roman" w:hAnsi="Times New Roman" w:cs="Times New Roman" w:eastAsia="Times New Roman" w:hint="default"/>
                <w:sz w:val="18"/>
                <w:szCs w:val="18"/>
              </w:rPr>
            </w:pPr>
            <w:r>
              <w:rPr>
                <w:rFonts w:ascii="Times New Roman"/>
                <w:sz w:val="18"/>
              </w:rPr>
              <w:t>4.35%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168.8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7,357.89</w:t>
            </w:r>
          </w:p>
        </w:tc>
      </w:tr>
      <w:tr>
        <w:trPr>
          <w:trHeight w:val="713" w:hRule="exact"/>
        </w:trPr>
        <w:tc>
          <w:tcPr>
            <w:tcW w:w="219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关联债务对公司经营成果 及财务状况的影响</w:t>
            </w:r>
          </w:p>
        </w:tc>
        <w:tc>
          <w:tcPr>
            <w:tcW w:w="737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关联债务金额较小，对经营成果及财务状况影响较小。</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before="0"/>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line="240" w:lineRule="auto" w:before="8"/>
        <w:rPr>
          <w:rFonts w:ascii="宋体" w:hAnsi="宋体" w:cs="宋体" w:eastAsia="宋体" w:hint="default"/>
          <w:sz w:val="19"/>
          <w:szCs w:val="19"/>
        </w:rPr>
      </w:pPr>
    </w:p>
    <w:p>
      <w:pPr>
        <w:pStyle w:val="Heading2"/>
        <w:spacing w:line="240" w:lineRule="auto"/>
        <w:ind w:right="982"/>
        <w:jc w:val="left"/>
        <w:rPr>
          <w:b w:val="0"/>
          <w:bCs w:val="0"/>
        </w:rPr>
      </w:pPr>
      <w:bookmarkStart w:name="十六、重大合同及其履行情况" w:id="85"/>
      <w:bookmarkEnd w:id="85"/>
      <w:r>
        <w:rPr>
          <w:b w:val="0"/>
          <w:bCs w:val="0"/>
        </w:rPr>
      </w: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2"/>
        <w:jc w:val="left"/>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bookmarkStart w:name="（1）托管情况" w:id="87"/>
      <w:bookmarkEnd w:id="8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before="0"/>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after="0" w:line="340" w:lineRule="auto"/>
        <w:jc w:val="left"/>
        <w:sectPr>
          <w:pgSz w:w="11910" w:h="16840"/>
          <w:pgMar w:header="745"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before="0"/>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7"/>
        <w:rPr>
          <w:rFonts w:ascii="宋体" w:hAnsi="宋体" w:cs="宋体" w:eastAsia="宋体" w:hint="default"/>
          <w:sz w:val="21"/>
          <w:szCs w:val="21"/>
        </w:rPr>
      </w:pPr>
    </w:p>
    <w:p>
      <w:pPr>
        <w:pStyle w:val="Heading3"/>
        <w:spacing w:line="240" w:lineRule="auto"/>
        <w:ind w:right="982"/>
        <w:jc w:val="left"/>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before="0"/>
        <w:ind w:right="93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租赁情况说明</w:t>
      </w:r>
    </w:p>
    <w:p>
      <w:pPr>
        <w:pStyle w:val="BodyText"/>
        <w:spacing w:line="300" w:lineRule="auto" w:before="43"/>
        <w:ind w:right="1169"/>
        <w:jc w:val="left"/>
      </w:pPr>
      <w:r>
        <w:rPr/>
        <w:t>公司将账面价值为</w:t>
      </w:r>
      <w:r>
        <w:rPr>
          <w:rFonts w:ascii="Times New Roman" w:hAnsi="Times New Roman" w:cs="Times New Roman" w:eastAsia="Times New Roman" w:hint="default"/>
        </w:rPr>
        <w:t>1,500,723.84</w:t>
      </w:r>
      <w:r>
        <w:rPr/>
        <w:t>元办公用房屋出租给徐州市腾威市政工程有限公司。伟创自动化承租侯友夫、姚昕、林伟通 购买的办公用房，租金共计</w:t>
      </w:r>
      <w:r>
        <w:rPr>
          <w:rFonts w:ascii="Times New Roman" w:hAnsi="Times New Roman" w:cs="Times New Roman" w:eastAsia="Times New Roman" w:hint="default"/>
        </w:rPr>
        <w:t>2,421,834.84</w:t>
      </w:r>
      <w:r>
        <w:rPr/>
        <w:t>元。</w:t>
      </w:r>
    </w:p>
    <w:p>
      <w:pPr>
        <w:spacing w:line="240" w:lineRule="auto" w:before="0"/>
        <w:rPr>
          <w:rFonts w:ascii="宋体" w:hAnsi="宋体" w:cs="宋体" w:eastAsia="宋体" w:hint="default"/>
          <w:sz w:val="18"/>
          <w:szCs w:val="18"/>
        </w:rPr>
      </w:pPr>
    </w:p>
    <w:p>
      <w:pPr>
        <w:pStyle w:val="BodyText"/>
        <w:spacing w:line="240" w:lineRule="auto" w:before="130"/>
        <w:ind w:right="982"/>
        <w:jc w:val="left"/>
      </w:pPr>
      <w:r>
        <w:rPr/>
        <w:t>为公司带来的损益达到公司报告期利润总额</w:t>
      </w:r>
      <w:r>
        <w:rPr>
          <w:spacing w:val="-45"/>
        </w:rPr>
        <w:t> </w:t>
      </w:r>
      <w:r>
        <w:rPr>
          <w:rFonts w:ascii="Times New Roman" w:hAnsi="Times New Roman" w:cs="Times New Roman" w:eastAsia="Times New Roman" w:hint="default"/>
        </w:rPr>
        <w:t>10%</w:t>
      </w:r>
      <w:r>
        <w:rPr/>
        <w:t>以上的项目</w:t>
      </w:r>
    </w:p>
    <w:p>
      <w:pPr>
        <w:pStyle w:val="BodyText"/>
        <w:spacing w:line="240" w:lineRule="auto" w:before="101"/>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982"/>
        <w:jc w:val="left"/>
      </w:pPr>
      <w:r>
        <w:rPr/>
        <w:t>公司报告期不存在为公司带来的损益达到公司报告期利润总额</w:t>
      </w:r>
      <w:r>
        <w:rPr>
          <w:spacing w:val="-45"/>
        </w:rPr>
        <w:t> </w:t>
      </w:r>
      <w:r>
        <w:rPr>
          <w:rFonts w:ascii="Times New Roman" w:hAnsi="Times New Roman" w:cs="Times New Roman" w:eastAsia="Times New Roman" w:hint="default"/>
        </w:rPr>
        <w:t>10%</w:t>
      </w:r>
      <w:r>
        <w:rPr/>
        <w:t>以上的租赁项目。</w:t>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bookmarkStart w:name="（1）担保情况" w:id="91"/>
      <w:bookmarkEnd w:id="91"/>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3"/>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9"/>
        <w:gridCol w:w="928"/>
        <w:gridCol w:w="923"/>
        <w:gridCol w:w="1296"/>
        <w:gridCol w:w="1063"/>
        <w:gridCol w:w="1034"/>
        <w:gridCol w:w="1049"/>
        <w:gridCol w:w="792"/>
        <w:gridCol w:w="780"/>
      </w:tblGrid>
      <w:tr>
        <w:trPr>
          <w:trHeight w:val="401"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00"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1"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96" w:right="10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1"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安徽惠邦融资租赁有 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3,077.31</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2017.03.25-2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020.03.24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深圳市伟创自动化设 备有限公司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6,419.49</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2018.4.4-202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1.4.3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深圳市伟创自动化设 备有限公司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2018.5.12-20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19.5.11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广东伟创五洋智能设 备有限公司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2018.5.12-20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19.5.11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江苏天沃重工科技有 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2018.4.4-202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1.4.3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715"/>
        <w:gridCol w:w="908"/>
        <w:gridCol w:w="928"/>
        <w:gridCol w:w="1313"/>
        <w:gridCol w:w="1040"/>
        <w:gridCol w:w="1042"/>
        <w:gridCol w:w="1054"/>
        <w:gridCol w:w="790"/>
        <w:gridCol w:w="784"/>
      </w:tblGrid>
      <w:tr>
        <w:trPr>
          <w:trHeight w:val="713"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9"/>
              <w:jc w:val="left"/>
              <w:rPr>
                <w:rFonts w:ascii="宋体" w:hAnsi="宋体" w:cs="宋体" w:eastAsia="宋体" w:hint="default"/>
                <w:sz w:val="18"/>
                <w:szCs w:val="18"/>
              </w:rPr>
            </w:pPr>
            <w:r>
              <w:rPr>
                <w:rFonts w:ascii="宋体" w:hAnsi="宋体" w:cs="宋体" w:eastAsia="宋体" w:hint="default"/>
                <w:sz w:val="18"/>
                <w:szCs w:val="18"/>
              </w:rPr>
              <w:t>山东天辰智能停车有 限公司</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9" w:right="0"/>
              <w:jc w:val="left"/>
              <w:rPr>
                <w:rFonts w:ascii="Times New Roman" w:hAnsi="Times New Roman" w:cs="Times New Roman" w:eastAsia="Times New Roman" w:hint="default"/>
                <w:sz w:val="18"/>
                <w:szCs w:val="18"/>
              </w:rPr>
            </w:pPr>
            <w:r>
              <w:rPr>
                <w:rFonts w:ascii="Times New Roman"/>
                <w:sz w:val="18"/>
              </w:rPr>
              <w:t>3,000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2" w:right="0"/>
              <w:jc w:val="left"/>
              <w:rPr>
                <w:rFonts w:ascii="Times New Roman" w:hAnsi="Times New Roman" w:cs="Times New Roman" w:eastAsia="Times New Roman" w:hint="default"/>
                <w:sz w:val="18"/>
                <w:szCs w:val="18"/>
              </w:rPr>
            </w:pPr>
            <w:r>
              <w:rPr>
                <w:rFonts w:ascii="Times New Roman"/>
                <w:sz w:val="18"/>
              </w:rPr>
              <w:t>2,763.16</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8" w:right="9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2017.11.29-2</w:t>
            </w:r>
          </w:p>
          <w:p>
            <w:pPr>
              <w:pStyle w:val="TableParagraph"/>
              <w:spacing w:line="240" w:lineRule="auto" w:before="105"/>
              <w:ind w:left="31" w:right="0"/>
              <w:jc w:val="left"/>
              <w:rPr>
                <w:rFonts w:ascii="Times New Roman" w:hAnsi="Times New Roman" w:cs="Times New Roman" w:eastAsia="Times New Roman" w:hint="default"/>
                <w:sz w:val="18"/>
                <w:szCs w:val="18"/>
              </w:rPr>
            </w:pPr>
            <w:r>
              <w:rPr>
                <w:rFonts w:ascii="Times New Roman"/>
                <w:sz w:val="18"/>
              </w:rPr>
              <w:t>018.11.28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67"/>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41" w:type="dxa"/>
            <w:gridSpan w:val="2"/>
            <w:tcBorders>
              <w:top w:val="single" w:sz="4" w:space="0" w:color="000000"/>
              <w:left w:val="single" w:sz="13" w:space="0" w:color="D4D4D4"/>
              <w:bottom w:val="single" w:sz="4" w:space="0" w:color="000000"/>
              <w:right w:val="single" w:sz="10" w:space="0" w:color="D4D4D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w:t>
            </w:r>
          </w:p>
        </w:tc>
        <w:tc>
          <w:tcPr>
            <w:tcW w:w="208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5" w:right="74"/>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8" w:type="dxa"/>
            <w:gridSpan w:val="3"/>
            <w:tcBorders>
              <w:top w:val="single" w:sz="4" w:space="0" w:color="000000"/>
              <w:left w:val="single" w:sz="12"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30,713.01</w:t>
            </w:r>
          </w:p>
        </w:tc>
      </w:tr>
      <w:tr>
        <w:trPr>
          <w:trHeight w:val="720"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41" w:type="dxa"/>
            <w:gridSpan w:val="2"/>
            <w:tcBorders>
              <w:top w:val="single" w:sz="4" w:space="0" w:color="000000"/>
              <w:left w:val="single" w:sz="13" w:space="0" w:color="D4D4D4"/>
              <w:bottom w:val="single" w:sz="4" w:space="0" w:color="000000"/>
              <w:right w:val="single" w:sz="10" w:space="0" w:color="D4D4D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w:t>
            </w:r>
          </w:p>
        </w:tc>
        <w:tc>
          <w:tcPr>
            <w:tcW w:w="208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5" w:right="74"/>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8" w:type="dxa"/>
            <w:gridSpan w:val="3"/>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14,259.96</w:t>
            </w:r>
          </w:p>
        </w:tc>
      </w:tr>
      <w:tr>
        <w:trPr>
          <w:trHeight w:val="391"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15" w:type="dxa"/>
            <w:vMerge w:val="restart"/>
            <w:tcBorders>
              <w:top w:val="single" w:sz="4" w:space="0" w:color="000000"/>
              <w:left w:val="single" w:sz="4" w:space="0" w:color="000000"/>
              <w:right w:val="single" w:sz="4" w:space="0" w:color="000000"/>
            </w:tcBorders>
            <w:shd w:val="clear" w:color="auto" w:fill="D4D4D4"/>
          </w:tcPr>
          <w:p>
            <w:pPr/>
          </w:p>
        </w:tc>
        <w:tc>
          <w:tcPr>
            <w:tcW w:w="908"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87" w:right="8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8" w:type="dxa"/>
            <w:vMerge w:val="restart"/>
            <w:tcBorders>
              <w:top w:val="single" w:sz="4" w:space="0" w:color="000000"/>
              <w:left w:val="single" w:sz="4" w:space="0" w:color="000000"/>
              <w:right w:val="single" w:sz="4" w:space="0" w:color="000000"/>
            </w:tcBorders>
            <w:shd w:val="clear" w:color="auto" w:fill="D4D4D4"/>
          </w:tcPr>
          <w:p>
            <w:pPr/>
          </w:p>
        </w:tc>
        <w:tc>
          <w:tcPr>
            <w:tcW w:w="1313" w:type="dxa"/>
            <w:vMerge w:val="restart"/>
            <w:tcBorders>
              <w:top w:val="single" w:sz="4" w:space="0" w:color="000000"/>
              <w:left w:val="single" w:sz="4" w:space="0" w:color="000000"/>
              <w:right w:val="single" w:sz="4" w:space="0" w:color="000000"/>
            </w:tcBorders>
            <w:shd w:val="clear" w:color="auto" w:fill="D4D4D4"/>
          </w:tcPr>
          <w:p>
            <w:pPr/>
          </w:p>
        </w:tc>
        <w:tc>
          <w:tcPr>
            <w:tcW w:w="1040" w:type="dxa"/>
            <w:tcBorders>
              <w:top w:val="single" w:sz="4" w:space="0" w:color="000000"/>
              <w:left w:val="single" w:sz="4" w:space="0" w:color="000000"/>
              <w:bottom w:val="nil" w:sz="6" w:space="0" w:color="auto"/>
              <w:right w:val="single" w:sz="4" w:space="0" w:color="000000"/>
            </w:tcBorders>
            <w:shd w:val="clear" w:color="auto" w:fill="D4D4D4"/>
          </w:tcPr>
          <w:p>
            <w:pPr/>
          </w:p>
        </w:tc>
        <w:tc>
          <w:tcPr>
            <w:tcW w:w="1042" w:type="dxa"/>
            <w:vMerge w:val="restart"/>
            <w:tcBorders>
              <w:top w:val="single" w:sz="4" w:space="0" w:color="000000"/>
              <w:left w:val="single" w:sz="4" w:space="0" w:color="000000"/>
              <w:right w:val="single" w:sz="4" w:space="0" w:color="000000"/>
            </w:tcBorders>
            <w:shd w:val="clear" w:color="auto" w:fill="D4D4D4"/>
          </w:tcPr>
          <w:p>
            <w:pPr/>
          </w:p>
        </w:tc>
        <w:tc>
          <w:tcPr>
            <w:tcW w:w="1054" w:type="dxa"/>
            <w:vMerge w:val="restart"/>
            <w:tcBorders>
              <w:top w:val="single" w:sz="4" w:space="0" w:color="000000"/>
              <w:left w:val="single" w:sz="4" w:space="0" w:color="000000"/>
              <w:right w:val="single" w:sz="4" w:space="0" w:color="000000"/>
            </w:tcBorders>
            <w:shd w:val="clear" w:color="auto" w:fill="D4D4D4"/>
          </w:tcPr>
          <w:p>
            <w:pPr/>
          </w:p>
        </w:tc>
        <w:tc>
          <w:tcPr>
            <w:tcW w:w="790" w:type="dxa"/>
            <w:tcBorders>
              <w:top w:val="single" w:sz="4" w:space="0" w:color="000000"/>
              <w:left w:val="single" w:sz="4" w:space="0" w:color="000000"/>
              <w:bottom w:val="nil" w:sz="6" w:space="0" w:color="auto"/>
              <w:right w:val="single" w:sz="4" w:space="0" w:color="000000"/>
            </w:tcBorders>
            <w:shd w:val="clear" w:color="auto" w:fill="D4D4D4"/>
          </w:tcPr>
          <w:p>
            <w:pPr/>
          </w:p>
        </w:tc>
        <w:tc>
          <w:tcPr>
            <w:tcW w:w="784"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56" w:hRule="exact"/>
        </w:trPr>
        <w:tc>
          <w:tcPr>
            <w:tcW w:w="1715" w:type="dxa"/>
            <w:vMerge/>
            <w:tcBorders>
              <w:left w:val="single" w:sz="4" w:space="0" w:color="000000"/>
              <w:bottom w:val="nil" w:sz="6" w:space="0" w:color="auto"/>
              <w:right w:val="single" w:sz="4" w:space="0" w:color="000000"/>
            </w:tcBorders>
            <w:shd w:val="clear" w:color="auto" w:fill="D4D4D4"/>
          </w:tcPr>
          <w:p>
            <w:pPr/>
          </w:p>
        </w:tc>
        <w:tc>
          <w:tcPr>
            <w:tcW w:w="908" w:type="dxa"/>
            <w:vMerge/>
            <w:tcBorders>
              <w:left w:val="single" w:sz="4" w:space="0" w:color="000000"/>
              <w:right w:val="single" w:sz="4" w:space="0" w:color="000000"/>
            </w:tcBorders>
            <w:shd w:val="clear" w:color="auto" w:fill="D4D4D4"/>
          </w:tcPr>
          <w:p>
            <w:pPr/>
          </w:p>
        </w:tc>
        <w:tc>
          <w:tcPr>
            <w:tcW w:w="928" w:type="dxa"/>
            <w:vMerge/>
            <w:tcBorders>
              <w:left w:val="single" w:sz="4" w:space="0" w:color="000000"/>
              <w:bottom w:val="nil" w:sz="6" w:space="0" w:color="auto"/>
              <w:right w:val="single" w:sz="4" w:space="0" w:color="000000"/>
            </w:tcBorders>
            <w:shd w:val="clear" w:color="auto" w:fill="D4D4D4"/>
          </w:tcPr>
          <w:p>
            <w:pPr/>
          </w:p>
        </w:tc>
        <w:tc>
          <w:tcPr>
            <w:tcW w:w="1313" w:type="dxa"/>
            <w:vMerge/>
            <w:tcBorders>
              <w:left w:val="single" w:sz="4" w:space="0" w:color="000000"/>
              <w:bottom w:val="nil" w:sz="6" w:space="0" w:color="auto"/>
              <w:right w:val="single" w:sz="4" w:space="0" w:color="000000"/>
            </w:tcBorders>
            <w:shd w:val="clear" w:color="auto" w:fill="D4D4D4"/>
          </w:tcPr>
          <w:p>
            <w:pPr/>
          </w:p>
        </w:tc>
        <w:tc>
          <w:tcPr>
            <w:tcW w:w="1040"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418"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2" w:type="dxa"/>
            <w:vMerge/>
            <w:tcBorders>
              <w:left w:val="single" w:sz="4" w:space="0" w:color="000000"/>
              <w:bottom w:val="nil" w:sz="6" w:space="0" w:color="auto"/>
              <w:right w:val="single" w:sz="4" w:space="0" w:color="000000"/>
            </w:tcBorders>
            <w:shd w:val="clear" w:color="auto" w:fill="D4D4D4"/>
          </w:tcPr>
          <w:p>
            <w:pPr/>
          </w:p>
        </w:tc>
        <w:tc>
          <w:tcPr>
            <w:tcW w:w="1054" w:type="dxa"/>
            <w:vMerge/>
            <w:tcBorders>
              <w:left w:val="single" w:sz="4" w:space="0" w:color="000000"/>
              <w:bottom w:val="nil" w:sz="6" w:space="0" w:color="auto"/>
              <w:right w:val="single" w:sz="4" w:space="0" w:color="000000"/>
            </w:tcBorders>
            <w:shd w:val="clear" w:color="auto" w:fill="D4D4D4"/>
          </w:tcPr>
          <w:p>
            <w:pPr/>
          </w:p>
        </w:tc>
        <w:tc>
          <w:tcPr>
            <w:tcW w:w="790"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08"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4"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08" w:type="dxa"/>
            <w:vMerge/>
            <w:tcBorders>
              <w:left w:val="single" w:sz="4" w:space="0" w:color="000000"/>
              <w:right w:val="single" w:sz="4" w:space="0" w:color="000000"/>
            </w:tcBorders>
            <w:shd w:val="clear" w:color="auto" w:fill="D4D4D4"/>
          </w:tcPr>
          <w:p>
            <w:pPr/>
          </w:p>
        </w:tc>
        <w:tc>
          <w:tcPr>
            <w:tcW w:w="92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40" w:type="dxa"/>
            <w:vMerge/>
            <w:tcBorders>
              <w:left w:val="single" w:sz="4" w:space="0" w:color="000000"/>
              <w:right w:val="single" w:sz="4" w:space="0" w:color="000000"/>
            </w:tcBorders>
            <w:shd w:val="clear" w:color="auto" w:fill="D4D4D4"/>
          </w:tcPr>
          <w:p>
            <w:pPr/>
          </w:p>
        </w:tc>
        <w:tc>
          <w:tcPr>
            <w:tcW w:w="104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0" w:type="dxa"/>
            <w:vMerge/>
            <w:tcBorders>
              <w:left w:val="single" w:sz="4" w:space="0" w:color="000000"/>
              <w:right w:val="single" w:sz="4" w:space="0" w:color="000000"/>
            </w:tcBorders>
            <w:shd w:val="clear" w:color="auto" w:fill="D4D4D4"/>
          </w:tcPr>
          <w:p>
            <w:pPr/>
          </w:p>
        </w:tc>
        <w:tc>
          <w:tcPr>
            <w:tcW w:w="784" w:type="dxa"/>
            <w:vMerge/>
            <w:tcBorders>
              <w:left w:val="single" w:sz="4" w:space="0" w:color="000000"/>
              <w:right w:val="single" w:sz="4" w:space="0" w:color="000000"/>
            </w:tcBorders>
            <w:shd w:val="clear" w:color="auto" w:fill="D4D4D4"/>
          </w:tcPr>
          <w:p>
            <w:pPr/>
          </w:p>
        </w:tc>
      </w:tr>
      <w:tr>
        <w:trPr>
          <w:trHeight w:val="156" w:hRule="exact"/>
        </w:trPr>
        <w:tc>
          <w:tcPr>
            <w:tcW w:w="1715" w:type="dxa"/>
            <w:vMerge w:val="restart"/>
            <w:tcBorders>
              <w:top w:val="nil" w:sz="6" w:space="0" w:color="auto"/>
              <w:left w:val="single" w:sz="4" w:space="0" w:color="000000"/>
              <w:right w:val="single" w:sz="4" w:space="0" w:color="000000"/>
            </w:tcBorders>
            <w:shd w:val="clear" w:color="auto" w:fill="D4D4D4"/>
          </w:tcPr>
          <w:p>
            <w:pPr/>
          </w:p>
        </w:tc>
        <w:tc>
          <w:tcPr>
            <w:tcW w:w="908" w:type="dxa"/>
            <w:vMerge/>
            <w:tcBorders>
              <w:left w:val="single" w:sz="4" w:space="0" w:color="000000"/>
              <w:right w:val="single" w:sz="4" w:space="0" w:color="000000"/>
            </w:tcBorders>
            <w:shd w:val="clear" w:color="auto" w:fill="D4D4D4"/>
          </w:tcPr>
          <w:p>
            <w:pPr/>
          </w:p>
        </w:tc>
        <w:tc>
          <w:tcPr>
            <w:tcW w:w="928" w:type="dxa"/>
            <w:vMerge w:val="restart"/>
            <w:tcBorders>
              <w:top w:val="nil" w:sz="6" w:space="0" w:color="auto"/>
              <w:left w:val="single" w:sz="4" w:space="0" w:color="000000"/>
              <w:right w:val="single" w:sz="4" w:space="0" w:color="000000"/>
            </w:tcBorders>
            <w:shd w:val="clear" w:color="auto" w:fill="D4D4D4"/>
          </w:tcPr>
          <w:p>
            <w:pPr/>
          </w:p>
        </w:tc>
        <w:tc>
          <w:tcPr>
            <w:tcW w:w="1313" w:type="dxa"/>
            <w:vMerge w:val="restart"/>
            <w:tcBorders>
              <w:top w:val="nil" w:sz="6" w:space="0" w:color="auto"/>
              <w:left w:val="single" w:sz="4" w:space="0" w:color="000000"/>
              <w:right w:val="single" w:sz="4" w:space="0" w:color="000000"/>
            </w:tcBorders>
            <w:shd w:val="clear" w:color="auto" w:fill="D4D4D4"/>
          </w:tcPr>
          <w:p>
            <w:pPr/>
          </w:p>
        </w:tc>
        <w:tc>
          <w:tcPr>
            <w:tcW w:w="1040" w:type="dxa"/>
            <w:vMerge/>
            <w:tcBorders>
              <w:left w:val="single" w:sz="4" w:space="0" w:color="000000"/>
              <w:bottom w:val="nil" w:sz="6" w:space="0" w:color="auto"/>
              <w:right w:val="single" w:sz="4" w:space="0" w:color="000000"/>
            </w:tcBorders>
            <w:shd w:val="clear" w:color="auto" w:fill="D4D4D4"/>
          </w:tcPr>
          <w:p>
            <w:pPr/>
          </w:p>
        </w:tc>
        <w:tc>
          <w:tcPr>
            <w:tcW w:w="1042" w:type="dxa"/>
            <w:vMerge w:val="restart"/>
            <w:tcBorders>
              <w:top w:val="nil" w:sz="6" w:space="0" w:color="auto"/>
              <w:left w:val="single" w:sz="4" w:space="0" w:color="000000"/>
              <w:right w:val="single" w:sz="4" w:space="0" w:color="000000"/>
            </w:tcBorders>
            <w:shd w:val="clear" w:color="auto" w:fill="D4D4D4"/>
          </w:tcPr>
          <w:p>
            <w:pPr/>
          </w:p>
        </w:tc>
        <w:tc>
          <w:tcPr>
            <w:tcW w:w="1054" w:type="dxa"/>
            <w:vMerge w:val="restart"/>
            <w:tcBorders>
              <w:top w:val="nil" w:sz="6" w:space="0" w:color="auto"/>
              <w:left w:val="single" w:sz="4" w:space="0" w:color="000000"/>
              <w:right w:val="single" w:sz="4" w:space="0" w:color="000000"/>
            </w:tcBorders>
            <w:shd w:val="clear" w:color="auto" w:fill="D4D4D4"/>
          </w:tcPr>
          <w:p>
            <w:pPr/>
          </w:p>
        </w:tc>
        <w:tc>
          <w:tcPr>
            <w:tcW w:w="790" w:type="dxa"/>
            <w:vMerge/>
            <w:tcBorders>
              <w:left w:val="single" w:sz="4" w:space="0" w:color="000000"/>
              <w:bottom w:val="nil" w:sz="6" w:space="0" w:color="auto"/>
              <w:right w:val="single" w:sz="4" w:space="0" w:color="000000"/>
            </w:tcBorders>
            <w:shd w:val="clear" w:color="auto" w:fill="D4D4D4"/>
          </w:tcPr>
          <w:p>
            <w:pPr/>
          </w:p>
        </w:tc>
        <w:tc>
          <w:tcPr>
            <w:tcW w:w="784" w:type="dxa"/>
            <w:vMerge/>
            <w:tcBorders>
              <w:left w:val="single" w:sz="4" w:space="0" w:color="000000"/>
              <w:bottom w:val="nil" w:sz="6" w:space="0" w:color="auto"/>
              <w:right w:val="single" w:sz="4" w:space="0" w:color="000000"/>
            </w:tcBorders>
            <w:shd w:val="clear" w:color="auto" w:fill="D4D4D4"/>
          </w:tcPr>
          <w:p>
            <w:pPr/>
          </w:p>
        </w:tc>
      </w:tr>
      <w:tr>
        <w:trPr>
          <w:trHeight w:val="162" w:hRule="exact"/>
        </w:trPr>
        <w:tc>
          <w:tcPr>
            <w:tcW w:w="1715" w:type="dxa"/>
            <w:vMerge/>
            <w:tcBorders>
              <w:left w:val="single" w:sz="4" w:space="0" w:color="000000"/>
              <w:bottom w:val="single" w:sz="4" w:space="0" w:color="000000"/>
              <w:right w:val="single" w:sz="4" w:space="0" w:color="000000"/>
            </w:tcBorders>
            <w:shd w:val="clear" w:color="auto" w:fill="D4D4D4"/>
          </w:tcPr>
          <w:p>
            <w:pPr/>
          </w:p>
        </w:tc>
        <w:tc>
          <w:tcPr>
            <w:tcW w:w="908" w:type="dxa"/>
            <w:vMerge/>
            <w:tcBorders>
              <w:left w:val="single" w:sz="4" w:space="0" w:color="000000"/>
              <w:bottom w:val="single" w:sz="4" w:space="0" w:color="000000"/>
              <w:right w:val="single" w:sz="4" w:space="0" w:color="000000"/>
            </w:tcBorders>
            <w:shd w:val="clear" w:color="auto" w:fill="D4D4D4"/>
          </w:tcPr>
          <w:p>
            <w:pPr/>
          </w:p>
        </w:tc>
        <w:tc>
          <w:tcPr>
            <w:tcW w:w="928" w:type="dxa"/>
            <w:vMerge/>
            <w:tcBorders>
              <w:left w:val="single" w:sz="4" w:space="0" w:color="000000"/>
              <w:bottom w:val="single" w:sz="4" w:space="0" w:color="000000"/>
              <w:right w:val="single" w:sz="4" w:space="0" w:color="000000"/>
            </w:tcBorders>
            <w:shd w:val="clear" w:color="auto" w:fill="D4D4D4"/>
          </w:tcPr>
          <w:p>
            <w:pPr/>
          </w:p>
        </w:tc>
        <w:tc>
          <w:tcPr>
            <w:tcW w:w="1313" w:type="dxa"/>
            <w:vMerge/>
            <w:tcBorders>
              <w:left w:val="single" w:sz="4" w:space="0" w:color="000000"/>
              <w:bottom w:val="single" w:sz="4" w:space="0" w:color="000000"/>
              <w:right w:val="single" w:sz="4" w:space="0" w:color="000000"/>
            </w:tcBorders>
            <w:shd w:val="clear" w:color="auto" w:fill="D4D4D4"/>
          </w:tcPr>
          <w:p>
            <w:pPr/>
          </w:p>
        </w:tc>
        <w:tc>
          <w:tcPr>
            <w:tcW w:w="1040" w:type="dxa"/>
            <w:tcBorders>
              <w:top w:val="nil" w:sz="6" w:space="0" w:color="auto"/>
              <w:left w:val="single" w:sz="4" w:space="0" w:color="000000"/>
              <w:bottom w:val="single" w:sz="4" w:space="0" w:color="000000"/>
              <w:right w:val="single" w:sz="4" w:space="0" w:color="000000"/>
            </w:tcBorders>
            <w:shd w:val="clear" w:color="auto" w:fill="D4D4D4"/>
          </w:tcPr>
          <w:p>
            <w:pPr/>
          </w:p>
        </w:tc>
        <w:tc>
          <w:tcPr>
            <w:tcW w:w="1042" w:type="dxa"/>
            <w:vMerge/>
            <w:tcBorders>
              <w:left w:val="single" w:sz="4" w:space="0" w:color="000000"/>
              <w:bottom w:val="single" w:sz="4" w:space="0" w:color="000000"/>
              <w:right w:val="single" w:sz="4" w:space="0" w:color="000000"/>
            </w:tcBorders>
            <w:shd w:val="clear" w:color="auto" w:fill="D4D4D4"/>
          </w:tcPr>
          <w:p>
            <w:pPr/>
          </w:p>
        </w:tc>
        <w:tc>
          <w:tcPr>
            <w:tcW w:w="1054" w:type="dxa"/>
            <w:vMerge/>
            <w:tcBorders>
              <w:left w:val="single" w:sz="4" w:space="0" w:color="000000"/>
              <w:bottom w:val="single" w:sz="4" w:space="0" w:color="000000"/>
              <w:right w:val="single" w:sz="4" w:space="0" w:color="000000"/>
            </w:tcBorders>
            <w:shd w:val="clear" w:color="auto" w:fill="D4D4D4"/>
          </w:tcPr>
          <w:p>
            <w:pPr/>
          </w:p>
        </w:tc>
        <w:tc>
          <w:tcPr>
            <w:tcW w:w="790" w:type="dxa"/>
            <w:tcBorders>
              <w:top w:val="nil" w:sz="6" w:space="0" w:color="auto"/>
              <w:left w:val="single" w:sz="4" w:space="0" w:color="000000"/>
              <w:bottom w:val="single" w:sz="4" w:space="0" w:color="000000"/>
              <w:right w:val="single" w:sz="4" w:space="0" w:color="000000"/>
            </w:tcBorders>
            <w:shd w:val="clear" w:color="auto" w:fill="D4D4D4"/>
          </w:tcPr>
          <w:p>
            <w:pPr/>
          </w:p>
        </w:tc>
        <w:tc>
          <w:tcPr>
            <w:tcW w:w="784"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397"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41" w:type="dxa"/>
            <w:gridSpan w:val="2"/>
            <w:tcBorders>
              <w:top w:val="single" w:sz="4" w:space="0" w:color="000000"/>
              <w:left w:val="single" w:sz="13" w:space="0" w:color="D4D4D4"/>
              <w:bottom w:val="single" w:sz="4" w:space="0" w:color="000000"/>
              <w:right w:val="single" w:sz="10" w:space="0" w:color="D4D4D4"/>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w:t>
            </w:r>
          </w:p>
        </w:tc>
        <w:tc>
          <w:tcPr>
            <w:tcW w:w="208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5" w:right="74"/>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8" w:type="dxa"/>
            <w:gridSpan w:val="3"/>
            <w:tcBorders>
              <w:top w:val="single" w:sz="4" w:space="0" w:color="000000"/>
              <w:left w:val="single" w:sz="12" w:space="0" w:color="D4D4D4"/>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30,713.01</w:t>
            </w:r>
          </w:p>
        </w:tc>
      </w:tr>
      <w:tr>
        <w:trPr>
          <w:trHeight w:val="714"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41" w:type="dxa"/>
            <w:gridSpan w:val="2"/>
            <w:tcBorders>
              <w:top w:val="single" w:sz="4" w:space="0" w:color="000000"/>
              <w:left w:val="single" w:sz="13" w:space="0" w:color="D4D4D4"/>
              <w:bottom w:val="single" w:sz="4" w:space="0" w:color="000000"/>
              <w:right w:val="single" w:sz="10" w:space="0" w:color="D4D4D4"/>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w:t>
            </w:r>
          </w:p>
        </w:tc>
        <w:tc>
          <w:tcPr>
            <w:tcW w:w="208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15" w:right="74"/>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8" w:type="dxa"/>
            <w:gridSpan w:val="3"/>
            <w:tcBorders>
              <w:top w:val="single" w:sz="4" w:space="0" w:color="000000"/>
              <w:left w:val="single" w:sz="12" w:space="0" w:color="D4D4D4"/>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14,259.96</w:t>
            </w:r>
          </w:p>
        </w:tc>
      </w:tr>
      <w:tr>
        <w:trPr>
          <w:trHeight w:val="408" w:hRule="exact"/>
        </w:trPr>
        <w:tc>
          <w:tcPr>
            <w:tcW w:w="4864"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0" w:type="dxa"/>
            <w:gridSpan w:val="5"/>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9.21%</w:t>
            </w:r>
          </w:p>
        </w:tc>
      </w:tr>
      <w:tr>
        <w:trPr>
          <w:trHeight w:val="396"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pStyle w:val="BodyText"/>
        <w:spacing w:line="240" w:lineRule="auto" w:before="49"/>
        <w:ind w:right="982"/>
        <w:jc w:val="left"/>
      </w:pPr>
      <w:r>
        <w:rPr/>
        <w:t>采用复合方式担保的具体情况说明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bookmarkStart w:name="（2）违规对外担保情况" w:id="92"/>
      <w:bookmarkEnd w:id="92"/>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公司报告期无违规对外担保情况。</w:t>
      </w:r>
    </w:p>
    <w:p>
      <w:pPr>
        <w:spacing w:line="240" w:lineRule="auto" w:before="5"/>
        <w:rPr>
          <w:rFonts w:ascii="宋体" w:hAnsi="宋体" w:cs="宋体" w:eastAsia="宋体" w:hint="default"/>
          <w:sz w:val="21"/>
          <w:szCs w:val="21"/>
        </w:rPr>
      </w:pPr>
    </w:p>
    <w:p>
      <w:pPr>
        <w:pStyle w:val="Heading3"/>
        <w:spacing w:line="240" w:lineRule="auto"/>
        <w:ind w:right="982"/>
        <w:jc w:val="left"/>
        <w:rPr>
          <w:b w:val="0"/>
          <w:bCs w:val="0"/>
        </w:rPr>
      </w:pPr>
      <w:bookmarkStart w:name="3、委托他人进行现金资产管理情况" w:id="93"/>
      <w:bookmarkEnd w:id="93"/>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bookmarkStart w:name="（1）委托理财情况" w:id="94"/>
      <w:bookmarkEnd w:id="94"/>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before="0"/>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公司报告期不存在委托理财。</w:t>
      </w:r>
    </w:p>
    <w:p>
      <w:pPr>
        <w:spacing w:line="240" w:lineRule="auto" w:before="3"/>
        <w:rPr>
          <w:rFonts w:ascii="宋体" w:hAnsi="宋体" w:cs="宋体" w:eastAsia="宋体" w:hint="default"/>
          <w:sz w:val="21"/>
          <w:szCs w:val="21"/>
        </w:rPr>
      </w:pPr>
    </w:p>
    <w:p>
      <w:pPr>
        <w:pStyle w:val="Heading3"/>
        <w:spacing w:line="240" w:lineRule="auto"/>
        <w:ind w:right="982"/>
        <w:jc w:val="left"/>
        <w:rPr>
          <w:b w:val="0"/>
          <w:bCs w:val="0"/>
        </w:rPr>
      </w:pPr>
      <w:bookmarkStart w:name="（2）委托贷款情况" w:id="95"/>
      <w:bookmarkEnd w:id="95"/>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5"/>
        <w:rPr>
          <w:rFonts w:ascii="宋体" w:hAnsi="宋体" w:cs="宋体" w:eastAsia="宋体" w:hint="default"/>
          <w:sz w:val="21"/>
          <w:szCs w:val="21"/>
        </w:rPr>
      </w:pPr>
    </w:p>
    <w:p>
      <w:pPr>
        <w:pStyle w:val="Heading3"/>
        <w:spacing w:line="240" w:lineRule="auto"/>
        <w:ind w:right="982"/>
        <w:jc w:val="left"/>
        <w:rPr>
          <w:b w:val="0"/>
          <w:bCs w:val="0"/>
        </w:rPr>
      </w:pPr>
      <w:bookmarkStart w:name="4、其他重大合同" w:id="96"/>
      <w:bookmarkEnd w:id="96"/>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338" w:lineRule="auto" w:before="0"/>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after="0" w:line="338" w:lineRule="auto"/>
        <w:jc w:val="left"/>
        <w:sectPr>
          <w:pgSz w:w="11910" w:h="16840"/>
          <w:pgMar w:header="745" w:footer="982" w:top="1060" w:bottom="118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982"/>
        <w:jc w:val="left"/>
        <w:rPr>
          <w:b w:val="0"/>
          <w:bCs w:val="0"/>
        </w:rPr>
      </w:pPr>
      <w:bookmarkStart w:name="十七、社会责任情况" w:id="97"/>
      <w:bookmarkEnd w:id="97"/>
      <w:r>
        <w:rPr>
          <w:b w:val="0"/>
          <w:bCs w:val="0"/>
        </w:rPr>
      </w:r>
      <w:r>
        <w:rPr/>
        <w:t>十七、社会责任情况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2"/>
        <w:jc w:val="left"/>
        <w:rPr>
          <w:b w:val="0"/>
          <w:bCs w:val="0"/>
        </w:rPr>
      </w:pPr>
      <w:bookmarkStart w:name="1、履行社会责任情况" w:id="98"/>
      <w:bookmarkEnd w:id="98"/>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12"/>
        <w:rPr>
          <w:rFonts w:ascii="宋体" w:hAnsi="宋体" w:cs="宋体" w:eastAsia="宋体" w:hint="default"/>
          <w:b/>
          <w:bCs/>
          <w:sz w:val="24"/>
          <w:szCs w:val="24"/>
        </w:rPr>
      </w:pPr>
    </w:p>
    <w:p>
      <w:pPr>
        <w:pStyle w:val="Heading4"/>
        <w:spacing w:line="285" w:lineRule="auto"/>
        <w:ind w:right="1022"/>
        <w:jc w:val="left"/>
      </w:pPr>
      <w:r>
        <w:rPr>
          <w:spacing w:val="-4"/>
        </w:rPr>
        <w:t>报告期内，公司严格按照《公司法》、《证券法》、《上市公司治理准则》等法律法规和规范性文件的要求，</w:t>
      </w:r>
      <w:r>
        <w:rPr>
          <w:w w:val="99"/>
        </w:rPr>
        <w:t> </w:t>
      </w:r>
      <w:r>
        <w:rPr/>
        <w:t>不断完善公司治理机制，建立健全公司内部控制制度，规范股东大会的召集、召开、表决程序，通过提供网络</w:t>
      </w:r>
      <w:r>
        <w:rPr>
          <w:w w:val="99"/>
        </w:rPr>
        <w:t> </w:t>
      </w:r>
      <w:r>
        <w:rPr/>
        <w:t>投票等方式，让更多股东能够参加股东大会，保障股东特别是中小股东的权益。公司认真履行信息披露义务，</w:t>
      </w:r>
      <w:r>
        <w:rPr>
          <w:w w:val="99"/>
        </w:rPr>
        <w:t> </w:t>
      </w:r>
      <w:r>
        <w:rPr/>
        <w:t>遵循公平披露的原则，面向公司的所有投资者，使其均有同等机会获得同质、同量的信息，同时向社会公开公</w:t>
      </w:r>
      <w:r>
        <w:rPr>
          <w:w w:val="99"/>
        </w:rPr>
        <w:t> </w:t>
      </w:r>
      <w:r>
        <w:rPr>
          <w:spacing w:val="-1"/>
          <w:w w:val="95"/>
        </w:rPr>
        <w:t>司网站、咨询专用电话、传真和电子信箱等各种联系渠道，并保持联系渠道的畅通，建立良好的投资关系互动。</w:t>
      </w:r>
      <w:r>
        <w:rPr>
          <w:spacing w:val="89"/>
          <w:w w:val="95"/>
        </w:rPr>
        <w:t> </w:t>
      </w:r>
      <w:r>
        <w:rPr>
          <w:spacing w:val="89"/>
          <w:w w:val="95"/>
        </w:rPr>
      </w:r>
      <w:r>
        <w:rPr/>
        <w:t>公司一直坚持以人为本的人才理念，严格遵守国家及地方有关劳动法律、法规的规定，尊重和维护员工的个人</w:t>
      </w:r>
      <w:r>
        <w:rPr>
          <w:w w:val="99"/>
        </w:rPr>
        <w:t> </w:t>
      </w:r>
      <w:r>
        <w:rPr/>
        <w:t>利益，并制定完善的薪酬管理制度，实施公平的绩效考核机制，为员工提供良好的劳动环境。</w:t>
      </w:r>
    </w:p>
    <w:p>
      <w:pPr>
        <w:spacing w:line="240" w:lineRule="auto" w:before="7"/>
        <w:rPr>
          <w:rFonts w:ascii="宋体" w:hAnsi="宋体" w:cs="宋体" w:eastAsia="宋体" w:hint="default"/>
          <w:sz w:val="23"/>
          <w:szCs w:val="23"/>
        </w:rPr>
      </w:pPr>
    </w:p>
    <w:p>
      <w:pPr>
        <w:pStyle w:val="Heading3"/>
        <w:spacing w:line="240" w:lineRule="auto"/>
        <w:ind w:right="982"/>
        <w:jc w:val="left"/>
        <w:rPr>
          <w:b w:val="0"/>
          <w:bCs w:val="0"/>
        </w:rPr>
      </w:pPr>
      <w:bookmarkStart w:name="2、履行精准扶贫社会责任情况" w:id="99"/>
      <w:bookmarkEnd w:id="99"/>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bookmarkStart w:name="（1）精准扶贫规划" w:id="100"/>
      <w:bookmarkEnd w:id="100"/>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440" w:right="982"/>
        <w:jc w:val="left"/>
      </w:pPr>
      <w:r>
        <w:rPr/>
        <w:t>公司报告年度暂未开展精准扶贫工作，也暂无后续精准扶贫计划。</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3"/>
        <w:spacing w:line="240" w:lineRule="auto"/>
        <w:ind w:right="982"/>
        <w:jc w:val="left"/>
        <w:rPr>
          <w:b w:val="0"/>
          <w:bCs w:val="0"/>
        </w:rPr>
      </w:pPr>
      <w:bookmarkStart w:name="3、环境保护相关的情况" w:id="101"/>
      <w:bookmarkEnd w:id="101"/>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before="0"/>
        <w:ind w:right="5714"/>
        <w:jc w:val="left"/>
      </w:pPr>
      <w:r>
        <w:rPr/>
        <w:t>上市公司及其子公司是否属于环境保护部门公布的重点排污单位 否</w:t>
      </w:r>
    </w:p>
    <w:p>
      <w:pPr>
        <w:pStyle w:val="BodyText"/>
        <w:spacing w:line="240" w:lineRule="auto" w:before="29"/>
        <w:ind w:right="982"/>
        <w:jc w:val="left"/>
      </w:pPr>
      <w:r>
        <w:rPr/>
        <w:t>不适用</w:t>
      </w:r>
    </w:p>
    <w:p>
      <w:pPr>
        <w:spacing w:line="240" w:lineRule="auto" w:before="3"/>
        <w:rPr>
          <w:rFonts w:ascii="宋体" w:hAnsi="宋体" w:cs="宋体" w:eastAsia="宋体" w:hint="default"/>
          <w:sz w:val="25"/>
          <w:szCs w:val="25"/>
        </w:rPr>
      </w:pPr>
    </w:p>
    <w:p>
      <w:pPr>
        <w:pStyle w:val="Heading2"/>
        <w:spacing w:line="240" w:lineRule="auto"/>
        <w:ind w:right="982"/>
        <w:jc w:val="left"/>
        <w:rPr>
          <w:b w:val="0"/>
          <w:bCs w:val="0"/>
        </w:rPr>
      </w:pPr>
      <w:bookmarkStart w:name="十八、其他重大事项的说明" w:id="102"/>
      <w:bookmarkEnd w:id="102"/>
      <w:r>
        <w:rPr>
          <w:b w:val="0"/>
          <w:bCs w:val="0"/>
        </w:rPr>
      </w:r>
      <w:r>
        <w:rPr/>
        <w:t>十八、其他重大事项的说明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319" w:lineRule="auto" w:before="0"/>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rFonts w:ascii="Times New Roman" w:hAnsi="Times New Roman" w:cs="Times New Roman" w:eastAsia="Times New Roman" w:hint="default"/>
          <w:spacing w:val="-2"/>
        </w:rPr>
        <w:t>1</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30</w:t>
      </w:r>
      <w:r>
        <w:rPr>
          <w:spacing w:val="-2"/>
        </w:rPr>
        <w:t>日召开第三届董事会第九次会议，审议通过了《关于公司拟签订合作协议并对外投资设立控股子公司</w:t>
      </w:r>
      <w:r>
        <w:rPr>
          <w:spacing w:val="-59"/>
        </w:rPr>
        <w:t> </w:t>
      </w:r>
      <w:r>
        <w:rPr>
          <w:spacing w:val="-59"/>
        </w:rPr>
      </w:r>
      <w:r>
        <w:rPr/>
        <w:t>的议案》，公司以自有资金出资</w:t>
      </w:r>
      <w:r>
        <w:rPr>
          <w:spacing w:val="-37"/>
        </w:rPr>
        <w:t> </w:t>
      </w:r>
      <w:r>
        <w:rPr>
          <w:rFonts w:ascii="Times New Roman" w:hAnsi="Times New Roman" w:cs="Times New Roman" w:eastAsia="Times New Roman" w:hint="default"/>
        </w:rPr>
        <w:t>7,000</w:t>
      </w:r>
      <w:r>
        <w:rPr>
          <w:rFonts w:ascii="Times New Roman" w:hAnsi="Times New Roman" w:cs="Times New Roman" w:eastAsia="Times New Roman" w:hint="default"/>
          <w:spacing w:val="9"/>
        </w:rPr>
        <w:t> </w:t>
      </w:r>
      <w:r>
        <w:rPr/>
        <w:t>万元，与抚州市投资发展</w:t>
      </w:r>
      <w:r>
        <w:rPr>
          <w:rFonts w:ascii="Times New Roman" w:hAnsi="Times New Roman" w:cs="Times New Roman" w:eastAsia="Times New Roman" w:hint="default"/>
        </w:rPr>
        <w:t>(</w:t>
      </w:r>
      <w:r>
        <w:rPr/>
        <w:t>集团</w:t>
      </w:r>
      <w:r>
        <w:rPr>
          <w:rFonts w:ascii="Times New Roman" w:hAnsi="Times New Roman" w:cs="Times New Roman" w:eastAsia="Times New Roman" w:hint="default"/>
        </w:rPr>
        <w:t>)</w:t>
      </w:r>
      <w:r>
        <w:rPr/>
        <w:t>有限公司共同出资设立抚州五洋智慧交通产业发展有</w:t>
      </w:r>
    </w:p>
    <w:p>
      <w:pPr>
        <w:pStyle w:val="BodyText"/>
        <w:spacing w:line="300" w:lineRule="auto" w:before="0"/>
        <w:ind w:right="982"/>
        <w:jc w:val="left"/>
      </w:pPr>
      <w:r>
        <w:rPr>
          <w:spacing w:val="-5"/>
        </w:rPr>
        <w:t>限公司，项目公司注册资本为 </w:t>
      </w:r>
      <w:r>
        <w:rPr>
          <w:rFonts w:ascii="Times New Roman" w:hAnsi="Times New Roman" w:cs="Times New Roman" w:eastAsia="Times New Roman" w:hint="default"/>
        </w:rPr>
        <w:t>10,000 </w:t>
      </w:r>
      <w:r>
        <w:rPr>
          <w:spacing w:val="-3"/>
        </w:rPr>
        <w:t>万元，并于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27</w:t>
      </w:r>
      <w:r>
        <w:rPr>
          <w:spacing w:val="-3"/>
        </w:rPr>
        <w:t>日取得了由抚州市市场和质量监</w:t>
      </w:r>
      <w:r>
        <w:rPr>
          <w:spacing w:val="-36"/>
        </w:rPr>
        <w:t> </w:t>
      </w:r>
      <w:r>
        <w:rPr>
          <w:spacing w:val="-9"/>
        </w:rPr>
        <w:t>督管理局颁发的《营业执照》。</w:t>
      </w:r>
      <w:r>
        <w:rPr/>
        <w:t> 具体内容详见于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日在中国证监会创业板指定信息披露网站巨潮资讯网披露的相关公告（公告编 号：</w:t>
      </w:r>
      <w:r>
        <w:rPr>
          <w:rFonts w:ascii="Times New Roman" w:hAnsi="Times New Roman" w:cs="Times New Roman" w:eastAsia="Times New Roman" w:hint="default"/>
        </w:rPr>
        <w:t>2018—057</w:t>
      </w:r>
      <w:r>
        <w:rPr/>
        <w:t>、</w:t>
      </w:r>
      <w:r>
        <w:rPr>
          <w:rFonts w:ascii="Times New Roman" w:hAnsi="Times New Roman" w:cs="Times New Roman" w:eastAsia="Times New Roman" w:hint="default"/>
        </w:rPr>
        <w:t>2018—066</w:t>
      </w:r>
      <w:r>
        <w:rPr/>
        <w:t>）。</w:t>
      </w:r>
    </w:p>
    <w:p>
      <w:pPr>
        <w:pStyle w:val="BodyText"/>
        <w:spacing w:line="302" w:lineRule="auto" w:before="53"/>
        <w:ind w:right="1031" w:firstLine="72"/>
        <w:jc w:val="left"/>
      </w:pPr>
      <w:r>
        <w:rPr>
          <w:rFonts w:ascii="Times New Roman" w:hAnsi="Times New Roman" w:cs="Times New Roman" w:eastAsia="Times New Roman" w:hint="default"/>
        </w:rPr>
        <w:t>2</w:t>
      </w:r>
      <w:r>
        <w:rPr/>
        <w:t>、公司分别于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日召开第三届董事会第八次会议、于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12</w:t>
      </w:r>
      <w:r>
        <w:rPr/>
        <w:t>日召开第三届董事会第十一次会议，审议通 </w:t>
      </w:r>
      <w:r>
        <w:rPr>
          <w:spacing w:val="-2"/>
        </w:rPr>
        <w:t>过了《关于公司及控股子公司参与设立产业基金的议案》、《关于调整公司参与设立产业基金投资额度的议案》。公司以自</w:t>
      </w:r>
      <w:r>
        <w:rPr>
          <w:spacing w:val="-67"/>
        </w:rPr>
        <w:t> </w:t>
      </w:r>
      <w:r>
        <w:rPr>
          <w:spacing w:val="-67"/>
        </w:rPr>
      </w:r>
      <w:r>
        <w:rPr/>
        <w:t>有资金出资 </w:t>
      </w:r>
      <w:r>
        <w:rPr>
          <w:rFonts w:ascii="Times New Roman" w:hAnsi="Times New Roman" w:cs="Times New Roman" w:eastAsia="Times New Roman" w:hint="default"/>
        </w:rPr>
        <w:t>35,000</w:t>
      </w:r>
      <w:r>
        <w:rPr>
          <w:rFonts w:ascii="Times New Roman" w:hAnsi="Times New Roman" w:cs="Times New Roman" w:eastAsia="Times New Roman" w:hint="default"/>
          <w:spacing w:val="15"/>
        </w:rPr>
        <w:t> </w:t>
      </w:r>
      <w:r>
        <w:rPr>
          <w:spacing w:val="-6"/>
        </w:rPr>
        <w:t>万元，与控股子公司深圳市前海弘毅华浩投资有限公司、江苏徐州老工业基地产业发展基金（有限合伙）、</w:t>
      </w:r>
      <w:r>
        <w:rPr/>
        <w:t> 江苏盛世国金投资管理有限公司共同出资设立徐州疌盛五洋智能装备产业基金合伙企业（有限合伙），并于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rFonts w:ascii="Times New Roman" w:hAnsi="Times New Roman" w:cs="Times New Roman" w:eastAsia="Times New Roman" w:hint="default"/>
          <w:spacing w:val="29"/>
        </w:rPr>
        <w:t> </w:t>
      </w:r>
      <w:r>
        <w:rPr/>
        <w:t>日取得徐州高新技术产业开发区行政审批局颁发的《营业执照》。具体内容详见于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14</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13</w:t>
      </w:r>
      <w:r>
        <w:rPr/>
        <w:t>日、</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spacing w:val="7"/>
        </w:rPr>
        <w:t>年</w:t>
      </w:r>
      <w:r>
        <w:rPr>
          <w:rFonts w:ascii="Times New Roman" w:hAnsi="Times New Roman" w:cs="Times New Roman" w:eastAsia="Times New Roman" w:hint="default"/>
          <w:spacing w:val="7"/>
        </w:rPr>
        <w:t>10</w:t>
      </w:r>
      <w:r>
        <w:rPr>
          <w:spacing w:val="7"/>
        </w:rPr>
        <w:t>月</w:t>
      </w:r>
      <w:r>
        <w:rPr>
          <w:rFonts w:ascii="Times New Roman" w:hAnsi="Times New Roman" w:cs="Times New Roman" w:eastAsia="Times New Roman" w:hint="default"/>
          <w:spacing w:val="7"/>
        </w:rPr>
        <w:t>26</w:t>
      </w:r>
      <w:r>
        <w:rPr>
          <w:spacing w:val="7"/>
        </w:rPr>
        <w:t>日在中国证监会创业板指定信息披露网站巨潮资讯网披露的相关公告（公告编号：</w:t>
      </w:r>
      <w:r>
        <w:rPr>
          <w:rFonts w:ascii="Times New Roman" w:hAnsi="Times New Roman" w:cs="Times New Roman" w:eastAsia="Times New Roman" w:hint="default"/>
          <w:spacing w:val="7"/>
        </w:rPr>
        <w:t>2018—050</w:t>
      </w:r>
      <w:r>
        <w:rPr>
          <w:spacing w:val="7"/>
        </w:rPr>
        <w:t>、</w:t>
      </w:r>
      <w:r>
        <w:rPr>
          <w:rFonts w:ascii="Times New Roman" w:hAnsi="Times New Roman" w:cs="Times New Roman" w:eastAsia="Times New Roman" w:hint="default"/>
          <w:spacing w:val="7"/>
        </w:rPr>
        <w:t>2018—079</w:t>
      </w:r>
      <w:r>
        <w:rPr>
          <w:spacing w:val="7"/>
        </w:rPr>
        <w:t>、</w:t>
      </w:r>
      <w:r>
        <w:rPr>
          <w:spacing w:val="-76"/>
        </w:rPr>
        <w:t> </w:t>
      </w:r>
      <w:r>
        <w:rPr>
          <w:rFonts w:ascii="Times New Roman" w:hAnsi="Times New Roman" w:cs="Times New Roman" w:eastAsia="Times New Roman" w:hint="default"/>
        </w:rPr>
        <w:t>2018—083</w:t>
      </w:r>
      <w:r>
        <w:rPr/>
        <w:t>）。</w:t>
      </w:r>
    </w:p>
    <w:p>
      <w:pPr>
        <w:spacing w:after="0" w:line="302" w:lineRule="auto"/>
        <w:jc w:val="left"/>
        <w:sectPr>
          <w:pgSz w:w="11910" w:h="16840"/>
          <w:pgMar w:header="745" w:footer="982" w:top="1060" w:bottom="118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982"/>
        <w:jc w:val="left"/>
        <w:rPr>
          <w:b w:val="0"/>
          <w:bCs w:val="0"/>
        </w:rPr>
      </w:pPr>
      <w:bookmarkStart w:name="十九、公司子公司重大事项" w:id="103"/>
      <w:bookmarkEnd w:id="103"/>
      <w:r>
        <w:rPr>
          <w:b w:val="0"/>
          <w:bCs w:val="0"/>
        </w:rPr>
      </w:r>
      <w:r>
        <w:rPr/>
        <w:t>十九、公司子公司重大事项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963" w:right="982"/>
        <w:jc w:val="left"/>
        <w:rPr>
          <w:b w:val="0"/>
          <w:bCs w:val="0"/>
        </w:rPr>
      </w:pPr>
      <w:bookmarkStart w:name="_TOC_250006" w:id="104"/>
      <w:bookmarkStart w:name="第六节 股份变动及股东情况" w:id="105"/>
      <w:r>
        <w:rPr>
          <w:b w:val="0"/>
          <w:bCs w:val="0"/>
        </w:rPr>
      </w:r>
      <w:r>
        <w:rPr/>
        <w:t>第六节</w:t>
      </w:r>
      <w:r>
        <w:rPr>
          <w:spacing w:val="-4"/>
        </w:rPr>
        <w:t> </w:t>
      </w:r>
      <w:r>
        <w:rPr/>
        <w:t>股份变动及股东情况</w:t>
      </w:r>
      <w:bookmarkEnd w:id="104"/>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82"/>
        <w:jc w:val="left"/>
        <w:rPr>
          <w:b w:val="0"/>
          <w:bCs w:val="0"/>
        </w:rPr>
      </w:pPr>
      <w:bookmarkStart w:name="一、股份变动情况" w:id="106"/>
      <w:bookmarkEnd w:id="106"/>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82"/>
        <w:jc w:val="left"/>
        <w:rPr>
          <w:b w:val="0"/>
          <w:bCs w:val="0"/>
        </w:rPr>
      </w:pPr>
      <w:bookmarkStart w:name="1、股份变动情况" w:id="107"/>
      <w:bookmarkEnd w:id="107"/>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5"/>
        <w:gridCol w:w="823"/>
        <w:gridCol w:w="823"/>
        <w:gridCol w:w="823"/>
        <w:gridCol w:w="821"/>
        <w:gridCol w:w="823"/>
        <w:gridCol w:w="821"/>
        <w:gridCol w:w="823"/>
        <w:gridCol w:w="794"/>
        <w:gridCol w:w="792"/>
      </w:tblGrid>
      <w:tr>
        <w:trPr>
          <w:trHeight w:val="403"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1"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5" w:type="dxa"/>
            <w:vMerge w:val="restart"/>
            <w:tcBorders>
              <w:top w:val="nil" w:sz="6" w:space="0" w:color="auto"/>
              <w:left w:val="single" w:sz="4" w:space="0" w:color="000000"/>
              <w:right w:val="single" w:sz="4" w:space="0" w:color="000000"/>
            </w:tcBorders>
            <w:shd w:val="clear" w:color="auto" w:fill="D4D4D4"/>
          </w:tcPr>
          <w:p>
            <w:pPr/>
          </w:p>
        </w:tc>
        <w:tc>
          <w:tcPr>
            <w:tcW w:w="823"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tcBorders>
              <w:top w:val="single" w:sz="4" w:space="0" w:color="000000"/>
              <w:left w:val="single" w:sz="4" w:space="0" w:color="000000"/>
              <w:bottom w:val="nil" w:sz="6" w:space="0" w:color="auto"/>
              <w:right w:val="single" w:sz="4" w:space="0" w:color="000000"/>
            </w:tcBorders>
            <w:shd w:val="clear" w:color="auto" w:fill="D4D4D4"/>
          </w:tcPr>
          <w:p>
            <w:pPr/>
          </w:p>
        </w:tc>
        <w:tc>
          <w:tcPr>
            <w:tcW w:w="821"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tcBorders>
              <w:top w:val="single" w:sz="4" w:space="0" w:color="000000"/>
              <w:left w:val="single" w:sz="4" w:space="0" w:color="000000"/>
              <w:bottom w:val="nil" w:sz="6" w:space="0" w:color="auto"/>
              <w:right w:val="single" w:sz="4" w:space="0" w:color="000000"/>
            </w:tcBorders>
            <w:shd w:val="clear" w:color="auto" w:fill="D4D4D4"/>
          </w:tcPr>
          <w:p>
            <w:pPr/>
          </w:p>
        </w:tc>
        <w:tc>
          <w:tcPr>
            <w:tcW w:w="794" w:type="dxa"/>
            <w:tcBorders>
              <w:top w:val="single" w:sz="4" w:space="0" w:color="000000"/>
              <w:left w:val="single" w:sz="4" w:space="0" w:color="000000"/>
              <w:bottom w:val="nil" w:sz="6" w:space="0" w:color="auto"/>
              <w:right w:val="single" w:sz="4" w:space="0" w:color="000000"/>
            </w:tcBorders>
            <w:shd w:val="clear" w:color="auto" w:fill="D4D4D4"/>
          </w:tcPr>
          <w:p>
            <w:pPr/>
          </w:p>
        </w:tc>
        <w:tc>
          <w:tcPr>
            <w:tcW w:w="792"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2" w:hRule="exact"/>
        </w:trPr>
        <w:tc>
          <w:tcPr>
            <w:tcW w:w="2215" w:type="dxa"/>
            <w:vMerge/>
            <w:tcBorders>
              <w:left w:val="single" w:sz="4" w:space="0" w:color="000000"/>
              <w:bottom w:val="nil" w:sz="6" w:space="0" w:color="auto"/>
              <w:right w:val="single" w:sz="4" w:space="0" w:color="000000"/>
            </w:tcBorders>
            <w:shd w:val="clear" w:color="auto" w:fill="D4D4D4"/>
          </w:tcPr>
          <w:p>
            <w:pPr/>
          </w:p>
        </w:tc>
        <w:tc>
          <w:tcPr>
            <w:tcW w:w="82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48"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tcBorders>
              <w:left w:val="single" w:sz="4" w:space="0" w:color="000000"/>
              <w:right w:val="single" w:sz="4" w:space="0" w:color="000000"/>
            </w:tcBorders>
            <w:shd w:val="clear" w:color="auto" w:fill="D4D4D4"/>
          </w:tcPr>
          <w:p>
            <w:pPr/>
          </w:p>
        </w:tc>
        <w:tc>
          <w:tcPr>
            <w:tcW w:w="82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9" w:hRule="exact"/>
        </w:trPr>
        <w:tc>
          <w:tcPr>
            <w:tcW w:w="2215" w:type="dxa"/>
            <w:vMerge w:val="restart"/>
            <w:tcBorders>
              <w:top w:val="nil" w:sz="6" w:space="0" w:color="auto"/>
              <w:left w:val="single" w:sz="4" w:space="0" w:color="000000"/>
              <w:right w:val="single" w:sz="4" w:space="0" w:color="000000"/>
            </w:tcBorders>
            <w:shd w:val="clear" w:color="auto" w:fill="D4D4D4"/>
          </w:tcPr>
          <w:p>
            <w:pPr/>
          </w:p>
        </w:tc>
        <w:tc>
          <w:tcPr>
            <w:tcW w:w="823" w:type="dxa"/>
            <w:vMerge/>
            <w:tcBorders>
              <w:left w:val="single" w:sz="4" w:space="0" w:color="000000"/>
              <w:bottom w:val="nil" w:sz="6" w:space="0" w:color="auto"/>
              <w:right w:val="single" w:sz="4" w:space="0" w:color="000000"/>
            </w:tcBorders>
            <w:shd w:val="clear" w:color="auto" w:fill="D4D4D4"/>
          </w:tcPr>
          <w:p>
            <w:pPr/>
          </w:p>
        </w:tc>
        <w:tc>
          <w:tcPr>
            <w:tcW w:w="823" w:type="dxa"/>
            <w:vMerge/>
            <w:tcBorders>
              <w:left w:val="single" w:sz="4" w:space="0" w:color="000000"/>
              <w:bottom w:val="nil" w:sz="6" w:space="0" w:color="auto"/>
              <w:right w:val="single" w:sz="4" w:space="0" w:color="000000"/>
            </w:tcBorders>
            <w:shd w:val="clear" w:color="auto" w:fill="D4D4D4"/>
          </w:tcPr>
          <w:p>
            <w:pPr/>
          </w:p>
        </w:tc>
        <w:tc>
          <w:tcPr>
            <w:tcW w:w="823" w:type="dxa"/>
            <w:vMerge/>
            <w:tcBorders>
              <w:left w:val="single" w:sz="4" w:space="0" w:color="000000"/>
              <w:bottom w:val="nil" w:sz="6" w:space="0" w:color="auto"/>
              <w:right w:val="single" w:sz="4" w:space="0" w:color="000000"/>
            </w:tcBorders>
            <w:shd w:val="clear" w:color="auto" w:fill="D4D4D4"/>
          </w:tcPr>
          <w:p>
            <w:pPr/>
          </w:p>
        </w:tc>
        <w:tc>
          <w:tcPr>
            <w:tcW w:w="821" w:type="dxa"/>
            <w:vMerge/>
            <w:tcBorders>
              <w:left w:val="single" w:sz="4" w:space="0" w:color="000000"/>
              <w:bottom w:val="nil" w:sz="6" w:space="0" w:color="auto"/>
              <w:right w:val="single" w:sz="4" w:space="0" w:color="000000"/>
            </w:tcBorders>
            <w:shd w:val="clear" w:color="auto" w:fill="D4D4D4"/>
          </w:tcPr>
          <w:p>
            <w:pPr/>
          </w:p>
        </w:tc>
        <w:tc>
          <w:tcPr>
            <w:tcW w:w="823" w:type="dxa"/>
            <w:vMerge/>
            <w:tcBorders>
              <w:left w:val="single" w:sz="4" w:space="0" w:color="000000"/>
              <w:right w:val="single" w:sz="4" w:space="0" w:color="000000"/>
            </w:tcBorders>
            <w:shd w:val="clear" w:color="auto" w:fill="D4D4D4"/>
          </w:tcPr>
          <w:p>
            <w:pPr/>
          </w:p>
        </w:tc>
        <w:tc>
          <w:tcPr>
            <w:tcW w:w="821" w:type="dxa"/>
            <w:vMerge/>
            <w:tcBorders>
              <w:left w:val="single" w:sz="4" w:space="0" w:color="000000"/>
              <w:bottom w:val="nil" w:sz="6" w:space="0" w:color="auto"/>
              <w:right w:val="single" w:sz="4" w:space="0" w:color="000000"/>
            </w:tcBorders>
            <w:shd w:val="clear" w:color="auto" w:fill="D4D4D4"/>
          </w:tcPr>
          <w:p>
            <w:pPr/>
          </w:p>
        </w:tc>
        <w:tc>
          <w:tcPr>
            <w:tcW w:w="823" w:type="dxa"/>
            <w:vMerge/>
            <w:tcBorders>
              <w:left w:val="single" w:sz="4" w:space="0" w:color="000000"/>
              <w:bottom w:val="nil" w:sz="6" w:space="0" w:color="auto"/>
              <w:right w:val="single" w:sz="4" w:space="0" w:color="000000"/>
            </w:tcBorders>
            <w:shd w:val="clear" w:color="auto" w:fill="D4D4D4"/>
          </w:tcPr>
          <w:p>
            <w:pPr/>
          </w:p>
        </w:tc>
        <w:tc>
          <w:tcPr>
            <w:tcW w:w="794" w:type="dxa"/>
            <w:vMerge/>
            <w:tcBorders>
              <w:left w:val="single" w:sz="4" w:space="0" w:color="000000"/>
              <w:bottom w:val="nil" w:sz="6" w:space="0" w:color="auto"/>
              <w:right w:val="single" w:sz="4" w:space="0" w:color="000000"/>
            </w:tcBorders>
            <w:shd w:val="clear" w:color="auto" w:fill="D4D4D4"/>
          </w:tcPr>
          <w:p>
            <w:pPr/>
          </w:p>
        </w:tc>
        <w:tc>
          <w:tcPr>
            <w:tcW w:w="792" w:type="dxa"/>
            <w:vMerge/>
            <w:tcBorders>
              <w:left w:val="single" w:sz="4" w:space="0" w:color="000000"/>
              <w:bottom w:val="nil" w:sz="6" w:space="0" w:color="auto"/>
              <w:right w:val="single" w:sz="4" w:space="0" w:color="000000"/>
            </w:tcBorders>
            <w:shd w:val="clear" w:color="auto" w:fill="D4D4D4"/>
          </w:tcPr>
          <w:p>
            <w:pPr/>
          </w:p>
        </w:tc>
      </w:tr>
      <w:tr>
        <w:trPr>
          <w:trHeight w:val="161" w:hRule="exact"/>
        </w:trPr>
        <w:tc>
          <w:tcPr>
            <w:tcW w:w="2215" w:type="dxa"/>
            <w:vMerge/>
            <w:tcBorders>
              <w:left w:val="single" w:sz="4" w:space="0" w:color="000000"/>
              <w:bottom w:val="single" w:sz="4" w:space="0" w:color="000000"/>
              <w:right w:val="single" w:sz="4" w:space="0" w:color="000000"/>
            </w:tcBorders>
            <w:shd w:val="clear" w:color="auto" w:fill="D4D4D4"/>
          </w:tcPr>
          <w:p>
            <w:pPr/>
          </w:p>
        </w:tc>
        <w:tc>
          <w:tcPr>
            <w:tcW w:w="823"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tcBorders>
              <w:top w:val="nil" w:sz="6" w:space="0" w:color="auto"/>
              <w:left w:val="single" w:sz="4" w:space="0" w:color="000000"/>
              <w:bottom w:val="single" w:sz="4" w:space="0" w:color="000000"/>
              <w:right w:val="single" w:sz="4" w:space="0" w:color="000000"/>
            </w:tcBorders>
            <w:shd w:val="clear" w:color="auto" w:fill="D4D4D4"/>
          </w:tcPr>
          <w:p>
            <w:pPr/>
          </w:p>
        </w:tc>
        <w:tc>
          <w:tcPr>
            <w:tcW w:w="821"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4" w:space="0" w:color="000000"/>
              <w:bottom w:val="single" w:sz="4" w:space="0" w:color="000000"/>
              <w:right w:val="single" w:sz="4" w:space="0" w:color="000000"/>
            </w:tcBorders>
            <w:shd w:val="clear" w:color="auto" w:fill="D4D4D4"/>
          </w:tcPr>
          <w:p>
            <w:pPr/>
          </w:p>
        </w:tc>
        <w:tc>
          <w:tcPr>
            <w:tcW w:w="821"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tcBorders>
              <w:top w:val="nil" w:sz="6" w:space="0" w:color="auto"/>
              <w:left w:val="single" w:sz="4" w:space="0" w:color="000000"/>
              <w:bottom w:val="single" w:sz="4" w:space="0" w:color="000000"/>
              <w:right w:val="single" w:sz="4" w:space="0" w:color="000000"/>
            </w:tcBorders>
            <w:shd w:val="clear" w:color="auto" w:fill="D4D4D4"/>
          </w:tcPr>
          <w:p>
            <w:pPr/>
          </w:p>
        </w:tc>
        <w:tc>
          <w:tcPr>
            <w:tcW w:w="794" w:type="dxa"/>
            <w:tcBorders>
              <w:top w:val="nil" w:sz="6" w:space="0" w:color="auto"/>
              <w:left w:val="single" w:sz="4" w:space="0" w:color="000000"/>
              <w:bottom w:val="single" w:sz="4" w:space="0" w:color="000000"/>
              <w:right w:val="single" w:sz="4" w:space="0" w:color="000000"/>
            </w:tcBorders>
            <w:shd w:val="clear" w:color="auto" w:fill="D4D4D4"/>
          </w:tcPr>
          <w:p>
            <w:pPr/>
          </w:p>
        </w:tc>
        <w:tc>
          <w:tcPr>
            <w:tcW w:w="792"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161"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328,085,2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64.18%</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104,409,9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43</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-142,102,</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639</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-37,692,6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290,392,5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61</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40.58%</w:t>
            </w:r>
          </w:p>
        </w:tc>
      </w:tr>
      <w:tr>
        <w:trPr>
          <w:trHeight w:val="394" w:hRule="exact"/>
        </w:trPr>
        <w:tc>
          <w:tcPr>
            <w:tcW w:w="22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3,964,820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0.77%</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1,585,928</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-5,550,74</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-3,964,82</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0.00%</w:t>
            </w:r>
          </w:p>
        </w:tc>
      </w:tr>
      <w:tr>
        <w:trPr>
          <w:trHeight w:val="394" w:hRule="exact"/>
        </w:trPr>
        <w:tc>
          <w:tcPr>
            <w:tcW w:w="22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324,120,4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63.41%</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102,824,0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15</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-136,551,</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891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-33,727,8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290,392,5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61</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2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13,332,87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2.61%</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5,333,151</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-4,820,40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512,744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13,845,62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1.93%</w:t>
            </w:r>
          </w:p>
        </w:tc>
      </w:tr>
      <w:tr>
        <w:trPr>
          <w:trHeight w:val="394" w:hRule="exact"/>
        </w:trPr>
        <w:tc>
          <w:tcPr>
            <w:tcW w:w="22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310,787,5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60.80%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97,490,86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-131,731,</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484</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-34,240,6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276,546,9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38.64%</w:t>
            </w:r>
          </w:p>
        </w:tc>
      </w:tr>
      <w:tr>
        <w:trPr>
          <w:trHeight w:val="391" w:hRule="exact"/>
        </w:trPr>
        <w:tc>
          <w:tcPr>
            <w:tcW w:w="22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境内自然人持股</w:t>
            </w:r>
          </w:p>
        </w:tc>
        <w:tc>
          <w:tcPr>
            <w:tcW w:w="823"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境外自然人持股</w:t>
            </w:r>
          </w:p>
        </w:tc>
        <w:tc>
          <w:tcPr>
            <w:tcW w:w="82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183,079,3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35.82%</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100,055,9</w:t>
            </w:r>
          </w:p>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142,102,6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39</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242,158,5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425,237,9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59.42%</w:t>
            </w:r>
          </w:p>
        </w:tc>
      </w:tr>
      <w:tr>
        <w:trPr>
          <w:trHeight w:val="391" w:hRule="exact"/>
        </w:trPr>
        <w:tc>
          <w:tcPr>
            <w:tcW w:w="22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183,079,3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35.82%</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100,055,9</w:t>
            </w:r>
          </w:p>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142,102,6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39</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242,158,5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425,237,9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59.42%</w:t>
            </w:r>
          </w:p>
        </w:tc>
      </w:tr>
      <w:tr>
        <w:trPr>
          <w:trHeight w:val="394" w:hRule="exact"/>
        </w:trPr>
        <w:tc>
          <w:tcPr>
            <w:tcW w:w="22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511,164,6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204,465,8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54</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204,465,8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715,630,4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89</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4" w:hRule="exact"/>
        </w:trPr>
        <w:tc>
          <w:tcPr>
            <w:tcW w:w="22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982"/>
        <w:jc w:val="left"/>
      </w:pPr>
      <w:r>
        <w:rPr/>
        <w:t>股份变动的原因</w:t>
      </w:r>
    </w:p>
    <w:p>
      <w:pPr>
        <w:pStyle w:val="BodyText"/>
        <w:spacing w:line="240" w:lineRule="auto" w:before="115"/>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982"/>
        <w:jc w:val="left"/>
      </w:pPr>
      <w:r>
        <w:rPr>
          <w:rFonts w:ascii="Times New Roman" w:hAnsi="Times New Roman" w:cs="Times New Roman" w:eastAsia="Times New Roman" w:hint="default"/>
        </w:rPr>
        <w:t>1</w:t>
      </w:r>
      <w:r>
        <w:rPr/>
        <w:t>、报告期内，公司首次公开发行前已发行的部分限售股份于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22</w:t>
      </w:r>
      <w:r>
        <w:rPr/>
        <w:t>日上市流通。</w:t>
      </w:r>
    </w:p>
    <w:p>
      <w:pPr>
        <w:spacing w:after="0" w:line="240" w:lineRule="auto"/>
        <w:jc w:val="left"/>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ind w:right="982"/>
        <w:jc w:val="left"/>
      </w:pPr>
      <w:r>
        <w:rPr>
          <w:rFonts w:ascii="Times New Roman" w:hAnsi="Times New Roman" w:cs="Times New Roman" w:eastAsia="Times New Roman" w:hint="default"/>
        </w:rPr>
        <w:t>2</w:t>
      </w:r>
      <w:r>
        <w:rPr/>
        <w:t>、报告期内，公司实施了</w:t>
      </w:r>
      <w:r>
        <w:rPr>
          <w:rFonts w:ascii="Times New Roman" w:hAnsi="Times New Roman" w:cs="Times New Roman" w:eastAsia="Times New Roman" w:hint="default"/>
        </w:rPr>
        <w:t>2017</w:t>
      </w:r>
      <w:r>
        <w:rPr/>
        <w:t>年年度权益分派，以公司总股本</w:t>
      </w:r>
      <w:r>
        <w:rPr>
          <w:rFonts w:ascii="Times New Roman" w:hAnsi="Times New Roman" w:cs="Times New Roman" w:eastAsia="Times New Roman" w:hint="default"/>
        </w:rPr>
        <w:t>511,164,635</w:t>
      </w:r>
      <w:r>
        <w:rPr/>
        <w:t>股为基数，资本公积金转增股本每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4</w:t>
      </w:r>
      <w:r>
        <w:rPr/>
        <w:t>股。</w:t>
      </w:r>
    </w:p>
    <w:p>
      <w:pPr>
        <w:pStyle w:val="BodyText"/>
        <w:spacing w:line="240" w:lineRule="auto" w:before="62"/>
        <w:ind w:right="982"/>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日方案实施后公司总股本由</w:t>
      </w:r>
      <w:r>
        <w:rPr>
          <w:rFonts w:ascii="Times New Roman" w:hAnsi="Times New Roman" w:cs="Times New Roman" w:eastAsia="Times New Roman" w:hint="default"/>
        </w:rPr>
        <w:t>511,164,635</w:t>
      </w:r>
      <w:r>
        <w:rPr/>
        <w:t>股增加至</w:t>
      </w:r>
      <w:r>
        <w:rPr>
          <w:rFonts w:ascii="Times New Roman" w:hAnsi="Times New Roman" w:cs="Times New Roman" w:eastAsia="Times New Roman" w:hint="default"/>
        </w:rPr>
        <w:t>715,630,489</w:t>
      </w:r>
      <w:r>
        <w:rPr/>
        <w:t>股。</w:t>
      </w:r>
    </w:p>
    <w:p>
      <w:pPr>
        <w:pStyle w:val="BodyText"/>
        <w:spacing w:line="240" w:lineRule="auto" w:before="103"/>
        <w:ind w:right="982"/>
        <w:jc w:val="left"/>
        <w:rPr>
          <w:rFonts w:ascii="Times New Roman" w:hAnsi="Times New Roman" w:cs="Times New Roman" w:eastAsia="Times New Roman" w:hint="default"/>
        </w:rPr>
      </w:pPr>
      <w:r>
        <w:rPr>
          <w:rFonts w:ascii="Times New Roman" w:hAnsi="Times New Roman" w:cs="Times New Roman" w:eastAsia="Times New Roman" w:hint="default"/>
        </w:rPr>
        <w:t>3</w:t>
      </w:r>
      <w:r>
        <w:rPr/>
        <w:t>、报告期内，公司发行股份及支付现金购买资产之部分限售股份分别于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14</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p>
    <w:p>
      <w:pPr>
        <w:pStyle w:val="BodyText"/>
        <w:spacing w:line="240" w:lineRule="auto" w:before="62"/>
        <w:ind w:right="982"/>
        <w:jc w:val="left"/>
      </w:pPr>
      <w:r>
        <w:rPr/>
        <w:t>日上市流通。</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240" w:lineRule="auto" w:before="0"/>
        <w:ind w:right="982"/>
        <w:jc w:val="left"/>
      </w:pPr>
      <w:r>
        <w:rPr/>
        <w:t>股份变动的批准情况</w:t>
      </w:r>
    </w:p>
    <w:p>
      <w:pPr>
        <w:pStyle w:val="BodyText"/>
        <w:spacing w:line="319" w:lineRule="auto" w:before="117"/>
        <w:ind w:right="11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w:t>
      </w:r>
      <w:r>
        <w:rPr>
          <w:rFonts w:ascii="Times New Roman" w:hAnsi="Times New Roman" w:cs="Times New Roman" w:eastAsia="Times New Roman" w:hint="default"/>
        </w:rPr>
        <w:t>2017</w:t>
      </w:r>
      <w:r>
        <w:rPr/>
        <w:t>年利润分配方案已于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w:t>
      </w:r>
      <w:r>
        <w:rPr/>
        <w:t>日经公司第三届董事会第五次会议、第三届监事会第三次会议审议通过，</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 </w:t>
      </w:r>
      <w:r>
        <w:rPr/>
        <w:t>月</w:t>
      </w:r>
      <w:r>
        <w:rPr>
          <w:rFonts w:ascii="Times New Roman" w:hAnsi="Times New Roman" w:cs="Times New Roman" w:eastAsia="Times New Roman" w:hint="default"/>
        </w:rPr>
        <w:t>24</w:t>
      </w:r>
      <w:r>
        <w:rPr/>
        <w:t>日经公司</w:t>
      </w:r>
      <w:r>
        <w:rPr>
          <w:rFonts w:ascii="Times New Roman" w:hAnsi="Times New Roman" w:cs="Times New Roman" w:eastAsia="Times New Roman" w:hint="default"/>
        </w:rPr>
        <w:t>2017</w:t>
      </w:r>
      <w:r>
        <w:rPr/>
        <w:t>年年度股东大会审议通过。</w:t>
      </w:r>
    </w:p>
    <w:p>
      <w:pPr>
        <w:pStyle w:val="BodyText"/>
        <w:spacing w:line="240" w:lineRule="auto" w:before="38"/>
        <w:ind w:right="982"/>
        <w:jc w:val="left"/>
      </w:pPr>
      <w:r>
        <w:rPr/>
        <w:t>股份变动的过户情况</w:t>
      </w:r>
    </w:p>
    <w:p>
      <w:pPr>
        <w:pStyle w:val="BodyText"/>
        <w:spacing w:line="338" w:lineRule="auto" w:before="117"/>
        <w:ind w:right="8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股份回购的实施进展情况</w:t>
      </w:r>
    </w:p>
    <w:p>
      <w:pPr>
        <w:pStyle w:val="BodyText"/>
        <w:spacing w:line="340" w:lineRule="auto" w:before="43"/>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采用集中竞价方式减持回购股份的实施进展情况</w:t>
      </w:r>
    </w:p>
    <w:p>
      <w:pPr>
        <w:pStyle w:val="BodyText"/>
        <w:spacing w:line="340" w:lineRule="auto" w:before="39"/>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240" w:lineRule="auto" w:before="41"/>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1277"/>
        <w:gridCol w:w="1274"/>
        <w:gridCol w:w="1277"/>
        <w:gridCol w:w="991"/>
        <w:gridCol w:w="1985"/>
      </w:tblGrid>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稀释每股收益</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每股净资产</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tc>
      </w:tr>
      <w:tr>
        <w:trPr>
          <w:trHeight w:val="346"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股份变动前</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0.16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0.16</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2.83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6.49%</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股份变动后</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0.11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0.11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2.02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6.49%</w:t>
            </w:r>
          </w:p>
        </w:tc>
      </w:tr>
    </w:tbl>
    <w:p>
      <w:pPr>
        <w:spacing w:line="240" w:lineRule="auto" w:before="2"/>
        <w:rPr>
          <w:rFonts w:ascii="宋体" w:hAnsi="宋体" w:cs="宋体" w:eastAsia="宋体" w:hint="default"/>
          <w:sz w:val="24"/>
          <w:szCs w:val="24"/>
        </w:rPr>
      </w:pPr>
    </w:p>
    <w:p>
      <w:pPr>
        <w:pStyle w:val="BodyText"/>
        <w:spacing w:line="240" w:lineRule="auto"/>
        <w:ind w:right="982"/>
        <w:jc w:val="left"/>
      </w:pPr>
      <w:r>
        <w:rPr/>
        <w:t>公司认为必要或证券监管机构要求披露的其他内容</w:t>
      </w:r>
    </w:p>
    <w:p>
      <w:pPr>
        <w:pStyle w:val="BodyText"/>
        <w:spacing w:line="240" w:lineRule="auto" w:before="117"/>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bookmarkStart w:name="2、限售股份变动情况" w:id="108"/>
      <w:bookmarkEnd w:id="108"/>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133"/>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3"/>
        <w:gridCol w:w="1368"/>
        <w:gridCol w:w="1368"/>
        <w:gridCol w:w="1370"/>
        <w:gridCol w:w="1368"/>
        <w:gridCol w:w="1370"/>
        <w:gridCol w:w="1361"/>
      </w:tblGrid>
      <w:tr>
        <w:trPr>
          <w:trHeight w:val="713" w:hRule="exact"/>
        </w:trPr>
        <w:tc>
          <w:tcPr>
            <w:tcW w:w="13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590"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590"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5"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侯友夫</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65,802,500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63,302,500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49,351,875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69,092,625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任期内执行高管 限售规定</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5"/>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高管锁定股每年 解锁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71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63,302,500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63,302,500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47,476,875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66,467,625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任期内执行高管 限售规定</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65"/>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高管锁定股每年 解锁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71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刘龙保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46,311,800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46,311,800</w:t>
            </w:r>
            <w:r>
              <w:rPr>
                <w:rFonts w:ascii="Times New Roman"/>
                <w:sz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34,733,850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48,627,390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任期内执行高管 限售规定</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5"/>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高管锁定股每年 解锁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715"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寿招爱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37,981,500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9,495,375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39,880,575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4"/>
              <w:jc w:val="left"/>
              <w:rPr>
                <w:rFonts w:ascii="宋体" w:hAnsi="宋体" w:cs="宋体" w:eastAsia="宋体" w:hint="default"/>
                <w:sz w:val="18"/>
                <w:szCs w:val="18"/>
              </w:rPr>
            </w:pPr>
            <w:r>
              <w:rPr>
                <w:rFonts w:ascii="宋体" w:hAnsi="宋体" w:cs="宋体" w:eastAsia="宋体" w:hint="default"/>
                <w:sz w:val="18"/>
                <w:szCs w:val="18"/>
              </w:rPr>
              <w:t>首次公开发行前 已发行股份</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孙晋明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34,183,300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34,183,300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25,637,475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35,892,465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任期内执行高管 限售规定</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5"/>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高管锁定股每年 解锁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bl>
    <w:p>
      <w:pPr>
        <w:spacing w:after="0" w:line="316" w:lineRule="auto"/>
        <w:jc w:val="left"/>
        <w:rPr>
          <w:rFonts w:ascii="Times New Roman" w:hAnsi="Times New Roman" w:cs="Times New Roman" w:eastAsia="Times New Roman" w:hint="default"/>
          <w:sz w:val="18"/>
          <w:szCs w:val="18"/>
        </w:rPr>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3"/>
        <w:gridCol w:w="1368"/>
        <w:gridCol w:w="1368"/>
        <w:gridCol w:w="1370"/>
        <w:gridCol w:w="1368"/>
        <w:gridCol w:w="1370"/>
        <w:gridCol w:w="1361"/>
      </w:tblGrid>
      <w:tr>
        <w:trPr>
          <w:trHeight w:val="1025"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童敏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13,530,226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18,942,317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both"/>
              <w:rPr>
                <w:rFonts w:ascii="宋体" w:hAnsi="宋体" w:cs="宋体" w:eastAsia="宋体" w:hint="default"/>
                <w:sz w:val="18"/>
                <w:szCs w:val="18"/>
              </w:rPr>
            </w:pPr>
            <w:r>
              <w:rPr>
                <w:rFonts w:ascii="宋体" w:hAnsi="宋体" w:cs="宋体" w:eastAsia="宋体" w:hint="default"/>
                <w:sz w:val="18"/>
                <w:szCs w:val="18"/>
              </w:rPr>
              <w:t>发行股份及支付 现金购买资产之 限售股份</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7"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林伟通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13,530,226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18,942,316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4"/>
              <w:jc w:val="both"/>
              <w:rPr>
                <w:rFonts w:ascii="宋体" w:hAnsi="宋体" w:cs="宋体" w:eastAsia="宋体" w:hint="default"/>
                <w:sz w:val="18"/>
                <w:szCs w:val="18"/>
              </w:rPr>
            </w:pPr>
            <w:r>
              <w:rPr>
                <w:rFonts w:ascii="宋体" w:hAnsi="宋体" w:cs="宋体" w:eastAsia="宋体" w:hint="default"/>
                <w:sz w:val="18"/>
                <w:szCs w:val="18"/>
              </w:rPr>
              <w:t>发行股份及支付 现金购买资产之 限售股份</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649"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胡云高</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5"/>
                <w:sz w:val="18"/>
              </w:rPr>
              <w:t>6,765,112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9,471,157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7,103,368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7,103,368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both"/>
              <w:rPr>
                <w:rFonts w:ascii="宋体" w:hAnsi="宋体" w:cs="宋体" w:eastAsia="宋体" w:hint="default"/>
                <w:sz w:val="18"/>
                <w:szCs w:val="18"/>
              </w:rPr>
            </w:pPr>
            <w:r>
              <w:rPr>
                <w:rFonts w:ascii="宋体" w:hAnsi="宋体" w:cs="宋体" w:eastAsia="宋体" w:hint="default"/>
                <w:sz w:val="18"/>
                <w:szCs w:val="18"/>
              </w:rPr>
              <w:t>发行股份及支付 现金购买资产之 限售股份及任期 内执行高管限售 规定</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65"/>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高管锁定股每年 解锁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1027"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李明英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5"/>
                <w:sz w:val="18"/>
              </w:rPr>
              <w:t>6,765,112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9,471,157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4"/>
              <w:jc w:val="both"/>
              <w:rPr>
                <w:rFonts w:ascii="宋体" w:hAnsi="宋体" w:cs="宋体" w:eastAsia="宋体" w:hint="default"/>
                <w:sz w:val="18"/>
                <w:szCs w:val="18"/>
              </w:rPr>
            </w:pPr>
            <w:r>
              <w:rPr>
                <w:rFonts w:ascii="宋体" w:hAnsi="宋体" w:cs="宋体" w:eastAsia="宋体" w:hint="default"/>
                <w:sz w:val="18"/>
                <w:szCs w:val="18"/>
              </w:rPr>
              <w:t>发行股份及支付 现金购买资产之 限售股份</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961"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其他限售股股东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28,122,540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28,122,540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74"/>
              <w:jc w:val="both"/>
              <w:rPr>
                <w:rFonts w:ascii="宋体" w:hAnsi="宋体" w:cs="宋体" w:eastAsia="宋体" w:hint="default"/>
                <w:sz w:val="18"/>
                <w:szCs w:val="18"/>
              </w:rPr>
            </w:pPr>
            <w:r>
              <w:rPr>
                <w:rFonts w:ascii="宋体" w:hAnsi="宋体" w:cs="宋体" w:eastAsia="宋体" w:hint="default"/>
                <w:sz w:val="18"/>
                <w:szCs w:val="18"/>
              </w:rPr>
              <w:t>首次公开发行前 已发行股份及发 行股份及支付现 金购买资产之部 分限售股份</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3" w:hRule="exact"/>
        </w:trPr>
        <w:tc>
          <w:tcPr>
            <w:tcW w:w="13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316,294,816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301,544,962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164,303,443</w:t>
            </w:r>
          </w:p>
        </w:tc>
        <w:tc>
          <w:tcPr>
            <w:tcW w:w="1368"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pacing w:val="-1"/>
                <w:sz w:val="18"/>
              </w:rPr>
              <w:t>267,064,048</w:t>
            </w:r>
          </w:p>
        </w:tc>
        <w:tc>
          <w:tcPr>
            <w:tcW w:w="13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982"/>
        <w:jc w:val="left"/>
        <w:rPr>
          <w:b w:val="0"/>
          <w:bCs w:val="0"/>
        </w:rPr>
      </w:pPr>
      <w:bookmarkStart w:name="二、证券发行与上市情况" w:id="109"/>
      <w:bookmarkEnd w:id="109"/>
      <w:r>
        <w:rPr>
          <w:b w:val="0"/>
          <w:bCs w:val="0"/>
        </w:rPr>
      </w: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2"/>
        <w:jc w:val="left"/>
        <w:rPr>
          <w:b w:val="0"/>
          <w:bCs w:val="0"/>
        </w:rPr>
      </w:pPr>
      <w:bookmarkStart w:name="1、报告期内证券发行（不含优先股）情况" w:id="110"/>
      <w:bookmarkEnd w:id="110"/>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bookmarkStart w:name="2、公司股份总数及股东结构的变动、公司资产和负债结构的变动情况说明" w:id="111"/>
      <w:bookmarkEnd w:id="111"/>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bookmarkStart w:name="3、现存的内部职工股情况" w:id="112"/>
      <w:bookmarkEnd w:id="112"/>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82"/>
        <w:jc w:val="left"/>
        <w:rPr>
          <w:b w:val="0"/>
          <w:bCs w:val="0"/>
        </w:rPr>
      </w:pPr>
      <w:bookmarkStart w:name="三、股东和实际控制人情况" w:id="113"/>
      <w:bookmarkEnd w:id="113"/>
      <w:r>
        <w:rPr>
          <w:b w:val="0"/>
          <w:bCs w:val="0"/>
        </w:rPr>
      </w: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2"/>
        <w:jc w:val="left"/>
        <w:rPr>
          <w:b w:val="0"/>
          <w:bCs w:val="0"/>
        </w:rPr>
      </w:pPr>
      <w:bookmarkStart w:name="1、公司股东数量及持股情况" w:id="114"/>
      <w:bookmarkEnd w:id="114"/>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3"/>
        <w:jc w:val="right"/>
      </w:pPr>
      <w:r>
        <w:rPr/>
        <w:t>单位：股</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33"/>
        <w:gridCol w:w="797"/>
        <w:gridCol w:w="1450"/>
        <w:gridCol w:w="1207"/>
        <w:gridCol w:w="1327"/>
        <w:gridCol w:w="1064"/>
        <w:gridCol w:w="1328"/>
        <w:gridCol w:w="1058"/>
      </w:tblGrid>
      <w:tr>
        <w:trPr>
          <w:trHeight w:val="674" w:hRule="exact"/>
        </w:trPr>
        <w:tc>
          <w:tcPr>
            <w:tcW w:w="13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报告期末普通股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15,983</w:t>
            </w:r>
          </w:p>
        </w:tc>
        <w:tc>
          <w:tcPr>
            <w:tcW w:w="14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155"/>
              <w:jc w:val="left"/>
              <w:rPr>
                <w:rFonts w:ascii="宋体" w:hAnsi="宋体" w:cs="宋体" w:eastAsia="宋体" w:hint="default"/>
                <w:sz w:val="18"/>
                <w:szCs w:val="18"/>
              </w:rPr>
            </w:pPr>
            <w:r>
              <w:rPr>
                <w:rFonts w:ascii="宋体" w:hAnsi="宋体" w:cs="宋体" w:eastAsia="宋体" w:hint="default"/>
                <w:sz w:val="18"/>
                <w:szCs w:val="18"/>
              </w:rPr>
              <w:t>年度报告披露日 前上一月末普通</w:t>
            </w:r>
          </w:p>
        </w:tc>
        <w:tc>
          <w:tcPr>
            <w:tcW w:w="120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674" w:right="0"/>
              <w:jc w:val="left"/>
              <w:rPr>
                <w:rFonts w:ascii="Times New Roman" w:hAnsi="Times New Roman" w:cs="Times New Roman" w:eastAsia="Times New Roman" w:hint="default"/>
                <w:sz w:val="18"/>
                <w:szCs w:val="18"/>
              </w:rPr>
            </w:pPr>
            <w:r>
              <w:rPr>
                <w:rFonts w:ascii="Times New Roman"/>
                <w:sz w:val="18"/>
              </w:rPr>
              <w:t>15,321</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31"/>
              <w:jc w:val="left"/>
              <w:rPr>
                <w:rFonts w:ascii="宋体" w:hAnsi="宋体" w:cs="宋体" w:eastAsia="宋体" w:hint="default"/>
                <w:sz w:val="18"/>
                <w:szCs w:val="18"/>
              </w:rPr>
            </w:pPr>
            <w:r>
              <w:rPr>
                <w:rFonts w:ascii="宋体" w:hAnsi="宋体" w:cs="宋体" w:eastAsia="宋体" w:hint="default"/>
                <w:sz w:val="18"/>
                <w:szCs w:val="18"/>
              </w:rPr>
              <w:t>报告期末表决权 恢复的优先股股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35"/>
              <w:jc w:val="left"/>
              <w:rPr>
                <w:rFonts w:ascii="宋体" w:hAnsi="宋体" w:cs="宋体" w:eastAsia="宋体" w:hint="default"/>
                <w:sz w:val="18"/>
                <w:szCs w:val="18"/>
              </w:rPr>
            </w:pPr>
            <w:r>
              <w:rPr>
                <w:rFonts w:ascii="宋体" w:hAnsi="宋体" w:cs="宋体" w:eastAsia="宋体" w:hint="default"/>
                <w:sz w:val="18"/>
                <w:szCs w:val="18"/>
              </w:rPr>
              <w:t>年度报告披露日 前上一月末表决</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49.157013pt;margin-top:72.47998pt;width:85.7pt;height:48.85pt;mso-position-horizontal-relative:page;mso-position-vertical-relative:page;z-index:-10520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13"/>
                    <w:ind w:left="0" w:right="0"/>
                    <w:jc w:val="left"/>
                  </w:pPr>
                  <w:r>
                    <w:rPr/>
                    <w:t>（如有）</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34"/>
        <w:gridCol w:w="134"/>
        <w:gridCol w:w="662"/>
        <w:gridCol w:w="749"/>
        <w:gridCol w:w="750"/>
        <w:gridCol w:w="824"/>
        <w:gridCol w:w="346"/>
        <w:gridCol w:w="444"/>
        <w:gridCol w:w="823"/>
        <w:gridCol w:w="802"/>
        <w:gridCol w:w="322"/>
        <w:gridCol w:w="1027"/>
        <w:gridCol w:w="280"/>
        <w:gridCol w:w="1069"/>
      </w:tblGrid>
      <w:tr>
        <w:trPr>
          <w:trHeight w:val="358" w:hRule="exact"/>
        </w:trPr>
        <w:tc>
          <w:tcPr>
            <w:tcW w:w="1334" w:type="dxa"/>
            <w:tcBorders>
              <w:top w:val="single" w:sz="4" w:space="0" w:color="000000"/>
              <w:left w:val="single" w:sz="4" w:space="0" w:color="000000"/>
              <w:bottom w:val="nil" w:sz="6" w:space="0" w:color="auto"/>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股东总数</w:t>
            </w:r>
          </w:p>
        </w:tc>
        <w:tc>
          <w:tcPr>
            <w:tcW w:w="797" w:type="dxa"/>
            <w:gridSpan w:val="2"/>
            <w:vMerge w:val="restart"/>
            <w:tcBorders>
              <w:top w:val="single" w:sz="4" w:space="0" w:color="000000"/>
              <w:left w:val="single" w:sz="9" w:space="0" w:color="D4D4D4"/>
              <w:right w:val="single" w:sz="10" w:space="0" w:color="D4D4D4"/>
            </w:tcBorders>
          </w:tcPr>
          <w:p>
            <w:pPr/>
          </w:p>
        </w:tc>
        <w:tc>
          <w:tcPr>
            <w:tcW w:w="1499" w:type="dxa"/>
            <w:gridSpan w:val="2"/>
            <w:tcBorders>
              <w:top w:val="single" w:sz="4" w:space="0" w:color="000000"/>
              <w:left w:val="single" w:sz="4" w:space="0" w:color="000000"/>
              <w:bottom w:val="nil" w:sz="6" w:space="0" w:color="auto"/>
              <w:right w:val="single" w:sz="4" w:space="0" w:color="000000"/>
            </w:tcBorders>
            <w:shd w:val="clear" w:color="auto" w:fill="D4D4D4"/>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股股东总数</w:t>
            </w:r>
          </w:p>
        </w:tc>
        <w:tc>
          <w:tcPr>
            <w:tcW w:w="1170" w:type="dxa"/>
            <w:gridSpan w:val="2"/>
            <w:vMerge w:val="restart"/>
            <w:tcBorders>
              <w:top w:val="single" w:sz="4" w:space="0" w:color="000000"/>
              <w:left w:val="single" w:sz="10" w:space="0" w:color="D4D4D4"/>
              <w:right w:val="single" w:sz="10" w:space="0" w:color="D4D4D4"/>
            </w:tcBorders>
          </w:tcPr>
          <w:p>
            <w:pPr/>
          </w:p>
        </w:tc>
        <w:tc>
          <w:tcPr>
            <w:tcW w:w="126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
              <w:ind w:left="12" w:right="-16"/>
              <w:jc w:val="left"/>
              <w:rPr>
                <w:rFonts w:ascii="宋体" w:hAnsi="宋体" w:cs="宋体" w:eastAsia="宋体" w:hint="default"/>
                <w:sz w:val="18"/>
                <w:szCs w:val="18"/>
              </w:rPr>
            </w:pPr>
            <w:r>
              <w:rPr>
                <w:rFonts w:ascii="宋体" w:hAnsi="宋体" w:cs="宋体" w:eastAsia="宋体" w:hint="default"/>
                <w:sz w:val="18"/>
                <w:szCs w:val="18"/>
              </w:rPr>
              <w:t>东总数（如有）</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4" w:type="dxa"/>
            <w:gridSpan w:val="2"/>
            <w:vMerge w:val="restart"/>
            <w:tcBorders>
              <w:top w:val="single" w:sz="4" w:space="0" w:color="000000"/>
              <w:left w:val="single" w:sz="10" w:space="0" w:color="D4D4D4"/>
              <w:right w:val="single" w:sz="13" w:space="0" w:color="D4D4D4"/>
            </w:tcBorders>
          </w:tcPr>
          <w:p>
            <w:pPr/>
          </w:p>
        </w:tc>
        <w:tc>
          <w:tcPr>
            <w:tcW w:w="130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8"/>
              <w:ind w:left="12" w:right="23"/>
              <w:jc w:val="left"/>
              <w:rPr>
                <w:rFonts w:ascii="宋体" w:hAnsi="宋体" w:cs="宋体" w:eastAsia="宋体" w:hint="default"/>
                <w:sz w:val="18"/>
                <w:szCs w:val="18"/>
              </w:rPr>
            </w:pPr>
            <w:r>
              <w:rPr>
                <w:rFonts w:ascii="宋体" w:hAnsi="宋体" w:cs="宋体" w:eastAsia="宋体" w:hint="default"/>
                <w:sz w:val="18"/>
                <w:szCs w:val="18"/>
              </w:rPr>
              <w:t>权恢复的优先股 股东总数</w:t>
            </w:r>
          </w:p>
          <w:p>
            <w:pPr>
              <w:pStyle w:val="TableParagraph"/>
              <w:spacing w:line="240" w:lineRule="auto" w:before="19"/>
              <w:ind w:left="1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9" w:type="dxa"/>
            <w:vMerge w:val="restart"/>
            <w:tcBorders>
              <w:top w:val="single" w:sz="4" w:space="0" w:color="000000"/>
              <w:left w:val="single" w:sz="12" w:space="0" w:color="D4D4D4"/>
              <w:right w:val="single" w:sz="4" w:space="0" w:color="000000"/>
            </w:tcBorders>
          </w:tcPr>
          <w:p>
            <w:pPr>
              <w:pStyle w:val="TableParagraph"/>
              <w:spacing w:line="976" w:lineRule="exact"/>
              <w:ind w:left="2"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pict>
                <v:group style="width:52.45pt;height:48.85pt;mso-position-horizontal-relative:char;mso-position-vertical-relative:line" coordorigin="0,0" coordsize="1049,977">
                  <v:group style="position:absolute;left:0;top:0;width:1049;height:977" coordorigin="0,0" coordsize="1049,977">
                    <v:shape style="position:absolute;left:0;top:0;width:1049;height:977" coordorigin="0,0" coordsize="1049,977" path="m0,977l1049,977,1049,0,0,0,0,977xe" filled="true" fillcolor="#ffffff" stroked="false">
                      <v:path arrowok="t"/>
                      <v:fill type="solid"/>
                    </v:shape>
                  </v:group>
                </v:group>
              </w:pict>
            </w:r>
            <w:r>
              <w:rPr>
                <w:rFonts w:ascii="Times New Roman" w:hAnsi="Times New Roman" w:cs="Times New Roman" w:eastAsia="Times New Roman" w:hint="default"/>
                <w:position w:val="-19"/>
                <w:sz w:val="20"/>
                <w:szCs w:val="20"/>
              </w:rPr>
            </w:r>
          </w:p>
        </w:tc>
      </w:tr>
      <w:tr>
        <w:trPr>
          <w:trHeight w:val="312" w:hRule="exact"/>
        </w:trPr>
        <w:tc>
          <w:tcPr>
            <w:tcW w:w="1334" w:type="dxa"/>
            <w:vMerge w:val="restart"/>
            <w:tcBorders>
              <w:top w:val="nil" w:sz="6" w:space="0" w:color="auto"/>
              <w:left w:val="single" w:sz="4" w:space="0" w:color="000000"/>
              <w:right w:val="single" w:sz="4" w:space="0" w:color="000000"/>
            </w:tcBorders>
            <w:shd w:val="clear" w:color="auto" w:fill="D4D4D4"/>
          </w:tcPr>
          <w:p>
            <w:pPr/>
          </w:p>
        </w:tc>
        <w:tc>
          <w:tcPr>
            <w:tcW w:w="797" w:type="dxa"/>
            <w:gridSpan w:val="2"/>
            <w:vMerge/>
            <w:tcBorders>
              <w:left w:val="single" w:sz="9" w:space="0" w:color="D4D4D4"/>
              <w:right w:val="single" w:sz="10" w:space="0" w:color="D4D4D4"/>
            </w:tcBorders>
          </w:tcPr>
          <w:p>
            <w:pPr/>
          </w:p>
        </w:tc>
        <w:tc>
          <w:tcPr>
            <w:tcW w:w="1499" w:type="dxa"/>
            <w:gridSpan w:val="2"/>
            <w:vMerge w:val="restart"/>
            <w:tcBorders>
              <w:top w:val="nil" w:sz="6" w:space="0" w:color="auto"/>
              <w:left w:val="single" w:sz="4" w:space="0" w:color="000000"/>
              <w:right w:val="single" w:sz="4" w:space="0" w:color="000000"/>
            </w:tcBorders>
            <w:shd w:val="clear" w:color="auto" w:fill="D4D4D4"/>
          </w:tcPr>
          <w:p>
            <w:pPr/>
          </w:p>
        </w:tc>
        <w:tc>
          <w:tcPr>
            <w:tcW w:w="1170" w:type="dxa"/>
            <w:gridSpan w:val="2"/>
            <w:vMerge/>
            <w:tcBorders>
              <w:left w:val="single" w:sz="10" w:space="0" w:color="D4D4D4"/>
              <w:right w:val="single" w:sz="10" w:space="0" w:color="D4D4D4"/>
            </w:tcBorders>
          </w:tcPr>
          <w:p>
            <w:pPr/>
          </w:p>
        </w:tc>
        <w:tc>
          <w:tcPr>
            <w:tcW w:w="1267" w:type="dxa"/>
            <w:gridSpan w:val="2"/>
            <w:vMerge/>
            <w:tcBorders>
              <w:left w:val="single" w:sz="4" w:space="0" w:color="000000"/>
              <w:bottom w:val="nil" w:sz="6" w:space="0" w:color="auto"/>
              <w:right w:val="single" w:sz="4" w:space="0" w:color="000000"/>
            </w:tcBorders>
            <w:shd w:val="clear" w:color="auto" w:fill="D4D4D4"/>
          </w:tcPr>
          <w:p>
            <w:pPr/>
          </w:p>
        </w:tc>
        <w:tc>
          <w:tcPr>
            <w:tcW w:w="1124" w:type="dxa"/>
            <w:gridSpan w:val="2"/>
            <w:vMerge/>
            <w:tcBorders>
              <w:left w:val="single" w:sz="10" w:space="0" w:color="D4D4D4"/>
              <w:right w:val="single" w:sz="13" w:space="0" w:color="D4D4D4"/>
            </w:tcBorders>
          </w:tcPr>
          <w:p>
            <w:pPr/>
          </w:p>
        </w:tc>
        <w:tc>
          <w:tcPr>
            <w:tcW w:w="1307" w:type="dxa"/>
            <w:gridSpan w:val="2"/>
            <w:vMerge/>
            <w:tcBorders>
              <w:left w:val="single" w:sz="4" w:space="0" w:color="000000"/>
              <w:right w:val="single" w:sz="4" w:space="0" w:color="000000"/>
            </w:tcBorders>
            <w:shd w:val="clear" w:color="auto" w:fill="D4D4D4"/>
          </w:tcPr>
          <w:p>
            <w:pPr/>
          </w:p>
        </w:tc>
        <w:tc>
          <w:tcPr>
            <w:tcW w:w="1069" w:type="dxa"/>
            <w:vMerge/>
            <w:tcBorders>
              <w:left w:val="single" w:sz="12" w:space="0" w:color="D4D4D4"/>
              <w:right w:val="single" w:sz="4" w:space="0" w:color="000000"/>
            </w:tcBorders>
          </w:tcPr>
          <w:p>
            <w:pPr/>
          </w:p>
        </w:tc>
      </w:tr>
      <w:tr>
        <w:trPr>
          <w:trHeight w:val="322" w:hRule="exact"/>
        </w:trPr>
        <w:tc>
          <w:tcPr>
            <w:tcW w:w="1334" w:type="dxa"/>
            <w:vMerge/>
            <w:tcBorders>
              <w:left w:val="single" w:sz="4" w:space="0" w:color="000000"/>
              <w:bottom w:val="single" w:sz="4" w:space="0" w:color="000000"/>
              <w:right w:val="single" w:sz="4" w:space="0" w:color="000000"/>
            </w:tcBorders>
            <w:shd w:val="clear" w:color="auto" w:fill="D4D4D4"/>
          </w:tcPr>
          <w:p>
            <w:pPr/>
          </w:p>
        </w:tc>
        <w:tc>
          <w:tcPr>
            <w:tcW w:w="797" w:type="dxa"/>
            <w:gridSpan w:val="2"/>
            <w:vMerge/>
            <w:tcBorders>
              <w:left w:val="single" w:sz="9" w:space="0" w:color="D4D4D4"/>
              <w:bottom w:val="single" w:sz="4" w:space="0" w:color="000000"/>
              <w:right w:val="single" w:sz="10" w:space="0" w:color="D4D4D4"/>
            </w:tcBorders>
          </w:tcPr>
          <w:p>
            <w:pPr/>
          </w:p>
        </w:tc>
        <w:tc>
          <w:tcPr>
            <w:tcW w:w="1499" w:type="dxa"/>
            <w:gridSpan w:val="2"/>
            <w:vMerge/>
            <w:tcBorders>
              <w:left w:val="single" w:sz="4" w:space="0" w:color="000000"/>
              <w:bottom w:val="single" w:sz="4" w:space="0" w:color="000000"/>
              <w:right w:val="single" w:sz="4" w:space="0" w:color="000000"/>
            </w:tcBorders>
            <w:shd w:val="clear" w:color="auto" w:fill="D4D4D4"/>
          </w:tcPr>
          <w:p>
            <w:pPr/>
          </w:p>
        </w:tc>
        <w:tc>
          <w:tcPr>
            <w:tcW w:w="1170" w:type="dxa"/>
            <w:gridSpan w:val="2"/>
            <w:vMerge/>
            <w:tcBorders>
              <w:left w:val="single" w:sz="10" w:space="0" w:color="D4D4D4"/>
              <w:bottom w:val="single" w:sz="4" w:space="0" w:color="000000"/>
              <w:right w:val="single" w:sz="10" w:space="0" w:color="D4D4D4"/>
            </w:tcBorders>
          </w:tcPr>
          <w:p>
            <w:pPr/>
          </w:p>
        </w:tc>
        <w:tc>
          <w:tcPr>
            <w:tcW w:w="1267"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1124" w:type="dxa"/>
            <w:gridSpan w:val="2"/>
            <w:vMerge/>
            <w:tcBorders>
              <w:left w:val="single" w:sz="10" w:space="0" w:color="D4D4D4"/>
              <w:bottom w:val="single" w:sz="4" w:space="0" w:color="000000"/>
              <w:right w:val="single" w:sz="13" w:space="0" w:color="D4D4D4"/>
            </w:tcBorders>
          </w:tcPr>
          <w:p>
            <w:pPr/>
          </w:p>
        </w:tc>
        <w:tc>
          <w:tcPr>
            <w:tcW w:w="1307" w:type="dxa"/>
            <w:gridSpan w:val="2"/>
            <w:vMerge/>
            <w:tcBorders>
              <w:left w:val="single" w:sz="4" w:space="0" w:color="000000"/>
              <w:bottom w:val="single" w:sz="4" w:space="0" w:color="000000"/>
              <w:right w:val="single" w:sz="4" w:space="0" w:color="000000"/>
            </w:tcBorders>
            <w:shd w:val="clear" w:color="auto" w:fill="D4D4D4"/>
          </w:tcPr>
          <w:p>
            <w:pPr/>
          </w:p>
        </w:tc>
        <w:tc>
          <w:tcPr>
            <w:tcW w:w="1069" w:type="dxa"/>
            <w:vMerge/>
            <w:tcBorders>
              <w:left w:val="single" w:sz="12" w:space="0" w:color="D4D4D4"/>
              <w:bottom w:val="single" w:sz="4" w:space="0" w:color="000000"/>
              <w:right w:val="single" w:sz="4" w:space="0" w:color="000000"/>
            </w:tcBorders>
          </w:tcPr>
          <w:p>
            <w:pPr/>
          </w:p>
        </w:tc>
      </w:tr>
      <w:tr>
        <w:trPr>
          <w:trHeight w:val="391" w:hRule="exact"/>
        </w:trPr>
        <w:tc>
          <w:tcPr>
            <w:tcW w:w="9566" w:type="dxa"/>
            <w:gridSpan w:val="1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4D4D4"/>
          </w:tcPr>
          <w:p>
            <w:pPr/>
          </w:p>
        </w:tc>
        <w:tc>
          <w:tcPr>
            <w:tcW w:w="1411" w:type="dxa"/>
            <w:gridSpan w:val="2"/>
            <w:vMerge w:val="restart"/>
            <w:tcBorders>
              <w:top w:val="single" w:sz="4" w:space="0" w:color="000000"/>
              <w:left w:val="single" w:sz="4" w:space="0" w:color="000000"/>
              <w:right w:val="single" w:sz="4" w:space="0" w:color="000000"/>
            </w:tcBorders>
            <w:shd w:val="clear" w:color="auto" w:fill="D4D4D4"/>
          </w:tcPr>
          <w:p>
            <w:pPr/>
          </w:p>
        </w:tc>
        <w:tc>
          <w:tcPr>
            <w:tcW w:w="750" w:type="dxa"/>
            <w:vMerge w:val="restart"/>
            <w:tcBorders>
              <w:top w:val="single" w:sz="4" w:space="0" w:color="000000"/>
              <w:left w:val="single" w:sz="4" w:space="0" w:color="000000"/>
              <w:right w:val="single" w:sz="4" w:space="0" w:color="000000"/>
            </w:tcBorders>
            <w:shd w:val="clear" w:color="auto" w:fill="D4D4D4"/>
          </w:tcPr>
          <w:p>
            <w:pPr/>
          </w:p>
        </w:tc>
        <w:tc>
          <w:tcPr>
            <w:tcW w:w="824" w:type="dxa"/>
            <w:tcBorders>
              <w:top w:val="single" w:sz="4" w:space="0" w:color="000000"/>
              <w:left w:val="single" w:sz="4" w:space="0" w:color="000000"/>
              <w:bottom w:val="nil" w:sz="6" w:space="0" w:color="auto"/>
              <w:right w:val="single" w:sz="4" w:space="0" w:color="000000"/>
            </w:tcBorders>
            <w:shd w:val="clear" w:color="auto" w:fill="D4D4D4"/>
          </w:tcPr>
          <w:p>
            <w:pPr/>
          </w:p>
        </w:tc>
        <w:tc>
          <w:tcPr>
            <w:tcW w:w="79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28" w:right="6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2"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17"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4"/>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71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4D4D4"/>
          </w:tcPr>
          <w:p>
            <w:pPr/>
          </w:p>
        </w:tc>
        <w:tc>
          <w:tcPr>
            <w:tcW w:w="1411" w:type="dxa"/>
            <w:gridSpan w:val="2"/>
            <w:vMerge/>
            <w:tcBorders>
              <w:left w:val="single" w:sz="4" w:space="0" w:color="000000"/>
              <w:bottom w:val="nil" w:sz="6" w:space="0" w:color="auto"/>
              <w:right w:val="single" w:sz="4" w:space="0" w:color="000000"/>
            </w:tcBorders>
            <w:shd w:val="clear" w:color="auto" w:fill="D4D4D4"/>
          </w:tcPr>
          <w:p>
            <w:pPr/>
          </w:p>
        </w:tc>
        <w:tc>
          <w:tcPr>
            <w:tcW w:w="750" w:type="dxa"/>
            <w:vMerge/>
            <w:tcBorders>
              <w:left w:val="single" w:sz="4" w:space="0" w:color="000000"/>
              <w:bottom w:val="nil" w:sz="6" w:space="0" w:color="auto"/>
              <w:right w:val="single" w:sz="4" w:space="0" w:color="000000"/>
            </w:tcBorders>
            <w:shd w:val="clear" w:color="auto" w:fill="D4D4D4"/>
          </w:tcPr>
          <w:p>
            <w:pPr/>
          </w:p>
        </w:tc>
        <w:tc>
          <w:tcPr>
            <w:tcW w:w="824"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66" w:right="26"/>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tcBorders>
              <w:left w:val="single" w:sz="4" w:space="0" w:color="000000"/>
              <w:right w:val="single" w:sz="4" w:space="0" w:color="000000"/>
            </w:tcBorders>
            <w:shd w:val="clear" w:color="auto" w:fill="D4D4D4"/>
          </w:tcPr>
          <w:p>
            <w:pPr/>
          </w:p>
        </w:tc>
        <w:tc>
          <w:tcPr>
            <w:tcW w:w="823" w:type="dxa"/>
            <w:vMerge/>
            <w:tcBorders>
              <w:left w:val="single" w:sz="4" w:space="0" w:color="000000"/>
              <w:right w:val="single" w:sz="4" w:space="0" w:color="000000"/>
            </w:tcBorders>
            <w:shd w:val="clear" w:color="auto" w:fill="D4D4D4"/>
          </w:tcPr>
          <w:p>
            <w:pPr/>
          </w:p>
        </w:tc>
        <w:tc>
          <w:tcPr>
            <w:tcW w:w="802" w:type="dxa"/>
            <w:vMerge/>
            <w:tcBorders>
              <w:left w:val="single" w:sz="4" w:space="0" w:color="000000"/>
              <w:right w:val="single" w:sz="4" w:space="0" w:color="000000"/>
            </w:tcBorders>
            <w:shd w:val="clear" w:color="auto" w:fill="D4D4D4"/>
          </w:tcPr>
          <w:p>
            <w:pPr/>
          </w:p>
        </w:tc>
        <w:tc>
          <w:tcPr>
            <w:tcW w:w="2698" w:type="dxa"/>
            <w:gridSpan w:val="4"/>
            <w:vMerge/>
            <w:tcBorders>
              <w:left w:val="single" w:sz="4" w:space="0" w:color="000000"/>
              <w:right w:val="single" w:sz="4" w:space="0" w:color="000000"/>
            </w:tcBorders>
            <w:shd w:val="clear" w:color="auto" w:fill="D4D4D4"/>
          </w:tcPr>
          <w:p>
            <w:pPr/>
          </w:p>
        </w:tc>
      </w:tr>
      <w:tr>
        <w:trPr>
          <w:trHeight w:val="142" w:hRule="exact"/>
        </w:trPr>
        <w:tc>
          <w:tcPr>
            <w:tcW w:w="1469"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5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8" w:right="-9"/>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4" w:type="dxa"/>
            <w:vMerge/>
            <w:tcBorders>
              <w:left w:val="single" w:sz="4" w:space="0" w:color="000000"/>
              <w:right w:val="single" w:sz="4" w:space="0" w:color="000000"/>
            </w:tcBorders>
            <w:shd w:val="clear" w:color="auto" w:fill="D4D4D4"/>
          </w:tcPr>
          <w:p>
            <w:pPr/>
          </w:p>
        </w:tc>
        <w:tc>
          <w:tcPr>
            <w:tcW w:w="790" w:type="dxa"/>
            <w:gridSpan w:val="2"/>
            <w:vMerge/>
            <w:tcBorders>
              <w:left w:val="single" w:sz="4" w:space="0" w:color="000000"/>
              <w:right w:val="single" w:sz="4" w:space="0" w:color="000000"/>
            </w:tcBorders>
            <w:shd w:val="clear" w:color="auto" w:fill="D4D4D4"/>
          </w:tcPr>
          <w:p>
            <w:pPr/>
          </w:p>
        </w:tc>
        <w:tc>
          <w:tcPr>
            <w:tcW w:w="823" w:type="dxa"/>
            <w:vMerge/>
            <w:tcBorders>
              <w:left w:val="single" w:sz="4" w:space="0" w:color="000000"/>
              <w:right w:val="single" w:sz="4" w:space="0" w:color="000000"/>
            </w:tcBorders>
            <w:shd w:val="clear" w:color="auto" w:fill="D4D4D4"/>
          </w:tcPr>
          <w:p>
            <w:pPr/>
          </w:p>
        </w:tc>
        <w:tc>
          <w:tcPr>
            <w:tcW w:w="802" w:type="dxa"/>
            <w:vMerge/>
            <w:tcBorders>
              <w:left w:val="single" w:sz="4" w:space="0" w:color="000000"/>
              <w:right w:val="single" w:sz="4" w:space="0" w:color="000000"/>
            </w:tcBorders>
            <w:shd w:val="clear" w:color="auto" w:fill="D4D4D4"/>
          </w:tcPr>
          <w:p>
            <w:pPr/>
          </w:p>
        </w:tc>
        <w:tc>
          <w:tcPr>
            <w:tcW w:w="2698" w:type="dxa"/>
            <w:gridSpan w:val="4"/>
            <w:vMerge/>
            <w:tcBorders>
              <w:left w:val="single" w:sz="4" w:space="0" w:color="000000"/>
              <w:bottom w:val="single" w:sz="4" w:space="0" w:color="000000"/>
              <w:right w:val="single" w:sz="4" w:space="0" w:color="000000"/>
            </w:tcBorders>
            <w:shd w:val="clear" w:color="auto" w:fill="D4D4D4"/>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4D4D4"/>
          </w:tcPr>
          <w:p>
            <w:pPr/>
          </w:p>
        </w:tc>
        <w:tc>
          <w:tcPr>
            <w:tcW w:w="1411" w:type="dxa"/>
            <w:gridSpan w:val="2"/>
            <w:vMerge/>
            <w:tcBorders>
              <w:left w:val="single" w:sz="4" w:space="0" w:color="000000"/>
              <w:bottom w:val="nil" w:sz="6" w:space="0" w:color="auto"/>
              <w:right w:val="single" w:sz="4" w:space="0" w:color="000000"/>
            </w:tcBorders>
            <w:shd w:val="clear" w:color="auto" w:fill="D4D4D4"/>
          </w:tcPr>
          <w:p>
            <w:pPr/>
          </w:p>
        </w:tc>
        <w:tc>
          <w:tcPr>
            <w:tcW w:w="750" w:type="dxa"/>
            <w:vMerge/>
            <w:tcBorders>
              <w:left w:val="single" w:sz="4" w:space="0" w:color="000000"/>
              <w:bottom w:val="nil" w:sz="6" w:space="0" w:color="auto"/>
              <w:right w:val="single" w:sz="4" w:space="0" w:color="000000"/>
            </w:tcBorders>
            <w:shd w:val="clear" w:color="auto" w:fill="D4D4D4"/>
          </w:tcPr>
          <w:p>
            <w:pPr/>
          </w:p>
        </w:tc>
        <w:tc>
          <w:tcPr>
            <w:tcW w:w="824" w:type="dxa"/>
            <w:vMerge/>
            <w:tcBorders>
              <w:left w:val="single" w:sz="4" w:space="0" w:color="000000"/>
              <w:right w:val="single" w:sz="4" w:space="0" w:color="000000"/>
            </w:tcBorders>
            <w:shd w:val="clear" w:color="auto" w:fill="D4D4D4"/>
          </w:tcPr>
          <w:p>
            <w:pPr/>
          </w:p>
        </w:tc>
        <w:tc>
          <w:tcPr>
            <w:tcW w:w="790" w:type="dxa"/>
            <w:gridSpan w:val="2"/>
            <w:vMerge/>
            <w:tcBorders>
              <w:left w:val="single" w:sz="4" w:space="0" w:color="000000"/>
              <w:right w:val="single" w:sz="4" w:space="0" w:color="000000"/>
            </w:tcBorders>
            <w:shd w:val="clear" w:color="auto" w:fill="D4D4D4"/>
          </w:tcPr>
          <w:p>
            <w:pPr/>
          </w:p>
        </w:tc>
        <w:tc>
          <w:tcPr>
            <w:tcW w:w="823" w:type="dxa"/>
            <w:vMerge/>
            <w:tcBorders>
              <w:left w:val="single" w:sz="4" w:space="0" w:color="000000"/>
              <w:right w:val="single" w:sz="4" w:space="0" w:color="000000"/>
            </w:tcBorders>
            <w:shd w:val="clear" w:color="auto" w:fill="D4D4D4"/>
          </w:tcPr>
          <w:p>
            <w:pPr/>
          </w:p>
        </w:tc>
        <w:tc>
          <w:tcPr>
            <w:tcW w:w="802" w:type="dxa"/>
            <w:vMerge/>
            <w:tcBorders>
              <w:left w:val="single" w:sz="4" w:space="0" w:color="000000"/>
              <w:right w:val="single" w:sz="4" w:space="0" w:color="000000"/>
            </w:tcBorders>
            <w:shd w:val="clear" w:color="auto" w:fill="D4D4D4"/>
          </w:tcPr>
          <w:p>
            <w:pPr/>
          </w:p>
        </w:tc>
        <w:tc>
          <w:tcPr>
            <w:tcW w:w="1349"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4"/>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4D4D4"/>
          </w:tcPr>
          <w:p>
            <w:pPr/>
          </w:p>
        </w:tc>
        <w:tc>
          <w:tcPr>
            <w:tcW w:w="1411" w:type="dxa"/>
            <w:gridSpan w:val="2"/>
            <w:vMerge w:val="restart"/>
            <w:tcBorders>
              <w:top w:val="nil" w:sz="6" w:space="0" w:color="auto"/>
              <w:left w:val="single" w:sz="4" w:space="0" w:color="000000"/>
              <w:right w:val="single" w:sz="4" w:space="0" w:color="000000"/>
            </w:tcBorders>
            <w:shd w:val="clear" w:color="auto" w:fill="D4D4D4"/>
          </w:tcPr>
          <w:p>
            <w:pPr/>
          </w:p>
        </w:tc>
        <w:tc>
          <w:tcPr>
            <w:tcW w:w="750" w:type="dxa"/>
            <w:vMerge w:val="restart"/>
            <w:tcBorders>
              <w:top w:val="nil" w:sz="6" w:space="0" w:color="auto"/>
              <w:left w:val="single" w:sz="4" w:space="0" w:color="000000"/>
              <w:right w:val="single" w:sz="4" w:space="0" w:color="000000"/>
            </w:tcBorders>
            <w:shd w:val="clear" w:color="auto" w:fill="D4D4D4"/>
          </w:tcPr>
          <w:p>
            <w:pPr/>
          </w:p>
        </w:tc>
        <w:tc>
          <w:tcPr>
            <w:tcW w:w="824" w:type="dxa"/>
            <w:vMerge/>
            <w:tcBorders>
              <w:left w:val="single" w:sz="4" w:space="0" w:color="000000"/>
              <w:bottom w:val="nil" w:sz="6" w:space="0" w:color="auto"/>
              <w:right w:val="single" w:sz="4" w:space="0" w:color="000000"/>
            </w:tcBorders>
            <w:shd w:val="clear" w:color="auto" w:fill="D4D4D4"/>
          </w:tcPr>
          <w:p>
            <w:pPr/>
          </w:p>
        </w:tc>
        <w:tc>
          <w:tcPr>
            <w:tcW w:w="790" w:type="dxa"/>
            <w:gridSpan w:val="2"/>
            <w:vMerge/>
            <w:tcBorders>
              <w:left w:val="single" w:sz="4" w:space="0" w:color="000000"/>
              <w:right w:val="single" w:sz="4" w:space="0" w:color="000000"/>
            </w:tcBorders>
            <w:shd w:val="clear" w:color="auto" w:fill="D4D4D4"/>
          </w:tcPr>
          <w:p>
            <w:pPr/>
          </w:p>
        </w:tc>
        <w:tc>
          <w:tcPr>
            <w:tcW w:w="823" w:type="dxa"/>
            <w:vMerge/>
            <w:tcBorders>
              <w:left w:val="single" w:sz="4" w:space="0" w:color="000000"/>
              <w:right w:val="single" w:sz="4" w:space="0" w:color="000000"/>
            </w:tcBorders>
            <w:shd w:val="clear" w:color="auto" w:fill="D4D4D4"/>
          </w:tcPr>
          <w:p>
            <w:pPr/>
          </w:p>
        </w:tc>
        <w:tc>
          <w:tcPr>
            <w:tcW w:w="802" w:type="dxa"/>
            <w:vMerge/>
            <w:tcBorders>
              <w:left w:val="single" w:sz="4" w:space="0" w:color="000000"/>
              <w:right w:val="single" w:sz="4" w:space="0" w:color="000000"/>
            </w:tcBorders>
            <w:shd w:val="clear" w:color="auto" w:fill="D4D4D4"/>
          </w:tcPr>
          <w:p>
            <w:pPr/>
          </w:p>
        </w:tc>
        <w:tc>
          <w:tcPr>
            <w:tcW w:w="1349" w:type="dxa"/>
            <w:gridSpan w:val="2"/>
            <w:vMerge/>
            <w:tcBorders>
              <w:left w:val="single" w:sz="4" w:space="0" w:color="000000"/>
              <w:right w:val="single" w:sz="4" w:space="0" w:color="000000"/>
            </w:tcBorders>
            <w:shd w:val="clear" w:color="auto" w:fill="D4D4D4"/>
          </w:tcPr>
          <w:p>
            <w:pPr/>
          </w:p>
        </w:tc>
        <w:tc>
          <w:tcPr>
            <w:tcW w:w="1349" w:type="dxa"/>
            <w:gridSpan w:val="2"/>
            <w:vMerge/>
            <w:tcBorders>
              <w:left w:val="single" w:sz="4" w:space="0" w:color="000000"/>
              <w:right w:val="single" w:sz="4" w:space="0" w:color="000000"/>
            </w:tcBorders>
            <w:shd w:val="clear" w:color="auto" w:fill="D4D4D4"/>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4D4D4"/>
          </w:tcPr>
          <w:p>
            <w:pPr/>
          </w:p>
        </w:tc>
        <w:tc>
          <w:tcPr>
            <w:tcW w:w="1411" w:type="dxa"/>
            <w:gridSpan w:val="2"/>
            <w:vMerge/>
            <w:tcBorders>
              <w:left w:val="single" w:sz="4" w:space="0" w:color="000000"/>
              <w:bottom w:val="single" w:sz="4" w:space="0" w:color="000000"/>
              <w:right w:val="single" w:sz="4" w:space="0" w:color="000000"/>
            </w:tcBorders>
            <w:shd w:val="clear" w:color="auto" w:fill="D4D4D4"/>
          </w:tcPr>
          <w:p>
            <w:pPr/>
          </w:p>
        </w:tc>
        <w:tc>
          <w:tcPr>
            <w:tcW w:w="750" w:type="dxa"/>
            <w:vMerge/>
            <w:tcBorders>
              <w:left w:val="single" w:sz="4" w:space="0" w:color="000000"/>
              <w:bottom w:val="single" w:sz="4" w:space="0" w:color="000000"/>
              <w:right w:val="single" w:sz="4" w:space="0" w:color="000000"/>
            </w:tcBorders>
            <w:shd w:val="clear" w:color="auto" w:fill="D4D4D4"/>
          </w:tcPr>
          <w:p>
            <w:pPr/>
          </w:p>
        </w:tc>
        <w:tc>
          <w:tcPr>
            <w:tcW w:w="824" w:type="dxa"/>
            <w:tcBorders>
              <w:top w:val="nil" w:sz="6" w:space="0" w:color="auto"/>
              <w:left w:val="single" w:sz="4" w:space="0" w:color="000000"/>
              <w:bottom w:val="single" w:sz="4" w:space="0" w:color="000000"/>
              <w:right w:val="single" w:sz="4" w:space="0" w:color="000000"/>
            </w:tcBorders>
            <w:shd w:val="clear" w:color="auto" w:fill="D4D4D4"/>
          </w:tcPr>
          <w:p>
            <w:pPr/>
          </w:p>
        </w:tc>
        <w:tc>
          <w:tcPr>
            <w:tcW w:w="790" w:type="dxa"/>
            <w:gridSpan w:val="2"/>
            <w:vMerge/>
            <w:tcBorders>
              <w:left w:val="single" w:sz="4" w:space="0" w:color="000000"/>
              <w:bottom w:val="single" w:sz="4" w:space="0" w:color="000000"/>
              <w:right w:val="single" w:sz="4" w:space="0" w:color="000000"/>
            </w:tcBorders>
            <w:shd w:val="clear" w:color="auto" w:fill="D4D4D4"/>
          </w:tcPr>
          <w:p>
            <w:pPr/>
          </w:p>
        </w:tc>
        <w:tc>
          <w:tcPr>
            <w:tcW w:w="823" w:type="dxa"/>
            <w:vMerge/>
            <w:tcBorders>
              <w:left w:val="single" w:sz="4" w:space="0" w:color="000000"/>
              <w:bottom w:val="single" w:sz="4" w:space="0" w:color="000000"/>
              <w:right w:val="single" w:sz="4" w:space="0" w:color="000000"/>
            </w:tcBorders>
            <w:shd w:val="clear" w:color="auto" w:fill="D4D4D4"/>
          </w:tcPr>
          <w:p>
            <w:pPr/>
          </w:p>
        </w:tc>
        <w:tc>
          <w:tcPr>
            <w:tcW w:w="802" w:type="dxa"/>
            <w:vMerge/>
            <w:tcBorders>
              <w:left w:val="single" w:sz="4" w:space="0" w:color="000000"/>
              <w:bottom w:val="single" w:sz="4" w:space="0" w:color="000000"/>
              <w:right w:val="single" w:sz="4" w:space="0" w:color="000000"/>
            </w:tcBorders>
            <w:shd w:val="clear" w:color="auto" w:fill="D4D4D4"/>
          </w:tcPr>
          <w:p>
            <w:pPr/>
          </w:p>
        </w:tc>
        <w:tc>
          <w:tcPr>
            <w:tcW w:w="1349" w:type="dxa"/>
            <w:gridSpan w:val="2"/>
            <w:vMerge/>
            <w:tcBorders>
              <w:left w:val="single" w:sz="4" w:space="0" w:color="000000"/>
              <w:bottom w:val="single" w:sz="4" w:space="0" w:color="000000"/>
              <w:right w:val="single" w:sz="4" w:space="0" w:color="000000"/>
            </w:tcBorders>
            <w:shd w:val="clear" w:color="auto" w:fill="D4D4D4"/>
          </w:tcPr>
          <w:p>
            <w:pPr/>
          </w:p>
        </w:tc>
        <w:tc>
          <w:tcPr>
            <w:tcW w:w="1349" w:type="dxa"/>
            <w:gridSpan w:val="2"/>
            <w:vMerge/>
            <w:tcBorders>
              <w:left w:val="single" w:sz="4" w:space="0" w:color="000000"/>
              <w:bottom w:val="single" w:sz="4" w:space="0" w:color="000000"/>
              <w:right w:val="single" w:sz="4" w:space="0" w:color="000000"/>
            </w:tcBorders>
            <w:shd w:val="clear" w:color="auto" w:fill="D4D4D4"/>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蔡敏</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11.91%</w:t>
            </w:r>
            <w:r>
              <w:rPr>
                <w:rFonts w:ascii="Times New Roman"/>
                <w:sz w:val="18"/>
              </w:rPr>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85,263,50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-3360000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6"/>
              <w:jc w:val="right"/>
              <w:rPr>
                <w:rFonts w:ascii="Times New Roman" w:hAnsi="Times New Roman" w:cs="Times New Roman" w:eastAsia="Times New Roman" w:hint="default"/>
                <w:sz w:val="18"/>
                <w:szCs w:val="18"/>
              </w:rPr>
            </w:pPr>
            <w:r>
              <w:rPr>
                <w:rFonts w:ascii="Times New Roman"/>
                <w:spacing w:val="-1"/>
                <w:sz w:val="18"/>
              </w:rPr>
              <w:t>66,467,62</w:t>
            </w:r>
          </w:p>
          <w:p>
            <w:pPr>
              <w:pStyle w:val="TableParagraph"/>
              <w:spacing w:line="240" w:lineRule="auto" w:before="105"/>
              <w:ind w:right="58"/>
              <w:jc w:val="right"/>
              <w:rPr>
                <w:rFonts w:ascii="Times New Roman" w:hAnsi="Times New Roman" w:cs="Times New Roman" w:eastAsia="Times New Roman" w:hint="default"/>
                <w:sz w:val="18"/>
                <w:szCs w:val="18"/>
              </w:rPr>
            </w:pPr>
            <w:r>
              <w:rPr>
                <w:rFonts w:ascii="Times New Roman"/>
                <w:sz w:val="18"/>
              </w:rPr>
              <w:t>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18,795,87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349" w:type="dxa"/>
            <w:gridSpan w:val="2"/>
            <w:tcBorders>
              <w:top w:val="single" w:sz="48" w:space="0" w:color="D4D4D4"/>
              <w:left w:val="single" w:sz="4" w:space="0" w:color="000000"/>
              <w:bottom w:val="single" w:sz="4" w:space="0" w:color="000000"/>
              <w:right w:val="single" w:sz="4" w:space="0" w:color="000000"/>
            </w:tcBorders>
          </w:tcPr>
          <w:p>
            <w:pPr>
              <w:pStyle w:val="TableParagraph"/>
              <w:spacing w:line="240" w:lineRule="auto" w:before="1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8" w:space="0" w:color="D4D4D4"/>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69,800,000</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侯友夫</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10.33%</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73,894,09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-1822940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5</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6"/>
              <w:jc w:val="right"/>
              <w:rPr>
                <w:rFonts w:ascii="Times New Roman" w:hAnsi="Times New Roman" w:cs="Times New Roman" w:eastAsia="Times New Roman" w:hint="default"/>
                <w:sz w:val="18"/>
                <w:szCs w:val="18"/>
              </w:rPr>
            </w:pPr>
            <w:r>
              <w:rPr>
                <w:rFonts w:ascii="Times New Roman"/>
                <w:spacing w:val="-1"/>
                <w:sz w:val="18"/>
              </w:rPr>
              <w:t>69,092,62</w:t>
            </w:r>
          </w:p>
          <w:p>
            <w:pPr>
              <w:pStyle w:val="TableParagraph"/>
              <w:spacing w:line="240" w:lineRule="auto" w:before="105"/>
              <w:ind w:right="58"/>
              <w:jc w:val="right"/>
              <w:rPr>
                <w:rFonts w:ascii="Times New Roman" w:hAnsi="Times New Roman" w:cs="Times New Roman" w:eastAsia="Times New Roman" w:hint="default"/>
                <w:sz w:val="18"/>
                <w:szCs w:val="18"/>
              </w:rPr>
            </w:pPr>
            <w:r>
              <w:rPr>
                <w:rFonts w:ascii="Times New Roman"/>
                <w:sz w:val="18"/>
              </w:rPr>
              <w:t>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4,801,470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46,928,000</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刘龙保</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48,636,62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-1619990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6"/>
              <w:jc w:val="right"/>
              <w:rPr>
                <w:rFonts w:ascii="Times New Roman" w:hAnsi="Times New Roman" w:cs="Times New Roman" w:eastAsia="Times New Roman" w:hint="default"/>
                <w:sz w:val="18"/>
                <w:szCs w:val="18"/>
              </w:rPr>
            </w:pPr>
            <w:r>
              <w:rPr>
                <w:rFonts w:ascii="Times New Roman"/>
                <w:spacing w:val="-1"/>
                <w:sz w:val="18"/>
              </w:rPr>
              <w:t>48,627,39</w:t>
            </w:r>
          </w:p>
          <w:p>
            <w:pPr>
              <w:pStyle w:val="TableParagraph"/>
              <w:spacing w:line="240" w:lineRule="auto" w:before="105"/>
              <w:ind w:right="5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9,230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35,000,000</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孙晋明</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6.25%</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44,760,20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-3096412</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7"/>
              <w:jc w:val="right"/>
              <w:rPr>
                <w:rFonts w:ascii="Times New Roman" w:hAnsi="Times New Roman" w:cs="Times New Roman" w:eastAsia="Times New Roman" w:hint="default"/>
                <w:sz w:val="18"/>
                <w:szCs w:val="18"/>
              </w:rPr>
            </w:pPr>
            <w:r>
              <w:rPr>
                <w:rFonts w:ascii="Times New Roman"/>
                <w:spacing w:val="-1"/>
                <w:sz w:val="18"/>
              </w:rPr>
              <w:t>35,892,46</w:t>
            </w:r>
            <w:r>
              <w:rPr>
                <w:rFonts w:ascii="Times New Roman"/>
                <w:sz w:val="18"/>
              </w:rPr>
            </w:r>
          </w:p>
          <w:p>
            <w:pPr>
              <w:pStyle w:val="TableParagraph"/>
              <w:spacing w:line="240" w:lineRule="auto" w:before="105"/>
              <w:ind w:right="58"/>
              <w:jc w:val="right"/>
              <w:rPr>
                <w:rFonts w:ascii="Times New Roman" w:hAnsi="Times New Roman" w:cs="Times New Roman" w:eastAsia="Times New Roman" w:hint="default"/>
                <w:sz w:val="18"/>
                <w:szCs w:val="18"/>
              </w:rPr>
            </w:pPr>
            <w:r>
              <w:rPr>
                <w:rFonts w:ascii="Times New Roman"/>
                <w:sz w:val="18"/>
              </w:rPr>
              <w:t>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8,867,743</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31,476,000</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寿招爱</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5.57%</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39,880,57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-1329352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5</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6"/>
              <w:jc w:val="right"/>
              <w:rPr>
                <w:rFonts w:ascii="Times New Roman" w:hAnsi="Times New Roman" w:cs="Times New Roman" w:eastAsia="Times New Roman" w:hint="default"/>
                <w:sz w:val="18"/>
                <w:szCs w:val="18"/>
              </w:rPr>
            </w:pPr>
            <w:r>
              <w:rPr>
                <w:rFonts w:ascii="Times New Roman"/>
                <w:spacing w:val="-1"/>
                <w:sz w:val="18"/>
              </w:rPr>
              <w:t>39,880,57</w:t>
            </w:r>
          </w:p>
          <w:p>
            <w:pPr>
              <w:pStyle w:val="TableParagraph"/>
              <w:spacing w:line="240" w:lineRule="auto" w:before="105"/>
              <w:ind w:right="58"/>
              <w:jc w:val="right"/>
              <w:rPr>
                <w:rFonts w:ascii="Times New Roman" w:hAnsi="Times New Roman" w:cs="Times New Roman" w:eastAsia="Times New Roman" w:hint="default"/>
                <w:sz w:val="18"/>
                <w:szCs w:val="18"/>
              </w:rPr>
            </w:pPr>
            <w:r>
              <w:rPr>
                <w:rFonts w:ascii="Times New Roman"/>
                <w:sz w:val="18"/>
              </w:rPr>
              <w:t>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童敏</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2.65%</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18,942,31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18,942,31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7" w:right="0"/>
              <w:jc w:val="left"/>
              <w:rPr>
                <w:rFonts w:ascii="Times New Roman" w:hAnsi="Times New Roman" w:cs="Times New Roman" w:eastAsia="Times New Roman" w:hint="default"/>
                <w:sz w:val="18"/>
                <w:szCs w:val="18"/>
              </w:rPr>
            </w:pPr>
            <w:r>
              <w:rPr>
                <w:rFonts w:ascii="Times New Roman"/>
                <w:sz w:val="18"/>
              </w:rPr>
              <w:t>9,422,000</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林伟通</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2.65%</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18,942,31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18,942,31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3" w:right="0"/>
              <w:jc w:val="left"/>
              <w:rPr>
                <w:rFonts w:ascii="Times New Roman" w:hAnsi="Times New Roman" w:cs="Times New Roman" w:eastAsia="Times New Roman" w:hint="default"/>
                <w:sz w:val="18"/>
                <w:szCs w:val="18"/>
              </w:rPr>
            </w:pPr>
            <w:r>
              <w:rPr>
                <w:rFonts w:ascii="Times New Roman"/>
                <w:sz w:val="18"/>
              </w:rPr>
              <w:t>11,200,000</w:t>
            </w:r>
          </w:p>
        </w:tc>
      </w:tr>
      <w:tr>
        <w:trPr>
          <w:trHeight w:val="165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深圳市前海高盛 鑫资产管理有限 责任公司－红叶 九号私募证券投 资基金</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2.31%</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16,508,12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16,508,12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济南天辰机器集 团有限公司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1.93%</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13,845,62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6"/>
              <w:jc w:val="right"/>
              <w:rPr>
                <w:rFonts w:ascii="Times New Roman" w:hAnsi="Times New Roman" w:cs="Times New Roman" w:eastAsia="Times New Roman" w:hint="default"/>
                <w:sz w:val="18"/>
                <w:szCs w:val="18"/>
              </w:rPr>
            </w:pPr>
            <w:r>
              <w:rPr>
                <w:rFonts w:ascii="Times New Roman"/>
                <w:spacing w:val="-1"/>
                <w:sz w:val="18"/>
              </w:rPr>
              <w:t>13,845,62</w:t>
            </w:r>
          </w:p>
          <w:p>
            <w:pPr>
              <w:pStyle w:val="TableParagraph"/>
              <w:spacing w:line="240" w:lineRule="auto" w:before="105"/>
              <w:ind w:right="58"/>
              <w:jc w:val="right"/>
              <w:rPr>
                <w:rFonts w:ascii="Times New Roman" w:hAnsi="Times New Roman" w:cs="Times New Roman" w:eastAsia="Times New Roman" w:hint="default"/>
                <w:sz w:val="18"/>
                <w:szCs w:val="18"/>
              </w:rPr>
            </w:pPr>
            <w:r>
              <w:rPr>
                <w:rFonts w:ascii="Times New Roman"/>
                <w:sz w:val="18"/>
              </w:rPr>
              <w:t>1</w:t>
            </w:r>
          </w:p>
        </w:tc>
        <w:tc>
          <w:tcPr>
            <w:tcW w:w="80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四川信托有限公 司－四川信托－ 五洋科技员工持 股计划集合资金 信托计划</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12,145,56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12,145,56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6" w:type="dxa"/>
            <w:gridSpan w:val="10"/>
            <w:tcBorders>
              <w:top w:val="single" w:sz="4" w:space="0" w:color="000000"/>
              <w:left w:val="single" w:sz="9" w:space="0" w:color="D4D4D4"/>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6" w:type="dxa"/>
            <w:gridSpan w:val="10"/>
            <w:tcBorders>
              <w:top w:val="single" w:sz="4" w:space="0" w:color="000000"/>
              <w:left w:val="single" w:sz="9" w:space="0" w:color="D4D4D4"/>
              <w:bottom w:val="single" w:sz="4" w:space="0" w:color="000000"/>
              <w:right w:val="single" w:sz="4" w:space="0" w:color="000000"/>
            </w:tcBorders>
          </w:tcPr>
          <w:p>
            <w:pPr>
              <w:pStyle w:val="TableParagraph"/>
              <w:spacing w:line="300" w:lineRule="auto" w:before="49"/>
              <w:ind w:left="18" w:right="14"/>
              <w:jc w:val="left"/>
              <w:rPr>
                <w:rFonts w:ascii="宋体" w:hAnsi="宋体" w:cs="宋体" w:eastAsia="宋体" w:hint="default"/>
                <w:sz w:val="18"/>
                <w:szCs w:val="18"/>
              </w:rPr>
            </w:pPr>
            <w:r>
              <w:rPr>
                <w:rFonts w:ascii="宋体" w:hAnsi="宋体" w:cs="宋体" w:eastAsia="宋体" w:hint="default"/>
                <w:spacing w:val="-3"/>
                <w:sz w:val="18"/>
                <w:szCs w:val="18"/>
              </w:rPr>
              <w:t>蔡敏系侯友夫配偶，寿招爱系侯友夫母亲，三人合计持有本公司</w:t>
            </w:r>
            <w:r>
              <w:rPr>
                <w:rFonts w:ascii="宋体" w:hAnsi="宋体" w:cs="宋体" w:eastAsia="宋体" w:hint="default"/>
                <w:spacing w:val="-23"/>
                <w:sz w:val="18"/>
                <w:szCs w:val="18"/>
              </w:rPr>
              <w:t> </w:t>
            </w:r>
            <w:r>
              <w:rPr>
                <w:rFonts w:ascii="Times New Roman" w:hAnsi="Times New Roman" w:cs="Times New Roman" w:eastAsia="Times New Roman" w:hint="default"/>
                <w:spacing w:val="-3"/>
                <w:sz w:val="18"/>
                <w:szCs w:val="18"/>
              </w:rPr>
              <w:t>27.81%</w:t>
            </w:r>
            <w:r>
              <w:rPr>
                <w:rFonts w:ascii="宋体" w:hAnsi="宋体" w:cs="宋体" w:eastAsia="宋体" w:hint="default"/>
                <w:spacing w:val="-3"/>
                <w:sz w:val="18"/>
                <w:szCs w:val="18"/>
              </w:rPr>
              <w:t>的股份，为公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司控股股东、实际控制人。</w:t>
            </w:r>
          </w:p>
        </w:tc>
      </w:tr>
      <w:tr>
        <w:trPr>
          <w:trHeight w:val="401" w:hRule="exact"/>
        </w:trPr>
        <w:tc>
          <w:tcPr>
            <w:tcW w:w="9566" w:type="dxa"/>
            <w:gridSpan w:val="1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80"/>
        <w:gridCol w:w="3989"/>
        <w:gridCol w:w="1349"/>
        <w:gridCol w:w="1349"/>
      </w:tblGrid>
      <w:tr>
        <w:trPr>
          <w:trHeight w:val="402" w:hRule="exact"/>
        </w:trPr>
        <w:tc>
          <w:tcPr>
            <w:tcW w:w="288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4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880" w:type="dxa"/>
            <w:vMerge/>
            <w:tcBorders>
              <w:left w:val="single" w:sz="4" w:space="0" w:color="000000"/>
              <w:bottom w:val="single" w:sz="4" w:space="0" w:color="000000"/>
              <w:right w:val="single" w:sz="4" w:space="0" w:color="000000"/>
            </w:tcBorders>
            <w:shd w:val="clear" w:color="auto" w:fill="D4D4D4"/>
          </w:tcPr>
          <w:p>
            <w:pPr/>
          </w:p>
        </w:tc>
        <w:tc>
          <w:tcPr>
            <w:tcW w:w="3989" w:type="dxa"/>
            <w:vMerge/>
            <w:tcBorders>
              <w:left w:val="single" w:sz="4" w:space="0" w:color="000000"/>
              <w:bottom w:val="single" w:sz="4" w:space="0" w:color="000000"/>
              <w:right w:val="single" w:sz="4" w:space="0" w:color="000000"/>
            </w:tcBorders>
            <w:shd w:val="clear" w:color="auto" w:fill="D4D4D4"/>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童敏</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18,942,317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18,942,317</w:t>
            </w:r>
          </w:p>
        </w:tc>
      </w:tr>
      <w:tr>
        <w:trPr>
          <w:trHeight w:val="40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林伟通</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18,942,316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18,942,316</w:t>
            </w:r>
          </w:p>
        </w:tc>
      </w:tr>
      <w:tr>
        <w:trPr>
          <w:trHeight w:val="40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蔡敏</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18,795,875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18,795,875</w:t>
            </w:r>
          </w:p>
        </w:tc>
      </w:tr>
      <w:tr>
        <w:trPr>
          <w:trHeight w:val="1027"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4"/>
              <w:jc w:val="both"/>
              <w:rPr>
                <w:rFonts w:ascii="宋体" w:hAnsi="宋体" w:cs="宋体" w:eastAsia="宋体" w:hint="default"/>
                <w:sz w:val="18"/>
                <w:szCs w:val="18"/>
              </w:rPr>
            </w:pPr>
            <w:r>
              <w:rPr>
                <w:rFonts w:ascii="宋体" w:hAnsi="宋体" w:cs="宋体" w:eastAsia="宋体" w:hint="default"/>
                <w:sz w:val="18"/>
                <w:szCs w:val="18"/>
              </w:rPr>
              <w:t>深圳市前海高盛鑫资产管理有限责 任公司－红叶九号私募证券投资基 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16,508,120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16,508,120</w:t>
            </w:r>
          </w:p>
        </w:tc>
      </w:tr>
      <w:tr>
        <w:trPr>
          <w:trHeight w:val="1025"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both"/>
              <w:rPr>
                <w:rFonts w:ascii="宋体" w:hAnsi="宋体" w:cs="宋体" w:eastAsia="宋体" w:hint="default"/>
                <w:sz w:val="18"/>
                <w:szCs w:val="18"/>
              </w:rPr>
            </w:pPr>
            <w:r>
              <w:rPr>
                <w:rFonts w:ascii="宋体" w:hAnsi="宋体" w:cs="宋体" w:eastAsia="宋体" w:hint="default"/>
                <w:sz w:val="18"/>
                <w:szCs w:val="18"/>
              </w:rPr>
              <w:t>四川信托有限公司－四川信托－五 洋科技员工持股计划集合资金信托 计划</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12,145,560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12,145,560</w:t>
            </w:r>
          </w:p>
        </w:tc>
      </w:tr>
      <w:tr>
        <w:trPr>
          <w:trHeight w:val="715"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中国银行股份有限公司－宝盈核心 优势灵活配置混合型证券投资基金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11,594,202</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11,594,202</w:t>
            </w:r>
            <w:r>
              <w:rPr>
                <w:rFonts w:ascii="Times New Roman"/>
                <w:sz w:val="18"/>
              </w:rPr>
            </w:r>
          </w:p>
        </w:tc>
      </w:tr>
      <w:tr>
        <w:trPr>
          <w:trHeight w:val="40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李明英</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9,471,157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9,471,157</w:t>
            </w:r>
          </w:p>
        </w:tc>
      </w:tr>
      <w:tr>
        <w:trPr>
          <w:trHeight w:val="40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孙晋明</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8,867,743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8,867,743</w:t>
            </w:r>
          </w:p>
        </w:tc>
      </w:tr>
      <w:tr>
        <w:trPr>
          <w:trHeight w:val="40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张元华</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8,618,180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8,618,180</w:t>
            </w:r>
          </w:p>
        </w:tc>
      </w:tr>
      <w:tr>
        <w:trPr>
          <w:trHeight w:val="715"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广发证券股份有限公司－大成睿景 灵活配置混合型证券投资基金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8,132,251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8,132,251</w:t>
            </w:r>
          </w:p>
        </w:tc>
      </w:tr>
      <w:tr>
        <w:trPr>
          <w:trHeight w:val="1337" w:hRule="exact"/>
        </w:trPr>
        <w:tc>
          <w:tcPr>
            <w:tcW w:w="28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3"/>
              <w:ind w:left="24" w:right="16"/>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名无限售流通股股东之间关联关系或一致行动无法获悉，除同一股东外，前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名无限售流通股东和前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名股东之间无关联关系或一致行动。</w:t>
            </w:r>
          </w:p>
        </w:tc>
      </w:tr>
      <w:tr>
        <w:trPr>
          <w:trHeight w:val="1692" w:hRule="exact"/>
        </w:trPr>
        <w:tc>
          <w:tcPr>
            <w:tcW w:w="28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4"/>
              <w:ind w:left="24" w:right="19"/>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6"/>
                <w:sz w:val="18"/>
                <w:szCs w:val="18"/>
              </w:rPr>
              <w:t>有）（参见注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、股东深圳市前海高盛鑫资产管理有限责任公司－红叶九号私募证券投资基金通过 普通证券账户持有</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股，通过申万宏源西部证券有限公司客户信用交易担保证券账户</w:t>
            </w:r>
          </w:p>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16,508,120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股，实际合计持有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16,508,120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p>
            <w:pPr>
              <w:pStyle w:val="TableParagraph"/>
              <w:spacing w:line="240" w:lineRule="auto" w:before="10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、股东张元华通过普通证券账户持有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股，通过联储证券有限责任公司客户信用交</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易担保证券账户持有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8,618,180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股，实际合计持有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8,618,180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bl>
    <w:p>
      <w:pPr>
        <w:pStyle w:val="BodyText"/>
        <w:spacing w:line="240" w:lineRule="auto" w:before="49"/>
        <w:ind w:right="982"/>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9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982"/>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bookmarkStart w:name="2、公司控股股东情况" w:id="115"/>
      <w:bookmarkEnd w:id="115"/>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before="0"/>
        <w:ind w:right="8594"/>
        <w:jc w:val="left"/>
      </w:pPr>
      <w:r>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3418"/>
        <w:gridCol w:w="2030"/>
        <w:gridCol w:w="4118"/>
      </w:tblGrid>
      <w:tr>
        <w:trPr>
          <w:trHeight w:val="401" w:hRule="exact"/>
        </w:trPr>
        <w:tc>
          <w:tcPr>
            <w:tcW w:w="3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侯友夫</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蔡敏</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16"/>
        <w:gridCol w:w="2030"/>
        <w:gridCol w:w="4118"/>
      </w:tblGrid>
      <w:tr>
        <w:trPr>
          <w:trHeight w:val="40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寿招爱</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34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4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9"/>
              <w:jc w:val="both"/>
              <w:rPr>
                <w:rFonts w:ascii="宋体" w:hAnsi="宋体" w:cs="宋体" w:eastAsia="宋体" w:hint="default"/>
                <w:sz w:val="18"/>
                <w:szCs w:val="18"/>
              </w:rPr>
            </w:pPr>
            <w:r>
              <w:rPr>
                <w:rFonts w:ascii="宋体" w:hAnsi="宋体" w:cs="宋体" w:eastAsia="宋体" w:hint="default"/>
                <w:sz w:val="18"/>
                <w:szCs w:val="18"/>
              </w:rPr>
              <w:t>侯友夫先生，</w:t>
            </w:r>
            <w:r>
              <w:rPr>
                <w:rFonts w:ascii="Times New Roman" w:hAnsi="Times New Roman" w:cs="Times New Roman" w:eastAsia="Times New Roman" w:hint="default"/>
                <w:sz w:val="18"/>
                <w:szCs w:val="18"/>
              </w:rPr>
              <w:t>1960 </w:t>
            </w:r>
            <w:r>
              <w:rPr>
                <w:rFonts w:ascii="宋体" w:hAnsi="宋体" w:cs="宋体" w:eastAsia="宋体" w:hint="default"/>
                <w:spacing w:val="-3"/>
                <w:sz w:val="18"/>
                <w:szCs w:val="18"/>
              </w:rPr>
              <w:t>年生，博士研究生学历，现任公司董事长、总经理、董事职</w:t>
            </w:r>
            <w:r>
              <w:rPr>
                <w:rFonts w:ascii="宋体" w:hAnsi="宋体" w:cs="宋体" w:eastAsia="宋体" w:hint="default"/>
                <w:sz w:val="18"/>
                <w:szCs w:val="18"/>
              </w:rPr>
              <w:t> </w:t>
            </w:r>
            <w:r>
              <w:rPr>
                <w:rFonts w:ascii="宋体" w:hAnsi="宋体" w:cs="宋体" w:eastAsia="宋体" w:hint="default"/>
                <w:spacing w:val="-3"/>
                <w:sz w:val="18"/>
                <w:szCs w:val="18"/>
              </w:rPr>
              <w:t>务。蔡敏女士，</w:t>
            </w:r>
            <w:r>
              <w:rPr>
                <w:rFonts w:ascii="Times New Roman" w:hAnsi="Times New Roman" w:cs="Times New Roman" w:eastAsia="Times New Roman" w:hint="default"/>
                <w:spacing w:val="-3"/>
                <w:sz w:val="18"/>
                <w:szCs w:val="18"/>
              </w:rPr>
              <w:t>1960</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年生，本科学历，高级工程师，现任公司董事。寿招爱女</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士，</w:t>
            </w:r>
            <w:r>
              <w:rPr>
                <w:rFonts w:ascii="Times New Roman" w:hAnsi="Times New Roman" w:cs="Times New Roman" w:eastAsia="Times New Roman" w:hint="default"/>
                <w:sz w:val="18"/>
                <w:szCs w:val="18"/>
              </w:rPr>
              <w:t>1932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年生。</w:t>
            </w:r>
          </w:p>
        </w:tc>
      </w:tr>
      <w:tr>
        <w:trPr>
          <w:trHeight w:val="715" w:hRule="exact"/>
        </w:trPr>
        <w:tc>
          <w:tcPr>
            <w:tcW w:w="34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right="982"/>
        <w:jc w:val="left"/>
      </w:pPr>
      <w:r>
        <w:rPr/>
        <w:t>控股股东报告期内变更</w:t>
      </w:r>
    </w:p>
    <w:p>
      <w:pPr>
        <w:pStyle w:val="BodyText"/>
        <w:spacing w:line="340" w:lineRule="auto" w:before="115"/>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3"/>
        <w:rPr>
          <w:rFonts w:ascii="宋体" w:hAnsi="宋体" w:cs="宋体" w:eastAsia="宋体" w:hint="default"/>
          <w:sz w:val="21"/>
          <w:szCs w:val="21"/>
        </w:rPr>
      </w:pPr>
    </w:p>
    <w:p>
      <w:pPr>
        <w:pStyle w:val="Heading3"/>
        <w:spacing w:line="240" w:lineRule="auto"/>
        <w:ind w:right="982"/>
        <w:jc w:val="left"/>
        <w:rPr>
          <w:b w:val="0"/>
          <w:bCs w:val="0"/>
        </w:rPr>
      </w:pPr>
      <w:bookmarkStart w:name="3、公司实际控制人及其一致行动人" w:id="116"/>
      <w:bookmarkEnd w:id="116"/>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pStyle w:val="BodyText"/>
        <w:spacing w:line="360" w:lineRule="auto" w:before="0"/>
        <w:ind w:right="8414"/>
        <w:jc w:val="left"/>
      </w:pPr>
      <w:r>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1"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010" w:right="110"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侯友夫</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蔡敏</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寿招爱</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73"/>
              <w:jc w:val="left"/>
              <w:rPr>
                <w:rFonts w:ascii="宋体" w:hAnsi="宋体" w:cs="宋体" w:eastAsia="宋体" w:hint="default"/>
                <w:sz w:val="18"/>
                <w:szCs w:val="18"/>
              </w:rPr>
            </w:pPr>
            <w:r>
              <w:rPr>
                <w:rFonts w:ascii="宋体" w:hAnsi="宋体" w:cs="宋体" w:eastAsia="宋体" w:hint="default"/>
                <w:sz w:val="18"/>
                <w:szCs w:val="18"/>
              </w:rPr>
              <w:t>侯友夫先生，</w:t>
            </w:r>
            <w:r>
              <w:rPr>
                <w:rFonts w:ascii="Times New Roman" w:hAnsi="Times New Roman" w:cs="Times New Roman" w:eastAsia="Times New Roman" w:hint="default"/>
                <w:sz w:val="18"/>
                <w:szCs w:val="18"/>
              </w:rPr>
              <w:t>1960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年生，博士研究生学历，现任公司董事长、董事职务。蔡敏女士，</w:t>
            </w:r>
            <w:r>
              <w:rPr>
                <w:rFonts w:ascii="Times New Roman" w:hAnsi="Times New Roman" w:cs="Times New Roman" w:eastAsia="Times New Roman" w:hint="default"/>
                <w:sz w:val="18"/>
                <w:szCs w:val="18"/>
              </w:rPr>
              <w:t>1960 </w:t>
            </w:r>
            <w:r>
              <w:rPr>
                <w:rFonts w:ascii="宋体" w:hAnsi="宋体" w:cs="宋体" w:eastAsia="宋体" w:hint="default"/>
                <w:sz w:val="18"/>
                <w:szCs w:val="18"/>
              </w:rPr>
              <w:t>年生，本科学历，高级工程师，现任公司董事。寿招爱女士，</w:t>
            </w:r>
            <w:r>
              <w:rPr>
                <w:rFonts w:ascii="Times New Roman" w:hAnsi="Times New Roman" w:cs="Times New Roman" w:eastAsia="Times New Roman" w:hint="default"/>
                <w:sz w:val="18"/>
                <w:szCs w:val="18"/>
              </w:rPr>
              <w:t>1932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年生。</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982"/>
        <w:jc w:val="left"/>
      </w:pPr>
      <w:r>
        <w:rPr/>
        <w:t>实际控制人报告期内变更</w:t>
      </w:r>
    </w:p>
    <w:p>
      <w:pPr>
        <w:pStyle w:val="BodyText"/>
        <w:spacing w:line="348"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after="0" w:line="348" w:lineRule="auto"/>
        <w:jc w:val="left"/>
        <w:sectPr>
          <w:pgSz w:w="11910" w:h="16840"/>
          <w:pgMar w:header="745" w:footer="982" w:top="1060" w:bottom="118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spacing w:line="4229" w:lineRule="exact"/>
        <w:ind w:left="2287" w:right="0" w:firstLine="0"/>
        <w:rPr>
          <w:rFonts w:ascii="宋体" w:hAnsi="宋体" w:cs="宋体" w:eastAsia="宋体" w:hint="default"/>
          <w:sz w:val="20"/>
          <w:szCs w:val="20"/>
        </w:rPr>
      </w:pPr>
      <w:r>
        <w:rPr>
          <w:rFonts w:ascii="宋体" w:hAnsi="宋体" w:cs="宋体" w:eastAsia="宋体" w:hint="default"/>
          <w:position w:val="-84"/>
          <w:sz w:val="20"/>
          <w:szCs w:val="20"/>
        </w:rPr>
        <w:drawing>
          <wp:inline distT="0" distB="0" distL="0" distR="0">
            <wp:extent cx="3401099" cy="2685478"/>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3" cstate="print"/>
                    <a:stretch>
                      <a:fillRect/>
                    </a:stretch>
                  </pic:blipFill>
                  <pic:spPr>
                    <a:xfrm>
                      <a:off x="0" y="0"/>
                      <a:ext cx="3401099" cy="2685478"/>
                    </a:xfrm>
                    <a:prstGeom prst="rect">
                      <a:avLst/>
                    </a:prstGeom>
                  </pic:spPr>
                </pic:pic>
              </a:graphicData>
            </a:graphic>
          </wp:inline>
        </w:drawing>
      </w:r>
      <w:r>
        <w:rPr>
          <w:rFonts w:ascii="宋体" w:hAnsi="宋体" w:cs="宋体" w:eastAsia="宋体" w:hint="default"/>
          <w:position w:val="-84"/>
          <w:sz w:val="20"/>
          <w:szCs w:val="20"/>
        </w:rPr>
      </w:r>
    </w:p>
    <w:p>
      <w:pPr>
        <w:spacing w:line="240" w:lineRule="auto" w:before="12"/>
        <w:rPr>
          <w:rFonts w:ascii="宋体" w:hAnsi="宋体" w:cs="宋体" w:eastAsia="宋体" w:hint="default"/>
          <w:sz w:val="15"/>
          <w:szCs w:val="15"/>
        </w:rPr>
      </w:pPr>
    </w:p>
    <w:p>
      <w:pPr>
        <w:spacing w:before="26"/>
        <w:ind w:left="152" w:right="982"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0"/>
        <w:rPr>
          <w:rFonts w:ascii="宋体" w:hAnsi="宋体" w:cs="宋体" w:eastAsia="宋体" w:hint="default"/>
          <w:sz w:val="18"/>
          <w:szCs w:val="18"/>
        </w:rPr>
      </w:pPr>
    </w:p>
    <w:p>
      <w:pPr>
        <w:pStyle w:val="BodyText"/>
        <w:spacing w:line="240" w:lineRule="auto" w:before="0"/>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bookmarkStart w:name="4、其他持股在10%以上的法人股东" w:id="117"/>
      <w:bookmarkEnd w:id="117"/>
      <w:r>
        <w:rPr>
          <w:b w:val="0"/>
          <w:bCs w:val="0"/>
        </w:rPr>
      </w:r>
      <w:r>
        <w:rPr>
          <w:rFonts w:ascii="Times New Roman" w:hAnsi="Times New Roman" w:cs="Times New Roman" w:eastAsia="Times New Roman" w:hint="default"/>
        </w:rPr>
        <w:t>4</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bookmarkStart w:name="5、控股股东、实际控制人、重组方及其他承诺主体股份限制减持情况" w:id="118"/>
      <w:bookmarkEnd w:id="118"/>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4" w:right="982"/>
        <w:jc w:val="left"/>
        <w:rPr>
          <w:b w:val="0"/>
          <w:bCs w:val="0"/>
        </w:rPr>
      </w:pPr>
      <w:bookmarkStart w:name="_TOC_250005" w:id="119"/>
      <w:bookmarkStart w:name="第七节 优先股相关情况" w:id="120"/>
      <w:r>
        <w:rPr>
          <w:b w:val="0"/>
          <w:bCs w:val="0"/>
        </w:rPr>
      </w:r>
      <w:r>
        <w:rPr/>
        <w:t>第七节</w:t>
      </w:r>
      <w:r>
        <w:rPr>
          <w:spacing w:val="-6"/>
        </w:rPr>
        <w:t> </w:t>
      </w:r>
      <w:r>
        <w:rPr/>
        <w:t>优先股相关情况</w:t>
      </w:r>
      <w:bookmarkEnd w:id="119"/>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982"/>
        <w:jc w:val="left"/>
        <w:rPr>
          <w:b w:val="0"/>
          <w:bCs w:val="0"/>
        </w:rPr>
      </w:pPr>
      <w:bookmarkStart w:name="_TOC_250004" w:id="121"/>
      <w:bookmarkStart w:name="第八节 董事、监事、高级管理人员和员工情况" w:id="122"/>
      <w:r>
        <w:rPr>
          <w:b w:val="0"/>
          <w:bCs w:val="0"/>
        </w:rPr>
      </w:r>
      <w:r>
        <w:rPr/>
        <w:t>第八节</w:t>
      </w:r>
      <w:r>
        <w:rPr>
          <w:spacing w:val="-9"/>
        </w:rPr>
        <w:t> </w:t>
      </w:r>
      <w:r>
        <w:rPr/>
        <w:t>董事、监事、高级管理人员和员工情况</w:t>
      </w:r>
      <w:bookmarkEnd w:id="121"/>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982"/>
        <w:jc w:val="left"/>
        <w:rPr>
          <w:b w:val="0"/>
          <w:bCs w:val="0"/>
        </w:rPr>
      </w:pPr>
      <w:bookmarkStart w:name="一、董事、监事和高级管理人员持股变动" w:id="123"/>
      <w:bookmarkEnd w:id="123"/>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99"/>
        <w:gridCol w:w="797"/>
        <w:gridCol w:w="797"/>
        <w:gridCol w:w="797"/>
        <w:gridCol w:w="797"/>
        <w:gridCol w:w="797"/>
        <w:gridCol w:w="799"/>
        <w:gridCol w:w="797"/>
        <w:gridCol w:w="799"/>
        <w:gridCol w:w="797"/>
        <w:gridCol w:w="799"/>
        <w:gridCol w:w="797"/>
      </w:tblGrid>
      <w:tr>
        <w:trPr>
          <w:trHeight w:val="1027" w:hRule="exact"/>
        </w:trPr>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侯友夫</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董事、董 事长、总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65,802,50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-18,229,4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26,321,00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73,894,09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蔡敏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63,302,50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-3,360,00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25,321,00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85,263,50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刘龙保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5"/>
                <w:sz w:val="18"/>
              </w:rPr>
              <w:t>46,311,80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-16,199,9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18,524,72</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48,636,62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孙晋明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34,183,30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-3,096,41</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13,673,32</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44,760,20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胡云高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4"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5"/>
                <w:sz w:val="18"/>
              </w:rPr>
              <w:t>6,765,112</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2,706,045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9,471,157</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侯秀峰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1,318,630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527,452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1,846,082</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朱学义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林爱梅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叶飞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赵文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680,000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272,000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952,000</w:t>
            </w:r>
          </w:p>
        </w:tc>
      </w:tr>
      <w:tr>
        <w:trPr>
          <w:trHeight w:val="401"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799"/>
        <w:gridCol w:w="797"/>
        <w:gridCol w:w="797"/>
        <w:gridCol w:w="797"/>
        <w:gridCol w:w="797"/>
        <w:gridCol w:w="797"/>
        <w:gridCol w:w="799"/>
        <w:gridCol w:w="797"/>
        <w:gridCol w:w="799"/>
        <w:gridCol w:w="797"/>
        <w:gridCol w:w="799"/>
        <w:gridCol w:w="797"/>
      </w:tblGrid>
      <w:tr>
        <w:trPr>
          <w:trHeight w:val="674" w:hRule="exact"/>
        </w:trPr>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卜祥通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侯玉鹏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7"/>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4,944,864</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1,977,946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6,922,810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王兆勇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董事会秘 书、财务 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223,308,7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-40,885,7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89,323,48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271,746,4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72</w:t>
            </w:r>
          </w:p>
        </w:tc>
      </w:tr>
    </w:tbl>
    <w:p>
      <w:pPr>
        <w:spacing w:line="240" w:lineRule="auto" w:before="1"/>
        <w:rPr>
          <w:rFonts w:ascii="宋体" w:hAnsi="宋体" w:cs="宋体" w:eastAsia="宋体" w:hint="default"/>
          <w:b/>
          <w:bCs/>
          <w:sz w:val="18"/>
          <w:szCs w:val="18"/>
        </w:rPr>
      </w:pPr>
    </w:p>
    <w:p>
      <w:pPr>
        <w:pStyle w:val="Heading2"/>
        <w:spacing w:line="240" w:lineRule="auto" w:before="26"/>
        <w:ind w:right="982"/>
        <w:jc w:val="left"/>
        <w:rPr>
          <w:b w:val="0"/>
          <w:bCs w:val="0"/>
        </w:rPr>
      </w:pPr>
      <w:bookmarkStart w:name="二、公司董事、监事、高级管理人员变动情况" w:id="124"/>
      <w:bookmarkEnd w:id="124"/>
      <w:r>
        <w:rPr>
          <w:b w:val="0"/>
          <w:bCs w:val="0"/>
        </w:rPr>
      </w: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8"/>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刘龙保</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个人原因辞职</w:t>
            </w:r>
          </w:p>
        </w:tc>
      </w:tr>
    </w:tbl>
    <w:p>
      <w:pPr>
        <w:spacing w:line="240" w:lineRule="auto" w:before="1"/>
        <w:rPr>
          <w:rFonts w:ascii="宋体" w:hAnsi="宋体" w:cs="宋体" w:eastAsia="宋体" w:hint="default"/>
          <w:sz w:val="18"/>
          <w:szCs w:val="18"/>
        </w:rPr>
      </w:pPr>
    </w:p>
    <w:p>
      <w:pPr>
        <w:pStyle w:val="Heading2"/>
        <w:spacing w:line="240" w:lineRule="auto" w:before="26"/>
        <w:ind w:right="982"/>
        <w:jc w:val="left"/>
        <w:rPr>
          <w:b w:val="0"/>
          <w:bCs w:val="0"/>
        </w:rPr>
      </w:pPr>
      <w:bookmarkStart w:name="三、任职情况" w:id="125"/>
      <w:bookmarkEnd w:id="125"/>
      <w:r>
        <w:rPr>
          <w:b w:val="0"/>
          <w:bCs w:val="0"/>
        </w:rPr>
      </w: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before="0"/>
        <w:ind w:left="512" w:right="982" w:hanging="360"/>
        <w:jc w:val="left"/>
      </w:pPr>
      <w:r>
        <w:rPr/>
        <w:t>公司现任董事、监事、高级管理人员专业背景、主要工作经历以及目前在公司的主要职责 </w:t>
      </w:r>
      <w:r>
        <w:rPr>
          <w:spacing w:val="-2"/>
        </w:rPr>
        <w:t>侯友夫先生，</w:t>
      </w:r>
      <w:r>
        <w:rPr>
          <w:rFonts w:ascii="Times New Roman" w:hAnsi="Times New Roman" w:cs="Times New Roman" w:eastAsia="Times New Roman" w:hint="default"/>
          <w:spacing w:val="-2"/>
        </w:rPr>
        <w:t>1960</w:t>
      </w:r>
      <w:r>
        <w:rPr>
          <w:spacing w:val="-2"/>
        </w:rPr>
        <w:t>年生，中国国籍，无境外永久居留权，研究生学历、博士学位。</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4</w:t>
      </w:r>
      <w:r>
        <w:rPr>
          <w:spacing w:val="-2"/>
        </w:rPr>
        <w:t>月担任中国矿业</w:t>
      </w:r>
    </w:p>
    <w:p>
      <w:pPr>
        <w:pStyle w:val="BodyText"/>
        <w:spacing w:line="212" w:lineRule="exact" w:before="0"/>
        <w:ind w:right="982"/>
        <w:jc w:val="left"/>
        <w:rPr>
          <w:rFonts w:ascii="Times New Roman" w:hAnsi="Times New Roman" w:cs="Times New Roman" w:eastAsia="Times New Roman" w:hint="default"/>
        </w:rPr>
      </w:pPr>
      <w:r>
        <w:rPr/>
        <w:t>大学机电工程学院教授、博士生导师；</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月担任徐州五洋科技有限公司总经理；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p>
    <w:p>
      <w:pPr>
        <w:pStyle w:val="BodyText"/>
        <w:spacing w:line="300" w:lineRule="auto" w:before="62"/>
        <w:ind w:left="512" w:right="1124" w:hanging="360"/>
        <w:jc w:val="left"/>
      </w:pPr>
      <w:r>
        <w:rPr/>
        <w:t>月担任公司总经理；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月至今担任公司董事长、董事。 蔡敏女士，</w:t>
      </w:r>
      <w:r>
        <w:rPr>
          <w:rFonts w:ascii="Times New Roman" w:hAnsi="Times New Roman" w:cs="Times New Roman" w:eastAsia="Times New Roman" w:hint="default"/>
        </w:rPr>
        <w:t>1960</w:t>
      </w:r>
      <w:r>
        <w:rPr/>
        <w:t>年生，中国国籍，无境外永久居留权，本科学历，高级工程师。</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月至今担任公司董事。 刘龙保先生，</w:t>
      </w:r>
      <w:r>
        <w:rPr>
          <w:rFonts w:ascii="Times New Roman" w:hAnsi="Times New Roman" w:cs="Times New Roman" w:eastAsia="Times New Roman" w:hint="default"/>
        </w:rPr>
        <w:t>1959</w:t>
      </w:r>
      <w:r>
        <w:rPr/>
        <w:t>年生，中国国籍，无境外永久居留权，本科学历，高级工程师。</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月担任中国矿</w:t>
      </w:r>
    </w:p>
    <w:p>
      <w:pPr>
        <w:pStyle w:val="BodyText"/>
        <w:spacing w:line="300" w:lineRule="auto" w:before="13"/>
        <w:ind w:right="1124"/>
        <w:jc w:val="left"/>
      </w:pPr>
      <w:r>
        <w:rPr/>
        <w:t>业大学工程师、高级工程师；</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月担任徐州五洋科技有限公司高级工程师、副总经理；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月至今</w:t>
      </w:r>
      <w:r>
        <w:rPr>
          <w:spacing w:val="-3"/>
        </w:rPr>
        <w:t> </w:t>
      </w:r>
      <w:r>
        <w:rPr/>
        <w:t>担任公司董事。</w:t>
      </w:r>
    </w:p>
    <w:p>
      <w:pPr>
        <w:pStyle w:val="BodyText"/>
        <w:spacing w:line="300" w:lineRule="auto" w:before="31"/>
        <w:ind w:right="1131" w:firstLine="360"/>
        <w:jc w:val="both"/>
      </w:pPr>
      <w:r>
        <w:rPr/>
        <w:t>孙晋明先生，</w:t>
      </w:r>
      <w:r>
        <w:rPr>
          <w:rFonts w:ascii="Times New Roman" w:hAnsi="Times New Roman" w:cs="Times New Roman" w:eastAsia="Times New Roman" w:hint="default"/>
        </w:rPr>
        <w:t>1962</w:t>
      </w:r>
      <w:r>
        <w:rPr/>
        <w:t>年生，中国国籍，无境外永久居留权，本科学历，高级工程师。</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月担任中国矿 </w:t>
      </w:r>
      <w:r>
        <w:rPr>
          <w:spacing w:val="-2"/>
        </w:rPr>
        <w:t>业大学机电学院科研人员；</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11</w:t>
      </w:r>
      <w:r>
        <w:rPr>
          <w:spacing w:val="-2"/>
        </w:rPr>
        <w:t>月至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10</w:t>
      </w:r>
      <w:r>
        <w:rPr>
          <w:spacing w:val="-2"/>
        </w:rPr>
        <w:t>月担任徐州五洋科技有限公司副总经理；</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11</w:t>
      </w:r>
      <w:r>
        <w:rPr>
          <w:spacing w:val="-2"/>
        </w:rPr>
        <w:t>月至今</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月担任</w:t>
      </w:r>
      <w:r>
        <w:rPr>
          <w:spacing w:val="-50"/>
        </w:rPr>
        <w:t> </w:t>
      </w:r>
      <w:r>
        <w:rPr/>
        <w:t>徐州五洋科技股份有限公司董事、总经理；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月至今担任司董事、副总经理。</w:t>
      </w:r>
    </w:p>
    <w:p>
      <w:pPr>
        <w:pStyle w:val="BodyText"/>
        <w:spacing w:line="300" w:lineRule="auto" w:before="13"/>
        <w:ind w:right="1131" w:firstLine="359"/>
        <w:jc w:val="both"/>
      </w:pPr>
      <w:r>
        <w:rPr>
          <w:spacing w:val="-2"/>
        </w:rPr>
        <w:t>胡云高先生，</w:t>
      </w:r>
      <w:r>
        <w:rPr>
          <w:rFonts w:ascii="Times New Roman" w:hAnsi="Times New Roman" w:cs="Times New Roman" w:eastAsia="Times New Roman" w:hint="default"/>
          <w:spacing w:val="-2"/>
        </w:rPr>
        <w:t>1966</w:t>
      </w:r>
      <w:r>
        <w:rPr>
          <w:spacing w:val="-2"/>
        </w:rPr>
        <w:t>生，中国国籍，无境外永久居留权，本科学历。</w:t>
      </w:r>
      <w:r>
        <w:rPr>
          <w:rFonts w:ascii="Times New Roman" w:hAnsi="Times New Roman" w:cs="Times New Roman" w:eastAsia="Times New Roman" w:hint="default"/>
          <w:spacing w:val="-2"/>
        </w:rPr>
        <w:t>1993</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8</w:t>
      </w:r>
      <w:r>
        <w:rPr>
          <w:spacing w:val="-2"/>
        </w:rPr>
        <w:t>月任深圳市伟创华岳实业有限公</w:t>
      </w:r>
      <w:r>
        <w:rPr/>
        <w:t> 司副总经理，</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w:t>
      </w:r>
      <w:r>
        <w:rPr/>
        <w:t>至今任深圳市伟创自动化设备有限公司副总经理；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月至今担任公司董事；</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月至今</w:t>
      </w:r>
      <w:r>
        <w:rPr>
          <w:spacing w:val="-57"/>
        </w:rPr>
        <w:t> </w:t>
      </w:r>
      <w:r>
        <w:rPr/>
        <w:t>担任公司副总经理。</w:t>
      </w:r>
    </w:p>
    <w:p>
      <w:pPr>
        <w:pStyle w:val="BodyText"/>
        <w:spacing w:line="300" w:lineRule="auto" w:before="31"/>
        <w:ind w:right="1135" w:firstLine="360"/>
        <w:jc w:val="both"/>
      </w:pPr>
      <w:r>
        <w:rPr/>
        <w:t>侯秀峰先生，</w:t>
      </w:r>
      <w:r>
        <w:rPr>
          <w:rFonts w:ascii="Times New Roman" w:hAnsi="Times New Roman" w:cs="Times New Roman" w:eastAsia="Times New Roman" w:hint="default"/>
        </w:rPr>
        <w:t>1957</w:t>
      </w:r>
      <w:r>
        <w:rPr/>
        <w:t>年生，中国国籍，无境外永久居留权，高中学历。</w:t>
      </w:r>
      <w:r>
        <w:rPr>
          <w:rFonts w:ascii="Times New Roman" w:hAnsi="Times New Roman" w:cs="Times New Roman" w:eastAsia="Times New Roman" w:hint="default"/>
        </w:rPr>
        <w:t>2011</w:t>
      </w:r>
      <w:r>
        <w:rPr/>
        <w:t>年至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月任济南天辰铝机制造有限公司 </w:t>
      </w:r>
      <w:r>
        <w:rPr>
          <w:spacing w:val="-2"/>
        </w:rPr>
        <w:t>董事长；</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月至今任济南天辰铝机股份有限公司董事长；</w:t>
      </w:r>
      <w:r>
        <w:rPr>
          <w:rFonts w:ascii="Times New Roman" w:hAnsi="Times New Roman" w:cs="Times New Roman" w:eastAsia="Times New Roman" w:hint="default"/>
          <w:spacing w:val="-2"/>
        </w:rPr>
        <w:t>2011</w:t>
      </w:r>
      <w:r>
        <w:rPr>
          <w:spacing w:val="-2"/>
        </w:rPr>
        <w:t>年至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3</w:t>
      </w:r>
      <w:r>
        <w:rPr>
          <w:spacing w:val="-2"/>
        </w:rPr>
        <w:t>月任山东天辰智能停车设备有限公司执行董</w:t>
      </w:r>
      <w:r>
        <w:rPr>
          <w:spacing w:val="-60"/>
        </w:rPr>
        <w:t> </w:t>
      </w:r>
      <w:r>
        <w:rPr>
          <w:spacing w:val="-60"/>
        </w:rPr>
      </w:r>
      <w:r>
        <w:rPr/>
        <w:t>事、总经理；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月至今</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月任山东天辰智能停车股份有限公司董事长；</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月至今担任公司董事。</w:t>
      </w:r>
    </w:p>
    <w:p>
      <w:pPr>
        <w:pStyle w:val="BodyText"/>
        <w:spacing w:line="300" w:lineRule="auto" w:before="13"/>
        <w:ind w:right="1133" w:firstLine="360"/>
        <w:jc w:val="both"/>
      </w:pPr>
      <w:r>
        <w:rPr>
          <w:spacing w:val="-2"/>
        </w:rPr>
        <w:t>朱学义先生，</w:t>
      </w:r>
      <w:r>
        <w:rPr>
          <w:rFonts w:ascii="Times New Roman" w:hAnsi="Times New Roman" w:cs="Times New Roman" w:eastAsia="Times New Roman" w:hint="default"/>
          <w:spacing w:val="-2"/>
        </w:rPr>
        <w:t>1953</w:t>
      </w:r>
      <w:r>
        <w:rPr>
          <w:spacing w:val="-2"/>
        </w:rPr>
        <w:t>年生，中国国籍，无境外永久居留权，大学学历，中国矿业大学硕士生导师、博士生导师。</w:t>
      </w:r>
      <w:r>
        <w:rPr>
          <w:rFonts w:ascii="Times New Roman" w:hAnsi="Times New Roman" w:cs="Times New Roman" w:eastAsia="Times New Roman" w:hint="default"/>
          <w:spacing w:val="-2"/>
        </w:rPr>
        <w:t>1983</w:t>
      </w:r>
      <w:r>
        <w:rPr>
          <w:spacing w:val="-2"/>
        </w:rPr>
        <w:t>年开</w:t>
      </w:r>
      <w:r>
        <w:rPr/>
        <w:t> 始任教于中国矿业大学管理学院，</w:t>
      </w:r>
      <w:r>
        <w:rPr>
          <w:rFonts w:ascii="Times New Roman" w:hAnsi="Times New Roman" w:cs="Times New Roman" w:eastAsia="Times New Roman" w:hint="default"/>
        </w:rPr>
        <w:t>1988</w:t>
      </w:r>
      <w:r>
        <w:rPr/>
        <w:t>年</w:t>
      </w:r>
      <w:r>
        <w:rPr>
          <w:rFonts w:ascii="Times New Roman" w:hAnsi="Times New Roman" w:cs="Times New Roman" w:eastAsia="Times New Roman" w:hint="default"/>
        </w:rPr>
        <w:t>12</w:t>
      </w:r>
      <w:r>
        <w:rPr/>
        <w:t>月任讲师；</w:t>
      </w:r>
      <w:r>
        <w:rPr>
          <w:rFonts w:ascii="Times New Roman" w:hAnsi="Times New Roman" w:cs="Times New Roman" w:eastAsia="Times New Roman" w:hint="default"/>
        </w:rPr>
        <w:t>1991</w:t>
      </w:r>
      <w:r>
        <w:rPr/>
        <w:t>年</w:t>
      </w:r>
      <w:r>
        <w:rPr>
          <w:rFonts w:ascii="Times New Roman" w:hAnsi="Times New Roman" w:cs="Times New Roman" w:eastAsia="Times New Roman" w:hint="default"/>
        </w:rPr>
        <w:t>3</w:t>
      </w:r>
      <w:r>
        <w:rPr/>
        <w:t>月晋升为副教授，</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12</w:t>
      </w:r>
      <w:r>
        <w:rPr/>
        <w:t>月晋升为教授，在此期间，分别</w:t>
      </w:r>
    </w:p>
    <w:p>
      <w:pPr>
        <w:spacing w:after="0" w:line="300" w:lineRule="auto"/>
        <w:jc w:val="both"/>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300" w:lineRule="auto"/>
        <w:ind w:left="153" w:right="1129" w:hanging="1"/>
        <w:jc w:val="both"/>
      </w:pPr>
      <w:r>
        <w:rPr>
          <w:spacing w:val="-2"/>
        </w:rPr>
        <w:t>于</w:t>
      </w:r>
      <w:r>
        <w:rPr>
          <w:rFonts w:ascii="Times New Roman" w:hAnsi="Times New Roman" w:cs="Times New Roman" w:eastAsia="Times New Roman" w:hint="default"/>
          <w:spacing w:val="-2"/>
        </w:rPr>
        <w:t>1990</w:t>
      </w:r>
      <w:r>
        <w:rPr>
          <w:spacing w:val="-2"/>
        </w:rPr>
        <w:t>年</w:t>
      </w:r>
      <w:r>
        <w:rPr>
          <w:rFonts w:ascii="Times New Roman" w:hAnsi="Times New Roman" w:cs="Times New Roman" w:eastAsia="Times New Roman" w:hint="default"/>
          <w:spacing w:val="-2"/>
        </w:rPr>
        <w:t>9</w:t>
      </w:r>
      <w:r>
        <w:rPr>
          <w:spacing w:val="-2"/>
        </w:rPr>
        <w:t>月和</w:t>
      </w:r>
      <w:r>
        <w:rPr>
          <w:rFonts w:ascii="Times New Roman" w:hAnsi="Times New Roman" w:cs="Times New Roman" w:eastAsia="Times New Roman" w:hint="default"/>
          <w:spacing w:val="-2"/>
        </w:rPr>
        <w:t>1993</w:t>
      </w:r>
      <w:r>
        <w:rPr>
          <w:spacing w:val="-2"/>
        </w:rPr>
        <w:t>年</w:t>
      </w:r>
      <w:r>
        <w:rPr>
          <w:rFonts w:ascii="Times New Roman" w:hAnsi="Times New Roman" w:cs="Times New Roman" w:eastAsia="Times New Roman" w:hint="default"/>
          <w:spacing w:val="-2"/>
        </w:rPr>
        <w:t>2</w:t>
      </w:r>
      <w:r>
        <w:rPr>
          <w:spacing w:val="-2"/>
        </w:rPr>
        <w:t>月担任会计学系副主任、主任；</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12</w:t>
      </w:r>
      <w:r>
        <w:rPr>
          <w:spacing w:val="-2"/>
        </w:rPr>
        <w:t>月，任中国矿业大学管理学院副院长；</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4"/>
        </w:rPr>
        <w:t> </w:t>
      </w:r>
      <w:r>
        <w:rPr>
          <w:spacing w:val="-2"/>
        </w:rPr>
        <w:t>月至今，任中国矿业大学财务与会计研究所所长；</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月担任赛摩电气股份有限公司独立董事；</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rFonts w:ascii="Times New Roman" w:hAnsi="Times New Roman" w:cs="Times New Roman" w:eastAsia="Times New Roman" w:hint="default"/>
          <w:spacing w:val="-7"/>
        </w:rPr>
        <w:t> </w:t>
      </w:r>
      <w:r>
        <w:rPr/>
        <w:t>月至今担任公司独立董事。</w:t>
      </w:r>
    </w:p>
    <w:p>
      <w:pPr>
        <w:pStyle w:val="BodyText"/>
        <w:spacing w:line="300" w:lineRule="auto" w:before="31"/>
        <w:ind w:right="982" w:firstLine="360"/>
        <w:jc w:val="left"/>
      </w:pPr>
      <w:r>
        <w:rPr/>
        <w:t>林爱梅女士，</w:t>
      </w:r>
      <w:r>
        <w:rPr>
          <w:rFonts w:ascii="Times New Roman" w:hAnsi="Times New Roman" w:cs="Times New Roman" w:eastAsia="Times New Roman" w:hint="default"/>
        </w:rPr>
        <w:t>1966</w:t>
      </w:r>
      <w:r>
        <w:rPr/>
        <w:t>年生。中国国籍，无境外永久居留权，研究生学历、博士学位、会计学教授、博士生导师。</w:t>
      </w:r>
      <w:r>
        <w:rPr>
          <w:rFonts w:ascii="Times New Roman" w:hAnsi="Times New Roman" w:cs="Times New Roman" w:eastAsia="Times New Roman" w:hint="default"/>
        </w:rPr>
        <w:t>1989</w:t>
      </w:r>
      <w:r>
        <w:rPr/>
        <w:t>年</w:t>
      </w:r>
      <w:r>
        <w:rPr>
          <w:rFonts w:ascii="Times New Roman" w:hAnsi="Times New Roman" w:cs="Times New Roman" w:eastAsia="Times New Roman" w:hint="default"/>
        </w:rPr>
        <w:t>8 </w:t>
      </w:r>
      <w:r>
        <w:rPr/>
        <w:t>月至</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12</w:t>
      </w:r>
      <w:r>
        <w:rPr/>
        <w:t>月，任中国矿业大学管理学院助教；</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12</w:t>
      </w:r>
      <w:r>
        <w:rPr/>
        <w:t>月，任中国矿业大学管理学院讲师；</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12</w:t>
      </w:r>
      <w:r>
        <w:rPr/>
        <w:t>月至</w:t>
      </w:r>
      <w:r>
        <w:rPr>
          <w:spacing w:val="-3"/>
        </w:rPr>
        <w:t> </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月，任中国矿业大学管理学院副教授、硕士生导师；</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月，任中国矿业大学管理学院会计学教 </w:t>
      </w:r>
      <w:r>
        <w:rPr>
          <w:spacing w:val="-2"/>
        </w:rPr>
        <w:t>授；</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4</w:t>
      </w:r>
      <w:r>
        <w:rPr>
          <w:spacing w:val="-2"/>
        </w:rPr>
        <w:t>月至今，任中国矿业大学管理学院博士生导师；</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月至今，任徐工集团工程机械股份有限公司独立董事；</w:t>
      </w:r>
      <w:r>
        <w:rPr>
          <w:spacing w:val="-59"/>
        </w:rPr>
        <w:t> </w:t>
      </w:r>
      <w:r>
        <w:rPr>
          <w:spacing w:val="-59"/>
        </w:rPr>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月至今担任公司独立董事。</w:t>
      </w:r>
    </w:p>
    <w:p>
      <w:pPr>
        <w:pStyle w:val="BodyText"/>
        <w:spacing w:line="300" w:lineRule="auto" w:before="13"/>
        <w:ind w:left="153" w:right="1036" w:firstLine="359"/>
        <w:jc w:val="left"/>
      </w:pPr>
      <w:r>
        <w:rPr/>
        <w:t>叶飞先生，</w:t>
      </w:r>
      <w:r>
        <w:rPr>
          <w:rFonts w:ascii="Times New Roman" w:hAnsi="Times New Roman" w:cs="Times New Roman" w:eastAsia="Times New Roman" w:hint="default"/>
        </w:rPr>
        <w:t>1972</w:t>
      </w:r>
      <w:r>
        <w:rPr/>
        <w:t>年生。中国国籍，无境外永久居留权，大学本科学历。</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12</w:t>
      </w:r>
      <w:r>
        <w:rPr/>
        <w:t>月任大屯煤电集团有限公 </w:t>
      </w:r>
      <w:r>
        <w:rPr>
          <w:spacing w:val="-3"/>
        </w:rPr>
        <w:t>司拓特机械制造厂团委干事；</w:t>
      </w:r>
      <w:r>
        <w:rPr>
          <w:rFonts w:ascii="Times New Roman" w:hAnsi="Times New Roman" w:cs="Times New Roman" w:eastAsia="Times New Roman" w:hint="default"/>
          <w:spacing w:val="-3"/>
        </w:rPr>
        <w:t>1998</w:t>
      </w:r>
      <w:r>
        <w:rPr>
          <w:spacing w:val="-3"/>
        </w:rPr>
        <w:t>年</w:t>
      </w:r>
      <w:r>
        <w:rPr>
          <w:rFonts w:ascii="Times New Roman" w:hAnsi="Times New Roman" w:cs="Times New Roman" w:eastAsia="Times New Roman" w:hint="default"/>
          <w:spacing w:val="-3"/>
        </w:rPr>
        <w:t>12</w:t>
      </w:r>
      <w:r>
        <w:rPr>
          <w:spacing w:val="-3"/>
        </w:rPr>
        <w:t>月至</w:t>
      </w:r>
      <w:r>
        <w:rPr>
          <w:rFonts w:ascii="Times New Roman" w:hAnsi="Times New Roman" w:cs="Times New Roman" w:eastAsia="Times New Roman" w:hint="default"/>
          <w:spacing w:val="-3"/>
        </w:rPr>
        <w:t>2002</w:t>
      </w:r>
      <w:r>
        <w:rPr>
          <w:spacing w:val="-3"/>
        </w:rPr>
        <w:t>年</w:t>
      </w:r>
      <w:r>
        <w:rPr>
          <w:rFonts w:ascii="Times New Roman" w:hAnsi="Times New Roman" w:cs="Times New Roman" w:eastAsia="Times New Roman" w:hint="default"/>
          <w:spacing w:val="-3"/>
        </w:rPr>
        <w:t>10</w:t>
      </w:r>
      <w:r>
        <w:rPr>
          <w:spacing w:val="-3"/>
        </w:rPr>
        <w:t>月任上海大屯能源股份有限公司拓特机械制造厂厂团委负责人、副书记；</w:t>
      </w:r>
      <w:r>
        <w:rPr>
          <w:spacing w:val="-87"/>
        </w:rPr>
        <w:t> </w:t>
      </w:r>
      <w:r>
        <w:rPr>
          <w:spacing w:val="-87"/>
        </w:rPr>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11</w:t>
      </w:r>
      <w:r>
        <w:rPr>
          <w:spacing w:val="-2"/>
        </w:rPr>
        <w:t>月任上海大屯能源股份有限公司拓特机械制造厂销售部副经理；</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11</w:t>
      </w:r>
      <w:r>
        <w:rPr>
          <w:spacing w:val="-2"/>
        </w:rPr>
        <w:t>月至</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4</w:t>
      </w:r>
      <w:r>
        <w:rPr>
          <w:spacing w:val="-2"/>
        </w:rPr>
        <w:t>月任上海大屯能</w:t>
      </w:r>
      <w:r>
        <w:rPr>
          <w:spacing w:val="-47"/>
        </w:rPr>
        <w:t> </w:t>
      </w:r>
      <w:r>
        <w:rPr/>
        <w:t>源股份有限公司拓特机械制造厂工会办公室主任、兼宣教、民管部长；</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月任上海大屯能源股份有限公</w:t>
      </w:r>
      <w:r>
        <w:rPr>
          <w:spacing w:val="-87"/>
        </w:rPr>
        <w:t> </w:t>
      </w:r>
      <w:r>
        <w:rPr/>
        <w:t>司拓特机械制造厂考核办公室主任；</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月任上海大屯能源股份有限公司拓特机械制造厂经营管理部副部 </w:t>
      </w:r>
      <w:r>
        <w:rPr>
          <w:spacing w:val="-2"/>
        </w:rPr>
        <w:t>长；</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月任江苏泰信律师事务所律师、合伙人、执行主任；</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月至今任北京市盈科（徐州）律师事</w:t>
      </w:r>
      <w:r>
        <w:rPr>
          <w:spacing w:val="-59"/>
        </w:rPr>
        <w:t> </w:t>
      </w:r>
      <w:r>
        <w:rPr>
          <w:spacing w:val="-59"/>
        </w:rPr>
      </w:r>
      <w:r>
        <w:rPr/>
        <w:t>务所管委会主任；</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月至今担任公司独立董事。</w:t>
      </w:r>
    </w:p>
    <w:p>
      <w:pPr>
        <w:pStyle w:val="BodyText"/>
        <w:spacing w:line="300" w:lineRule="auto" w:before="13"/>
        <w:ind w:left="153" w:right="1127" w:firstLine="360"/>
        <w:jc w:val="both"/>
      </w:pPr>
      <w:r>
        <w:rPr>
          <w:spacing w:val="-2"/>
        </w:rPr>
        <w:t>赵文先生，</w:t>
      </w:r>
      <w:r>
        <w:rPr>
          <w:rFonts w:ascii="Times New Roman" w:hAnsi="Times New Roman" w:cs="Times New Roman" w:eastAsia="Times New Roman" w:hint="default"/>
          <w:spacing w:val="-2"/>
        </w:rPr>
        <w:t>1967</w:t>
      </w:r>
      <w:r>
        <w:rPr>
          <w:spacing w:val="-2"/>
        </w:rPr>
        <w:t>年生，中国国籍，无境外永久居留权，大专学历，工程师。</w:t>
      </w:r>
      <w:r>
        <w:rPr>
          <w:rFonts w:ascii="Times New Roman" w:hAnsi="Times New Roman" w:cs="Times New Roman" w:eastAsia="Times New Roman" w:hint="default"/>
          <w:spacing w:val="-2"/>
        </w:rPr>
        <w:t>1987</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1994</w:t>
      </w:r>
      <w:r>
        <w:rPr>
          <w:spacing w:val="-2"/>
        </w:rPr>
        <w:t>年</w:t>
      </w:r>
      <w:r>
        <w:rPr>
          <w:rFonts w:ascii="Times New Roman" w:hAnsi="Times New Roman" w:cs="Times New Roman" w:eastAsia="Times New Roman" w:hint="default"/>
          <w:spacing w:val="-2"/>
        </w:rPr>
        <w:t>6</w:t>
      </w:r>
      <w:r>
        <w:rPr>
          <w:spacing w:val="-2"/>
        </w:rPr>
        <w:t>月担任徐州煤炭工业学</w:t>
      </w:r>
      <w:r>
        <w:rPr/>
        <w:t> 校团委干事、团委副书记；</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7</w:t>
      </w:r>
      <w:r>
        <w:rPr/>
        <w:t>月担任江苏中矿大正表面工程技术有限公司市场部经理；</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rFonts w:ascii="Times New Roman" w:hAnsi="Times New Roman" w:cs="Times New Roman" w:eastAsia="Times New Roman" w:hint="default"/>
        </w:rPr>
        <w:t>10</w:t>
      </w:r>
      <w:r>
        <w:rPr/>
        <w:t>月担任徐州五洋科技有限公司营销部大区经理；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月至今担任公司监事会主席、营销部大区经理。</w:t>
      </w:r>
    </w:p>
    <w:p>
      <w:pPr>
        <w:pStyle w:val="BodyText"/>
        <w:spacing w:line="300" w:lineRule="auto" w:before="13"/>
        <w:ind w:left="153" w:right="1132" w:firstLine="360"/>
        <w:jc w:val="both"/>
      </w:pPr>
      <w:r>
        <w:rPr>
          <w:spacing w:val="-2"/>
        </w:rPr>
        <w:t>李庆先生，</w:t>
      </w:r>
      <w:r>
        <w:rPr>
          <w:rFonts w:ascii="Times New Roman" w:hAnsi="Times New Roman" w:cs="Times New Roman" w:eastAsia="Times New Roman" w:hint="default"/>
          <w:spacing w:val="-2"/>
        </w:rPr>
        <w:t>1984</w:t>
      </w:r>
      <w:r>
        <w:rPr>
          <w:spacing w:val="-2"/>
        </w:rPr>
        <w:t>年</w:t>
      </w:r>
      <w:r>
        <w:rPr>
          <w:rFonts w:ascii="Times New Roman" w:hAnsi="Times New Roman" w:cs="Times New Roman" w:eastAsia="Times New Roman" w:hint="default"/>
          <w:spacing w:val="-2"/>
        </w:rPr>
        <w:t>8</w:t>
      </w:r>
      <w:r>
        <w:rPr>
          <w:spacing w:val="-2"/>
        </w:rPr>
        <w:t>月生，中国国籍，无境外永久居留权，大专学历。</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3</w:t>
      </w:r>
      <w:r>
        <w:rPr>
          <w:spacing w:val="-2"/>
        </w:rPr>
        <w:t>月任徐州天地重型机械制造</w:t>
      </w:r>
      <w:r>
        <w:rPr/>
        <w:t> 有限公司销售大区经理；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月任江苏天沃重工科技有限公司营销经理，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至今任江苏天沃重工科 技有限公司总经理助理；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月至今担任公司监事。</w:t>
      </w:r>
    </w:p>
    <w:p>
      <w:pPr>
        <w:pStyle w:val="BodyText"/>
        <w:spacing w:line="300" w:lineRule="auto" w:before="13"/>
        <w:ind w:left="153" w:right="1134" w:firstLine="359"/>
        <w:jc w:val="both"/>
      </w:pPr>
      <w:r>
        <w:rPr>
          <w:spacing w:val="-2"/>
        </w:rPr>
        <w:t>卜祥通先生，</w:t>
      </w:r>
      <w:r>
        <w:rPr>
          <w:rFonts w:ascii="Times New Roman" w:hAnsi="Times New Roman" w:cs="Times New Roman" w:eastAsia="Times New Roman" w:hint="default"/>
          <w:spacing w:val="-2"/>
        </w:rPr>
        <w:t>1975</w:t>
      </w:r>
      <w:r>
        <w:rPr>
          <w:spacing w:val="-2"/>
        </w:rPr>
        <w:t>年生，中国国籍，无境外永久居留权，大专学历。</w:t>
      </w:r>
      <w:r>
        <w:rPr>
          <w:rFonts w:ascii="Times New Roman" w:hAnsi="Times New Roman" w:cs="Times New Roman" w:eastAsia="Times New Roman" w:hint="default"/>
          <w:spacing w:val="-2"/>
        </w:rPr>
        <w:t>1995</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7</w:t>
      </w:r>
      <w:r>
        <w:rPr>
          <w:spacing w:val="-2"/>
        </w:rPr>
        <w:t>月江苏六朝松集团有限公司技</w:t>
      </w:r>
      <w:r>
        <w:rPr/>
        <w:t> 术员、采购员；</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5</w:t>
      </w:r>
      <w:r>
        <w:rPr/>
        <w:t>月江苏科技大学脱产学习；</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8</w:t>
      </w:r>
      <w:r>
        <w:rPr/>
        <w:t>月至今担任徐州五洋科技股份有限公司采购工作；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月至今担任公司职工代表监事。</w:t>
      </w:r>
    </w:p>
    <w:p>
      <w:pPr>
        <w:pStyle w:val="BodyText"/>
        <w:spacing w:line="300" w:lineRule="auto" w:before="13"/>
        <w:ind w:left="153" w:right="1127" w:firstLine="360"/>
        <w:jc w:val="both"/>
      </w:pPr>
      <w:r>
        <w:rPr>
          <w:spacing w:val="-2"/>
        </w:rPr>
        <w:t>侯玉鹏先生，</w:t>
      </w:r>
      <w:r>
        <w:rPr>
          <w:rFonts w:ascii="Times New Roman" w:hAnsi="Times New Roman" w:cs="Times New Roman" w:eastAsia="Times New Roman" w:hint="default"/>
          <w:spacing w:val="-2"/>
        </w:rPr>
        <w:t>1984</w:t>
      </w:r>
      <w:r>
        <w:rPr>
          <w:spacing w:val="-2"/>
        </w:rPr>
        <w:t>年生，中国国籍，无境外永久居留权，硕士研究生学历。</w:t>
      </w:r>
      <w:r>
        <w:rPr>
          <w:rFonts w:ascii="Times New Roman" w:hAnsi="Times New Roman" w:cs="Times New Roman" w:eastAsia="Times New Roman" w:hint="default"/>
          <w:spacing w:val="-2"/>
        </w:rPr>
        <w:t>2012</w:t>
      </w:r>
      <w:r>
        <w:rPr>
          <w:spacing w:val="-2"/>
        </w:rPr>
        <w:t>年至今担任济南天辰机器集团有限公司</w:t>
      </w:r>
      <w:r>
        <w:rPr/>
        <w:t> </w:t>
      </w:r>
      <w:r>
        <w:rPr>
          <w:spacing w:val="-2"/>
        </w:rPr>
        <w:t>监事；</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2</w:t>
      </w:r>
      <w:r>
        <w:rPr>
          <w:spacing w:val="-2"/>
        </w:rPr>
        <w:t>月至今担任济南天辰鸣翠餐饮有限公司执行董事；</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月至今担任济南天辰铝机股份有限公司董事；</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t>年至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月担任山东天辰智能停车股份有限公司监事；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月担任山东天辰智能停车股份有限公司董</w:t>
      </w:r>
      <w:r>
        <w:rPr>
          <w:spacing w:val="-11"/>
        </w:rPr>
        <w:t> </w:t>
      </w:r>
      <w:r>
        <w:rPr>
          <w:spacing w:val="-11"/>
        </w:rPr>
      </w:r>
      <w:r>
        <w:rPr/>
        <w:t>事、总经理；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月至今担任公司副总经理。</w:t>
      </w:r>
    </w:p>
    <w:p>
      <w:pPr>
        <w:pStyle w:val="BodyText"/>
        <w:spacing w:line="300" w:lineRule="auto" w:before="53"/>
        <w:ind w:left="153" w:right="1131" w:firstLine="299"/>
        <w:jc w:val="both"/>
      </w:pPr>
      <w:r>
        <w:rPr>
          <w:spacing w:val="-1"/>
        </w:rPr>
        <w:t>王兆勇先生，</w:t>
      </w:r>
      <w:r>
        <w:rPr>
          <w:rFonts w:ascii="Times New Roman" w:hAnsi="Times New Roman" w:cs="Times New Roman" w:eastAsia="Times New Roman" w:hint="default"/>
          <w:spacing w:val="-1"/>
        </w:rPr>
        <w:t>1979</w:t>
      </w:r>
      <w:r>
        <w:rPr>
          <w:spacing w:val="-1"/>
        </w:rPr>
        <w:t>年生，中国国籍，无境外永久居留权，本科学历。</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5</w:t>
      </w:r>
      <w:r>
        <w:rPr>
          <w:spacing w:val="-1"/>
        </w:rPr>
        <w:t>月至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3</w:t>
      </w:r>
      <w:r>
        <w:rPr>
          <w:spacing w:val="-1"/>
        </w:rPr>
        <w:t>月担任南翔万商（安徽）物流</w:t>
      </w:r>
      <w:r>
        <w:rPr/>
        <w:t> 产业股份有限公司财务部副总经理；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月担任百佳国际集团财务部总经理；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担任徐</w:t>
      </w:r>
      <w:r>
        <w:rPr>
          <w:spacing w:val="-3"/>
        </w:rPr>
        <w:t> </w:t>
      </w:r>
      <w:r>
        <w:rPr/>
        <w:t>州五洋科技股份有限公司财务工作；</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月至今担任公司财务总监；</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月担任公司董事会秘书。</w:t>
      </w:r>
    </w:p>
    <w:p>
      <w:pPr>
        <w:pStyle w:val="BodyText"/>
        <w:spacing w:line="300" w:lineRule="auto" w:before="51"/>
        <w:ind w:left="154" w:right="1109" w:firstLine="300"/>
        <w:jc w:val="both"/>
      </w:pPr>
      <w:r>
        <w:rPr/>
        <w:t>张立永先生，</w:t>
      </w:r>
      <w:r>
        <w:rPr>
          <w:rFonts w:ascii="Times New Roman" w:hAnsi="Times New Roman" w:cs="Times New Roman" w:eastAsia="Times New Roman" w:hint="default"/>
        </w:rPr>
        <w:t>1972</w:t>
      </w:r>
      <w:r>
        <w:rPr/>
        <w:t>年生，中国国籍，无境外永久居留权，硕士研究生学历，注册会计师、注册税务师、会计高级职称。 </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月担任江苏五洋停车产业集团股份有限公司财务总监、董事会秘书；</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月担任公 司投资总监；</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月至今担任公司总经理。</w:t>
      </w:r>
    </w:p>
    <w:p>
      <w:pPr>
        <w:pStyle w:val="BodyText"/>
        <w:spacing w:line="300" w:lineRule="auto" w:before="53"/>
        <w:ind w:right="1132" w:firstLine="217"/>
        <w:jc w:val="both"/>
      </w:pPr>
      <w:r>
        <w:rPr/>
        <w:t>毛立军先生，</w:t>
      </w:r>
      <w:r>
        <w:rPr>
          <w:rFonts w:ascii="Times New Roman" w:hAnsi="Times New Roman" w:cs="Times New Roman" w:eastAsia="Times New Roman" w:hint="default"/>
        </w:rPr>
        <w:t>1972</w:t>
      </w:r>
      <w:r>
        <w:rPr/>
        <w:t>年生，中国国籍，无境外永久居住权，博士研究生学。</w:t>
      </w:r>
      <w:r>
        <w:rPr>
          <w:rFonts w:ascii="Times New Roman" w:hAnsi="Times New Roman" w:cs="Times New Roman" w:eastAsia="Times New Roman" w:hint="default"/>
        </w:rPr>
        <w:t>2011</w:t>
      </w:r>
      <w:r>
        <w:rPr/>
        <w:t>年至今任深圳市伟创自动化设备有限公司 副总经理职位；</w:t>
      </w:r>
      <w:r>
        <w:rPr>
          <w:rFonts w:ascii="Times New Roman" w:hAnsi="Times New Roman" w:cs="Times New Roman" w:eastAsia="Times New Roman" w:hint="default"/>
        </w:rPr>
        <w:t>2017</w:t>
      </w:r>
      <w:r>
        <w:rPr/>
        <w:t>年至今担任沈阳市五洋恒信泊车有限公司董事长；</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月至今担任公司董事会秘书。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1"/>
          <w:szCs w:val="21"/>
        </w:rPr>
      </w:pPr>
    </w:p>
    <w:p>
      <w:pPr>
        <w:pStyle w:val="BodyText"/>
        <w:spacing w:line="240" w:lineRule="auto" w:before="0"/>
        <w:ind w:right="0"/>
        <w:jc w:val="both"/>
      </w:pPr>
      <w:r>
        <w:rPr/>
        <w:t>在股东单位任职情况</w:t>
      </w:r>
    </w:p>
    <w:p>
      <w:pPr>
        <w:pStyle w:val="BodyText"/>
        <w:spacing w:line="338" w:lineRule="auto" w:before="117"/>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在其他单位任职情况</w:t>
      </w:r>
    </w:p>
    <w:p>
      <w:pPr>
        <w:pStyle w:val="BodyText"/>
        <w:spacing w:line="240" w:lineRule="auto" w:before="43"/>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9"/>
        <w:gridCol w:w="3192"/>
        <w:gridCol w:w="1063"/>
        <w:gridCol w:w="1195"/>
        <w:gridCol w:w="1325"/>
        <w:gridCol w:w="1594"/>
      </w:tblGrid>
      <w:tr>
        <w:trPr>
          <w:trHeight w:val="391" w:hRule="exact"/>
        </w:trPr>
        <w:tc>
          <w:tcPr>
            <w:tcW w:w="11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5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3"/>
              <w:ind w:left="76" w:right="0"/>
              <w:jc w:val="left"/>
              <w:rPr>
                <w:rFonts w:ascii="宋体" w:hAnsi="宋体" w:cs="宋体" w:eastAsia="宋体" w:hint="default"/>
                <w:sz w:val="18"/>
                <w:szCs w:val="18"/>
              </w:rPr>
            </w:pPr>
            <w:r>
              <w:rPr>
                <w:rFonts w:ascii="宋体" w:hAnsi="宋体" w:cs="宋体" w:eastAsia="宋体" w:hint="default"/>
                <w:sz w:val="18"/>
                <w:szCs w:val="18"/>
              </w:rPr>
              <w:t>在其他单位</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3"/>
              <w:ind w:left="71" w:right="0"/>
              <w:jc w:val="left"/>
              <w:rPr>
                <w:rFonts w:ascii="宋体" w:hAnsi="宋体" w:cs="宋体" w:eastAsia="宋体" w:hint="default"/>
                <w:sz w:val="18"/>
                <w:szCs w:val="18"/>
              </w:rPr>
            </w:pPr>
            <w:r>
              <w:rPr>
                <w:rFonts w:ascii="宋体" w:hAnsi="宋体" w:cs="宋体" w:eastAsia="宋体" w:hint="default"/>
                <w:sz w:val="18"/>
                <w:szCs w:val="18"/>
              </w:rPr>
              <w:t>在其他单位是否领</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00"/>
        <w:gridCol w:w="3192"/>
        <w:gridCol w:w="1063"/>
        <w:gridCol w:w="1195"/>
        <w:gridCol w:w="1325"/>
        <w:gridCol w:w="1594"/>
      </w:tblGrid>
      <w:tr>
        <w:trPr>
          <w:trHeight w:val="362" w:hRule="exact"/>
        </w:trPr>
        <w:tc>
          <w:tcPr>
            <w:tcW w:w="12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76"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43" w:right="0"/>
              <w:jc w:val="left"/>
              <w:rPr>
                <w:rFonts w:ascii="宋体" w:hAnsi="宋体" w:cs="宋体" w:eastAsia="宋体" w:hint="default"/>
                <w:sz w:val="18"/>
                <w:szCs w:val="18"/>
              </w:rPr>
            </w:pPr>
            <w:r>
              <w:rPr>
                <w:rFonts w:ascii="宋体" w:hAnsi="宋体" w:cs="宋体" w:eastAsia="宋体" w:hint="default"/>
                <w:sz w:val="18"/>
                <w:szCs w:val="18"/>
              </w:rPr>
              <w:t>取报酬津贴</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胡云高</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深圳市伟创自动化设备有限公司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12"/>
                <w:sz w:val="18"/>
                <w:szCs w:val="18"/>
              </w:rPr>
              <w:t>董事长、总经</w:t>
            </w:r>
            <w:r>
              <w:rPr>
                <w:rFonts w:ascii="宋体" w:hAnsi="宋体" w:cs="宋体" w:eastAsia="宋体" w:hint="default"/>
                <w:sz w:val="18"/>
                <w:szCs w:val="18"/>
              </w:rPr>
              <w:t> 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侯秀峰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山东天辰智能停车有限公司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侯秀峰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济南天辰铝机股份有限公司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侯秀峰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济南天辰机器集团有限公司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朱学义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中国矿业大学财务与会计研究所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所长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林爱梅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中国矿业大学管理学院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会计学教授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林爱梅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徐工集团工程机械股份有限公司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叶飞</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北京市盈科（徐州）律师事务所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管委会主任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侯玉鹏</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山东天辰智能停车有限公司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侯玉鹏</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济南天辰机器集团有限公司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982"/>
        <w:jc w:val="left"/>
      </w:pPr>
      <w:r>
        <w:rPr/>
        <w:t>公司现任及报告期内离任董事、监事和高级管理人员近三年证券监管机构处罚的情况</w:t>
      </w:r>
    </w:p>
    <w:p>
      <w:pPr>
        <w:pStyle w:val="BodyText"/>
        <w:spacing w:line="240" w:lineRule="auto" w:before="117"/>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82"/>
        <w:jc w:val="left"/>
        <w:rPr>
          <w:b w:val="0"/>
          <w:bCs w:val="0"/>
        </w:rPr>
      </w:pPr>
      <w:bookmarkStart w:name="四、董事、监事、高级管理人员报酬情况" w:id="126"/>
      <w:bookmarkEnd w:id="126"/>
      <w:r>
        <w:rPr>
          <w:b w:val="0"/>
          <w:bCs w:val="0"/>
        </w:rPr>
      </w: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before="0"/>
        <w:ind w:left="476" w:right="1070" w:hanging="324"/>
        <w:jc w:val="left"/>
      </w:pPr>
      <w:r>
        <w:rPr/>
        <w:t>董事、监事、高级管理人员报酬的决策程序、确定依据、实际支付情况 公司董事、监事报酬由公司股东大会批准，高级管理人员报酬由董事会批准。在公司担任具体工作职务的董事、监事、</w:t>
      </w:r>
    </w:p>
    <w:p>
      <w:pPr>
        <w:pStyle w:val="BodyText"/>
        <w:spacing w:line="222" w:lineRule="exact" w:before="0"/>
        <w:ind w:right="982"/>
        <w:jc w:val="left"/>
      </w:pPr>
      <w:r>
        <w:rPr/>
        <w:t>高级管理人员的报酬由公司统一支付，对董事、监事不再另行支付津贴。独立董事津贴由公司股东大会予以批准。董事、监</w:t>
      </w:r>
    </w:p>
    <w:p>
      <w:pPr>
        <w:pStyle w:val="BodyText"/>
        <w:spacing w:line="316" w:lineRule="auto" w:before="76"/>
        <w:ind w:right="982"/>
        <w:jc w:val="left"/>
      </w:pPr>
      <w:r>
        <w:rPr>
          <w:spacing w:val="-2"/>
        </w:rPr>
        <w:t>事、高级管理人员的报酬根据公司盈利情况及董事、监事、高级管理人员的履职情况，结合公司绩效考核情况综合确定。董</w:t>
      </w:r>
      <w:r>
        <w:rPr>
          <w:spacing w:val="-67"/>
        </w:rPr>
        <w:t> </w:t>
      </w:r>
      <w:r>
        <w:rPr>
          <w:spacing w:val="-67"/>
        </w:rPr>
      </w:r>
      <w:r>
        <w:rPr/>
        <w:t>事、监事及高级管理人员的报酬均已按薪酬标准实际全额支付。</w:t>
      </w:r>
    </w:p>
    <w:p>
      <w:pPr>
        <w:pStyle w:val="BodyText"/>
        <w:spacing w:line="240" w:lineRule="auto" w:before="59"/>
        <w:ind w:right="982"/>
        <w:jc w:val="left"/>
      </w:pPr>
      <w:r>
        <w:rPr/>
        <w:t>公司报告期内董事、监事和高级管理人员报酬情况</w:t>
      </w:r>
    </w:p>
    <w:p>
      <w:pPr>
        <w:pStyle w:val="BodyText"/>
        <w:spacing w:line="240" w:lineRule="auto" w:before="115"/>
        <w:ind w:left="0" w:right="1133"/>
        <w:jc w:val="right"/>
      </w:pPr>
      <w:r>
        <w:rPr/>
        <w:t>单位：万元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侯友夫</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1"/>
              <w:jc w:val="left"/>
              <w:rPr>
                <w:rFonts w:ascii="宋体" w:hAnsi="宋体" w:cs="宋体" w:eastAsia="宋体" w:hint="default"/>
                <w:sz w:val="18"/>
                <w:szCs w:val="18"/>
              </w:rPr>
            </w:pPr>
            <w:r>
              <w:rPr>
                <w:rFonts w:ascii="宋体" w:hAnsi="宋体" w:cs="宋体" w:eastAsia="宋体" w:hint="default"/>
                <w:sz w:val="18"/>
                <w:szCs w:val="18"/>
              </w:rPr>
              <w:t>董事、董事长、 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刘龙保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孙晋明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胡云高</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侯秀峰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朱学义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林爱梅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叶飞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卜祥通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侯玉鹏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王兆勇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1"/>
              <w:jc w:val="left"/>
              <w:rPr>
                <w:rFonts w:ascii="宋体" w:hAnsi="宋体" w:cs="宋体" w:eastAsia="宋体" w:hint="default"/>
                <w:sz w:val="18"/>
                <w:szCs w:val="18"/>
              </w:rPr>
            </w:pPr>
            <w:r>
              <w:rPr>
                <w:rFonts w:ascii="宋体" w:hAnsi="宋体" w:cs="宋体" w:eastAsia="宋体" w:hint="default"/>
                <w:sz w:val="18"/>
                <w:szCs w:val="18"/>
              </w:rPr>
              <w:t>董事会秘书、财 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209.41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2"/>
        <w:jc w:val="left"/>
      </w:pPr>
      <w:r>
        <w:rPr/>
        <w:t>公司董事、高级管理人员报告期内被授予的股权激励情况</w:t>
      </w:r>
    </w:p>
    <w:p>
      <w:pPr>
        <w:pStyle w:val="BodyText"/>
        <w:spacing w:line="240" w:lineRule="auto" w:before="115"/>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82"/>
        <w:jc w:val="left"/>
        <w:rPr>
          <w:b w:val="0"/>
          <w:bCs w:val="0"/>
        </w:rPr>
      </w:pPr>
      <w:bookmarkStart w:name="五、公司员工情况" w:id="127"/>
      <w:bookmarkEnd w:id="127"/>
      <w:r>
        <w:rPr>
          <w:b w:val="0"/>
          <w:bCs w:val="0"/>
        </w:rPr>
      </w: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2"/>
        <w:jc w:val="left"/>
        <w:rPr>
          <w:b w:val="0"/>
          <w:bCs w:val="0"/>
        </w:rPr>
      </w:pPr>
      <w:bookmarkStart w:name="1、员工数量、专业构成及教育程度" w:id="128"/>
      <w:bookmarkEnd w:id="128"/>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0"/>
        <w:gridCol w:w="4796"/>
      </w:tblGrid>
      <w:tr>
        <w:trPr>
          <w:trHeight w:val="401"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w:t>
            </w:r>
          </w:p>
        </w:tc>
      </w:tr>
      <w:tr>
        <w:trPr>
          <w:trHeight w:val="403"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1,336</w:t>
            </w:r>
          </w:p>
        </w:tc>
      </w:tr>
      <w:tr>
        <w:trPr>
          <w:trHeight w:val="401"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1,490</w:t>
            </w:r>
          </w:p>
        </w:tc>
      </w:tr>
      <w:tr>
        <w:trPr>
          <w:trHeight w:val="403"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1,490</w:t>
            </w:r>
          </w:p>
        </w:tc>
      </w:tr>
      <w:tr>
        <w:trPr>
          <w:trHeight w:val="406"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4"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6"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58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3"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837</w:t>
            </w:r>
          </w:p>
        </w:tc>
      </w:tr>
      <w:tr>
        <w:trPr>
          <w:trHeight w:val="401"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w:t>
            </w:r>
          </w:p>
        </w:tc>
      </w:tr>
      <w:tr>
        <w:trPr>
          <w:trHeight w:val="403"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w:t>
            </w:r>
          </w:p>
        </w:tc>
      </w:tr>
      <w:tr>
        <w:trPr>
          <w:trHeight w:val="401"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w:t>
            </w:r>
          </w:p>
        </w:tc>
      </w:tr>
      <w:tr>
        <w:trPr>
          <w:trHeight w:val="403"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w:t>
            </w:r>
          </w:p>
        </w:tc>
      </w:tr>
      <w:tr>
        <w:trPr>
          <w:trHeight w:val="406"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1,490</w:t>
            </w:r>
          </w:p>
        </w:tc>
      </w:tr>
      <w:tr>
        <w:trPr>
          <w:trHeight w:val="398"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341</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596</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专科以下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532</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1,490</w:t>
            </w:r>
          </w:p>
        </w:tc>
      </w:tr>
    </w:tbl>
    <w:p>
      <w:pPr>
        <w:spacing w:line="240" w:lineRule="auto" w:before="3"/>
        <w:rPr>
          <w:rFonts w:ascii="宋体" w:hAnsi="宋体" w:cs="宋体" w:eastAsia="宋体" w:hint="default"/>
          <w:b/>
          <w:bCs/>
          <w:sz w:val="19"/>
          <w:szCs w:val="19"/>
        </w:rPr>
      </w:pPr>
    </w:p>
    <w:p>
      <w:pPr>
        <w:pStyle w:val="Heading3"/>
        <w:spacing w:line="240" w:lineRule="auto" w:before="36"/>
        <w:ind w:right="982"/>
        <w:jc w:val="left"/>
        <w:rPr>
          <w:b w:val="0"/>
          <w:bCs w:val="0"/>
        </w:rPr>
      </w:pPr>
      <w:bookmarkStart w:name="2、薪酬政策" w:id="129"/>
      <w:bookmarkEnd w:id="129"/>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1"/>
        <w:rPr>
          <w:rFonts w:ascii="宋体" w:hAnsi="宋体" w:cs="宋体" w:eastAsia="宋体" w:hint="default"/>
          <w:b/>
          <w:bCs/>
          <w:sz w:val="25"/>
          <w:szCs w:val="25"/>
        </w:rPr>
      </w:pPr>
    </w:p>
    <w:p>
      <w:pPr>
        <w:pStyle w:val="Heading4"/>
        <w:spacing w:line="285" w:lineRule="auto"/>
        <w:ind w:right="982"/>
        <w:jc w:val="left"/>
      </w:pPr>
      <w:r>
        <w:rPr>
          <w:w w:val="95"/>
        </w:rPr>
        <w:t>公司按照《中华人民共和国劳动合同法》和国家及地方有关劳动法律、法规的规定，与员工签订劳动合同，</w:t>
      </w:r>
      <w:r>
        <w:rPr>
          <w:spacing w:val="41"/>
          <w:w w:val="95"/>
        </w:rPr>
        <w:t> </w:t>
      </w:r>
      <w:r>
        <w:rPr>
          <w:spacing w:val="41"/>
          <w:w w:val="95"/>
        </w:rPr>
      </w:r>
      <w:r>
        <w:rPr/>
        <w:t>公司严格执行国家相关劳动用工和社会保障规章制度，按照国家规定为员工缴纳养老、医疗保险、公积金及相</w:t>
      </w:r>
      <w:r>
        <w:rPr>
          <w:w w:val="99"/>
        </w:rPr>
        <w:t> </w:t>
      </w:r>
      <w:r>
        <w:rPr/>
        <w:t>关保险。公司制定完善的薪酬管理制度，实施公平的绩效考核机制，使员工合理分享公司经营成果，充分调动</w:t>
      </w:r>
      <w:r>
        <w:rPr>
          <w:w w:val="99"/>
        </w:rPr>
        <w:t> </w:t>
      </w:r>
      <w:r>
        <w:rPr/>
        <w:t>员工的积极性和创造性。</w:t>
      </w:r>
    </w:p>
    <w:p>
      <w:pPr>
        <w:spacing w:line="240" w:lineRule="auto" w:before="7"/>
        <w:rPr>
          <w:rFonts w:ascii="宋体" w:hAnsi="宋体" w:cs="宋体" w:eastAsia="宋体" w:hint="default"/>
          <w:sz w:val="23"/>
          <w:szCs w:val="23"/>
        </w:rPr>
      </w:pPr>
    </w:p>
    <w:p>
      <w:pPr>
        <w:pStyle w:val="Heading3"/>
        <w:spacing w:line="240" w:lineRule="auto"/>
        <w:ind w:right="982"/>
        <w:jc w:val="left"/>
        <w:rPr>
          <w:b w:val="0"/>
          <w:bCs w:val="0"/>
        </w:rPr>
      </w:pPr>
      <w:bookmarkStart w:name="3、培训计划" w:id="130"/>
      <w:bookmarkEnd w:id="130"/>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12"/>
        <w:rPr>
          <w:rFonts w:ascii="宋体" w:hAnsi="宋体" w:cs="宋体" w:eastAsia="宋体" w:hint="default"/>
          <w:b/>
          <w:bCs/>
          <w:sz w:val="24"/>
          <w:szCs w:val="24"/>
        </w:rPr>
      </w:pPr>
    </w:p>
    <w:p>
      <w:pPr>
        <w:pStyle w:val="Heading4"/>
        <w:spacing w:line="278" w:lineRule="auto"/>
        <w:ind w:right="1130"/>
        <w:jc w:val="both"/>
      </w:pPr>
      <w:r>
        <w:rPr>
          <w:spacing w:val="-2"/>
        </w:rPr>
        <w:t>公司建立了完善的培训体系，针对不同岗位的人员制定各级培训计划。</w:t>
      </w:r>
      <w:r>
        <w:rPr>
          <w:rFonts w:ascii="Times New Roman" w:hAnsi="Times New Roman" w:cs="Times New Roman" w:eastAsia="Times New Roman" w:hint="default"/>
          <w:spacing w:val="-2"/>
        </w:rPr>
        <w:t>2019</w:t>
      </w:r>
      <w:r>
        <w:rPr>
          <w:spacing w:val="-2"/>
        </w:rPr>
        <w:t>年围绕公司发展战略，公司加强</w:t>
      </w:r>
      <w:r>
        <w:rPr>
          <w:w w:val="99"/>
        </w:rPr>
        <w:t> </w:t>
      </w:r>
      <w:r>
        <w:rPr/>
        <w:t>对技术人员培养，组织实施销售人员业务培训、管理人员产品知识及办公技能培训、安全生产及设备知识培训</w:t>
      </w:r>
      <w:r>
        <w:rPr>
          <w:w w:val="99"/>
        </w:rPr>
        <w:t> </w:t>
      </w:r>
      <w:r>
        <w:rPr/>
        <w:t>等等，公司内部积极营造学习氛围，不断激发员工潜能，有效提升各类人才的业务能力和岗位技能。</w:t>
      </w:r>
    </w:p>
    <w:p>
      <w:pPr>
        <w:spacing w:line="240" w:lineRule="auto" w:before="13"/>
        <w:rPr>
          <w:rFonts w:ascii="宋体" w:hAnsi="宋体" w:cs="宋体" w:eastAsia="宋体" w:hint="default"/>
          <w:sz w:val="23"/>
          <w:szCs w:val="23"/>
        </w:rPr>
      </w:pPr>
    </w:p>
    <w:p>
      <w:pPr>
        <w:pStyle w:val="Heading3"/>
        <w:spacing w:line="240" w:lineRule="auto"/>
        <w:ind w:right="982"/>
        <w:jc w:val="left"/>
        <w:rPr>
          <w:b w:val="0"/>
          <w:bCs w:val="0"/>
        </w:rPr>
      </w:pPr>
      <w:bookmarkStart w:name="4、劳务外包情况" w:id="131"/>
      <w:bookmarkEnd w:id="131"/>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113"/>
        <w:jc w:val="center"/>
        <w:rPr>
          <w:b w:val="0"/>
          <w:bCs w:val="0"/>
        </w:rPr>
      </w:pPr>
      <w:bookmarkStart w:name="_TOC_250003" w:id="132"/>
      <w:bookmarkStart w:name="第九节 公司治理" w:id="133"/>
      <w:r>
        <w:rPr>
          <w:b w:val="0"/>
          <w:bCs w:val="0"/>
        </w:rPr>
      </w:r>
      <w:r>
        <w:rPr/>
        <w:t>第九节</w:t>
      </w:r>
      <w:r>
        <w:rPr>
          <w:spacing w:val="-4"/>
        </w:rPr>
        <w:t> </w:t>
      </w:r>
      <w:r>
        <w:rPr/>
        <w:t>公司治理</w:t>
      </w:r>
      <w:bookmarkEnd w:id="13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bookmarkStart w:name="一、公司治理的基本状况" w:id="134"/>
      <w:bookmarkEnd w:id="134"/>
      <w:r>
        <w:rPr>
          <w:b w:val="0"/>
          <w:bCs w:val="0"/>
        </w:rPr>
      </w: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11" w:firstLine="300"/>
        <w:jc w:val="both"/>
      </w:pPr>
      <w:r>
        <w:rPr/>
        <w:t>报告期内，公司严格按照《公司法》、《证券法》、《上市公司治理准则》、《深交所创业板上市公司规范运作指引》 </w:t>
      </w:r>
      <w:r>
        <w:rPr>
          <w:spacing w:val="-2"/>
        </w:rPr>
        <w:t>等有关法律、法规、规范性文件和中国证监会等监管部门的要求，不断完善公司治理结构，建立健全内控管理制度，促进规</w:t>
      </w:r>
      <w:r>
        <w:rPr>
          <w:spacing w:val="-67"/>
        </w:rPr>
        <w:t> </w:t>
      </w:r>
      <w:r>
        <w:rPr>
          <w:spacing w:val="-67"/>
        </w:rPr>
      </w:r>
      <w:r>
        <w:rPr>
          <w:spacing w:val="-2"/>
        </w:rPr>
        <w:t>范公司运作，持续提升公司治理水平。截至报告期末，公司治理状况符合中国证监会、深圳证券交易所等发布的法律、法规</w:t>
      </w:r>
      <w:r>
        <w:rPr>
          <w:spacing w:val="-67"/>
        </w:rPr>
        <w:t> </w:t>
      </w:r>
      <w:r>
        <w:rPr>
          <w:spacing w:val="-67"/>
        </w:rPr>
      </w:r>
      <w:r>
        <w:rPr/>
        <w:t>和规范性文件的要求。</w:t>
      </w:r>
    </w:p>
    <w:p>
      <w:pPr>
        <w:pStyle w:val="BodyText"/>
        <w:spacing w:line="316" w:lineRule="auto" w:before="18"/>
        <w:ind w:left="512" w:right="982" w:hanging="72"/>
        <w:jc w:val="left"/>
      </w:pPr>
      <w:r>
        <w:rPr/>
        <w:t>（一）关于控股股东与公司 </w:t>
      </w:r>
      <w:r>
        <w:rPr>
          <w:spacing w:val="-2"/>
        </w:rPr>
        <w:t>公司控股股东及实际控制人严格按照相关法律法规的要求规范自身行为，公司的重大经营决策均由股东大户和董事会依</w:t>
      </w:r>
    </w:p>
    <w:p>
      <w:pPr>
        <w:pStyle w:val="BodyText"/>
        <w:spacing w:line="316" w:lineRule="auto" w:before="18"/>
        <w:ind w:right="1133"/>
        <w:jc w:val="both"/>
      </w:pPr>
      <w:r>
        <w:rPr>
          <w:spacing w:val="-2"/>
        </w:rPr>
        <w:t>法作出，公司控股股东不存在超越公司股东大会直接或间接干预公司的决策和经营活动的行为，公司董事会、监事会和内部</w:t>
      </w:r>
      <w:r>
        <w:rPr>
          <w:spacing w:val="-66"/>
        </w:rPr>
        <w:t> </w:t>
      </w:r>
      <w:r>
        <w:rPr>
          <w:spacing w:val="-66"/>
        </w:rPr>
      </w:r>
      <w:r>
        <w:rPr/>
        <w:t>机构独立运作。公司拥有独立完整的业务和自主经营能力，在业务、人员、资产、机构、财务上独立于控股股东，</w:t>
      </w:r>
      <w:r>
        <w:rPr>
          <w:spacing w:val="-18"/>
        </w:rPr>
        <w:t> </w:t>
      </w:r>
      <w:r>
        <w:rPr/>
        <w:t>不存在</w:t>
      </w:r>
      <w:r>
        <w:rPr/>
        <w:t> 控股股东违规占用公司资金的现象，公司亦无为控股股东提供担保的情形。</w:t>
      </w:r>
    </w:p>
    <w:p>
      <w:pPr>
        <w:pStyle w:val="BodyText"/>
        <w:spacing w:line="316" w:lineRule="auto" w:before="18"/>
        <w:ind w:left="524" w:right="1202" w:firstLine="48"/>
        <w:jc w:val="left"/>
      </w:pPr>
      <w:r>
        <w:rPr/>
        <w:t>（二）关于股东与股东大会 公司按照《公司法》、《公司章程》和公司《股东大会议事规则》等法律、法规要求，规范股东大会召集、召开、表</w:t>
      </w:r>
    </w:p>
    <w:p>
      <w:pPr>
        <w:pStyle w:val="BodyText"/>
        <w:spacing w:line="240" w:lineRule="auto" w:before="18"/>
        <w:ind w:right="0"/>
        <w:jc w:val="both"/>
      </w:pPr>
      <w:r>
        <w:rPr/>
        <w:t>决程序，公平对待所有股东，确保全体股东享有平等地位，充分行使自身权力。报告期内，公司共召开了</w:t>
      </w:r>
      <w:r>
        <w:rPr>
          <w:rFonts w:ascii="Times New Roman" w:hAnsi="Times New Roman" w:cs="Times New Roman" w:eastAsia="Times New Roman" w:hint="default"/>
        </w:rPr>
        <w:t>1</w:t>
      </w:r>
      <w:r>
        <w:rPr/>
        <w:t>次年度股东大会，</w:t>
      </w:r>
    </w:p>
    <w:p>
      <w:pPr>
        <w:pStyle w:val="BodyText"/>
        <w:spacing w:line="240" w:lineRule="auto" w:before="62"/>
        <w:ind w:right="0"/>
        <w:jc w:val="both"/>
      </w:pPr>
      <w:r>
        <w:rPr>
          <w:rFonts w:ascii="Times New Roman" w:hAnsi="Times New Roman" w:cs="Times New Roman" w:eastAsia="Times New Roman" w:hint="default"/>
        </w:rPr>
        <w:t>1</w:t>
      </w:r>
      <w:r>
        <w:rPr/>
        <w:t>次临时股东大会，会议均由董事会召集和召开。</w:t>
      </w:r>
    </w:p>
    <w:p>
      <w:pPr>
        <w:pStyle w:val="BodyText"/>
        <w:spacing w:line="316" w:lineRule="auto" w:before="62"/>
        <w:ind w:left="524" w:right="982" w:firstLine="48"/>
        <w:jc w:val="left"/>
      </w:pPr>
      <w:r>
        <w:rPr/>
        <w:t>（三）关于董事与董事会 </w:t>
      </w:r>
      <w:r>
        <w:rPr>
          <w:spacing w:val="-1"/>
        </w:rPr>
        <w:t>报告期内，公司董事会严格按照《董事会议事规则》等制度召开会议，开展工作，确保董事会规范、高效运作和审慎、</w:t>
      </w:r>
    </w:p>
    <w:p>
      <w:pPr>
        <w:pStyle w:val="BodyText"/>
        <w:spacing w:line="300" w:lineRule="auto" w:before="18"/>
        <w:ind w:right="1140"/>
        <w:jc w:val="both"/>
      </w:pPr>
      <w:r>
        <w:rPr/>
        <w:t>科学决策。</w:t>
      </w:r>
      <w:r>
        <w:rPr>
          <w:rFonts w:ascii="Times New Roman" w:hAnsi="Times New Roman" w:cs="Times New Roman" w:eastAsia="Times New Roman" w:hint="default"/>
        </w:rPr>
        <w:t>2018</w:t>
      </w:r>
      <w:r>
        <w:rPr/>
        <w:t>年公司董事会共召开了</w:t>
      </w:r>
      <w:r>
        <w:rPr>
          <w:rFonts w:ascii="Times New Roman" w:hAnsi="Times New Roman" w:cs="Times New Roman" w:eastAsia="Times New Roman" w:hint="default"/>
        </w:rPr>
        <w:t>9</w:t>
      </w:r>
      <w:r>
        <w:rPr/>
        <w:t>次会议。董事会下设有审计委员会、薪酬与考核委员会、战略委员会、提名委员会 四个专业委员会，各专委会按照各自工作细则开展工作，出席董事会和股东大会，勤勉尽责地履行职责和义务。</w:t>
      </w:r>
    </w:p>
    <w:p>
      <w:pPr>
        <w:pStyle w:val="BodyText"/>
        <w:spacing w:line="316" w:lineRule="auto" w:before="31"/>
        <w:ind w:left="524" w:right="1202" w:firstLine="48"/>
        <w:jc w:val="left"/>
      </w:pPr>
      <w:r>
        <w:rPr/>
        <w:t>（四）关于监事与监事会 报告期内，公司监事会严格按照《监事会议事规则》等制度召开会议，检查、监督公司内控制度运行情况，对公司董</w:t>
      </w:r>
    </w:p>
    <w:p>
      <w:pPr>
        <w:pStyle w:val="BodyText"/>
        <w:spacing w:line="240" w:lineRule="auto" w:before="18"/>
        <w:ind w:right="0"/>
        <w:jc w:val="both"/>
      </w:pPr>
      <w:r>
        <w:rPr/>
        <w:t>事、高级管理人员、财务人员履行职责的合法性、合规性进行有效监督，维护公司及股东的合法权益。</w:t>
      </w:r>
      <w:r>
        <w:rPr>
          <w:rFonts w:ascii="Times New Roman" w:hAnsi="Times New Roman" w:cs="Times New Roman" w:eastAsia="Times New Roman" w:hint="default"/>
        </w:rPr>
        <w:t>2018</w:t>
      </w:r>
      <w:r>
        <w:rPr/>
        <w:t>年监事会共召开</w:t>
      </w:r>
    </w:p>
    <w:p>
      <w:pPr>
        <w:pStyle w:val="BodyText"/>
        <w:spacing w:line="240" w:lineRule="auto" w:before="62"/>
        <w:ind w:right="0"/>
        <w:jc w:val="both"/>
      </w:pPr>
      <w:r>
        <w:rPr>
          <w:rFonts w:ascii="Times New Roman" w:hAnsi="Times New Roman" w:cs="Times New Roman" w:eastAsia="Times New Roman" w:hint="default"/>
        </w:rPr>
        <w:t>5</w:t>
      </w:r>
      <w:r>
        <w:rPr/>
        <w:t>次会议。</w:t>
      </w:r>
    </w:p>
    <w:p>
      <w:pPr>
        <w:pStyle w:val="BodyText"/>
        <w:spacing w:line="316" w:lineRule="auto" w:before="62"/>
        <w:ind w:left="524" w:right="1202" w:firstLine="48"/>
        <w:jc w:val="left"/>
      </w:pPr>
      <w:r>
        <w:rPr/>
        <w:t>（五）关于绩效评价机制 公司已建立健全公正、透明的绩效评价标准和激励约束机制，高级管理人员的薪酬与其业绩挂钩，高级管理人员的聘</w:t>
      </w:r>
    </w:p>
    <w:p>
      <w:pPr>
        <w:pStyle w:val="BodyText"/>
        <w:spacing w:line="316" w:lineRule="auto" w:before="18"/>
        <w:ind w:right="1052"/>
        <w:jc w:val="both"/>
      </w:pPr>
      <w:r>
        <w:rPr>
          <w:spacing w:val="-2"/>
        </w:rPr>
        <w:t>任公开、透明，符合有关法律、法规的规定。公司董事会薪酬与考核委员会负责对公司的董事、监事、高级管理人员进行绩</w:t>
      </w:r>
      <w:r>
        <w:rPr>
          <w:spacing w:val="-67"/>
        </w:rPr>
        <w:t> </w:t>
      </w:r>
      <w:r>
        <w:rPr>
          <w:spacing w:val="-67"/>
        </w:rPr>
      </w:r>
      <w:r>
        <w:rPr/>
        <w:t>效考核，制定高级管理人员的薪酬方案，并监督薪酬制度执行情况，公司现有的考核及激励约束机制符合公司的发展情况。</w:t>
      </w:r>
    </w:p>
    <w:p>
      <w:pPr>
        <w:pStyle w:val="BodyText"/>
        <w:spacing w:line="316" w:lineRule="auto" w:before="18"/>
        <w:ind w:left="440" w:right="1032" w:firstLine="131"/>
        <w:jc w:val="left"/>
      </w:pPr>
      <w:r>
        <w:rPr/>
        <w:t>（六）关于信息披露与透明度 </w:t>
      </w:r>
      <w:r>
        <w:rPr>
          <w:spacing w:val="-2"/>
        </w:rPr>
        <w:t>公司严格按照有关法律法规以及《信息披露事务管理制度》等的要求，真实、准确、及时、公平、完整地披露相关信息，</w:t>
      </w:r>
    </w:p>
    <w:p>
      <w:pPr>
        <w:pStyle w:val="BodyText"/>
        <w:spacing w:line="316" w:lineRule="auto" w:before="18"/>
        <w:ind w:right="1131"/>
        <w:jc w:val="both"/>
      </w:pPr>
      <w:r>
        <w:rPr>
          <w:spacing w:val="-2"/>
        </w:rPr>
        <w:t>并指定公司董事会秘书负责信息披露工作，协调公司与投资者的关系，接待投资者来访，回答投资者咨询，向投资者提供公</w:t>
      </w:r>
      <w:r>
        <w:rPr>
          <w:spacing w:val="-64"/>
        </w:rPr>
        <w:t> </w:t>
      </w:r>
      <w:r>
        <w:rPr>
          <w:spacing w:val="-64"/>
        </w:rPr>
      </w:r>
      <w:r>
        <w:rPr>
          <w:spacing w:val="-2"/>
        </w:rPr>
        <w:t>司已披露的资料；并指定《证券时报》、《上海证券报》和巨潮资讯网为公司信息披露的指定报纸和网站，确保公司所有股</w:t>
      </w:r>
      <w:r>
        <w:rPr>
          <w:spacing w:val="-69"/>
        </w:rPr>
        <w:t> </w:t>
      </w:r>
      <w:r>
        <w:rPr>
          <w:spacing w:val="-69"/>
        </w:rPr>
      </w:r>
      <w:r>
        <w:rPr>
          <w:spacing w:val="-2"/>
        </w:rPr>
        <w:t>东能够以平等的机会获得信息。同时，还通过向社会公开公司网站、咨询专用电话、电子信箱等各种形式，加强与投资者沟</w:t>
      </w:r>
      <w:r>
        <w:rPr>
          <w:spacing w:val="-67"/>
        </w:rPr>
        <w:t> </w:t>
      </w:r>
      <w:r>
        <w:rPr>
          <w:spacing w:val="-67"/>
        </w:rPr>
      </w:r>
      <w:r>
        <w:rPr/>
        <w:t>通，建立良好的投资关系互动。</w:t>
      </w:r>
    </w:p>
    <w:p>
      <w:pPr>
        <w:pStyle w:val="BodyText"/>
        <w:spacing w:line="338" w:lineRule="auto" w:before="18"/>
        <w:ind w:right="982" w:firstLine="419"/>
        <w:jc w:val="left"/>
      </w:pPr>
      <w:r>
        <w:rPr/>
        <w:t>（七）关于相关利益者情况 </w:t>
      </w:r>
      <w:r>
        <w:rPr>
          <w:spacing w:val="-2"/>
        </w:rPr>
        <w:t>公司充分尊重和维护相关利益者的合法权益，认真履行社会责任，实现股东、员工、政府部门等各方利益的协调平衡，公司</w:t>
      </w:r>
      <w:r>
        <w:rPr>
          <w:spacing w:val="-65"/>
        </w:rPr>
        <w:t> </w:t>
      </w:r>
      <w:r>
        <w:rPr>
          <w:spacing w:val="-65"/>
        </w:rPr>
      </w:r>
      <w:r>
        <w:rPr/>
        <w:t>与客户和供应商建立了长期良好、平等互利的合作关系、各方合力共同推动公司持续、健康地发展。</w:t>
      </w:r>
    </w:p>
    <w:p>
      <w:pPr>
        <w:spacing w:line="240" w:lineRule="auto" w:before="0"/>
        <w:rPr>
          <w:rFonts w:ascii="宋体" w:hAnsi="宋体" w:cs="宋体" w:eastAsia="宋体" w:hint="default"/>
          <w:sz w:val="18"/>
          <w:szCs w:val="18"/>
        </w:rPr>
      </w:pPr>
    </w:p>
    <w:p>
      <w:pPr>
        <w:pStyle w:val="BodyText"/>
        <w:spacing w:line="240" w:lineRule="auto" w:before="158"/>
        <w:ind w:right="0"/>
        <w:jc w:val="both"/>
      </w:pPr>
      <w:r>
        <w:rPr/>
        <w:t>公司治理的实际状况与中国证监会发布的有关上市公司治理的规范性文件是否存在重大差异</w:t>
      </w:r>
    </w:p>
    <w:p>
      <w:pPr>
        <w:pStyle w:val="BodyText"/>
        <w:spacing w:line="240" w:lineRule="auto" w:before="117"/>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both"/>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ind w:right="982"/>
        <w:jc w:val="left"/>
      </w:pPr>
      <w:r>
        <w:rPr/>
        <w:t>公司治理的实际状况与中国证监会发布的有关上市公司治理的规范性文件不存在重大差异。</w:t>
      </w:r>
    </w:p>
    <w:p>
      <w:pPr>
        <w:spacing w:line="240" w:lineRule="auto" w:before="3"/>
        <w:rPr>
          <w:rFonts w:ascii="宋体" w:hAnsi="宋体" w:cs="宋体" w:eastAsia="宋体" w:hint="default"/>
          <w:sz w:val="25"/>
          <w:szCs w:val="25"/>
        </w:rPr>
      </w:pPr>
    </w:p>
    <w:p>
      <w:pPr>
        <w:pStyle w:val="Heading2"/>
        <w:spacing w:line="240" w:lineRule="auto"/>
        <w:ind w:right="982"/>
        <w:jc w:val="left"/>
        <w:rPr>
          <w:b w:val="0"/>
          <w:bCs w:val="0"/>
        </w:rPr>
      </w:pPr>
      <w:bookmarkStart w:name="二、公司相对于控股股东在业务、人员、资产、机构、财务等方面的独立情况" w:id="135"/>
      <w:bookmarkEnd w:id="135"/>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right="982" w:firstLine="300"/>
        <w:jc w:val="left"/>
      </w:pPr>
      <w:r>
        <w:rPr>
          <w:spacing w:val="-1"/>
        </w:rPr>
        <w:t>公司拥有独立完整的采购、生产、销售、研发系统，具备自主经营能力，在业务、资产、人员、机构和财务等方面与控</w:t>
      </w:r>
      <w:r>
        <w:rPr/>
        <w:t> 股股东及实际控制人相互独立。</w:t>
      </w:r>
    </w:p>
    <w:p>
      <w:pPr>
        <w:pStyle w:val="BodyText"/>
        <w:spacing w:line="300" w:lineRule="auto" w:before="18"/>
        <w:ind w:left="524" w:right="1202" w:firstLine="47"/>
        <w:jc w:val="left"/>
      </w:pPr>
      <w:r>
        <w:rPr>
          <w:rFonts w:ascii="Times New Roman" w:hAnsi="Times New Roman" w:cs="Times New Roman" w:eastAsia="Times New Roman" w:hint="default"/>
        </w:rPr>
        <w:t>1</w:t>
      </w:r>
      <w:r>
        <w:rPr/>
        <w:t>、人员独立 公司总经理、副总经理、财务负责人、董事会秘书等高级管理人员均在公司工作并领取薪酬，未在控股股东单位担任</w:t>
      </w:r>
    </w:p>
    <w:p>
      <w:pPr>
        <w:pStyle w:val="BodyText"/>
        <w:spacing w:line="309" w:lineRule="auto" w:before="31"/>
        <w:ind w:left="524" w:right="982" w:hanging="373"/>
        <w:jc w:val="left"/>
      </w:pPr>
      <w:r>
        <w:rPr>
          <w:spacing w:val="-4"/>
        </w:rPr>
        <w:t>任何职务和领取报酬；公司财务人员没有在控股股东单位兼职。公司已建立独立的劳动人事、社会保障体系及工资管理体系。</w:t>
      </w:r>
      <w:r>
        <w:rPr>
          <w:spacing w:val="-44"/>
        </w:rPr>
        <w:t> </w:t>
      </w:r>
      <w:r>
        <w:rPr>
          <w:spacing w:val="-44"/>
        </w:rPr>
      </w:r>
      <w:r>
        <w:rPr>
          <w:rFonts w:ascii="Times New Roman" w:hAnsi="Times New Roman" w:cs="Times New Roman" w:eastAsia="Times New Roman" w:hint="default"/>
        </w:rPr>
        <w:t>2</w:t>
      </w:r>
      <w:r>
        <w:rPr/>
        <w:t>、资产独立 公司具备与生产经营有关的生产系统、辅助生产系统和配套设施，合法拥有与生产经营有关的土地、厂房、机器设备</w:t>
      </w:r>
    </w:p>
    <w:p>
      <w:pPr>
        <w:pStyle w:val="BodyText"/>
        <w:spacing w:line="316" w:lineRule="auto" w:before="24"/>
        <w:ind w:right="982"/>
        <w:jc w:val="left"/>
      </w:pPr>
      <w:r>
        <w:rPr>
          <w:spacing w:val="-2"/>
        </w:rPr>
        <w:t>以及商标、专利、非专利技术的所有权和使用权，具有独立的材料采购和产品销售系统，与公司股东和其他关联方之间资产</w:t>
      </w:r>
      <w:r>
        <w:rPr>
          <w:spacing w:val="-64"/>
        </w:rPr>
        <w:t> </w:t>
      </w:r>
      <w:r>
        <w:rPr>
          <w:spacing w:val="-64"/>
        </w:rPr>
      </w:r>
      <w:r>
        <w:rPr/>
        <w:t>相互独立。</w:t>
      </w:r>
    </w:p>
    <w:p>
      <w:pPr>
        <w:pStyle w:val="BodyText"/>
        <w:spacing w:line="300" w:lineRule="auto" w:before="18"/>
        <w:ind w:left="524" w:right="1202" w:firstLine="47"/>
        <w:jc w:val="left"/>
      </w:pPr>
      <w:r>
        <w:rPr>
          <w:rFonts w:ascii="Times New Roman" w:hAnsi="Times New Roman" w:cs="Times New Roman" w:eastAsia="Times New Roman" w:hint="default"/>
        </w:rPr>
        <w:t>3</w:t>
      </w:r>
      <w:r>
        <w:rPr/>
        <w:t>、财务独立 公司有独立的财务部门，建立了独立的会计核算体系和财务管理制度；配备了专职的财务会计人员，独立进行会计核</w:t>
      </w:r>
    </w:p>
    <w:p>
      <w:pPr>
        <w:pStyle w:val="BodyText"/>
        <w:spacing w:line="240" w:lineRule="auto" w:before="31"/>
        <w:ind w:right="982"/>
        <w:jc w:val="left"/>
      </w:pPr>
      <w:r>
        <w:rPr/>
        <w:t>算和财务决策。公司开设有独立的银行帐号，依法独立进行纳税申报和履行纳税义务。</w:t>
      </w:r>
    </w:p>
    <w:p>
      <w:pPr>
        <w:pStyle w:val="BodyText"/>
        <w:spacing w:line="300" w:lineRule="auto" w:before="76"/>
        <w:ind w:left="524" w:right="1202" w:firstLine="47"/>
        <w:jc w:val="left"/>
      </w:pPr>
      <w:r>
        <w:rPr>
          <w:rFonts w:ascii="Times New Roman" w:hAnsi="Times New Roman" w:cs="Times New Roman" w:eastAsia="Times New Roman" w:hint="default"/>
        </w:rPr>
        <w:t>4</w:t>
      </w:r>
      <w:r>
        <w:rPr/>
        <w:t>、机构独立 公司不断完善以股东大会、董事会、监事会、经理层为架构的法人治理结构，严格按照《公司法》、《公司章程》等</w:t>
      </w:r>
    </w:p>
    <w:p>
      <w:pPr>
        <w:pStyle w:val="BodyText"/>
        <w:spacing w:line="316" w:lineRule="auto" w:before="31"/>
        <w:ind w:right="982"/>
        <w:jc w:val="left"/>
      </w:pPr>
      <w:r>
        <w:rPr>
          <w:spacing w:val="-2"/>
        </w:rPr>
        <w:t>的规定履行各自的职责；建立了适应自身发展需要的组织结构，并根据企业发展情况调整优化，制定了较为完善的岗位职责</w:t>
      </w:r>
      <w:r>
        <w:rPr>
          <w:spacing w:val="-63"/>
        </w:rPr>
        <w:t> </w:t>
      </w:r>
      <w:r>
        <w:rPr>
          <w:spacing w:val="-63"/>
        </w:rPr>
      </w:r>
      <w:r>
        <w:rPr/>
        <w:t>和管理制度，各部门按照规定的职责开展工作，相互独立、协作和制约。</w:t>
      </w:r>
    </w:p>
    <w:p>
      <w:pPr>
        <w:pStyle w:val="BodyText"/>
        <w:spacing w:line="328" w:lineRule="auto" w:before="18"/>
        <w:ind w:right="1034" w:firstLine="419"/>
        <w:jc w:val="left"/>
      </w:pPr>
      <w:r>
        <w:rPr>
          <w:rFonts w:ascii="Times New Roman" w:hAnsi="Times New Roman" w:cs="Times New Roman" w:eastAsia="Times New Roman" w:hint="default"/>
        </w:rPr>
        <w:t>5</w:t>
      </w:r>
      <w:r>
        <w:rPr/>
        <w:t>、业务独立 公司具备独立、完整的产供销系统，拥有独立的决策和执行机构，拥有独立的业务系统；独立地对外签署合同，独立采购、 生产并销售公司产品；具有面向市场的自主经营能力；公司股东及其控制的其他企业没有从事与公司相同或相近的业务。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46"/>
        <w:ind w:right="982"/>
        <w:jc w:val="left"/>
        <w:rPr>
          <w:b w:val="0"/>
          <w:bCs w:val="0"/>
        </w:rPr>
      </w:pPr>
      <w:bookmarkStart w:name="三、同业竞争情况" w:id="136"/>
      <w:bookmarkEnd w:id="136"/>
      <w:r>
        <w:rPr>
          <w:b w:val="0"/>
          <w:bCs w:val="0"/>
        </w:rPr>
      </w:r>
      <w:r>
        <w:rPr/>
        <w:t>三、同业竞争情况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82"/>
        <w:jc w:val="left"/>
        <w:rPr>
          <w:b w:val="0"/>
          <w:bCs w:val="0"/>
        </w:rPr>
      </w:pPr>
      <w:bookmarkStart w:name="四、报告期内召开的年度股东大会和临时股东大会的有关情况" w:id="137"/>
      <w:bookmarkEnd w:id="137"/>
      <w:r>
        <w:rPr>
          <w:b w:val="0"/>
          <w:bCs w:val="0"/>
        </w:rPr>
      </w: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2"/>
        <w:jc w:val="left"/>
        <w:rPr>
          <w:b w:val="0"/>
          <w:bCs w:val="0"/>
        </w:rPr>
      </w:pPr>
      <w:bookmarkStart w:name="1、本报告期股东大会情况" w:id="138"/>
      <w:bookmarkEnd w:id="138"/>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2018-005</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2018-038</w:t>
            </w:r>
          </w:p>
        </w:tc>
      </w:tr>
    </w:tbl>
    <w:p>
      <w:pPr>
        <w:spacing w:line="240" w:lineRule="auto" w:before="3"/>
        <w:rPr>
          <w:rFonts w:ascii="宋体" w:hAnsi="宋体" w:cs="宋体" w:eastAsia="宋体" w:hint="default"/>
          <w:b/>
          <w:bCs/>
          <w:sz w:val="19"/>
          <w:szCs w:val="19"/>
        </w:rPr>
      </w:pPr>
    </w:p>
    <w:p>
      <w:pPr>
        <w:pStyle w:val="Heading3"/>
        <w:spacing w:line="240" w:lineRule="auto" w:before="36"/>
        <w:ind w:right="982"/>
        <w:jc w:val="left"/>
        <w:rPr>
          <w:b w:val="0"/>
          <w:bCs w:val="0"/>
        </w:rPr>
      </w:pPr>
      <w:bookmarkStart w:name="2、表决权恢复的优先股股东请求召开临时股东大会" w:id="139"/>
      <w:bookmarkEnd w:id="139"/>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982"/>
        <w:jc w:val="left"/>
        <w:rPr>
          <w:b w:val="0"/>
          <w:bCs w:val="0"/>
        </w:rPr>
      </w:pPr>
      <w:bookmarkStart w:name="五、报告期内独立董事履行职责的情况" w:id="140"/>
      <w:bookmarkEnd w:id="140"/>
      <w:r>
        <w:rPr>
          <w:b w:val="0"/>
          <w:bCs w:val="0"/>
        </w:rPr>
      </w: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2"/>
        <w:jc w:val="left"/>
        <w:rPr>
          <w:b w:val="0"/>
          <w:bCs w:val="0"/>
        </w:rPr>
      </w:pPr>
      <w:bookmarkStart w:name="1、独立董事出席董事会及股东大会的情况" w:id="141"/>
      <w:bookmarkEnd w:id="141"/>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4"/>
        <w:gridCol w:w="1162"/>
        <w:gridCol w:w="1164"/>
        <w:gridCol w:w="1162"/>
        <w:gridCol w:w="1164"/>
        <w:gridCol w:w="1164"/>
      </w:tblGrid>
      <w:tr>
        <w:trPr>
          <w:trHeight w:val="403"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5" w:right="36"/>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95"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朱学义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林爱梅</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叶飞</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right="0"/>
        <w:jc w:val="both"/>
      </w:pPr>
      <w:r>
        <w:rPr/>
        <w:t>连续两次未亲自出席董事会的说明</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bookmarkStart w:name="2、独立董事对公司有关事项提出异议的情况" w:id="142"/>
      <w:bookmarkEnd w:id="142"/>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both"/>
      </w:pPr>
      <w:r>
        <w:rPr/>
        <w:t>独立董事对公司有关事项是否提出异议</w:t>
      </w:r>
    </w:p>
    <w:p>
      <w:pPr>
        <w:pStyle w:val="BodyText"/>
        <w:spacing w:line="338" w:lineRule="auto" w:before="117"/>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7"/>
        <w:rPr>
          <w:rFonts w:ascii="宋体" w:hAnsi="宋体" w:cs="宋体" w:eastAsia="宋体" w:hint="default"/>
          <w:sz w:val="21"/>
          <w:szCs w:val="21"/>
        </w:rPr>
      </w:pPr>
    </w:p>
    <w:p>
      <w:pPr>
        <w:pStyle w:val="Heading3"/>
        <w:spacing w:line="240" w:lineRule="auto"/>
        <w:ind w:right="0"/>
        <w:jc w:val="both"/>
        <w:rPr>
          <w:b w:val="0"/>
          <w:bCs w:val="0"/>
        </w:rPr>
      </w:pPr>
      <w:bookmarkStart w:name="3、独立董事履行职责的其他说明" w:id="143"/>
      <w:bookmarkEnd w:id="143"/>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both"/>
      </w:pPr>
      <w:r>
        <w:rPr/>
        <w:t>独立董事对公司有关建议是否被采纳</w:t>
      </w:r>
    </w:p>
    <w:p>
      <w:pPr>
        <w:pStyle w:val="BodyText"/>
        <w:spacing w:line="340" w:lineRule="auto" w:before="115"/>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独立董事对公司有关建议被采纳或未被采纳的说明</w:t>
      </w:r>
    </w:p>
    <w:p>
      <w:pPr>
        <w:pStyle w:val="BodyText"/>
        <w:spacing w:line="316" w:lineRule="auto" w:before="41"/>
        <w:ind w:right="1130" w:firstLine="288"/>
        <w:jc w:val="both"/>
      </w:pPr>
      <w:r>
        <w:rPr>
          <w:spacing w:val="-1"/>
        </w:rPr>
        <w:t>公司独立董事勤勉尽责，严格按照有关法律、法规、规范性文件的规定和《公司章程》、《独立董事工作制度》的要求</w:t>
      </w:r>
      <w:r>
        <w:rPr/>
        <w:t> </w:t>
      </w:r>
      <w:r>
        <w:rPr>
          <w:spacing w:val="-2"/>
        </w:rPr>
        <w:t>履行独立董事的职责，认真行使公司所赋予的权利，及时了解公司的生产经营信息，全面关注公司的发展状况，利用自身的</w:t>
      </w:r>
      <w:r>
        <w:rPr>
          <w:spacing w:val="-65"/>
        </w:rPr>
        <w:t> </w:t>
      </w:r>
      <w:r>
        <w:rPr>
          <w:spacing w:val="-65"/>
        </w:rPr>
      </w:r>
      <w:r>
        <w:rPr>
          <w:spacing w:val="-2"/>
        </w:rPr>
        <w:t>专业优势，对公司重大资产重组、内部控制建设、管理体系建设、重大决策等方面提出了合理化的意见和建议，对公司财务</w:t>
      </w:r>
      <w:r>
        <w:rPr>
          <w:spacing w:val="-67"/>
        </w:rPr>
        <w:t> </w:t>
      </w:r>
      <w:r>
        <w:rPr>
          <w:spacing w:val="-67"/>
        </w:rPr>
      </w:r>
      <w:r>
        <w:rPr/>
        <w:t>及生产经营进行有效的监督，提高公司决策的科学性，维护公司和全体股东的合法权益发挥了应有的作用。</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bookmarkStart w:name="六、董事会下设专门委员会在报告期内履行职责情况" w:id="144"/>
      <w:bookmarkEnd w:id="144"/>
      <w:r>
        <w:rPr>
          <w:b w:val="0"/>
          <w:bCs w:val="0"/>
        </w:rPr>
      </w:r>
      <w:r>
        <w:rPr/>
        <w:t>六、董事会下设专门委员会在报告期内履行职责情况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30" w:firstLine="360"/>
        <w:jc w:val="both"/>
      </w:pPr>
      <w:r>
        <w:rPr>
          <w:spacing w:val="-2"/>
        </w:rPr>
        <w:t>公司董事会下设审计委员会、提名委员会、薪酬与考核委员会、战略委员会。各专门委员会依据专门委员会议事规则的</w:t>
      </w:r>
      <w:r>
        <w:rPr/>
        <w:t> 职权范围开展工作。</w:t>
      </w:r>
    </w:p>
    <w:p>
      <w:pPr>
        <w:pStyle w:val="BodyText"/>
        <w:spacing w:line="300" w:lineRule="auto" w:before="18"/>
        <w:ind w:left="512" w:right="982"/>
        <w:jc w:val="left"/>
      </w:pPr>
      <w:r>
        <w:rPr>
          <w:rFonts w:ascii="Times New Roman" w:hAnsi="Times New Roman" w:cs="Times New Roman" w:eastAsia="Times New Roman" w:hint="default"/>
        </w:rPr>
        <w:t>1</w:t>
      </w:r>
      <w:r>
        <w:rPr/>
        <w:t>、董事会审计委员会履职情况 </w:t>
      </w:r>
      <w:r>
        <w:rPr>
          <w:spacing w:val="-2"/>
        </w:rPr>
        <w:t>报告期内，公司董事会审计委员会严格按照相关法律法规及《公司章程》、《董事会审计委员会工作细则》的有关规定</w:t>
      </w:r>
    </w:p>
    <w:p>
      <w:pPr>
        <w:pStyle w:val="BodyText"/>
        <w:spacing w:line="309" w:lineRule="auto" w:before="31"/>
        <w:ind w:right="1130"/>
        <w:jc w:val="both"/>
      </w:pPr>
      <w:r>
        <w:rPr>
          <w:spacing w:val="-2"/>
        </w:rPr>
        <w:t>积极开展相关工作，勤勉尽责地履行职责。审计委员会每季度召开会议审议内部审计部提交的工作计划、工作报告，定期向</w:t>
      </w:r>
      <w:r>
        <w:rPr>
          <w:spacing w:val="-64"/>
        </w:rPr>
        <w:t> </w:t>
      </w:r>
      <w:r>
        <w:rPr>
          <w:spacing w:val="-64"/>
        </w:rPr>
      </w:r>
      <w:r>
        <w:rPr/>
        <w:t>董事会报告期内审计工作进展和执行的相关情况。报告期内，审计委员会共召开了</w:t>
      </w:r>
      <w:r>
        <w:rPr>
          <w:rFonts w:ascii="Times New Roman" w:hAnsi="Times New Roman" w:cs="Times New Roman" w:eastAsia="Times New Roman" w:hint="default"/>
        </w:rPr>
        <w:t>4</w:t>
      </w:r>
      <w:r>
        <w:rPr/>
        <w:t>次会议，对公司定期财务报告、续聘年 度审计机构、募集资金存放与使用、会计政策变更等专项进行了审议。</w:t>
      </w:r>
    </w:p>
    <w:p>
      <w:pPr>
        <w:pStyle w:val="BodyText"/>
        <w:spacing w:line="300" w:lineRule="auto" w:before="24"/>
        <w:ind w:left="512" w:right="982"/>
        <w:jc w:val="left"/>
      </w:pPr>
      <w:r>
        <w:rPr>
          <w:rFonts w:ascii="Times New Roman" w:hAnsi="Times New Roman" w:cs="Times New Roman" w:eastAsia="Times New Roman" w:hint="default"/>
        </w:rPr>
        <w:t>2</w:t>
      </w:r>
      <w:r>
        <w:rPr/>
        <w:t>、董事会提名委员会履职情况 </w:t>
      </w:r>
      <w:r>
        <w:rPr>
          <w:spacing w:val="-2"/>
        </w:rPr>
        <w:t>报告期内，公司董事会提名委员会严格按照相关法律法规及《公司章程》、《董事会提名委员会工作细则》的有关规定</w:t>
      </w:r>
    </w:p>
    <w:p>
      <w:pPr>
        <w:pStyle w:val="BodyText"/>
        <w:spacing w:line="300" w:lineRule="auto" w:before="31"/>
        <w:ind w:right="1124"/>
        <w:jc w:val="left"/>
      </w:pPr>
      <w:r>
        <w:rPr/>
        <w:t>积极开展相关工作，勤勉尽责地履行职责。报告期内，提名委员会召开了</w:t>
      </w:r>
      <w:r>
        <w:rPr>
          <w:rFonts w:ascii="Times New Roman" w:hAnsi="Times New Roman" w:cs="Times New Roman" w:eastAsia="Times New Roman" w:hint="default"/>
        </w:rPr>
        <w:t>1</w:t>
      </w:r>
      <w:r>
        <w:rPr/>
        <w:t>次会议，主要对公司拟选举和聘任的高级管理人 员的任职资格进行审查，并提交给董事会审议。</w:t>
      </w:r>
    </w:p>
    <w:p>
      <w:pPr>
        <w:spacing w:after="0" w:line="300" w:lineRule="auto"/>
        <w:jc w:val="left"/>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300" w:lineRule="auto"/>
        <w:ind w:left="512" w:right="982"/>
        <w:jc w:val="left"/>
      </w:pPr>
      <w:r>
        <w:rPr>
          <w:rFonts w:ascii="Times New Roman" w:hAnsi="Times New Roman" w:cs="Times New Roman" w:eastAsia="Times New Roman" w:hint="default"/>
        </w:rPr>
        <w:t>3</w:t>
      </w:r>
      <w:r>
        <w:rPr/>
        <w:t>、董事会薪酬与考核委员会履职情况 </w:t>
      </w:r>
      <w:r>
        <w:rPr>
          <w:spacing w:val="-4"/>
        </w:rPr>
        <w:t>报告期内，公司董事会薪酬与考核委员会严格按照相关法律法规及《公司章程》、《董事会薪酬与考核委员会工作细则》</w:t>
      </w:r>
    </w:p>
    <w:p>
      <w:pPr>
        <w:pStyle w:val="BodyText"/>
        <w:spacing w:line="300" w:lineRule="auto" w:before="31"/>
        <w:ind w:right="1122"/>
        <w:jc w:val="left"/>
      </w:pPr>
      <w:r>
        <w:rPr>
          <w:spacing w:val="-1"/>
        </w:rPr>
        <w:t>的有关规定积极开展相关工作，勤勉尽责地履行职责。</w:t>
      </w:r>
      <w:r>
        <w:rPr/>
        <w:t> </w:t>
      </w:r>
      <w:r>
        <w:rPr>
          <w:spacing w:val="-2"/>
        </w:rPr>
        <w:t>报告期内，薪酬与考核委员会召开</w:t>
      </w:r>
      <w:r>
        <w:rPr>
          <w:rFonts w:ascii="Times New Roman" w:hAnsi="Times New Roman" w:cs="Times New Roman" w:eastAsia="Times New Roman" w:hint="default"/>
          <w:spacing w:val="-2"/>
        </w:rPr>
        <w:t>1</w:t>
      </w:r>
      <w:r>
        <w:rPr>
          <w:spacing w:val="-2"/>
        </w:rPr>
        <w:t>次会议，审议</w:t>
      </w:r>
      <w:r>
        <w:rPr>
          <w:rFonts w:ascii="Times New Roman" w:hAnsi="Times New Roman" w:cs="Times New Roman" w:eastAsia="Times New Roman" w:hint="default"/>
          <w:spacing w:val="-2"/>
        </w:rPr>
        <w:t>2018</w:t>
      </w:r>
      <w:r>
        <w:rPr>
          <w:spacing w:val="-2"/>
        </w:rPr>
        <w:t>年董事及高级</w:t>
      </w:r>
      <w:r>
        <w:rPr>
          <w:spacing w:val="-87"/>
        </w:rPr>
        <w:t> </w:t>
      </w:r>
      <w:r>
        <w:rPr>
          <w:spacing w:val="-87"/>
        </w:rPr>
      </w:r>
      <w:r>
        <w:rPr/>
        <w:t>管理人员薪酬情况。</w:t>
      </w:r>
    </w:p>
    <w:p>
      <w:pPr>
        <w:pStyle w:val="BodyText"/>
        <w:spacing w:line="324" w:lineRule="auto" w:before="31"/>
        <w:ind w:right="982" w:firstLine="360"/>
        <w:jc w:val="left"/>
      </w:pPr>
      <w:r>
        <w:rPr>
          <w:rFonts w:ascii="Times New Roman" w:hAnsi="Times New Roman" w:cs="Times New Roman" w:eastAsia="Times New Roman" w:hint="default"/>
        </w:rPr>
        <w:t>4</w:t>
      </w:r>
      <w:r>
        <w:rPr/>
        <w:t>、董事会战略委员会履职情况 </w:t>
      </w:r>
      <w:r>
        <w:rPr>
          <w:spacing w:val="-2"/>
        </w:rPr>
        <w:t>报告期内，公司董事会战略委员会严格按照相关法律法规及《公司章程》、《董事会战略委员会工作细则》的有关规定积极</w:t>
      </w:r>
      <w:r>
        <w:rPr>
          <w:spacing w:val="-69"/>
        </w:rPr>
        <w:t> </w:t>
      </w:r>
      <w:r>
        <w:rPr>
          <w:spacing w:val="-69"/>
        </w:rPr>
      </w:r>
      <w:r>
        <w:rPr>
          <w:spacing w:val="-2"/>
        </w:rPr>
        <w:t>开展相关工作，勤勉尽责地履行职责。报告期内，战略委员会积极关注行业和市场发展动态，结合公司实际情况，战略委员</w:t>
      </w:r>
      <w:r>
        <w:rPr>
          <w:spacing w:val="-67"/>
        </w:rPr>
        <w:t> </w:t>
      </w:r>
      <w:r>
        <w:rPr>
          <w:spacing w:val="-67"/>
        </w:rPr>
      </w:r>
      <w:r>
        <w:rPr/>
        <w:t>会共召开了</w:t>
      </w:r>
      <w:r>
        <w:rPr>
          <w:rFonts w:ascii="Times New Roman" w:hAnsi="Times New Roman" w:cs="Times New Roman" w:eastAsia="Times New Roman" w:hint="default"/>
        </w:rPr>
        <w:t>1</w:t>
      </w:r>
      <w:r>
        <w:rPr/>
        <w:t>次会议，对公司对外投资等重大事项展开深入分析和探讨，为公司战略发展的实施提出宝贵的建议。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6"/>
        <w:ind w:right="982"/>
        <w:jc w:val="left"/>
        <w:rPr>
          <w:b w:val="0"/>
          <w:bCs w:val="0"/>
        </w:rPr>
      </w:pPr>
      <w:bookmarkStart w:name="七、监事会工作情况" w:id="145"/>
      <w:bookmarkEnd w:id="145"/>
      <w:r>
        <w:rPr>
          <w:b w:val="0"/>
          <w:bCs w:val="0"/>
        </w:rPr>
      </w: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982"/>
        <w:jc w:val="left"/>
      </w:pPr>
      <w:r>
        <w:rPr/>
        <w:t>监事会在报告期内的监督活动中发现公司是否存在风险</w:t>
      </w:r>
    </w:p>
    <w:p>
      <w:pPr>
        <w:pStyle w:val="BodyText"/>
        <w:spacing w:line="338" w:lineRule="auto" w:before="117"/>
        <w:ind w:right="7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8"/>
        <w:rPr>
          <w:rFonts w:ascii="宋体" w:hAnsi="宋体" w:cs="宋体" w:eastAsia="宋体" w:hint="default"/>
          <w:sz w:val="19"/>
          <w:szCs w:val="19"/>
        </w:rPr>
      </w:pPr>
    </w:p>
    <w:p>
      <w:pPr>
        <w:pStyle w:val="Heading2"/>
        <w:spacing w:line="240" w:lineRule="auto"/>
        <w:ind w:right="982"/>
        <w:jc w:val="left"/>
        <w:rPr>
          <w:b w:val="0"/>
          <w:bCs w:val="0"/>
        </w:rPr>
      </w:pPr>
      <w:bookmarkStart w:name="八、高级管理人员的考评及激励情况" w:id="146"/>
      <w:bookmarkEnd w:id="146"/>
      <w:r>
        <w:rPr>
          <w:b w:val="0"/>
          <w:bCs w:val="0"/>
        </w:rPr>
      </w: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right="1034" w:firstLine="288"/>
        <w:jc w:val="left"/>
      </w:pPr>
      <w:r>
        <w:rPr/>
        <w:t>公司建立了高级管理人员的薪酬与公司业绩挂钩的绩效考核与激励约束机制。公司高级管理人员均由董事会聘任，直接 对董事会负责，承担董事会下达的经营指标。董事会下设的薪酬与考核委员会负责对高级管理人员的工作能力、履职情况、 </w:t>
      </w:r>
      <w:r>
        <w:rPr>
          <w:spacing w:val="-5"/>
        </w:rPr>
        <w:t>责任目标完成情况等进行年终考评，制定薪酬方案并报董事会审批。报告期内，高级管理人员能够严格按照《公司法》、《公</w:t>
      </w:r>
      <w:r>
        <w:rPr>
          <w:spacing w:val="-81"/>
        </w:rPr>
        <w:t> </w:t>
      </w:r>
      <w:r>
        <w:rPr>
          <w:spacing w:val="-81"/>
        </w:rPr>
      </w:r>
      <w:r>
        <w:rPr>
          <w:spacing w:val="-2"/>
        </w:rPr>
        <w:t>司章程》及国家有关法律法规认真履行职责，积极落实公司股东大会和董事会相关决议，不断加强内部管理，积极完成年度</w:t>
      </w:r>
      <w:r>
        <w:rPr>
          <w:spacing w:val="-65"/>
        </w:rPr>
        <w:t> </w:t>
      </w:r>
      <w:r>
        <w:rPr>
          <w:spacing w:val="-65"/>
        </w:rPr>
      </w:r>
      <w:r>
        <w:rPr/>
        <w:t>的各项任务。高级管理人员薪酬方案严格执行了公司薪酬管理制度，薪酬水平与公司的经营业绩相匹配。</w:t>
      </w:r>
    </w:p>
    <w:p>
      <w:pPr>
        <w:spacing w:line="240" w:lineRule="auto" w:before="11"/>
        <w:rPr>
          <w:rFonts w:ascii="宋体" w:hAnsi="宋体" w:cs="宋体" w:eastAsia="宋体" w:hint="default"/>
          <w:sz w:val="20"/>
          <w:szCs w:val="20"/>
        </w:rPr>
      </w:pPr>
    </w:p>
    <w:p>
      <w:pPr>
        <w:pStyle w:val="Heading2"/>
        <w:spacing w:line="240" w:lineRule="auto"/>
        <w:ind w:right="982"/>
        <w:jc w:val="left"/>
        <w:rPr>
          <w:b w:val="0"/>
          <w:bCs w:val="0"/>
        </w:rPr>
      </w:pPr>
      <w:bookmarkStart w:name="九、内部控制评价报告" w:id="147"/>
      <w:bookmarkEnd w:id="147"/>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82"/>
        <w:jc w:val="left"/>
        <w:rPr>
          <w:b w:val="0"/>
          <w:bCs w:val="0"/>
        </w:rPr>
      </w:pPr>
      <w:bookmarkStart w:name="1、报告期内发现的内部控制重大缺陷的具体情况" w:id="148"/>
      <w:bookmarkEnd w:id="148"/>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bookmarkStart w:name="2、内控自我评价报告" w:id="149"/>
      <w:bookmarkEnd w:id="149"/>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7"/>
        <w:gridCol w:w="3327"/>
        <w:gridCol w:w="3053"/>
      </w:tblGrid>
      <w:tr>
        <w:trPr>
          <w:trHeight w:val="403" w:hRule="exact"/>
        </w:trPr>
        <w:tc>
          <w:tcPr>
            <w:tcW w:w="31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51"/>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r>
      <w:tr>
        <w:trPr>
          <w:trHeight w:val="401" w:hRule="exact"/>
        </w:trPr>
        <w:tc>
          <w:tcPr>
            <w:tcW w:w="31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1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(www.cninfo.com.cn)</w:t>
            </w:r>
          </w:p>
        </w:tc>
      </w:tr>
      <w:tr>
        <w:trPr>
          <w:trHeight w:val="715" w:hRule="exact"/>
        </w:trPr>
        <w:tc>
          <w:tcPr>
            <w:tcW w:w="31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93"/>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93"/>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 w:right="12"/>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6" w:hRule="exact"/>
        </w:trPr>
        <w:tc>
          <w:tcPr>
            <w:tcW w:w="31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 w:right="8"/>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42" w:hRule="exact"/>
        </w:trPr>
        <w:tc>
          <w:tcPr>
            <w:tcW w:w="3177" w:type="dxa"/>
            <w:tcBorders>
              <w:top w:val="single" w:sz="4" w:space="0" w:color="000000"/>
              <w:left w:val="single" w:sz="4" w:space="0" w:color="000000"/>
              <w:bottom w:val="nil" w:sz="6" w:space="0" w:color="auto"/>
              <w:right w:val="single" w:sz="4" w:space="0" w:color="000000"/>
            </w:tcBorders>
            <w:shd w:val="clear" w:color="auto" w:fill="D4D4D4"/>
          </w:tcPr>
          <w:p>
            <w:pPr/>
          </w:p>
        </w:tc>
        <w:tc>
          <w:tcPr>
            <w:tcW w:w="3327" w:type="dxa"/>
            <w:vMerge w:val="restart"/>
            <w:tcBorders>
              <w:top w:val="single" w:sz="4" w:space="0" w:color="000000"/>
              <w:left w:val="single" w:sz="12" w:space="0" w:color="D4D4D4"/>
              <w:right w:val="single" w:sz="4" w:space="0" w:color="000000"/>
            </w:tcBorders>
          </w:tcPr>
          <w:p>
            <w:pPr>
              <w:pStyle w:val="TableParagraph"/>
              <w:spacing w:line="314" w:lineRule="auto" w:before="51"/>
              <w:ind w:left="18" w:right="19"/>
              <w:jc w:val="left"/>
              <w:rPr>
                <w:rFonts w:ascii="宋体" w:hAnsi="宋体" w:cs="宋体" w:eastAsia="宋体" w:hint="default"/>
                <w:sz w:val="18"/>
                <w:szCs w:val="18"/>
              </w:rPr>
            </w:pPr>
            <w:r>
              <w:rPr>
                <w:rFonts w:ascii="宋体" w:hAnsi="宋体" w:cs="宋体" w:eastAsia="宋体" w:hint="default"/>
                <w:sz w:val="18"/>
                <w:szCs w:val="18"/>
              </w:rPr>
              <w:t>重大缺陷认定标准：</w:t>
            </w:r>
            <w:r>
              <w:rPr>
                <w:rFonts w:ascii="宋体" w:hAnsi="宋体" w:cs="宋体" w:eastAsia="宋体" w:hint="default"/>
                <w:spacing w:val="-21"/>
                <w:sz w:val="18"/>
                <w:szCs w:val="18"/>
              </w:rPr>
              <w:t> </w:t>
            </w:r>
            <w:r>
              <w:rPr>
                <w:rFonts w:ascii="宋体" w:hAnsi="宋体" w:cs="宋体" w:eastAsia="宋体" w:hint="default"/>
                <w:spacing w:val="-5"/>
                <w:sz w:val="18"/>
                <w:szCs w:val="18"/>
              </w:rPr>
              <w:t>①董事、监事、高级</w:t>
            </w:r>
            <w:r>
              <w:rPr>
                <w:rFonts w:ascii="宋体" w:hAnsi="宋体" w:cs="宋体" w:eastAsia="宋体" w:hint="default"/>
                <w:sz w:val="18"/>
                <w:szCs w:val="18"/>
              </w:rPr>
              <w:t> 管理人员舞弊。</w:t>
            </w:r>
            <w:r>
              <w:rPr>
                <w:rFonts w:ascii="宋体" w:hAnsi="宋体" w:cs="宋体" w:eastAsia="宋体" w:hint="default"/>
                <w:spacing w:val="-65"/>
                <w:sz w:val="18"/>
                <w:szCs w:val="18"/>
              </w:rPr>
              <w:t> </w:t>
            </w:r>
            <w:r>
              <w:rPr>
                <w:rFonts w:ascii="宋体" w:hAnsi="宋体" w:cs="宋体" w:eastAsia="宋体" w:hint="default"/>
                <w:sz w:val="18"/>
                <w:szCs w:val="18"/>
              </w:rPr>
              <w:t>②对已经公告的财务报告</w:t>
            </w:r>
          </w:p>
        </w:tc>
        <w:tc>
          <w:tcPr>
            <w:tcW w:w="3053" w:type="dxa"/>
            <w:vMerge w:val="restart"/>
            <w:tcBorders>
              <w:top w:val="single" w:sz="4" w:space="0" w:color="000000"/>
              <w:left w:val="single" w:sz="4" w:space="0" w:color="000000"/>
              <w:right w:val="single" w:sz="4" w:space="0" w:color="000000"/>
            </w:tcBorders>
          </w:tcPr>
          <w:p>
            <w:pPr>
              <w:pStyle w:val="TableParagraph"/>
              <w:spacing w:line="314" w:lineRule="auto" w:before="51"/>
              <w:ind w:left="26" w:right="19"/>
              <w:jc w:val="left"/>
              <w:rPr>
                <w:rFonts w:ascii="宋体" w:hAnsi="宋体" w:cs="宋体" w:eastAsia="宋体" w:hint="default"/>
                <w:sz w:val="18"/>
                <w:szCs w:val="18"/>
              </w:rPr>
            </w:pPr>
            <w:r>
              <w:rPr>
                <w:rFonts w:ascii="宋体" w:hAnsi="宋体" w:cs="宋体" w:eastAsia="宋体" w:hint="default"/>
                <w:spacing w:val="-4"/>
                <w:sz w:val="18"/>
                <w:szCs w:val="18"/>
              </w:rPr>
              <w:t>重大缺陷认定标准：①公司经营活动违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反国家法律、法规。②媒体负面新闻频</w:t>
            </w:r>
          </w:p>
        </w:tc>
      </w:tr>
      <w:tr>
        <w:trPr>
          <w:trHeight w:val="391" w:hRule="exact"/>
        </w:trPr>
        <w:tc>
          <w:tcPr>
            <w:tcW w:w="317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12" w:space="0" w:color="D4D4D4"/>
              <w:right w:val="single" w:sz="4" w:space="0" w:color="000000"/>
            </w:tcBorders>
          </w:tcPr>
          <w:p>
            <w:pPr/>
          </w:p>
        </w:tc>
        <w:tc>
          <w:tcPr>
            <w:tcW w:w="3053" w:type="dxa"/>
            <w:vMerge/>
            <w:tcBorders>
              <w:left w:val="single" w:sz="4" w:space="0" w:color="000000"/>
              <w:right w:val="single" w:sz="4" w:space="0" w:color="000000"/>
            </w:tcBorders>
          </w:tcPr>
          <w:p>
            <w:pPr/>
          </w:p>
        </w:tc>
      </w:tr>
      <w:tr>
        <w:trPr>
          <w:trHeight w:val="142" w:hRule="exact"/>
        </w:trPr>
        <w:tc>
          <w:tcPr>
            <w:tcW w:w="3177" w:type="dxa"/>
            <w:tcBorders>
              <w:top w:val="nil" w:sz="6" w:space="0" w:color="auto"/>
              <w:left w:val="single" w:sz="4" w:space="0" w:color="000000"/>
              <w:bottom w:val="single" w:sz="4" w:space="0" w:color="000000"/>
              <w:right w:val="single" w:sz="4" w:space="0" w:color="000000"/>
            </w:tcBorders>
            <w:shd w:val="clear" w:color="auto" w:fill="D4D4D4"/>
          </w:tcPr>
          <w:p>
            <w:pPr/>
          </w:p>
        </w:tc>
        <w:tc>
          <w:tcPr>
            <w:tcW w:w="3327" w:type="dxa"/>
            <w:vMerge/>
            <w:tcBorders>
              <w:left w:val="single" w:sz="12" w:space="0" w:color="D4D4D4"/>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7"/>
          <w:szCs w:val="17"/>
        </w:rPr>
      </w:pPr>
    </w:p>
    <w:p>
      <w:pPr>
        <w:pStyle w:val="BodyText"/>
        <w:spacing w:line="240" w:lineRule="auto"/>
        <w:ind w:left="0" w:right="1140"/>
        <w:jc w:val="right"/>
      </w:pPr>
      <w:r>
        <w:rPr/>
        <w:pict>
          <v:shape style="position:absolute;margin-left:56.459999pt;margin-top:-123.489311pt;width:479.1pt;height:384.25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3"/>
                    <w:gridCol w:w="3322"/>
                    <w:gridCol w:w="3053"/>
                  </w:tblGrid>
                  <w:tr>
                    <w:trPr>
                      <w:trHeight w:val="4418"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7"/>
                          <w:jc w:val="both"/>
                          <w:rPr>
                            <w:rFonts w:ascii="宋体" w:hAnsi="宋体" w:cs="宋体" w:eastAsia="宋体" w:hint="default"/>
                            <w:sz w:val="18"/>
                            <w:szCs w:val="18"/>
                          </w:rPr>
                        </w:pPr>
                        <w:r>
                          <w:rPr>
                            <w:rFonts w:ascii="宋体" w:hAnsi="宋体" w:cs="宋体" w:eastAsia="宋体" w:hint="default"/>
                            <w:sz w:val="18"/>
                            <w:szCs w:val="18"/>
                          </w:rPr>
                          <w:t>出现重大差错而进行的差错更正。</w:t>
                        </w:r>
                        <w:r>
                          <w:rPr>
                            <w:rFonts w:ascii="宋体" w:hAnsi="宋体" w:cs="宋体" w:eastAsia="宋体" w:hint="default"/>
                            <w:spacing w:val="-62"/>
                            <w:sz w:val="18"/>
                            <w:szCs w:val="18"/>
                          </w:rPr>
                          <w:t> </w:t>
                        </w:r>
                        <w:r>
                          <w:rPr>
                            <w:rFonts w:ascii="宋体" w:hAnsi="宋体" w:cs="宋体" w:eastAsia="宋体" w:hint="default"/>
                            <w:sz w:val="18"/>
                            <w:szCs w:val="18"/>
                          </w:rPr>
                          <w:t>③当期</w:t>
                        </w:r>
                        <w:r>
                          <w:rPr>
                            <w:rFonts w:ascii="宋体" w:hAnsi="宋体" w:cs="宋体" w:eastAsia="宋体" w:hint="default"/>
                            <w:sz w:val="18"/>
                            <w:szCs w:val="18"/>
                          </w:rPr>
                          <w:t> 财务报告存在重大差错，而内部控制运行 过程中未发现该差错。</w:t>
                        </w:r>
                        <w:r>
                          <w:rPr>
                            <w:rFonts w:ascii="宋体" w:hAnsi="宋体" w:cs="宋体" w:eastAsia="宋体" w:hint="default"/>
                            <w:spacing w:val="89"/>
                            <w:sz w:val="18"/>
                            <w:szCs w:val="18"/>
                          </w:rPr>
                          <w:t> </w:t>
                        </w:r>
                        <w:r>
                          <w:rPr>
                            <w:rFonts w:ascii="宋体" w:hAnsi="宋体" w:cs="宋体" w:eastAsia="宋体" w:hint="default"/>
                            <w:sz w:val="18"/>
                            <w:szCs w:val="18"/>
                          </w:rPr>
                          <w:t>④公司审计委员</w:t>
                        </w:r>
                        <w:r>
                          <w:rPr>
                            <w:rFonts w:ascii="宋体" w:hAnsi="宋体" w:cs="宋体" w:eastAsia="宋体" w:hint="default"/>
                            <w:sz w:val="18"/>
                            <w:szCs w:val="18"/>
                          </w:rPr>
                          <w:t> 会和审计部门对财务报告内部控制监督无 </w:t>
                        </w:r>
                        <w:r>
                          <w:rPr>
                            <w:rFonts w:ascii="宋体" w:hAnsi="宋体" w:cs="宋体" w:eastAsia="宋体" w:hint="default"/>
                            <w:spacing w:val="-3"/>
                            <w:sz w:val="18"/>
                            <w:szCs w:val="18"/>
                          </w:rPr>
                          <w:t>效。重要缺陷认定标准：</w:t>
                        </w:r>
                        <w:r>
                          <w:rPr>
                            <w:rFonts w:ascii="宋体" w:hAnsi="宋体" w:cs="宋体" w:eastAsia="宋体" w:hint="default"/>
                            <w:spacing w:val="-33"/>
                            <w:sz w:val="18"/>
                            <w:szCs w:val="18"/>
                          </w:rPr>
                          <w:t> </w:t>
                        </w:r>
                        <w:r>
                          <w:rPr>
                            <w:rFonts w:ascii="宋体" w:hAnsi="宋体" w:cs="宋体" w:eastAsia="宋体" w:hint="default"/>
                            <w:sz w:val="18"/>
                            <w:szCs w:val="18"/>
                          </w:rPr>
                          <w:t>①未建立反舞弊</w:t>
                        </w:r>
                        <w:r>
                          <w:rPr>
                            <w:rFonts w:ascii="宋体" w:hAnsi="宋体" w:cs="宋体" w:eastAsia="宋体" w:hint="default"/>
                            <w:sz w:val="18"/>
                            <w:szCs w:val="18"/>
                          </w:rPr>
                          <w:t> 程序和控制措施。</w:t>
                        </w:r>
                        <w:r>
                          <w:rPr>
                            <w:rFonts w:ascii="宋体" w:hAnsi="宋体" w:cs="宋体" w:eastAsia="宋体" w:hint="default"/>
                            <w:spacing w:val="-64"/>
                            <w:sz w:val="18"/>
                            <w:szCs w:val="18"/>
                          </w:rPr>
                          <w:t> </w:t>
                        </w:r>
                        <w:r>
                          <w:rPr>
                            <w:rFonts w:ascii="宋体" w:hAnsi="宋体" w:cs="宋体" w:eastAsia="宋体" w:hint="default"/>
                            <w:sz w:val="18"/>
                            <w:szCs w:val="18"/>
                          </w:rPr>
                          <w:t>②对于非常规或特殊交</w:t>
                        </w:r>
                        <w:r>
                          <w:rPr>
                            <w:rFonts w:ascii="宋体" w:hAnsi="宋体" w:cs="宋体" w:eastAsia="宋体" w:hint="default"/>
                            <w:sz w:val="18"/>
                            <w:szCs w:val="18"/>
                          </w:rPr>
                          <w:t> 易的账务处理没有建立相应控制机制。</w:t>
                        </w:r>
                        <w:r>
                          <w:rPr>
                            <w:rFonts w:ascii="宋体" w:hAnsi="宋体" w:cs="宋体" w:eastAsia="宋体" w:hint="default"/>
                            <w:spacing w:val="-62"/>
                            <w:sz w:val="18"/>
                            <w:szCs w:val="18"/>
                          </w:rPr>
                          <w:t> </w:t>
                        </w:r>
                        <w:r>
                          <w:rPr>
                            <w:rFonts w:ascii="宋体" w:hAnsi="宋体" w:cs="宋体" w:eastAsia="宋体" w:hint="default"/>
                            <w:sz w:val="18"/>
                            <w:szCs w:val="18"/>
                          </w:rPr>
                          <w:t>③</w:t>
                        </w:r>
                        <w:r>
                          <w:rPr>
                            <w:rFonts w:ascii="宋体" w:hAnsi="宋体" w:cs="宋体" w:eastAsia="宋体" w:hint="default"/>
                            <w:sz w:val="18"/>
                            <w:szCs w:val="18"/>
                          </w:rPr>
                          <w:t> 对于财务报告编制过程中存在一项或多项 缺陷不能保证编制的财务报表达到真实、 准确的目标。 一般缺陷认定标准：</w:t>
                        </w:r>
                        <w:r>
                          <w:rPr>
                            <w:rFonts w:ascii="宋体" w:hAnsi="宋体" w:cs="宋体" w:eastAsia="宋体" w:hint="default"/>
                            <w:spacing w:val="2"/>
                            <w:sz w:val="18"/>
                            <w:szCs w:val="18"/>
                          </w:rPr>
                          <w:t> </w:t>
                        </w:r>
                        <w:r>
                          <w:rPr>
                            <w:rFonts w:ascii="宋体" w:hAnsi="宋体" w:cs="宋体" w:eastAsia="宋体" w:hint="default"/>
                            <w:sz w:val="18"/>
                            <w:szCs w:val="18"/>
                          </w:rPr>
                          <w:t>①当</w:t>
                        </w:r>
                        <w:r>
                          <w:rPr>
                            <w:rFonts w:ascii="宋体" w:hAnsi="宋体" w:cs="宋体" w:eastAsia="宋体" w:hint="default"/>
                            <w:sz w:val="18"/>
                            <w:szCs w:val="18"/>
                          </w:rPr>
                          <w:t> 期财务报告存在小额差错，而内部控制运 行过程中未发现该差错。</w:t>
                        </w:r>
                        <w:r>
                          <w:rPr>
                            <w:rFonts w:ascii="宋体" w:hAnsi="宋体" w:cs="宋体" w:eastAsia="宋体" w:hint="default"/>
                            <w:spacing w:val="-64"/>
                            <w:sz w:val="18"/>
                            <w:szCs w:val="18"/>
                          </w:rPr>
                          <w:t> </w:t>
                        </w:r>
                        <w:r>
                          <w:rPr>
                            <w:rFonts w:ascii="宋体" w:hAnsi="宋体" w:cs="宋体" w:eastAsia="宋体" w:hint="default"/>
                            <w:sz w:val="18"/>
                            <w:szCs w:val="18"/>
                          </w:rPr>
                          <w:t>②公司审计委员</w:t>
                        </w:r>
                        <w:r>
                          <w:rPr>
                            <w:rFonts w:ascii="宋体" w:hAnsi="宋体" w:cs="宋体" w:eastAsia="宋体" w:hint="default"/>
                            <w:sz w:val="18"/>
                            <w:szCs w:val="18"/>
                          </w:rPr>
                          <w:t> 会和审计部门对内部控制的监督存在一般 缺陷。</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44"/>
                          <w:jc w:val="left"/>
                          <w:rPr>
                            <w:rFonts w:ascii="宋体" w:hAnsi="宋体" w:cs="宋体" w:eastAsia="宋体" w:hint="default"/>
                            <w:sz w:val="18"/>
                            <w:szCs w:val="18"/>
                          </w:rPr>
                        </w:pPr>
                        <w:r>
                          <w:rPr>
                            <w:rFonts w:ascii="宋体" w:hAnsi="宋体" w:cs="宋体" w:eastAsia="宋体" w:hint="default"/>
                            <w:spacing w:val="-4"/>
                            <w:sz w:val="18"/>
                            <w:szCs w:val="18"/>
                          </w:rPr>
                          <w:t>频曝光，对公司声誉造成重大影响。③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高级管理人员和核心技术人员严重流 失。④内部控制重大缺陷未得到整改。 </w:t>
                        </w:r>
                        <w:r>
                          <w:rPr>
                            <w:rFonts w:ascii="宋体" w:hAnsi="宋体" w:cs="宋体" w:eastAsia="宋体" w:hint="default"/>
                            <w:spacing w:val="-4"/>
                            <w:sz w:val="18"/>
                            <w:szCs w:val="18"/>
                          </w:rPr>
                          <w:t>重要缺陷认定标准：①公司违反国家法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律、法规活动受到轻微处罚。②媒体出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现负面新闻，对公司声誉造成影响。③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关键岗位人员严重流失。④内部控制重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要缺陷未得到整改。一般缺陷认定标 </w:t>
                        </w:r>
                        <w:r>
                          <w:rPr>
                            <w:rFonts w:ascii="宋体" w:hAnsi="宋体" w:cs="宋体" w:eastAsia="宋体" w:hint="default"/>
                            <w:spacing w:val="-10"/>
                            <w:sz w:val="18"/>
                            <w:szCs w:val="18"/>
                          </w:rPr>
                          <w:t>准：①媒体出现负面新闻，但影响不大</w:t>
                        </w:r>
                      </w:p>
                      <w:p>
                        <w:pPr>
                          <w:pStyle w:val="TableParagraph"/>
                          <w:spacing w:line="316" w:lineRule="auto" w:before="19"/>
                          <w:ind w:left="26" w:right="19"/>
                          <w:jc w:val="left"/>
                          <w:rPr>
                            <w:rFonts w:ascii="宋体" w:hAnsi="宋体" w:cs="宋体" w:eastAsia="宋体" w:hint="default"/>
                            <w:sz w:val="18"/>
                            <w:szCs w:val="18"/>
                          </w:rPr>
                        </w:pPr>
                        <w:r>
                          <w:rPr>
                            <w:rFonts w:ascii="宋体" w:hAnsi="宋体" w:cs="宋体" w:eastAsia="宋体" w:hint="default"/>
                            <w:spacing w:val="-4"/>
                            <w:sz w:val="18"/>
                            <w:szCs w:val="18"/>
                          </w:rPr>
                          <w:t>②一般岗位人员严重流失。③内部控制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一般缺陷未得到整改。</w:t>
                        </w:r>
                      </w:p>
                    </w:tc>
                  </w:tr>
                  <w:tr>
                    <w:trPr>
                      <w:trHeight w:val="1649"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single" w:sz="4" w:space="0" w:color="000000"/>
                          <w:left w:val="single" w:sz="4" w:space="0" w:color="000000"/>
                          <w:bottom w:val="single" w:sz="4" w:space="0" w:color="000000"/>
                          <w:right w:val="single" w:sz="1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5"/>
                          <w:ind w:left="23" w:right="-50"/>
                          <w:jc w:val="both"/>
                          <w:rPr>
                            <w:rFonts w:ascii="宋体" w:hAnsi="宋体" w:cs="宋体" w:eastAsia="宋体" w:hint="default"/>
                            <w:sz w:val="18"/>
                            <w:szCs w:val="18"/>
                          </w:rPr>
                        </w:pPr>
                        <w:r>
                          <w:rPr>
                            <w:rFonts w:ascii="宋体" w:hAnsi="宋体" w:cs="宋体" w:eastAsia="宋体" w:hint="default"/>
                            <w:spacing w:val="-4"/>
                            <w:sz w:val="18"/>
                            <w:szCs w:val="18"/>
                          </w:rPr>
                          <w:t>重大缺陷：错报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税前利润</w:t>
                        </w:r>
                        <w:r>
                          <w:rPr>
                            <w:rFonts w:ascii="宋体" w:hAnsi="宋体" w:cs="宋体" w:eastAsia="宋体" w:hint="default"/>
                            <w:spacing w:val="-43"/>
                            <w:sz w:val="18"/>
                            <w:szCs w:val="18"/>
                          </w:rPr>
                          <w:t> </w:t>
                        </w: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。重要缺陷：</w:t>
                        </w:r>
                        <w:r>
                          <w:rPr>
                            <w:rFonts w:ascii="宋体" w:hAnsi="宋体" w:cs="宋体" w:eastAsia="宋体" w:hint="default"/>
                            <w:spacing w:val="-34"/>
                            <w:sz w:val="18"/>
                            <w:szCs w:val="18"/>
                          </w:rPr>
                          <w:t> </w:t>
                        </w:r>
                        <w:r>
                          <w:rPr>
                            <w:rFonts w:ascii="宋体" w:hAnsi="宋体" w:cs="宋体" w:eastAsia="宋体" w:hint="default"/>
                            <w:sz w:val="18"/>
                            <w:szCs w:val="18"/>
                          </w:rPr>
                          <w:t>税前利润的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税前利润</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。一般</w:t>
                        </w:r>
                        <w:r>
                          <w:rPr>
                            <w:rFonts w:ascii="宋体" w:hAnsi="宋体" w:cs="宋体" w:eastAsia="宋体" w:hint="default"/>
                            <w:sz w:val="18"/>
                            <w:szCs w:val="18"/>
                          </w:rPr>
                          <w:t> 缺陷：错报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税前利润的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053" w:type="dxa"/>
                        <w:tcBorders>
                          <w:top w:val="single" w:sz="4" w:space="0" w:color="000000"/>
                          <w:left w:val="single" w:sz="14" w:space="0" w:color="FFFFFF"/>
                          <w:bottom w:val="single" w:sz="4" w:space="0" w:color="000000"/>
                          <w:right w:val="single" w:sz="4" w:space="0" w:color="000000"/>
                        </w:tcBorders>
                      </w:tcPr>
                      <w:p>
                        <w:pPr>
                          <w:pStyle w:val="TableParagraph"/>
                          <w:spacing w:line="300" w:lineRule="auto" w:before="49"/>
                          <w:ind w:left="13" w:right="19"/>
                          <w:jc w:val="left"/>
                          <w:rPr>
                            <w:rFonts w:ascii="宋体" w:hAnsi="宋体" w:cs="宋体" w:eastAsia="宋体" w:hint="default"/>
                            <w:sz w:val="18"/>
                            <w:szCs w:val="18"/>
                          </w:rPr>
                        </w:pPr>
                        <w:r>
                          <w:rPr>
                            <w:rFonts w:ascii="宋体" w:hAnsi="宋体" w:cs="宋体" w:eastAsia="宋体" w:hint="default"/>
                            <w:sz w:val="18"/>
                            <w:szCs w:val="18"/>
                          </w:rPr>
                          <w:t>重大缺陷：直接损失金额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 </w:t>
                        </w:r>
                        <w:r>
                          <w:rPr>
                            <w:rFonts w:ascii="Times New Roman" w:hAnsi="Times New Roman" w:cs="Times New Roman" w:eastAsia="Times New Roman" w:hint="default"/>
                            <w:sz w:val="18"/>
                            <w:szCs w:val="18"/>
                          </w:rPr>
                          <w:t>0.5%</w:t>
                        </w:r>
                        <w:r>
                          <w:rPr>
                            <w:rFonts w:ascii="宋体" w:hAnsi="宋体" w:cs="宋体" w:eastAsia="宋体" w:hint="default"/>
                            <w:sz w:val="18"/>
                            <w:szCs w:val="18"/>
                          </w:rPr>
                          <w:t>。重要缺陷：资产总额的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0.05%&lt; </w:t>
                        </w:r>
                        <w:r>
                          <w:rPr>
                            <w:rFonts w:ascii="宋体" w:hAnsi="宋体" w:cs="宋体" w:eastAsia="宋体" w:hint="default"/>
                            <w:sz w:val="18"/>
                            <w:szCs w:val="18"/>
                          </w:rPr>
                          <w:t>直接损失金额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pacing w:val="-7"/>
                            <w:sz w:val="18"/>
                            <w:szCs w:val="18"/>
                          </w:rPr>
                          <w:t>0.5%</w:t>
                        </w:r>
                        <w:r>
                          <w:rPr>
                            <w:rFonts w:ascii="宋体" w:hAnsi="宋体" w:cs="宋体" w:eastAsia="宋体" w:hint="default"/>
                            <w:spacing w:val="-7"/>
                            <w:sz w:val="18"/>
                            <w:szCs w:val="18"/>
                          </w:rPr>
                          <w:t>。一般</w:t>
                        </w:r>
                        <w:r>
                          <w:rPr>
                            <w:rFonts w:ascii="宋体" w:hAnsi="宋体" w:cs="宋体" w:eastAsia="宋体" w:hint="default"/>
                            <w:sz w:val="18"/>
                            <w:szCs w:val="18"/>
                          </w:rPr>
                          <w:t> 缺陷：直接损失金额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 </w:t>
                        </w:r>
                        <w:r>
                          <w:rPr>
                            <w:rFonts w:ascii="Times New Roman" w:hAnsi="Times New Roman" w:cs="Times New Roman" w:eastAsia="Times New Roman" w:hint="default"/>
                            <w:sz w:val="18"/>
                            <w:szCs w:val="18"/>
                          </w:rPr>
                          <w:t>0.05%</w:t>
                        </w: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5"/>
                            <w:szCs w:val="25"/>
                          </w:rPr>
                        </w:pP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312" w:lineRule="exact"/>
        <w:ind w:left="6700"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65pt;height:15.6pt;mso-position-horizontal-relative:char;mso-position-vertical-relative:line" coordorigin="0,0" coordsize="2993,312">
            <v:group style="position:absolute;left:0;top:0;width:2993;height:312" coordorigin="0,0" coordsize="2993,312">
              <v:shape style="position:absolute;left:0;top:0;width:2993;height:312" coordorigin="0,0" coordsize="2993,312" path="m0,312l2993,312,2993,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2"/>
        <w:spacing w:line="240" w:lineRule="auto" w:before="26"/>
        <w:ind w:right="982"/>
        <w:jc w:val="left"/>
        <w:rPr>
          <w:b w:val="0"/>
          <w:bCs w:val="0"/>
        </w:rPr>
      </w:pPr>
      <w:bookmarkStart w:name="十、内部控制审计报告或鉴证报告" w:id="150"/>
      <w:bookmarkEnd w:id="150"/>
      <w:r>
        <w:rPr>
          <w:b w:val="0"/>
          <w:bCs w:val="0"/>
        </w:rPr>
      </w: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982"/>
        <w:jc w:val="left"/>
      </w:pPr>
      <w:r>
        <w:rPr/>
        <w:t>内部控制鉴证报告</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0"/>
        <w:gridCol w:w="6918"/>
      </w:tblGrid>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5"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82"/>
              <w:jc w:val="left"/>
              <w:rPr>
                <w:rFonts w:ascii="Times New Roman" w:hAnsi="Times New Roman" w:cs="Times New Roman" w:eastAsia="Times New Roman" w:hint="default"/>
                <w:sz w:val="18"/>
                <w:szCs w:val="18"/>
              </w:rPr>
            </w:pPr>
            <w:r>
              <w:rPr>
                <w:rFonts w:ascii="宋体" w:hAnsi="宋体" w:cs="宋体" w:eastAsia="宋体" w:hint="default"/>
                <w:sz w:val="18"/>
                <w:szCs w:val="18"/>
              </w:rPr>
              <w:t>我们认为，五洋停车公司按照《企业内部控制基本规范》及相关规定于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日在所有重大方面保持了有效的 内部控制。</w:t>
            </w:r>
            <w:r>
              <w:rPr>
                <w:rFonts w:ascii="Times New Roman" w:hAnsi="Times New Roman" w:cs="Times New Roman" w:eastAsia="Times New Roman" w:hint="default"/>
                <w:sz w:val="18"/>
                <w:szCs w:val="18"/>
              </w:rPr>
              <w:t>□</w:t>
            </w:r>
            <w:r>
              <w:rPr>
                <w:rFonts w:ascii="宋体" w:hAnsi="宋体" w:cs="宋体" w:eastAsia="宋体" w:hint="default"/>
                <w:sz w:val="18"/>
                <w:szCs w:val="18"/>
              </w:rPr>
              <w:t>本结论是在受到鉴证报告中指出的固有限制的条件下形成的。</w:t>
            </w:r>
            <w:r>
              <w:rPr>
                <w:rFonts w:ascii="Times New Roman" w:hAnsi="Times New Roman" w:cs="Times New Roman" w:eastAsia="Times New Roman" w:hint="default"/>
                <w:sz w:val="18"/>
                <w:szCs w:val="18"/>
              </w:rPr>
              <w:t>□</w:t>
            </w:r>
          </w:p>
        </w:tc>
      </w:tr>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r>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巨潮资讯网；内部控制鉴证报告</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982"/>
        <w:jc w:val="left"/>
      </w:pPr>
      <w:r>
        <w:rPr/>
        <w:t>会计师事务所是否出具非标准意见的内部控制鉴证报告</w:t>
      </w:r>
    </w:p>
    <w:p>
      <w:pPr>
        <w:pStyle w:val="BodyText"/>
        <w:spacing w:line="338" w:lineRule="auto" w:before="117"/>
        <w:ind w:right="46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会计师事务所出具的内部控制鉴证报告与董事会的自我评价报告意见是否一致</w:t>
      </w:r>
    </w:p>
    <w:p>
      <w:pPr>
        <w:pStyle w:val="BodyText"/>
        <w:spacing w:line="240" w:lineRule="auto" w:before="43"/>
        <w:ind w:right="9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124" w:right="982"/>
        <w:jc w:val="left"/>
        <w:rPr>
          <w:b w:val="0"/>
          <w:bCs w:val="0"/>
        </w:rPr>
      </w:pPr>
      <w:bookmarkStart w:name="_TOC_250002" w:id="151"/>
      <w:bookmarkStart w:name="第十节 公司债券相关情况" w:id="152"/>
      <w:r>
        <w:rPr>
          <w:b w:val="0"/>
          <w:bCs w:val="0"/>
        </w:rPr>
      </w:r>
      <w:r>
        <w:rPr/>
        <w:t>第十节</w:t>
      </w:r>
      <w:r>
        <w:rPr>
          <w:spacing w:val="-6"/>
        </w:rPr>
        <w:t> </w:t>
      </w:r>
      <w:r>
        <w:rPr/>
        <w:t>公司债券相关情况</w:t>
      </w:r>
      <w:bookmarkEnd w:id="151"/>
      <w:r>
        <w:rPr>
          <w:b w:val="0"/>
          <w:bCs w:val="0"/>
        </w:rPr>
      </w:r>
    </w:p>
    <w:p>
      <w:pPr>
        <w:spacing w:line="240" w:lineRule="auto" w:before="9"/>
        <w:rPr>
          <w:rFonts w:ascii="宋体" w:hAnsi="宋体" w:cs="宋体" w:eastAsia="宋体" w:hint="default"/>
          <w:b/>
          <w:bCs/>
          <w:sz w:val="42"/>
          <w:szCs w:val="42"/>
        </w:rPr>
      </w:pPr>
    </w:p>
    <w:p>
      <w:pPr>
        <w:pStyle w:val="BodyText"/>
        <w:spacing w:line="357" w:lineRule="auto" w:before="0"/>
        <w:ind w:right="211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5"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6" w:right="982"/>
        <w:jc w:val="left"/>
        <w:rPr>
          <w:b w:val="0"/>
          <w:bCs w:val="0"/>
        </w:rPr>
      </w:pPr>
      <w:bookmarkStart w:name="_TOC_250001" w:id="153"/>
      <w:bookmarkStart w:name="第十一节 财务报告" w:id="154"/>
      <w:r>
        <w:rPr>
          <w:b w:val="0"/>
          <w:bCs w:val="0"/>
        </w:rPr>
      </w:r>
      <w:r>
        <w:rPr/>
        <w:t>第十一节</w:t>
      </w:r>
      <w:r>
        <w:rPr>
          <w:spacing w:val="-5"/>
        </w:rPr>
        <w:t> </w:t>
      </w:r>
      <w:r>
        <w:rPr/>
        <w:t>财务报告</w:t>
      </w:r>
      <w:bookmarkEnd w:id="153"/>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82"/>
        <w:jc w:val="left"/>
        <w:rPr>
          <w:b w:val="0"/>
          <w:bCs w:val="0"/>
        </w:rPr>
      </w:pPr>
      <w:bookmarkStart w:name="一、审计报告" w:id="155"/>
      <w:bookmarkEnd w:id="155"/>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天健审〔</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2678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缪志坚、梁政洪</w:t>
            </w:r>
          </w:p>
        </w:tc>
      </w:tr>
    </w:tbl>
    <w:p>
      <w:pPr>
        <w:pStyle w:val="BodyText"/>
        <w:spacing w:line="240" w:lineRule="auto" w:before="49"/>
        <w:ind w:left="133" w:right="1113"/>
        <w:jc w:val="center"/>
      </w:pPr>
      <w:r>
        <w:rPr/>
        <w:t>审计报告正文</w:t>
      </w:r>
    </w:p>
    <w:p>
      <w:pPr>
        <w:pStyle w:val="BodyText"/>
        <w:spacing w:line="240" w:lineRule="auto" w:before="115"/>
        <w:ind w:right="982"/>
        <w:jc w:val="left"/>
      </w:pPr>
      <w:r>
        <w:rPr/>
        <w:t>江苏五洋停车产业集团股份有限公司全体股东：</w:t>
      </w:r>
    </w:p>
    <w:p>
      <w:pPr>
        <w:spacing w:line="240" w:lineRule="auto" w:before="4"/>
        <w:rPr>
          <w:rFonts w:ascii="宋体" w:hAnsi="宋体" w:cs="宋体" w:eastAsia="宋体" w:hint="default"/>
          <w:sz w:val="26"/>
          <w:szCs w:val="26"/>
        </w:rPr>
      </w:pPr>
    </w:p>
    <w:p>
      <w:pPr>
        <w:pStyle w:val="BodyText"/>
        <w:spacing w:line="316" w:lineRule="auto"/>
        <w:ind w:left="512" w:right="982"/>
        <w:jc w:val="left"/>
      </w:pPr>
      <w:r>
        <w:rPr/>
        <w:t>一、审计意见 </w:t>
      </w:r>
      <w:r>
        <w:rPr>
          <w:spacing w:val="-2"/>
        </w:rPr>
        <w:t>我们审计了江苏五洋停车产业集团股份有限公司（以下简称五洋停车公司）财务报表，包括</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w:t>
      </w:r>
    </w:p>
    <w:p>
      <w:pPr>
        <w:pStyle w:val="BodyText"/>
        <w:spacing w:line="307" w:lineRule="auto" w:before="0"/>
        <w:ind w:right="982"/>
        <w:jc w:val="left"/>
      </w:pPr>
      <w:r>
        <w:rPr>
          <w:spacing w:val="-2"/>
        </w:rPr>
        <w:t>公司资产负债表，</w:t>
      </w:r>
      <w:r>
        <w:rPr>
          <w:rFonts w:ascii="Times New Roman" w:hAnsi="Times New Roman" w:cs="Times New Roman" w:eastAsia="Times New Roman" w:hint="default"/>
          <w:spacing w:val="-2"/>
        </w:rPr>
        <w:t>2018</w:t>
      </w:r>
      <w:r>
        <w:rPr>
          <w:spacing w:val="-2"/>
        </w:rPr>
        <w:t>年度的合并及母公司利润表、合并及母公司现金流量表、合并及母公司所有者权益变动表，以及相关</w:t>
      </w:r>
      <w:r>
        <w:rPr>
          <w:spacing w:val="-62"/>
        </w:rPr>
        <w:t> </w:t>
      </w:r>
      <w:r>
        <w:rPr>
          <w:spacing w:val="-62"/>
        </w:rPr>
      </w:r>
      <w:r>
        <w:rPr/>
        <w:t>财务报表附注。 </w:t>
      </w:r>
      <w:r>
        <w:rPr>
          <w:spacing w:val="-2"/>
        </w:rPr>
        <w:t>我们认为，后附的财务报表在所有重大方面按照企业会计准则的规定编制，公允反映了五洋停车公司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w:t>
      </w:r>
      <w:r>
        <w:rPr>
          <w:spacing w:val="-60"/>
        </w:rPr>
        <w:t> </w:t>
      </w:r>
      <w:r>
        <w:rPr>
          <w:spacing w:val="-60"/>
        </w:rPr>
      </w:r>
      <w:r>
        <w:rPr/>
        <w:t>及母公司财务状况，以及</w:t>
      </w:r>
      <w:r>
        <w:rPr>
          <w:rFonts w:ascii="Times New Roman" w:hAnsi="Times New Roman" w:cs="Times New Roman" w:eastAsia="Times New Roman" w:hint="default"/>
        </w:rPr>
        <w:t>2018</w:t>
      </w:r>
      <w:r>
        <w:rPr/>
        <w:t>年度的合并及母公司经营成果和现金流量。</w:t>
      </w:r>
    </w:p>
    <w:p>
      <w:pPr>
        <w:pStyle w:val="BodyText"/>
        <w:spacing w:line="316" w:lineRule="auto" w:before="7"/>
        <w:ind w:left="512" w:right="982"/>
        <w:jc w:val="left"/>
      </w:pPr>
      <w:r>
        <w:rPr/>
        <w:t>二、形成审计意见的基础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p>
    <w:p>
      <w:pPr>
        <w:pStyle w:val="BodyText"/>
        <w:spacing w:line="316" w:lineRule="auto" w:before="0"/>
        <w:ind w:right="982"/>
        <w:jc w:val="left"/>
      </w:pPr>
      <w:r>
        <w:rPr>
          <w:spacing w:val="-2"/>
        </w:rPr>
        <w:t>阐述了我们在这些准则下的责任。按照中国注册会计师职业道德守则，我们独立于五洋停车公司，并履行了职业道德方面的</w:t>
      </w:r>
      <w:r>
        <w:rPr>
          <w:spacing w:val="-63"/>
        </w:rPr>
        <w:t> </w:t>
      </w:r>
      <w:r>
        <w:rPr>
          <w:spacing w:val="-63"/>
        </w:rPr>
      </w:r>
      <w:r>
        <w:rPr/>
        <w:t>其他责任。我们相信，我们获取的审计证据是充分、适当的，为发表审计意见提供了基础。</w:t>
      </w:r>
    </w:p>
    <w:p>
      <w:pPr>
        <w:pStyle w:val="BodyText"/>
        <w:spacing w:line="316" w:lineRule="auto" w:before="18"/>
        <w:ind w:left="512" w:right="982"/>
        <w:jc w:val="left"/>
      </w:pPr>
      <w:r>
        <w:rPr/>
        <w:t>三、关键审计事项 </w:t>
      </w:r>
      <w:r>
        <w:rPr>
          <w:spacing w:val="-2"/>
        </w:rPr>
        <w:t>关键审计事项是我们根据职业判断，认为对本期财务报表审计最为重要的事项。这些事项的应对以对财务报表整体进行</w:t>
      </w:r>
    </w:p>
    <w:p>
      <w:pPr>
        <w:pStyle w:val="BodyText"/>
        <w:spacing w:line="240" w:lineRule="auto" w:before="18"/>
        <w:ind w:right="982"/>
        <w:jc w:val="left"/>
      </w:pPr>
      <w:r>
        <w:rPr/>
        <w:t>审计并形成审计意见为背景，我们不对这些事项单独发表意见。</w:t>
      </w:r>
    </w:p>
    <w:p>
      <w:pPr>
        <w:pStyle w:val="BodyText"/>
        <w:spacing w:line="240" w:lineRule="auto" w:before="76"/>
        <w:ind w:left="512" w:right="982"/>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收入确认</w:t>
      </w:r>
    </w:p>
    <w:p>
      <w:pPr>
        <w:pStyle w:val="BodyText"/>
        <w:spacing w:line="300" w:lineRule="auto" w:before="62"/>
        <w:ind w:left="512" w:right="98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关键审计事项 </w:t>
      </w:r>
      <w:r>
        <w:rPr>
          <w:spacing w:val="-2"/>
        </w:rPr>
        <w:t>通过购并深圳市伟创自动化设备有限公司（以下简称伟创自动化公司）、山东天辰智能停车有限公司（以下简称天辰智</w:t>
      </w:r>
    </w:p>
    <w:p>
      <w:pPr>
        <w:pStyle w:val="BodyText"/>
        <w:spacing w:line="309" w:lineRule="auto" w:before="31"/>
        <w:ind w:right="1128"/>
        <w:jc w:val="both"/>
      </w:pPr>
      <w:r>
        <w:rPr>
          <w:spacing w:val="-2"/>
        </w:rPr>
        <w:t>能公司）等公司后，五洋停车公司主营业务主要包括：散料搬运核心装置、立体车库、成套生产线和输送仓储设备、混凝土</w:t>
      </w:r>
      <w:r>
        <w:rPr>
          <w:spacing w:val="-68"/>
        </w:rPr>
        <w:t> </w:t>
      </w:r>
      <w:r>
        <w:rPr>
          <w:spacing w:val="-68"/>
        </w:rPr>
      </w:r>
      <w:r>
        <w:rPr/>
        <w:t>搅拌站、管型母线、固态电子硬盘及存储设备等产品。</w:t>
      </w:r>
      <w:r>
        <w:rPr>
          <w:rFonts w:ascii="Times New Roman" w:hAnsi="Times New Roman" w:cs="Times New Roman" w:eastAsia="Times New Roman" w:hint="default"/>
        </w:rPr>
        <w:t>2018</w:t>
      </w:r>
      <w:r>
        <w:rPr/>
        <w:t>年度，五洋停车公司营业收入为</w:t>
      </w:r>
      <w:r>
        <w:rPr>
          <w:rFonts w:ascii="Times New Roman" w:hAnsi="Times New Roman" w:cs="Times New Roman" w:eastAsia="Times New Roman" w:hint="default"/>
        </w:rPr>
        <w:t>100,207.64</w:t>
      </w:r>
      <w:r>
        <w:rPr/>
        <w:t>万元</w:t>
      </w:r>
      <w:r>
        <w:rPr>
          <w:rFonts w:ascii="Times New Roman" w:hAnsi="Times New Roman" w:cs="Times New Roman" w:eastAsia="Times New Roman" w:hint="default"/>
        </w:rPr>
        <w:t>,</w:t>
      </w:r>
      <w:r>
        <w:rPr/>
        <w:t>较</w:t>
      </w:r>
      <w:r>
        <w:rPr>
          <w:rFonts w:ascii="Times New Roman" w:hAnsi="Times New Roman" w:cs="Times New Roman" w:eastAsia="Times New Roman" w:hint="default"/>
        </w:rPr>
        <w:t>2017</w:t>
      </w:r>
      <w:r>
        <w:rPr/>
        <w:t>年增长</w:t>
      </w:r>
      <w:r>
        <w:rPr>
          <w:spacing w:val="31"/>
        </w:rPr>
        <w:t> </w:t>
      </w:r>
      <w:r>
        <w:rPr>
          <w:rFonts w:ascii="Times New Roman" w:hAnsi="Times New Roman" w:cs="Times New Roman" w:eastAsia="Times New Roman" w:hint="default"/>
        </w:rPr>
        <w:t>32.80%</w:t>
      </w:r>
      <w:r>
        <w:rPr/>
        <w:t>，其中：立体车库及其安装服务业务</w:t>
      </w:r>
      <w:r>
        <w:rPr>
          <w:rFonts w:ascii="Times New Roman" w:hAnsi="Times New Roman" w:cs="Times New Roman" w:eastAsia="Times New Roman" w:hint="default"/>
        </w:rPr>
        <w:t>2018</w:t>
      </w:r>
      <w:r>
        <w:rPr/>
        <w:t>年度实现收入</w:t>
      </w:r>
      <w:r>
        <w:rPr>
          <w:rFonts w:ascii="Times New Roman" w:hAnsi="Times New Roman" w:cs="Times New Roman" w:eastAsia="Times New Roman" w:hint="default"/>
        </w:rPr>
        <w:t>62,140.54</w:t>
      </w:r>
      <w:r>
        <w:rPr/>
        <w:t>万元，较</w:t>
      </w:r>
      <w:r>
        <w:rPr>
          <w:rFonts w:ascii="Times New Roman" w:hAnsi="Times New Roman" w:cs="Times New Roman" w:eastAsia="Times New Roman" w:hint="default"/>
        </w:rPr>
        <w:t>2017</w:t>
      </w:r>
      <w:r>
        <w:rPr/>
        <w:t>年度增长</w:t>
      </w:r>
      <w:r>
        <w:rPr>
          <w:rFonts w:ascii="Times New Roman" w:hAnsi="Times New Roman" w:cs="Times New Roman" w:eastAsia="Times New Roman" w:hint="default"/>
        </w:rPr>
        <w:t>27.19%</w:t>
      </w:r>
      <w:r>
        <w:rPr/>
        <w:t>。</w:t>
      </w:r>
    </w:p>
    <w:p>
      <w:pPr>
        <w:pStyle w:val="BodyText"/>
        <w:spacing w:line="309" w:lineRule="auto" w:before="5"/>
        <w:ind w:right="1130" w:firstLine="360"/>
        <w:jc w:val="both"/>
      </w:pPr>
      <w:r>
        <w:rPr>
          <w:spacing w:val="-1"/>
        </w:rPr>
        <w:t>如财务报告附注三</w:t>
      </w:r>
      <w:r>
        <w:rPr>
          <w:rFonts w:ascii="Times New Roman" w:hAnsi="Times New Roman" w:cs="Times New Roman" w:eastAsia="Times New Roman" w:hint="default"/>
          <w:spacing w:val="-1"/>
        </w:rPr>
        <w:t>(</w:t>
      </w:r>
      <w:r>
        <w:rPr>
          <w:spacing w:val="-1"/>
        </w:rPr>
        <w:t>二十一</w:t>
      </w:r>
      <w:r>
        <w:rPr>
          <w:rFonts w:ascii="Times New Roman" w:hAnsi="Times New Roman" w:cs="Times New Roman" w:eastAsia="Times New Roman" w:hint="default"/>
          <w:spacing w:val="-1"/>
        </w:rPr>
        <w:t>)</w:t>
      </w:r>
      <w:r>
        <w:rPr>
          <w:spacing w:val="-1"/>
        </w:rPr>
        <w:t>所述，五洋停车公司销售收入确认原则为：散料搬运核心装置（包括张紧装置、给料机、制</w:t>
      </w:r>
      <w:r>
        <w:rPr/>
        <w:t> </w:t>
      </w:r>
      <w:r>
        <w:rPr>
          <w:spacing w:val="-2"/>
        </w:rPr>
        <w:t>动装置等矿业设备制动装置）、立体车库、成套生产线和输送仓储设备、混凝土搅拌站、管型母线、固态电子硬盘及存储设</w:t>
      </w:r>
      <w:r>
        <w:rPr>
          <w:spacing w:val="-68"/>
        </w:rPr>
        <w:t> </w:t>
      </w:r>
      <w:r>
        <w:rPr>
          <w:spacing w:val="-68"/>
        </w:rPr>
      </w:r>
      <w:r>
        <w:rPr>
          <w:spacing w:val="-2"/>
        </w:rPr>
        <w:t>备等产品目前均为内销，其收入确认需满足以下条件：五洋停车公司已根据合同约定将产品交付给购货方，并由购货方验收</w:t>
      </w:r>
    </w:p>
    <w:p>
      <w:pPr>
        <w:pStyle w:val="BodyText"/>
        <w:spacing w:line="316" w:lineRule="auto" w:before="24"/>
        <w:ind w:right="982"/>
        <w:jc w:val="left"/>
      </w:pPr>
      <w:r>
        <w:rPr>
          <w:spacing w:val="-2"/>
        </w:rPr>
        <w:t>（若按照合同约定需安装调试的，则双方在安装调试完成后验收），且产品销售金额已经确定，已经收回货款或取得了收款</w:t>
      </w:r>
      <w:r>
        <w:rPr>
          <w:spacing w:val="-64"/>
        </w:rPr>
        <w:t> </w:t>
      </w:r>
      <w:r>
        <w:rPr>
          <w:spacing w:val="-64"/>
        </w:rPr>
      </w:r>
      <w:r>
        <w:rPr/>
        <w:t>凭证且相关的经济利益很可能流入，产品相关的成本能够可靠地计量。</w:t>
      </w:r>
    </w:p>
    <w:p>
      <w:pPr>
        <w:pStyle w:val="BodyText"/>
        <w:spacing w:line="300" w:lineRule="auto" w:before="18"/>
        <w:ind w:right="1133" w:firstLine="360"/>
        <w:jc w:val="both"/>
      </w:pPr>
      <w:r>
        <w:rPr>
          <w:rFonts w:ascii="Times New Roman" w:hAnsi="Times New Roman" w:cs="Times New Roman" w:eastAsia="Times New Roman" w:hint="default"/>
          <w:spacing w:val="-2"/>
        </w:rPr>
        <w:t>2018</w:t>
      </w:r>
      <w:r>
        <w:rPr>
          <w:spacing w:val="-2"/>
        </w:rPr>
        <w:t>年度五洋停车公司营业收入增长幅度较大，且营业收入系五洋停车公司的关键绩效指标，存在被计入错误的会计期</w:t>
      </w:r>
      <w:r>
        <w:rPr/>
        <w:t> 间等固有风险，因此，我们把五洋停车公司收入的确认和计量识别为关键审计事项。</w:t>
      </w:r>
    </w:p>
    <w:p>
      <w:pPr>
        <w:pStyle w:val="BodyText"/>
        <w:spacing w:line="300" w:lineRule="auto" w:before="31"/>
        <w:ind w:left="512" w:right="625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审计中的应对 我们针对收入的确认事项实施的主要审计程序包括：</w:t>
      </w:r>
    </w:p>
    <w:p>
      <w:pPr>
        <w:spacing w:after="0" w:line="300" w:lineRule="auto"/>
        <w:jc w:val="left"/>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300" w:lineRule="auto"/>
        <w:ind w:right="982" w:firstLine="360"/>
        <w:jc w:val="left"/>
      </w:pPr>
      <w:r>
        <w:rPr>
          <w:rFonts w:ascii="Times New Roman" w:hAnsi="Times New Roman" w:cs="Times New Roman" w:eastAsia="Times New Roman" w:hint="default"/>
        </w:rPr>
        <w:t>(1)</w:t>
      </w:r>
      <w:r>
        <w:rPr/>
        <w:t>了解、评估并测试自审批客户订单至销售交易入账的业务流程以及五洋停车公司管理层（以下简称管理层）就该等</w:t>
      </w:r>
      <w:r>
        <w:rPr>
          <w:spacing w:val="2"/>
          <w:w w:val="99"/>
        </w:rPr>
        <w:t> </w:t>
      </w:r>
      <w:r>
        <w:rPr/>
        <w:t>业务所设计关键内部控制程序；</w:t>
      </w:r>
    </w:p>
    <w:p>
      <w:pPr>
        <w:pStyle w:val="BodyText"/>
        <w:spacing w:line="300" w:lineRule="auto" w:before="31"/>
        <w:ind w:right="982" w:firstLine="360"/>
        <w:jc w:val="left"/>
      </w:pPr>
      <w:r>
        <w:rPr>
          <w:rFonts w:ascii="Times New Roman" w:hAnsi="Times New Roman" w:cs="Times New Roman" w:eastAsia="Times New Roman" w:hint="default"/>
        </w:rPr>
        <w:t>(2)</w:t>
      </w:r>
      <w:r>
        <w:rPr/>
        <w:t>取得销售业务台账，选取样本检查销售合同，识别与商品所有权上的风险和报酬转移相关的合同条款与条件，评价</w:t>
      </w:r>
      <w:r>
        <w:rPr>
          <w:spacing w:val="2"/>
          <w:w w:val="99"/>
        </w:rPr>
        <w:t> </w:t>
      </w:r>
      <w:r>
        <w:rPr/>
        <w:t>收入确认时点是否符合企业会计准则的要求，前后期间内是否一致；</w:t>
      </w:r>
    </w:p>
    <w:p>
      <w:pPr>
        <w:pStyle w:val="BodyText"/>
        <w:spacing w:line="300" w:lineRule="auto" w:before="31"/>
        <w:ind w:right="982" w:firstLine="360"/>
        <w:jc w:val="left"/>
      </w:pPr>
      <w:r>
        <w:rPr>
          <w:rFonts w:ascii="Times New Roman" w:hAnsi="Times New Roman" w:cs="Times New Roman" w:eastAsia="Times New Roman" w:hint="default"/>
        </w:rPr>
        <w:t>(3)</w:t>
      </w:r>
      <w:r>
        <w:rPr/>
        <w:t>对本年记录的收入交易选取样本，核对销售合同、销售发票、出库单、送货单、安装记录、验收报告等资料，评价</w:t>
      </w:r>
      <w:r>
        <w:rPr>
          <w:spacing w:val="2"/>
          <w:w w:val="99"/>
        </w:rPr>
        <w:t> </w:t>
      </w:r>
      <w:r>
        <w:rPr/>
        <w:t>相关收入确认是否符合收入确认的会计政策；</w:t>
      </w:r>
    </w:p>
    <w:p>
      <w:pPr>
        <w:pStyle w:val="BodyText"/>
        <w:spacing w:line="300" w:lineRule="auto" w:before="31"/>
        <w:ind w:left="512" w:right="2804"/>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7"/>
        </w:rPr>
        <w:t> </w:t>
      </w:r>
      <w:r>
        <w:rPr/>
        <w:t>对主要客户的销售收入发生额和应收账款余额进行函证，检查收入确认的真实性和准确性；</w:t>
      </w:r>
      <w:r>
        <w:rPr>
          <w:w w:val="99"/>
        </w:rPr>
        <w:t> </w:t>
      </w:r>
      <w:r>
        <w:rPr>
          <w:rFonts w:ascii="Times New Roman" w:hAnsi="Times New Roman" w:cs="Times New Roman" w:eastAsia="Times New Roman" w:hint="default"/>
        </w:rPr>
        <w:t>(5)</w:t>
      </w:r>
      <w:r>
        <w:rPr/>
        <w:t>针对资产负债表日前后确认的销售收入执行抽样测试以评估销售收入是否在恰当的期间确认。</w:t>
      </w:r>
      <w:r>
        <w:rPr>
          <w:w w:val="99"/>
        </w:rPr>
        <w:t> </w:t>
      </w:r>
      <w:r>
        <w:rPr>
          <w:rFonts w:ascii="Times New Roman" w:hAnsi="Times New Roman" w:cs="Times New Roman" w:eastAsia="Times New Roman" w:hint="default"/>
        </w:rPr>
        <w:t>(</w:t>
      </w:r>
      <w:r>
        <w:rPr/>
        <w:t>二）应收账款的减值</w:t>
      </w:r>
    </w:p>
    <w:p>
      <w:pPr>
        <w:pStyle w:val="BodyText"/>
        <w:spacing w:line="300" w:lineRule="auto" w:before="13"/>
        <w:ind w:left="512" w:right="98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关键审计事项 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日，五洋停车公司应收账款账面价值</w:t>
      </w:r>
      <w:r>
        <w:rPr>
          <w:rFonts w:ascii="Times New Roman" w:hAnsi="Times New Roman" w:cs="Times New Roman" w:eastAsia="Times New Roman" w:hint="default"/>
        </w:rPr>
        <w:t>63,139.13</w:t>
      </w:r>
      <w:r>
        <w:rPr/>
        <w:t>万元，占资产总额的</w:t>
      </w:r>
      <w:r>
        <w:rPr>
          <w:rFonts w:ascii="Times New Roman" w:hAnsi="Times New Roman" w:cs="Times New Roman" w:eastAsia="Times New Roman" w:hint="default"/>
        </w:rPr>
        <w:t>28.67%</w:t>
      </w:r>
      <w:r>
        <w:rPr/>
        <w:t>。由于五洋停车公司应收</w:t>
      </w:r>
    </w:p>
    <w:p>
      <w:pPr>
        <w:pStyle w:val="BodyText"/>
        <w:spacing w:line="316" w:lineRule="auto" w:before="13"/>
        <w:ind w:right="1133"/>
        <w:jc w:val="both"/>
      </w:pPr>
      <w:r>
        <w:rPr>
          <w:spacing w:val="-2"/>
        </w:rPr>
        <w:t>账款期末余额较大，且应收账款坏账准备的计提需要管理层识别已发生减值的项目并运用重大会计估计和判断，若应收账款</w:t>
      </w:r>
      <w:r>
        <w:rPr>
          <w:spacing w:val="-64"/>
        </w:rPr>
        <w:t> </w:t>
      </w:r>
      <w:r>
        <w:rPr>
          <w:spacing w:val="-64"/>
        </w:rPr>
      </w:r>
      <w:r>
        <w:rPr/>
        <w:t>不能按期收回或者无法收回对财务报表的影响较为重大。因此我们将应收账款减值识别为关键审计事项。</w:t>
      </w:r>
    </w:p>
    <w:p>
      <w:pPr>
        <w:pStyle w:val="BodyText"/>
        <w:spacing w:line="300" w:lineRule="auto" w:before="18"/>
        <w:ind w:left="512" w:right="5894"/>
        <w:jc w:val="left"/>
      </w:pPr>
      <w:r>
        <w:rPr>
          <w:rFonts w:ascii="Times New Roman" w:hAnsi="Times New Roman" w:cs="Times New Roman" w:eastAsia="Times New Roman" w:hint="default"/>
        </w:rPr>
        <w:t>2.</w:t>
      </w:r>
      <w:r>
        <w:rPr/>
        <w:t>审计中的应对 我们针对应收账款的减值事项实施的主要审计程序包括：</w:t>
      </w:r>
    </w:p>
    <w:p>
      <w:pPr>
        <w:pStyle w:val="BodyText"/>
        <w:spacing w:line="240" w:lineRule="auto" w:before="31"/>
        <w:ind w:left="512" w:right="98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评价并测试管理层针对应收账款管理设计的内部控制制度的有效性；</w:t>
      </w:r>
    </w:p>
    <w:p>
      <w:pPr>
        <w:pStyle w:val="BodyText"/>
        <w:spacing w:line="300" w:lineRule="auto" w:before="62"/>
        <w:ind w:right="1114" w:firstLine="36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评价并测试管理层制定的的销售政策、信用政策制定。检查是否存在逾期应收账款。针对逾期未回款项、长账龄款</w:t>
      </w:r>
      <w:r>
        <w:rPr>
          <w:w w:val="99"/>
        </w:rPr>
        <w:t> </w:t>
      </w:r>
      <w:r>
        <w:rPr/>
        <w:t>项及交易对方出现财务问题回款困难的款项，复核其未来可能收回的金额，评估是否出现减值的迹象；</w:t>
      </w:r>
    </w:p>
    <w:p>
      <w:pPr>
        <w:pStyle w:val="BodyText"/>
        <w:spacing w:line="300" w:lineRule="auto" w:before="31"/>
        <w:ind w:right="1116" w:firstLine="36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3"/>
        </w:rPr>
        <w:t> </w:t>
      </w:r>
      <w:r>
        <w:rPr/>
        <w:t>对于单项金额重大的应收账款选取样本，检查应收账款账龄和历史还款记录并评估如交易对方出现财务问题而对应</w:t>
      </w:r>
      <w:r>
        <w:rPr>
          <w:w w:val="99"/>
        </w:rPr>
        <w:t> </w:t>
      </w:r>
      <w:r>
        <w:rPr/>
        <w:t>收账款收回产生的影响；</w:t>
      </w:r>
    </w:p>
    <w:p>
      <w:pPr>
        <w:pStyle w:val="BodyText"/>
        <w:spacing w:line="240" w:lineRule="auto" w:before="31"/>
        <w:ind w:left="512" w:right="982"/>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7"/>
        </w:rPr>
        <w:t> </w:t>
      </w:r>
      <w:r>
        <w:rPr/>
        <w:t>对于按照信用风险特征组合计提坏账准备的应收账款，评价管理层确定的坏账准备计提比例是否合理；</w:t>
      </w:r>
    </w:p>
    <w:p>
      <w:pPr>
        <w:pStyle w:val="BodyText"/>
        <w:spacing w:line="240" w:lineRule="auto" w:before="62"/>
        <w:ind w:left="512" w:right="982"/>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7"/>
        </w:rPr>
        <w:t> </w:t>
      </w:r>
      <w:r>
        <w:rPr/>
        <w:t>获取并复核应收账款账龄分析明细表，抽样检查相关支持文件，以验证应收账款账龄的准确性；</w:t>
      </w:r>
    </w:p>
    <w:p>
      <w:pPr>
        <w:pStyle w:val="BodyText"/>
        <w:spacing w:line="300" w:lineRule="auto" w:before="62"/>
        <w:ind w:right="1116" w:firstLine="360"/>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23"/>
        </w:rPr>
        <w:t> </w:t>
      </w:r>
      <w:r>
        <w:rPr/>
        <w:t>抽查期后应收账款回款的银行回单、银行对账单、记账凭证等资料；并以抽样方式对年末部分应收账款余额进行函</w:t>
      </w:r>
      <w:r>
        <w:rPr>
          <w:w w:val="99"/>
        </w:rPr>
        <w:t> </w:t>
      </w:r>
      <w:r>
        <w:rPr/>
        <w:t>证，与管理层讨论应收账款回收情况及可能存在的回收风险。</w:t>
      </w:r>
    </w:p>
    <w:p>
      <w:pPr>
        <w:pStyle w:val="BodyText"/>
        <w:spacing w:line="240" w:lineRule="auto" w:before="31"/>
        <w:ind w:left="512" w:right="982"/>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商誉的减值</w:t>
      </w:r>
    </w:p>
    <w:p>
      <w:pPr>
        <w:pStyle w:val="BodyText"/>
        <w:spacing w:line="300" w:lineRule="auto" w:before="62"/>
        <w:ind w:left="512" w:right="98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关键审计事项 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日，五洋停车公司商誉账面价值</w:t>
      </w:r>
      <w:r>
        <w:rPr>
          <w:rFonts w:ascii="Times New Roman" w:hAnsi="Times New Roman" w:cs="Times New Roman" w:eastAsia="Times New Roman" w:hint="default"/>
        </w:rPr>
        <w:t>50,212.17</w:t>
      </w:r>
      <w:r>
        <w:rPr/>
        <w:t>万元，占资产总额的</w:t>
      </w:r>
      <w:r>
        <w:rPr>
          <w:rFonts w:ascii="Times New Roman" w:hAnsi="Times New Roman" w:cs="Times New Roman" w:eastAsia="Times New Roman" w:hint="default"/>
        </w:rPr>
        <w:t>22.80%</w:t>
      </w:r>
      <w:r>
        <w:rPr/>
        <w:t>。该等商誉系五洋停车公司收</w:t>
      </w:r>
    </w:p>
    <w:p>
      <w:pPr>
        <w:pStyle w:val="BodyText"/>
        <w:spacing w:line="300" w:lineRule="auto" w:before="13"/>
        <w:ind w:left="512" w:right="982" w:hanging="360"/>
        <w:jc w:val="left"/>
      </w:pPr>
      <w:r>
        <w:rPr/>
        <w:t>购伟创自动化公司、北京华逸奇科贸有限公司</w:t>
      </w:r>
      <w:r>
        <w:rPr>
          <w:rFonts w:ascii="Times New Roman" w:hAnsi="Times New Roman" w:cs="Times New Roman" w:eastAsia="Times New Roman" w:hint="default"/>
        </w:rPr>
        <w:t>(</w:t>
      </w:r>
      <w:r>
        <w:rPr/>
        <w:t>以下简称北京华逸奇公司</w:t>
      </w:r>
      <w:r>
        <w:rPr>
          <w:rFonts w:ascii="Times New Roman" w:hAnsi="Times New Roman" w:cs="Times New Roman" w:eastAsia="Times New Roman" w:hint="default"/>
        </w:rPr>
        <w:t>)</w:t>
      </w:r>
      <w:r>
        <w:rPr/>
        <w:t>、天辰智能公司等形成。 </w:t>
      </w:r>
      <w:r>
        <w:rPr>
          <w:spacing w:val="-2"/>
        </w:rPr>
        <w:t>如财务报表附注三（十七）所述，对因企业合并形成的商誉，五洋停车公司管理层需结合与其相关的资产或资产组组合</w:t>
      </w:r>
    </w:p>
    <w:p>
      <w:pPr>
        <w:pStyle w:val="BodyText"/>
        <w:spacing w:line="312" w:lineRule="auto" w:before="31"/>
        <w:ind w:right="1131"/>
        <w:jc w:val="both"/>
      </w:pPr>
      <w:r>
        <w:rPr>
          <w:spacing w:val="-2"/>
        </w:rPr>
        <w:t>进行减值测试，以确定是否存在减值的情况，并根据包含商誉的资产组的可收回金额低于其账面价值的部分，计提相应的减</w:t>
      </w:r>
      <w:r>
        <w:rPr>
          <w:spacing w:val="-63"/>
        </w:rPr>
        <w:t> </w:t>
      </w:r>
      <w:r>
        <w:rPr>
          <w:spacing w:val="-63"/>
        </w:rPr>
      </w:r>
      <w:r>
        <w:rPr/>
        <w:t>值准备。在评估可回收金额时涉及的关键假设包括收入增长率、毛利率、费用率及折现率</w:t>
      </w:r>
      <w:r>
        <w:rPr>
          <w:rFonts w:ascii="Times New Roman" w:hAnsi="Times New Roman" w:cs="Times New Roman" w:eastAsia="Times New Roman" w:hint="default"/>
        </w:rPr>
        <w:t>,</w:t>
      </w:r>
      <w:r>
        <w:rPr/>
        <w:t>由于上述商誉的减值测试涉及重</w:t>
      </w:r>
      <w:r>
        <w:rPr>
          <w:spacing w:val="-47"/>
        </w:rPr>
        <w:t> </w:t>
      </w:r>
      <w:r>
        <w:rPr>
          <w:spacing w:val="-47"/>
        </w:rPr>
      </w:r>
      <w:r>
        <w:rPr>
          <w:spacing w:val="-2"/>
        </w:rPr>
        <w:t>大会计估计和判断，且五洋停车公司商誉余额较大，商誉减值准备的计提是否准确对其经营成果产生重大影响，因此我们将</w:t>
      </w:r>
      <w:r>
        <w:rPr>
          <w:spacing w:val="-63"/>
        </w:rPr>
        <w:t> </w:t>
      </w:r>
      <w:r>
        <w:rPr>
          <w:spacing w:val="-63"/>
        </w:rPr>
      </w:r>
      <w:r>
        <w:rPr/>
        <w:t>商誉的减值测试识别为关键审计事项。</w:t>
      </w:r>
    </w:p>
    <w:p>
      <w:pPr>
        <w:pStyle w:val="BodyText"/>
        <w:spacing w:line="300" w:lineRule="auto" w:before="22"/>
        <w:ind w:left="512" w:right="625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审计中的应对 我们针对商誉的减值事项实施的主要审计程序包括：</w:t>
      </w:r>
    </w:p>
    <w:p>
      <w:pPr>
        <w:pStyle w:val="BodyText"/>
        <w:spacing w:line="300" w:lineRule="auto" w:before="31"/>
        <w:ind w:right="982" w:firstLine="360"/>
        <w:jc w:val="left"/>
      </w:pPr>
      <w:r>
        <w:rPr>
          <w:rFonts w:ascii="Times New Roman" w:hAnsi="Times New Roman" w:cs="Times New Roman" w:eastAsia="Times New Roman" w:hint="default"/>
        </w:rPr>
        <w:t>(1)</w:t>
      </w:r>
      <w:r>
        <w:rPr/>
        <w:t>了解、评估并测试五洋停车公司与商誉减值测试相关的内部控制的设计及执行有效性，包括关键假设的采用及减值</w:t>
      </w:r>
      <w:r>
        <w:rPr>
          <w:spacing w:val="2"/>
          <w:w w:val="99"/>
        </w:rPr>
        <w:t> </w:t>
      </w:r>
      <w:r>
        <w:rPr/>
        <w:t>计提金额的复核及审批；</w:t>
      </w:r>
    </w:p>
    <w:p>
      <w:pPr>
        <w:pStyle w:val="BodyText"/>
        <w:spacing w:line="300" w:lineRule="auto" w:before="31"/>
        <w:ind w:right="1128" w:firstLine="360"/>
        <w:jc w:val="both"/>
      </w:pPr>
      <w:r>
        <w:rPr>
          <w:rFonts w:ascii="Times New Roman" w:hAnsi="Times New Roman" w:cs="Times New Roman" w:eastAsia="Times New Roman" w:hint="default"/>
          <w:spacing w:val="-3"/>
          <w:w w:val="99"/>
        </w:rPr>
        <w:t>(2)</w:t>
      </w:r>
      <w:r>
        <w:rPr>
          <w:spacing w:val="-3"/>
          <w:w w:val="99"/>
        </w:rPr>
        <w:t>获取管理层编制的各资产组商誉的减值测试表，将管理层</w:t>
      </w:r>
      <w:r>
        <w:rPr>
          <w:w w:val="99"/>
        </w:rPr>
        <w:t> </w:t>
      </w:r>
      <w:r>
        <w:rPr>
          <w:rFonts w:ascii="Times New Roman" w:hAnsi="Times New Roman" w:cs="Times New Roman" w:eastAsia="Times New Roman" w:hint="default"/>
          <w:spacing w:val="-1"/>
          <w:w w:val="99"/>
        </w:rPr>
        <w:t>2017</w:t>
      </w:r>
      <w:r>
        <w:rPr>
          <w:spacing w:val="-1"/>
          <w:w w:val="99"/>
        </w:rPr>
        <w:t>年商誉减值测试表中对</w:t>
      </w:r>
      <w:r>
        <w:rPr>
          <w:rFonts w:ascii="Times New Roman" w:hAnsi="Times New Roman" w:cs="Times New Roman" w:eastAsia="Times New Roman" w:hint="default"/>
          <w:spacing w:val="-1"/>
          <w:w w:val="99"/>
        </w:rPr>
        <w:t>2018</w:t>
      </w:r>
      <w:r>
        <w:rPr>
          <w:spacing w:val="-1"/>
          <w:w w:val="99"/>
        </w:rPr>
        <w:t>年的预测及</w:t>
      </w:r>
      <w:r>
        <w:rPr>
          <w:spacing w:val="-8"/>
          <w:w w:val="99"/>
        </w:rPr>
        <w:t> </w:t>
      </w:r>
      <w:r>
        <w:rPr>
          <w:rFonts w:ascii="Times New Roman" w:hAnsi="Times New Roman" w:cs="Times New Roman" w:eastAsia="Times New Roman" w:hint="default"/>
          <w:w w:val="99"/>
        </w:rPr>
        <w:t>2018</w:t>
      </w:r>
      <w:r>
        <w:rPr>
          <w:w w:val="99"/>
        </w:rPr>
        <w:t>年实际情 </w:t>
      </w:r>
      <w:r>
        <w:rPr/>
        <w:t>况进行对比，考虑管理层的商誉减值测试评估过程是否存在管理层偏见，以及确定管理层是否需要根据最新情况在 </w:t>
      </w:r>
      <w:r>
        <w:rPr>
          <w:rFonts w:ascii="Times New Roman" w:hAnsi="Times New Roman" w:cs="Times New Roman" w:eastAsia="Times New Roman" w:hint="default"/>
        </w:rPr>
        <w:t>2018</w:t>
      </w:r>
      <w:r>
        <w:rPr/>
        <w:t>年</w:t>
      </w:r>
      <w:r>
        <w:rPr>
          <w:spacing w:val="-85"/>
        </w:rPr>
        <w:t> </w:t>
      </w:r>
      <w:r>
        <w:rPr/>
        <w:t>减值测试表中调整未来关键经营假设，从而反映最新的市场情况及管理层预期；</w:t>
      </w:r>
    </w:p>
    <w:p>
      <w:pPr>
        <w:pStyle w:val="BodyText"/>
        <w:spacing w:line="300" w:lineRule="auto" w:before="31"/>
        <w:ind w:right="982" w:firstLine="360"/>
        <w:jc w:val="left"/>
      </w:pPr>
      <w:r>
        <w:rPr>
          <w:rFonts w:ascii="Times New Roman" w:hAnsi="Times New Roman" w:cs="Times New Roman" w:eastAsia="Times New Roman" w:hint="default"/>
        </w:rPr>
        <w:t>(3)</w:t>
      </w:r>
      <w:r>
        <w:rPr/>
        <w:t>综合考虑各资产组的历史运营情况、行业走势及新的市场机会及由于规模效应带来的成本及费用节约，对管理层使</w:t>
      </w:r>
      <w:r>
        <w:rPr>
          <w:spacing w:val="2"/>
          <w:w w:val="99"/>
        </w:rPr>
        <w:t> </w:t>
      </w:r>
      <w:r>
        <w:rPr/>
        <w:t>用的未来收入增长率、毛利率和费用率假设进行了合理性分析；</w:t>
      </w:r>
    </w:p>
    <w:p>
      <w:pPr>
        <w:pStyle w:val="BodyText"/>
        <w:spacing w:line="300" w:lineRule="auto" w:before="31"/>
        <w:ind w:right="982" w:firstLine="360"/>
        <w:jc w:val="left"/>
      </w:pPr>
      <w:r>
        <w:rPr>
          <w:rFonts w:ascii="Times New Roman" w:hAnsi="Times New Roman" w:cs="Times New Roman" w:eastAsia="Times New Roman" w:hint="default"/>
        </w:rPr>
        <w:t>(4)</w:t>
      </w:r>
      <w:r>
        <w:rPr/>
        <w:t>利用外部评估专家的工作，对各资产组形成的商誉进行专项减值测试。与管理层及外部评估专家讨论，了解、评估</w:t>
      </w:r>
      <w:r>
        <w:rPr>
          <w:spacing w:val="2"/>
          <w:w w:val="99"/>
        </w:rPr>
        <w:t> </w:t>
      </w:r>
      <w:r>
        <w:rPr>
          <w:spacing w:val="-1"/>
        </w:rPr>
        <w:t>减值测试结果中最为敏感的假设</w:t>
      </w:r>
      <w:r>
        <w:rPr>
          <w:rFonts w:ascii="Times New Roman" w:hAnsi="Times New Roman" w:cs="Times New Roman" w:eastAsia="Times New Roman" w:hint="default"/>
          <w:spacing w:val="-1"/>
        </w:rPr>
        <w:t>(</w:t>
      </w:r>
      <w:r>
        <w:rPr>
          <w:spacing w:val="-1"/>
        </w:rPr>
        <w:t>如毛利率及折现率</w:t>
      </w:r>
      <w:r>
        <w:rPr>
          <w:rFonts w:ascii="Times New Roman" w:hAnsi="Times New Roman" w:cs="Times New Roman" w:eastAsia="Times New Roman" w:hint="default"/>
          <w:spacing w:val="-1"/>
        </w:rPr>
        <w:t>)</w:t>
      </w:r>
      <w:r>
        <w:rPr>
          <w:spacing w:val="-1"/>
        </w:rPr>
        <w:t>，并进行敏感性测试，分析检查管理层采用的假设的恰当性及相关披露</w:t>
      </w:r>
    </w:p>
    <w:p>
      <w:pPr>
        <w:spacing w:after="0" w:line="300" w:lineRule="auto"/>
        <w:jc w:val="left"/>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ind w:right="982"/>
        <w:jc w:val="left"/>
      </w:pPr>
      <w:r>
        <w:rPr/>
        <w:t>是否适当；</w:t>
      </w:r>
    </w:p>
    <w:p>
      <w:pPr>
        <w:pStyle w:val="BodyText"/>
        <w:spacing w:line="300" w:lineRule="auto" w:before="76"/>
        <w:ind w:left="512" w:right="4964"/>
        <w:jc w:val="left"/>
      </w:pPr>
      <w:r>
        <w:rPr>
          <w:rFonts w:ascii="Times New Roman" w:hAnsi="Times New Roman" w:cs="Times New Roman" w:eastAsia="Times New Roman" w:hint="default"/>
        </w:rPr>
        <w:t>(5)</w:t>
      </w:r>
      <w:r>
        <w:rPr/>
        <w:t>检查管理层对商誉及其减值估计结果、财务报表的披露是否恰当。</w:t>
      </w:r>
      <w:r>
        <w:rPr>
          <w:w w:val="99"/>
        </w:rPr>
        <w:t> </w:t>
      </w:r>
      <w:r>
        <w:rPr/>
        <w:t>四、其他信息</w:t>
      </w:r>
    </w:p>
    <w:p>
      <w:pPr>
        <w:pStyle w:val="BodyText"/>
        <w:spacing w:line="316" w:lineRule="auto" w:before="31"/>
        <w:ind w:right="982" w:firstLine="360"/>
        <w:jc w:val="left"/>
      </w:pPr>
      <w:r>
        <w:rPr>
          <w:spacing w:val="-2"/>
        </w:rPr>
        <w:t>五洋停车公司管理层（以下简称管理层）对其他信息负责。其他信息包括年度报告中涵盖的信息，但不包括财务报表和</w:t>
      </w:r>
      <w:r>
        <w:rPr/>
        <w:t> 我们的审计报告。</w:t>
      </w:r>
    </w:p>
    <w:p>
      <w:pPr>
        <w:pStyle w:val="BodyText"/>
        <w:spacing w:line="316" w:lineRule="auto" w:before="18"/>
        <w:ind w:left="512" w:right="982"/>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16" w:lineRule="auto" w:before="18"/>
        <w:ind w:left="512" w:right="982" w:hanging="360"/>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40" w:lineRule="auto" w:before="18"/>
        <w:ind w:right="982"/>
        <w:jc w:val="left"/>
      </w:pPr>
      <w:r>
        <w:rPr/>
        <w:t>报告。</w:t>
      </w:r>
    </w:p>
    <w:p>
      <w:pPr>
        <w:pStyle w:val="BodyText"/>
        <w:spacing w:line="316" w:lineRule="auto" w:before="76"/>
        <w:ind w:left="512" w:right="982"/>
        <w:jc w:val="left"/>
      </w:pPr>
      <w:r>
        <w:rPr/>
        <w:t>五、管理层和治理层对财务报表的责任 </w:t>
      </w:r>
      <w:r>
        <w:rPr>
          <w:spacing w:val="-2"/>
        </w:rPr>
        <w:t>管理层负责按照企业会计准则的规定编制财务报表，使其实现公允反映，并设计、执行和维护必要的内部控制，以使财</w:t>
      </w:r>
    </w:p>
    <w:p>
      <w:pPr>
        <w:pStyle w:val="BodyText"/>
        <w:spacing w:line="316" w:lineRule="auto" w:before="18"/>
        <w:ind w:left="512" w:right="982" w:hanging="360"/>
        <w:jc w:val="left"/>
      </w:pPr>
      <w:r>
        <w:rPr/>
        <w:t>务报表不存在由于舞弊或错误导致的重大错报。 </w:t>
      </w:r>
      <w:r>
        <w:rPr>
          <w:spacing w:val="-2"/>
        </w:rPr>
        <w:t>在编制财务报表时，管理层负责评估五洋停车公司的持续经营能力，披露与持续经营相关的事项（如适用），并运用持</w:t>
      </w:r>
    </w:p>
    <w:p>
      <w:pPr>
        <w:pStyle w:val="BodyText"/>
        <w:spacing w:line="316" w:lineRule="auto" w:before="18"/>
        <w:ind w:left="512" w:right="982" w:hanging="360"/>
        <w:jc w:val="left"/>
      </w:pPr>
      <w:r>
        <w:rPr/>
        <w:t>续经营假设，除非计划进行清算、终止运营或别无其他现实的选择。 五洋停车公司治理层（以下简称治理层）负责监督五洋停车公司的财务报告过程。 六、注册会计师对财务报表审计的责任 </w:t>
      </w:r>
      <w:r>
        <w:rPr>
          <w:spacing w:val="-2"/>
        </w:rPr>
        <w:t>我们的目标是对财务报表整体是否不存在由于舞弊或错误导致的重大错报获取合理保证，并出具包含审计意见的审计报</w:t>
      </w:r>
    </w:p>
    <w:p>
      <w:pPr>
        <w:pStyle w:val="BodyText"/>
        <w:spacing w:line="316" w:lineRule="auto" w:before="18"/>
        <w:ind w:right="1131"/>
        <w:jc w:val="both"/>
      </w:pPr>
      <w:r>
        <w:rPr>
          <w:spacing w:val="-2"/>
        </w:rPr>
        <w:t>告。合理保证是高水平的保证，但并不能保证按照审计准则执行的审计在某一重大错报存在时总能发现。错报可能由于舞弊</w:t>
      </w:r>
      <w:r>
        <w:rPr>
          <w:spacing w:val="-63"/>
        </w:rPr>
        <w:t> </w:t>
      </w:r>
      <w:r>
        <w:rPr>
          <w:spacing w:val="-63"/>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18"/>
        <w:ind w:left="512" w:right="982"/>
        <w:jc w:val="left"/>
      </w:pPr>
      <w:r>
        <w:rPr/>
        <w:t>在按照审计准则执行审计工作的过程中，我们运用职业判断，并保持职业怀疑。同时，我们也执行以下工作：</w:t>
      </w:r>
    </w:p>
    <w:p>
      <w:pPr>
        <w:pStyle w:val="BodyText"/>
        <w:spacing w:line="309" w:lineRule="auto" w:before="76"/>
        <w:ind w:right="1034" w:firstLine="36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15"/>
        </w:rPr>
        <w:t> </w:t>
      </w:r>
      <w:r>
        <w:rPr/>
        <w:t>识别和评估由于舞弊或错误导致的财务报表重大错报风险，设计和实施审计程序以应对这些风险，并获取充分、</w:t>
      </w:r>
      <w:r>
        <w:rPr>
          <w:spacing w:val="2"/>
          <w:w w:val="99"/>
        </w:rPr>
        <w:t> </w:t>
      </w:r>
      <w:r>
        <w:rPr/>
        <w:t>适当的审计证据，作为发表审计意见的基础。由于舞弊可能涉及串通、伪造、故意遗漏、虚假陈述或凌驾于内部控制之上，</w:t>
      </w:r>
      <w:r>
        <w:rPr>
          <w:w w:val="99"/>
        </w:rPr>
        <w:t> </w:t>
      </w:r>
      <w:r>
        <w:rPr/>
        <w:t>未能发现由于舞弊导致的重大错报的风险高于未能发现由于错误导致的重大错报的风险。</w:t>
      </w:r>
    </w:p>
    <w:p>
      <w:pPr>
        <w:pStyle w:val="BodyText"/>
        <w:spacing w:line="240" w:lineRule="auto" w:before="24"/>
        <w:ind w:left="512" w:right="982"/>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了解与审计相关的内部控制，以设计恰当的审计程序，但目的并非对内部控制的有效性发表意见。</w:t>
      </w:r>
    </w:p>
    <w:p>
      <w:pPr>
        <w:pStyle w:val="BodyText"/>
        <w:spacing w:line="240" w:lineRule="auto" w:before="62"/>
        <w:ind w:left="512" w:right="982"/>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评价管理层选用会计政策的恰当性和作出会计估计及相关披露的合理性。</w:t>
      </w:r>
    </w:p>
    <w:p>
      <w:pPr>
        <w:pStyle w:val="BodyText"/>
        <w:spacing w:line="312" w:lineRule="auto" w:before="62"/>
        <w:ind w:right="1130" w:firstLine="360"/>
        <w:jc w:val="both"/>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对管理层使用持续经营假设的恰当性得出结论。同时，根据获取的审计证据，就可能导致对五洋停车公司持续经</w:t>
      </w:r>
      <w:r>
        <w:rPr>
          <w:spacing w:val="2"/>
          <w:w w:val="99"/>
        </w:rPr>
        <w:t> </w:t>
      </w:r>
      <w:r>
        <w:rPr>
          <w:spacing w:val="-2"/>
        </w:rPr>
        <w:t>营能力产生重大疑虑的事项或情况是否存在重大不确定性得出结论。如果我们得出结论认为存在重大不确定性，审计准则要</w:t>
      </w:r>
      <w:r>
        <w:rPr>
          <w:spacing w:val="-65"/>
        </w:rPr>
        <w:t> </w:t>
      </w:r>
      <w:r>
        <w:rPr>
          <w:spacing w:val="-65"/>
        </w:rPr>
      </w:r>
      <w:r>
        <w:rPr>
          <w:spacing w:val="-2"/>
        </w:rPr>
        <w:t>求我们在审计报告中提请报表使用者注意财务报表中的相关披露；如果披露不充分，我们应当发表非无保留意见。我们的结</w:t>
      </w:r>
      <w:r>
        <w:rPr>
          <w:spacing w:val="-67"/>
        </w:rPr>
        <w:t> </w:t>
      </w:r>
      <w:r>
        <w:rPr>
          <w:spacing w:val="-67"/>
        </w:rPr>
      </w:r>
      <w:r>
        <w:rPr/>
        <w:t>论基于截至审计报告日可获得的信息。然而，未来的事项或情况可能导致五洋停车公司不能持续经营。</w:t>
      </w:r>
    </w:p>
    <w:p>
      <w:pPr>
        <w:pStyle w:val="BodyText"/>
        <w:spacing w:line="240" w:lineRule="auto" w:before="22"/>
        <w:ind w:left="512" w:right="982"/>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评价财务报表的总体列报、结构和内容（包括披露），并评价财务报表是否公允反映相关交易和事项。</w:t>
      </w:r>
    </w:p>
    <w:p>
      <w:pPr>
        <w:pStyle w:val="BodyText"/>
        <w:spacing w:line="300" w:lineRule="auto" w:before="62"/>
        <w:ind w:right="982" w:firstLine="360"/>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就五洋停车公司中实体或业务活动的财务信息获取充分、适当的审计证据，以对财务报表发表审计意见。我们负</w:t>
      </w:r>
      <w:r>
        <w:rPr>
          <w:spacing w:val="2"/>
          <w:w w:val="99"/>
        </w:rPr>
        <w:t> </w:t>
      </w:r>
      <w:r>
        <w:rPr/>
        <w:t>责指导、监督和执行集团审计，并对审计意见承担全部责任。</w:t>
      </w:r>
    </w:p>
    <w:p>
      <w:pPr>
        <w:pStyle w:val="BodyText"/>
        <w:spacing w:line="316" w:lineRule="auto" w:before="31"/>
        <w:ind w:right="982" w:firstLine="360"/>
        <w:jc w:val="left"/>
      </w:pPr>
      <w:r>
        <w:rPr>
          <w:spacing w:val="-2"/>
        </w:rPr>
        <w:t>我们与治理层就计划的审计范围、时间安排和重大审计发现等事项进行沟通，包括沟通我们在审计中识别出的值得关注</w:t>
      </w:r>
      <w:r>
        <w:rPr/>
        <w:t> 的内部控制缺陷。</w:t>
      </w:r>
    </w:p>
    <w:p>
      <w:pPr>
        <w:pStyle w:val="BodyText"/>
        <w:spacing w:line="316" w:lineRule="auto" w:before="18"/>
        <w:ind w:right="982" w:firstLine="360"/>
        <w:jc w:val="left"/>
      </w:pPr>
      <w:r>
        <w:rPr>
          <w:spacing w:val="-2"/>
        </w:rPr>
        <w:t>我们还就已遵守与独立性相关的职业道德要求向治理层提供声明，并与治理层沟通可能被合理认为影响我们独立性的所</w:t>
      </w:r>
      <w:r>
        <w:rPr/>
        <w:t> 有关系和其他事项，以及相关的防范措施（如适用）。</w:t>
      </w:r>
    </w:p>
    <w:p>
      <w:pPr>
        <w:pStyle w:val="BodyText"/>
        <w:spacing w:line="316" w:lineRule="auto" w:before="18"/>
        <w:ind w:right="1131"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3"/>
        </w:rPr>
        <w:t> </w:t>
      </w:r>
      <w:r>
        <w:rPr>
          <w:spacing w:val="-63"/>
        </w:rPr>
      </w:r>
      <w:r>
        <w:rPr/>
        <w:t>的负面后果超过在公众利益方面产生的益处，我们确定不应在审计报告中沟通该事项。</w:t>
      </w:r>
    </w:p>
    <w:p>
      <w:pPr>
        <w:spacing w:after="0" w:line="316" w:lineRule="auto"/>
        <w:jc w:val="both"/>
        <w:sectPr>
          <w:pgSz w:w="11910" w:h="16840"/>
          <w:pgMar w:header="745"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240" w:lineRule="auto"/>
        <w:ind w:left="0" w:right="1351"/>
        <w:jc w:val="right"/>
      </w:pPr>
      <w:r>
        <w:rPr/>
        <w:t>天健会计师事务所（特殊普通合伙） 中国注册会计师：</w:t>
      </w:r>
    </w:p>
    <w:p>
      <w:pPr>
        <w:pStyle w:val="BodyText"/>
        <w:spacing w:line="240" w:lineRule="auto" w:before="76"/>
        <w:ind w:left="6630" w:right="982"/>
        <w:jc w:val="left"/>
      </w:pPr>
      <w:r>
        <w:rPr/>
        <w:t>（项目合伙人）</w:t>
      </w:r>
    </w:p>
    <w:p>
      <w:pPr>
        <w:spacing w:line="240" w:lineRule="auto" w:before="0"/>
        <w:rPr>
          <w:rFonts w:ascii="宋体" w:hAnsi="宋体" w:cs="宋体" w:eastAsia="宋体" w:hint="default"/>
          <w:sz w:val="18"/>
          <w:szCs w:val="18"/>
        </w:rPr>
      </w:pPr>
    </w:p>
    <w:p>
      <w:pPr>
        <w:pStyle w:val="BodyText"/>
        <w:tabs>
          <w:tab w:pos="8132" w:val="left" w:leader="none"/>
        </w:tabs>
        <w:spacing w:line="600" w:lineRule="auto" w:before="152"/>
        <w:ind w:left="7787" w:right="1337" w:hanging="651"/>
        <w:jc w:val="right"/>
      </w:pPr>
      <w:r>
        <w:rPr/>
        <w:t>中国</w:t>
      </w:r>
      <w:r>
        <w:rPr>
          <w:rFonts w:ascii="Times New Roman" w:hAnsi="Times New Roman" w:cs="Times New Roman" w:eastAsia="Times New Roman" w:hint="default"/>
        </w:rPr>
        <w:t>·</w:t>
      </w:r>
      <w:r>
        <w:rPr/>
        <w:t>杭州</w:t>
        <w:tab/>
        <w:t>中国注册会计师： 二〇一九年四月十八日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2"/>
        <w:spacing w:line="240" w:lineRule="auto" w:before="26"/>
        <w:ind w:right="982"/>
        <w:jc w:val="left"/>
        <w:rPr>
          <w:b w:val="0"/>
          <w:bCs w:val="0"/>
        </w:rPr>
      </w:pPr>
      <w:bookmarkStart w:name="二、财务报表" w:id="156"/>
      <w:bookmarkEnd w:id="156"/>
      <w:r>
        <w:rPr>
          <w:b w:val="0"/>
          <w:bCs w:val="0"/>
        </w:rPr>
      </w: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982"/>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bookmarkStart w:name="1、合并资产负债表" w:id="157"/>
      <w:bookmarkEnd w:id="157"/>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2" w:top="1060" w:bottom="1180" w:left="980" w:right="0"/>
        </w:sectPr>
      </w:pPr>
    </w:p>
    <w:p>
      <w:pPr>
        <w:pStyle w:val="BodyText"/>
        <w:spacing w:line="240" w:lineRule="auto"/>
        <w:ind w:right="-20"/>
        <w:jc w:val="left"/>
      </w:pPr>
      <w:r>
        <w:rPr/>
        <w:t>编制单位：江苏五洋停车产业集团股份有限公司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3"/>
        <w:jc w:val="left"/>
      </w:pPr>
      <w:r>
        <w:rPr>
          <w:rFonts w:ascii="Times New Roman" w:hAnsi="Times New Roman" w:cs="Times New Roman" w:eastAsia="Times New Roman" w:hint="default"/>
        </w:rPr>
        <w:t>2018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060" w:bottom="1180" w:left="980" w:right="0"/>
          <w:cols w:num="3" w:equalWidth="0">
            <w:col w:w="3933" w:space="142"/>
            <w:col w:w="1641" w:space="3202"/>
            <w:col w:w="2012"/>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2"/>
        <w:gridCol w:w="3416"/>
        <w:gridCol w:w="2969"/>
      </w:tblGrid>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107,746,044.51</w:t>
            </w:r>
            <w:r>
              <w:rPr>
                <w:rFonts w:ascii="Times New Roman"/>
                <w:sz w:val="18"/>
              </w:rPr>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175,414,869.91</w:t>
            </w:r>
            <w:r>
              <w:rPr>
                <w:rFonts w:ascii="Times New Roman"/>
                <w:sz w:val="18"/>
              </w:rPr>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8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 损益的金融资产</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应收票据及应收账款</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687,001,536.12</w:t>
            </w:r>
            <w:r>
              <w:rPr>
                <w:rFonts w:ascii="Times New Roman"/>
                <w:sz w:val="18"/>
              </w:rPr>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558,866,011.16</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其中：应收票据</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55,610,191.47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58,988,771.37</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631,391,344.65</w:t>
            </w:r>
            <w:r>
              <w:rPr>
                <w:rFonts w:ascii="Times New Roman"/>
                <w:sz w:val="18"/>
              </w:rPr>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499,877,239.79</w:t>
            </w:r>
            <w:r>
              <w:rPr>
                <w:rFonts w:ascii="Times New Roman"/>
                <w:sz w:val="18"/>
              </w:rPr>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41,052,477.65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26,205,323.93</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45,796,303.04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29,436,843.49</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2"/>
        <w:gridCol w:w="3416"/>
        <w:gridCol w:w="2969"/>
      </w:tblGrid>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302,802,265.55</w:t>
            </w:r>
            <w:r>
              <w:rPr>
                <w:rFonts w:ascii="Times New Roman"/>
                <w:sz w:val="18"/>
              </w:rPr>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210,737,375.36</w:t>
            </w:r>
            <w:r>
              <w:rPr>
                <w:rFonts w:ascii="Times New Roman"/>
                <w:sz w:val="18"/>
              </w:rPr>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37,907,564.98</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68,050,230.20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99,600,193.68</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1,290,356,422.05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1,100,260,617.53</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发放贷款和垫款</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9,392,338.57</w:t>
            </w:r>
            <w:r>
              <w:rPr>
                <w:rFonts w:ascii="Times New Roman"/>
                <w:sz w:val="18"/>
              </w:rPr>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25,229,196.34</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6,473,592.16</w:t>
            </w:r>
            <w:r>
              <w:rPr>
                <w:rFonts w:ascii="Times New Roman"/>
                <w:sz w:val="18"/>
              </w:rPr>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7,506,212.67</w:t>
            </w:r>
            <w:r>
              <w:rPr>
                <w:rFonts w:ascii="Times New Roman"/>
                <w:sz w:val="18"/>
              </w:rPr>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200,769,175.74</w:t>
            </w:r>
            <w:r>
              <w:rPr>
                <w:rFonts w:ascii="Times New Roman"/>
                <w:sz w:val="18"/>
              </w:rPr>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208,091,414.79</w:t>
            </w:r>
            <w:r>
              <w:rPr>
                <w:rFonts w:ascii="Times New Roman"/>
                <w:sz w:val="18"/>
              </w:rPr>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52,277,662.89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4,193,028.36</w:t>
            </w:r>
            <w:r>
              <w:rPr>
                <w:rFonts w:ascii="Times New Roman"/>
                <w:sz w:val="18"/>
              </w:rPr>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110,959,875.50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115,742,649.93</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502,121,693.24</w:t>
            </w:r>
            <w:r>
              <w:rPr>
                <w:rFonts w:ascii="Times New Roman"/>
                <w:sz w:val="18"/>
              </w:rPr>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502,121,693.24</w:t>
            </w:r>
            <w:r>
              <w:rPr>
                <w:rFonts w:ascii="Times New Roman"/>
                <w:sz w:val="18"/>
              </w:rPr>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6,378,934.78</w:t>
            </w:r>
            <w:r>
              <w:rPr>
                <w:rFonts w:ascii="Times New Roman"/>
                <w:sz w:val="18"/>
              </w:rPr>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2,269,987.14</w:t>
            </w:r>
            <w:r>
              <w:rPr>
                <w:rFonts w:ascii="Times New Roman"/>
                <w:sz w:val="18"/>
              </w:rPr>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20,270,480.83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14,947,685.14</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3,631,620.81</w:t>
            </w:r>
            <w:r>
              <w:rPr>
                <w:rFonts w:ascii="Times New Roman"/>
                <w:sz w:val="18"/>
              </w:rPr>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6,000,000.00</w:t>
            </w:r>
            <w:r>
              <w:rPr>
                <w:rFonts w:ascii="Times New Roman"/>
                <w:sz w:val="18"/>
              </w:rPr>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912,275,374.52</w:t>
            </w:r>
            <w:r>
              <w:rPr>
                <w:rFonts w:ascii="Times New Roman"/>
                <w:sz w:val="18"/>
              </w:rPr>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886,101,867.61</w:t>
            </w:r>
            <w:r>
              <w:rPr>
                <w:rFonts w:ascii="Times New Roman"/>
                <w:sz w:val="18"/>
              </w:rPr>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2,202,631,796.57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1,986,362,485.14</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30,200,000.00</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8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 损益的金融负债</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2"/>
        <w:gridCol w:w="3416"/>
        <w:gridCol w:w="2969"/>
      </w:tblGrid>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应付票据及应付账款</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246,151,208.35</w:t>
            </w:r>
            <w:r>
              <w:rPr>
                <w:rFonts w:ascii="Times New Roman"/>
                <w:sz w:val="18"/>
              </w:rPr>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198,905,946.18</w:t>
            </w:r>
            <w:r>
              <w:rPr>
                <w:rFonts w:ascii="Times New Roman"/>
                <w:sz w:val="18"/>
              </w:rPr>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146,480,149.20</w:t>
            </w:r>
            <w:r>
              <w:rPr>
                <w:rFonts w:ascii="Times New Roman"/>
                <w:sz w:val="18"/>
              </w:rPr>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148,925,795.85</w:t>
            </w:r>
            <w:r>
              <w:rPr>
                <w:rFonts w:ascii="Times New Roman"/>
                <w:sz w:val="18"/>
              </w:rPr>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15,290,067.56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15,777,652.30</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45,107,735.73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30,104,522.39</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107,940,595.50</w:t>
            </w:r>
            <w:r>
              <w:rPr>
                <w:rFonts w:ascii="Times New Roman"/>
                <w:sz w:val="18"/>
              </w:rPr>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86,210,754.93</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76,584.16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41,590.83</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610,969,756.34</w:t>
            </w:r>
            <w:r>
              <w:rPr>
                <w:rFonts w:ascii="Times New Roman"/>
                <w:sz w:val="18"/>
              </w:rPr>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510,124,671.65</w:t>
            </w:r>
            <w:r>
              <w:rPr>
                <w:rFonts w:ascii="Times New Roman"/>
                <w:sz w:val="18"/>
              </w:rPr>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1,766,739.06</w:t>
            </w:r>
            <w:r>
              <w:rPr>
                <w:rFonts w:ascii="Times New Roman"/>
                <w:sz w:val="18"/>
              </w:rPr>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14,781,914.33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8,341,441.38</w:t>
            </w:r>
            <w:r>
              <w:rPr>
                <w:rFonts w:ascii="Times New Roman"/>
                <w:sz w:val="18"/>
              </w:rPr>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16,548,653.39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8,341,441.38</w:t>
            </w:r>
            <w:r>
              <w:rPr>
                <w:rFonts w:ascii="Times New Roman"/>
                <w:sz w:val="18"/>
              </w:rPr>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627,518,409.73</w:t>
            </w:r>
            <w:r>
              <w:rPr>
                <w:rFonts w:ascii="Times New Roman"/>
                <w:sz w:val="18"/>
              </w:rPr>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518,466,113.03</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41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715,630,489.00</w:t>
            </w:r>
            <w:r>
              <w:rPr>
                <w:rFonts w:ascii="Times New Roman"/>
                <w:sz w:val="18"/>
              </w:rPr>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511,164,635.00</w:t>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416" w:type="dxa"/>
            <w:tcBorders>
              <w:top w:val="single" w:sz="4" w:space="0" w:color="000000"/>
              <w:left w:val="single" w:sz="12" w:space="0" w:color="D4D4D4"/>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3"/>
        <w:gridCol w:w="3406"/>
        <w:gridCol w:w="2969"/>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471,152,843.70</w:t>
            </w:r>
            <w:r>
              <w:rPr>
                <w:rFonts w:ascii="Times New Roman"/>
                <w:sz w:val="18"/>
              </w:rPr>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674,509,550.47</w:t>
            </w:r>
            <w:r>
              <w:rPr>
                <w:rFonts w:ascii="Times New Roman"/>
                <w:sz w:val="18"/>
              </w:rPr>
            </w:r>
          </w:p>
        </w:tc>
      </w:tr>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17,006,833.68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15,311,849.84</w:t>
            </w:r>
            <w:r>
              <w:rPr>
                <w:rFonts w:ascii="Times New Roman"/>
                <w:sz w:val="18"/>
              </w:rPr>
            </w:r>
          </w:p>
        </w:tc>
      </w:tr>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344,518,369.74</w:t>
            </w:r>
            <w:r>
              <w:rPr>
                <w:rFonts w:ascii="Times New Roman"/>
                <w:sz w:val="18"/>
              </w:rPr>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245,888,132.21</w:t>
            </w:r>
            <w:r>
              <w:rPr>
                <w:rFonts w:ascii="Times New Roman"/>
                <w:sz w:val="18"/>
              </w:rPr>
            </w:r>
          </w:p>
        </w:tc>
      </w:tr>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1,548,308,536.12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1,446,874,167.52</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26,804,850.72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21,022,204.59</w:t>
            </w:r>
          </w:p>
        </w:tc>
      </w:tr>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1,575,113,386.84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1,467,896,372.11</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2,202,631,796.57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1,986,362,485.14</w:t>
            </w:r>
          </w:p>
        </w:tc>
      </w:tr>
    </w:tbl>
    <w:p>
      <w:pPr>
        <w:spacing w:line="240" w:lineRule="auto" w:before="11"/>
        <w:rPr>
          <w:rFonts w:ascii="Times New Roman" w:hAnsi="Times New Roman" w:cs="Times New Roman" w:eastAsia="Times New Roman" w:hint="default"/>
          <w:sz w:val="22"/>
          <w:szCs w:val="22"/>
        </w:rPr>
      </w:pPr>
    </w:p>
    <w:p>
      <w:pPr>
        <w:pStyle w:val="BodyText"/>
        <w:tabs>
          <w:tab w:pos="3513" w:val="left" w:leader="none"/>
          <w:tab w:pos="7744" w:val="left" w:leader="none"/>
        </w:tabs>
        <w:spacing w:line="240" w:lineRule="auto"/>
        <w:ind w:left="0" w:right="1226"/>
        <w:jc w:val="right"/>
      </w:pPr>
      <w:r>
        <w:rPr/>
        <w:t>法定代表人：侯友夫</w:t>
        <w:tab/>
      </w:r>
      <w:r>
        <w:rPr>
          <w:spacing w:val="-1"/>
        </w:rPr>
        <w:t>主管会计工作负责人：王兆勇</w:t>
        <w:tab/>
      </w:r>
      <w:r>
        <w:rPr/>
        <w:t>会计机构负责人：王侠</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bookmarkStart w:name="2、母公司资产负债表" w:id="158"/>
      <w:bookmarkEnd w:id="158"/>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3"/>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7"/>
        <w:gridCol w:w="3313"/>
        <w:gridCol w:w="2966"/>
      </w:tblGrid>
      <w:tr>
        <w:trPr>
          <w:trHeight w:val="403"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5,612,369.40</w:t>
            </w:r>
            <w:r>
              <w:rPr>
                <w:rFonts w:ascii="Times New Roman"/>
                <w:sz w:val="18"/>
              </w:rPr>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26,818,021.35</w:t>
            </w:r>
          </w:p>
        </w:tc>
      </w:tr>
      <w:tr>
        <w:trPr>
          <w:trHeight w:val="713"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以公允价值计量且其变动计入当期损 益的金融资产</w:t>
            </w:r>
          </w:p>
        </w:tc>
        <w:tc>
          <w:tcPr>
            <w:tcW w:w="3313"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13"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应收票据及应收账款</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115,141,019.04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108,238,623.12</w:t>
            </w:r>
            <w:r>
              <w:rPr>
                <w:rFonts w:ascii="Times New Roman"/>
                <w:sz w:val="18"/>
              </w:rPr>
            </w:r>
          </w:p>
        </w:tc>
      </w:tr>
      <w:tr>
        <w:trPr>
          <w:trHeight w:val="403"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其中：应收票据</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44,469,075.24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35,549,952.89</w:t>
            </w:r>
          </w:p>
        </w:tc>
      </w:tr>
      <w:tr>
        <w:trPr>
          <w:trHeight w:val="401"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70,671,943.80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72,688,670.23</w:t>
            </w:r>
          </w:p>
        </w:tc>
      </w:tr>
      <w:tr>
        <w:trPr>
          <w:trHeight w:val="403"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1,345,027.55</w:t>
            </w:r>
            <w:r>
              <w:rPr>
                <w:rFonts w:ascii="Times New Roman"/>
                <w:sz w:val="18"/>
              </w:rPr>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574,411.42</w:t>
            </w:r>
            <w:r>
              <w:rPr>
                <w:rFonts w:ascii="Times New Roman"/>
                <w:sz w:val="18"/>
              </w:rPr>
            </w:r>
          </w:p>
        </w:tc>
      </w:tr>
      <w:tr>
        <w:trPr>
          <w:trHeight w:val="401"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66,744,355.29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60,768,602.52</w:t>
            </w:r>
          </w:p>
        </w:tc>
      </w:tr>
      <w:tr>
        <w:trPr>
          <w:trHeight w:val="403"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3313"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13"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20,465,619.68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20,748,014.42</w:t>
            </w:r>
          </w:p>
        </w:tc>
      </w:tr>
      <w:tr>
        <w:trPr>
          <w:trHeight w:val="401"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3313"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13"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62,200,000.00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72,300,000.00</w:t>
            </w:r>
          </w:p>
        </w:tc>
      </w:tr>
      <w:tr>
        <w:trPr>
          <w:trHeight w:val="403" w:hRule="exact"/>
        </w:trPr>
        <w:tc>
          <w:tcPr>
            <w:tcW w:w="3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271,508,390.96</w:t>
            </w:r>
            <w:r>
              <w:rPr>
                <w:rFonts w:ascii="Times New Roman"/>
                <w:sz w:val="18"/>
              </w:rPr>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289,447,672.83</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4"/>
        <w:gridCol w:w="3317"/>
        <w:gridCol w:w="2966"/>
      </w:tblGrid>
      <w:tr>
        <w:trPr>
          <w:trHeight w:val="401" w:hRule="exact"/>
        </w:trPr>
        <w:tc>
          <w:tcPr>
            <w:tcW w:w="3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3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17"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17"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17"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1,084,374,781.08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1,061,639,901.59</w:t>
            </w:r>
          </w:p>
        </w:tc>
      </w:tr>
      <w:tr>
        <w:trPr>
          <w:trHeight w:val="403" w:hRule="exact"/>
        </w:trPr>
        <w:tc>
          <w:tcPr>
            <w:tcW w:w="3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17"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30,164,303.74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26,788,989.97</w:t>
            </w:r>
          </w:p>
        </w:tc>
      </w:tr>
      <w:tr>
        <w:trPr>
          <w:trHeight w:val="403" w:hRule="exact"/>
        </w:trPr>
        <w:tc>
          <w:tcPr>
            <w:tcW w:w="3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6,116,560.16</w:t>
            </w:r>
            <w:r>
              <w:rPr>
                <w:rFonts w:ascii="Times New Roman"/>
                <w:sz w:val="18"/>
              </w:rPr>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164,957.26</w:t>
            </w:r>
          </w:p>
        </w:tc>
      </w:tr>
      <w:tr>
        <w:trPr>
          <w:trHeight w:val="401" w:hRule="exact"/>
        </w:trPr>
        <w:tc>
          <w:tcPr>
            <w:tcW w:w="3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17"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17"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5,523,334.13</w:t>
            </w:r>
            <w:r>
              <w:rPr>
                <w:rFonts w:ascii="Times New Roman"/>
                <w:sz w:val="18"/>
              </w:rPr>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5,796,323.21</w:t>
            </w:r>
            <w:r>
              <w:rPr>
                <w:rFonts w:ascii="Times New Roman"/>
                <w:sz w:val="18"/>
              </w:rPr>
            </w:r>
          </w:p>
        </w:tc>
      </w:tr>
      <w:tr>
        <w:trPr>
          <w:trHeight w:val="403" w:hRule="exact"/>
        </w:trPr>
        <w:tc>
          <w:tcPr>
            <w:tcW w:w="3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17"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17"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17"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3,961,034.84</w:t>
            </w:r>
            <w:r>
              <w:rPr>
                <w:rFonts w:ascii="Times New Roman"/>
                <w:sz w:val="18"/>
              </w:rPr>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3,259,106.67</w:t>
            </w:r>
            <w:r>
              <w:rPr>
                <w:rFonts w:ascii="Times New Roman"/>
                <w:sz w:val="18"/>
              </w:rPr>
            </w:r>
          </w:p>
        </w:tc>
      </w:tr>
      <w:tr>
        <w:trPr>
          <w:trHeight w:val="403" w:hRule="exact"/>
        </w:trPr>
        <w:tc>
          <w:tcPr>
            <w:tcW w:w="3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202,000.00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1,130,342,013.95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1,097,649,278.70</w:t>
            </w:r>
          </w:p>
        </w:tc>
      </w:tr>
      <w:tr>
        <w:trPr>
          <w:trHeight w:val="403" w:hRule="exact"/>
        </w:trPr>
        <w:tc>
          <w:tcPr>
            <w:tcW w:w="3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1,401,850,404.91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1,387,096,951.53</w:t>
            </w:r>
          </w:p>
        </w:tc>
      </w:tr>
      <w:tr>
        <w:trPr>
          <w:trHeight w:val="401" w:hRule="exact"/>
        </w:trPr>
        <w:tc>
          <w:tcPr>
            <w:tcW w:w="3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3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200,000.00</w:t>
            </w:r>
          </w:p>
        </w:tc>
      </w:tr>
      <w:tr>
        <w:trPr>
          <w:trHeight w:val="713" w:hRule="exact"/>
        </w:trPr>
        <w:tc>
          <w:tcPr>
            <w:tcW w:w="3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以公允价值计量且其变动计入当期损 益的金融负债</w:t>
            </w:r>
          </w:p>
        </w:tc>
        <w:tc>
          <w:tcPr>
            <w:tcW w:w="3317"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17"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应付票据及应付账款</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24,453,441.77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29,005,977.42</w:t>
            </w:r>
          </w:p>
        </w:tc>
      </w:tr>
      <w:tr>
        <w:trPr>
          <w:trHeight w:val="403" w:hRule="exact"/>
        </w:trPr>
        <w:tc>
          <w:tcPr>
            <w:tcW w:w="3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13,216,387.76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8,008,961.85</w:t>
            </w:r>
            <w:r>
              <w:rPr>
                <w:rFonts w:ascii="Times New Roman"/>
                <w:sz w:val="18"/>
              </w:rPr>
            </w:r>
          </w:p>
        </w:tc>
      </w:tr>
      <w:tr>
        <w:trPr>
          <w:trHeight w:val="401" w:hRule="exact"/>
        </w:trPr>
        <w:tc>
          <w:tcPr>
            <w:tcW w:w="3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1,585,370.08</w:t>
            </w:r>
            <w:r>
              <w:rPr>
                <w:rFonts w:ascii="Times New Roman"/>
                <w:sz w:val="18"/>
              </w:rPr>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646,029.65</w:t>
            </w:r>
          </w:p>
        </w:tc>
      </w:tr>
      <w:tr>
        <w:trPr>
          <w:trHeight w:val="403" w:hRule="exact"/>
        </w:trPr>
        <w:tc>
          <w:tcPr>
            <w:tcW w:w="3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3,881,241.18</w:t>
            </w:r>
            <w:r>
              <w:rPr>
                <w:rFonts w:ascii="Times New Roman"/>
                <w:sz w:val="18"/>
              </w:rPr>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2,261,002.05</w:t>
            </w:r>
            <w:r>
              <w:rPr>
                <w:rFonts w:ascii="Times New Roman"/>
                <w:sz w:val="18"/>
              </w:rPr>
            </w:r>
          </w:p>
        </w:tc>
      </w:tr>
      <w:tr>
        <w:trPr>
          <w:trHeight w:val="401" w:hRule="exact"/>
        </w:trPr>
        <w:tc>
          <w:tcPr>
            <w:tcW w:w="3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38,416,431.27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36,057,408.03</w:t>
            </w:r>
          </w:p>
        </w:tc>
      </w:tr>
      <w:tr>
        <w:trPr>
          <w:trHeight w:val="403" w:hRule="exact"/>
        </w:trPr>
        <w:tc>
          <w:tcPr>
            <w:tcW w:w="3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28,975.83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265.83</w:t>
            </w:r>
            <w:r>
              <w:rPr>
                <w:rFonts w:ascii="Times New Roman"/>
                <w:sz w:val="18"/>
              </w:rPr>
            </w:r>
          </w:p>
        </w:tc>
      </w:tr>
      <w:tr>
        <w:trPr>
          <w:trHeight w:val="401" w:hRule="exact"/>
        </w:trPr>
        <w:tc>
          <w:tcPr>
            <w:tcW w:w="3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17"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3317"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17"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17"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101,552,872.06</w:t>
            </w:r>
            <w:r>
              <w:rPr>
                <w:rFonts w:ascii="Times New Roman"/>
                <w:sz w:val="18"/>
              </w:rPr>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76,179,379.00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4"/>
        <w:gridCol w:w="3317"/>
        <w:gridCol w:w="2966"/>
      </w:tblGrid>
      <w:tr>
        <w:trPr>
          <w:trHeight w:val="401" w:hRule="exact"/>
        </w:trPr>
        <w:tc>
          <w:tcPr>
            <w:tcW w:w="3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3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17"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17"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7"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17"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17"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17"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17"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5,066,666.67</w:t>
            </w:r>
            <w:r>
              <w:rPr>
                <w:rFonts w:ascii="Times New Roman"/>
                <w:sz w:val="18"/>
              </w:rPr>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1,966,666.67</w:t>
            </w:r>
            <w:r>
              <w:rPr>
                <w:rFonts w:ascii="Times New Roman"/>
                <w:sz w:val="18"/>
              </w:rPr>
            </w:r>
          </w:p>
        </w:tc>
      </w:tr>
      <w:tr>
        <w:trPr>
          <w:trHeight w:val="403" w:hRule="exact"/>
        </w:trPr>
        <w:tc>
          <w:tcPr>
            <w:tcW w:w="3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17"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17"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5,066,666.67</w:t>
            </w:r>
            <w:r>
              <w:rPr>
                <w:rFonts w:ascii="Times New Roman"/>
                <w:sz w:val="18"/>
              </w:rPr>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1,966,666.67</w:t>
            </w:r>
            <w:r>
              <w:rPr>
                <w:rFonts w:ascii="Times New Roman"/>
                <w:sz w:val="18"/>
              </w:rPr>
            </w:r>
          </w:p>
        </w:tc>
      </w:tr>
      <w:tr>
        <w:trPr>
          <w:trHeight w:val="401" w:hRule="exact"/>
        </w:trPr>
        <w:tc>
          <w:tcPr>
            <w:tcW w:w="3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106,619,538.73</w:t>
            </w:r>
            <w:r>
              <w:rPr>
                <w:rFonts w:ascii="Times New Roman"/>
                <w:sz w:val="18"/>
              </w:rPr>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78,146,045.67</w:t>
            </w:r>
            <w:r>
              <w:rPr>
                <w:rFonts w:ascii="Times New Roman"/>
                <w:sz w:val="18"/>
              </w:rPr>
            </w:r>
          </w:p>
        </w:tc>
      </w:tr>
      <w:tr>
        <w:trPr>
          <w:trHeight w:val="403" w:hRule="exact"/>
        </w:trPr>
        <w:tc>
          <w:tcPr>
            <w:tcW w:w="3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3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715,630,489.00</w:t>
            </w:r>
            <w:r>
              <w:rPr>
                <w:rFonts w:ascii="Times New Roman"/>
                <w:sz w:val="18"/>
              </w:rPr>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511,164,635.00</w:t>
            </w:r>
          </w:p>
        </w:tc>
      </w:tr>
      <w:tr>
        <w:trPr>
          <w:trHeight w:val="403" w:hRule="exact"/>
        </w:trPr>
        <w:tc>
          <w:tcPr>
            <w:tcW w:w="3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17"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7"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17"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469,654,228.82</w:t>
            </w:r>
            <w:r>
              <w:rPr>
                <w:rFonts w:ascii="Times New Roman"/>
                <w:sz w:val="18"/>
              </w:rPr>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674,120,082.82</w:t>
            </w:r>
            <w:r>
              <w:rPr>
                <w:rFonts w:ascii="Times New Roman"/>
                <w:sz w:val="18"/>
              </w:rPr>
            </w:r>
          </w:p>
        </w:tc>
      </w:tr>
      <w:tr>
        <w:trPr>
          <w:trHeight w:val="403" w:hRule="exact"/>
        </w:trPr>
        <w:tc>
          <w:tcPr>
            <w:tcW w:w="3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17"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17"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17" w:type="dxa"/>
            <w:tcBorders>
              <w:top w:val="single" w:sz="4" w:space="0" w:color="000000"/>
              <w:left w:val="single" w:sz="10" w:space="0" w:color="D4D4D4"/>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17,006,833.68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15,311,849.84</w:t>
            </w:r>
            <w:r>
              <w:rPr>
                <w:rFonts w:ascii="Times New Roman"/>
                <w:sz w:val="18"/>
              </w:rPr>
            </w:r>
          </w:p>
        </w:tc>
      </w:tr>
      <w:tr>
        <w:trPr>
          <w:trHeight w:val="403" w:hRule="exact"/>
        </w:trPr>
        <w:tc>
          <w:tcPr>
            <w:tcW w:w="3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92,939,314.68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108,354,338.20</w:t>
            </w:r>
            <w:r>
              <w:rPr>
                <w:rFonts w:ascii="Times New Roman"/>
                <w:sz w:val="18"/>
              </w:rPr>
            </w:r>
          </w:p>
        </w:tc>
      </w:tr>
      <w:tr>
        <w:trPr>
          <w:trHeight w:val="401" w:hRule="exact"/>
        </w:trPr>
        <w:tc>
          <w:tcPr>
            <w:tcW w:w="3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1,295,230,866.18</w:t>
            </w:r>
            <w:r>
              <w:rPr>
                <w:rFonts w:ascii="Times New Roman"/>
                <w:sz w:val="18"/>
              </w:rPr>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1,308,950,905.86</w:t>
            </w:r>
          </w:p>
        </w:tc>
      </w:tr>
      <w:tr>
        <w:trPr>
          <w:trHeight w:val="403" w:hRule="exact"/>
        </w:trPr>
        <w:tc>
          <w:tcPr>
            <w:tcW w:w="3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1,401,850,404.91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1,387,096,951.53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982"/>
        <w:jc w:val="left"/>
        <w:rPr>
          <w:b w:val="0"/>
          <w:bCs w:val="0"/>
        </w:rPr>
      </w:pPr>
      <w:bookmarkStart w:name="3、合并利润表" w:id="159"/>
      <w:bookmarkEnd w:id="159"/>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1,002,076,417.42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754,572,739.63</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其中：营业收入</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1,002,076,417.42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754,572,739.63</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已赚保费</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880,508,899.00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681,690,754.53</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651,361,825.25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488,876,842.13</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退保金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赔付支出净额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提取保险合同准备金净额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保单红利支出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分保费用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8,352,043.15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8,947,687.93</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75,507,986.44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53,856,972.36</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59,789,097.09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48,533,171.13</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59,234,455.97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50,100,117.56</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5,784,266.68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814,681.57</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5,418,774.48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1,037,241.14</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265,652.95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306,579.03</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20,479,224.42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30,561,281.85</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21,488,361.03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8,260,928.27</w:t>
            </w:r>
            <w:r>
              <w:rPr>
                <w:rFonts w:ascii="Times New Roman"/>
                <w:sz w:val="18"/>
              </w:rPr>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7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2,921,855.13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5,679,185.27</w:t>
            </w:r>
            <w:r>
              <w:rPr>
                <w:rFonts w:ascii="Times New Roman"/>
                <w:sz w:val="18"/>
              </w:rPr>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-1,032,620.51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-1,447,265.16</w:t>
            </w:r>
            <w:r>
              <w:rPr>
                <w:rFonts w:ascii="Times New Roman"/>
                <w:sz w:val="18"/>
              </w:rPr>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18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2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资产处置收益（损失以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630,587.13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73,316.10</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146,608,321.71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86,895,414.74</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507,123.67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105,411.09</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3,341,122.66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503,651.55</w:t>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143,774,322.72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86,497,174.28</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14,491,421.69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16,437,461.32</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129,282,901.03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70,059,712.96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129,282,901.03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70,059,712.96</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归属于母公司所有者的净利润</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130,995,099.47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77,566,911.73</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少数股东损益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-1,712,198.44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-7,507,198.77</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归属母公司所有者的其他综合收益 的税后净额</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（一）不能重分类进损益的其他 综合收益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12" w:right="8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变动额</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8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（二）将重分类进损益的其他综 合收益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8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12" w:right="8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8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12" w:right="8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 效部分</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归属于少数股东的其他综合收益的 税后净额</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129,282,901.03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70,059,712.96</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归属于母公司所有者的综合收益 总额</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130,995,099.47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77,566,911.73</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归属于少数股东的综合收益总额</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-1,712,198.44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-7,507,198.77</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0.18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pacing w:val="-5"/>
                <w:sz w:val="18"/>
              </w:rPr>
              <w:t>0.11</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0.18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5"/>
                <w:sz w:val="18"/>
              </w:rPr>
              <w:t>0.11</w:t>
            </w:r>
            <w:r>
              <w:rPr>
                <w:rFonts w:ascii="Times New Roman"/>
                <w:sz w:val="18"/>
              </w:rPr>
            </w:r>
          </w:p>
        </w:tc>
      </w:tr>
    </w:tbl>
    <w:p>
      <w:pPr>
        <w:pStyle w:val="BodyText"/>
        <w:spacing w:line="240" w:lineRule="auto" w:before="49"/>
        <w:ind w:right="982"/>
        <w:jc w:val="left"/>
      </w:pPr>
      <w:r>
        <w:rPr/>
        <w:t>本期发生同一控制下企业合并的，被合并方在合并前实现的净利润为：元，上期被合并方实现的净利润为：元。</w:t>
      </w:r>
    </w:p>
    <w:p>
      <w:pPr>
        <w:spacing w:after="0" w:line="240" w:lineRule="auto"/>
        <w:jc w:val="left"/>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tabs>
          <w:tab w:pos="3513" w:val="left" w:leader="none"/>
          <w:tab w:pos="7745" w:val="left" w:leader="none"/>
        </w:tabs>
        <w:spacing w:line="240" w:lineRule="auto"/>
        <w:ind w:left="0" w:right="1226"/>
        <w:jc w:val="right"/>
      </w:pPr>
      <w:r>
        <w:rPr/>
        <w:t>法定代表人：侯友夫</w:t>
        <w:tab/>
      </w:r>
      <w:r>
        <w:rPr>
          <w:spacing w:val="-1"/>
        </w:rPr>
        <w:t>主管会计工作负责人：王兆勇</w:t>
        <w:tab/>
      </w:r>
      <w:r>
        <w:rPr/>
        <w:t>会计机构负责人：王侠</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bookmarkStart w:name="4、母公司利润表" w:id="160"/>
      <w:bookmarkEnd w:id="160"/>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3"/>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113,869,791.88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97,665,647.27</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减：营业成本</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66,037,793.58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55,416,111.02</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1,381,354.73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1,732,649.24</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19,166,432.54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14,029,320.73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7,118,807.97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6,739,361.30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研发费用</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8,747,845.08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7,425,192.59</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-958,241.25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-113,742.84</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其中：利息费用</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541,792.52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7,105.01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1,517,982.17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140,505.03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1,788,719.31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1,020,497.39</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加：其他收益</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7,197,955.43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2,546,633.33</w:t>
            </w:r>
            <w:r>
              <w:rPr>
                <w:rFonts w:ascii="Times New Roman"/>
                <w:sz w:val="18"/>
              </w:rPr>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1,188,955.19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936,722.16</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-1,032,620.51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-1,447,265.16</w:t>
            </w:r>
            <w:r>
              <w:rPr>
                <w:rFonts w:ascii="Times New Roman"/>
                <w:sz w:val="18"/>
              </w:rPr>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资产处置收益（损失以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173,376.40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46,832.22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19,147,366.94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14,946,445.55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197.64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32,238.41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74,159.23</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19,115,326.17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14,872,286.32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2,165,487.75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3,966,792.22</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16,949,838.42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10,905,494.10</w:t>
            </w:r>
            <w:r>
              <w:rPr>
                <w:rFonts w:ascii="Times New Roman"/>
                <w:sz w:val="18"/>
              </w:rPr>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16,949,838.42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10,905,494.10</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（一）不能重分类进损益的其他 综合收益</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12" w:right="8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变动额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8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（二）将重分类进损益的其他综 合收益</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8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12" w:right="8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85"/>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12" w:right="8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 效部分</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16,949,838.42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10,905,494.10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bookmarkStart w:name="5、合并现金流量表" w:id="161"/>
      <w:bookmarkEnd w:id="161"/>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left="2148" w:right="0"/>
              <w:jc w:val="left"/>
              <w:rPr>
                <w:rFonts w:ascii="Times New Roman" w:hAnsi="Times New Roman" w:cs="Times New Roman" w:eastAsia="Times New Roman" w:hint="default"/>
                <w:sz w:val="18"/>
                <w:szCs w:val="18"/>
              </w:rPr>
            </w:pPr>
            <w:r>
              <w:rPr>
                <w:rFonts w:ascii="Times New Roman"/>
                <w:sz w:val="18"/>
              </w:rPr>
              <w:t>987,231,853.63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43" w:right="0"/>
              <w:jc w:val="left"/>
              <w:rPr>
                <w:rFonts w:ascii="Times New Roman" w:hAnsi="Times New Roman" w:cs="Times New Roman" w:eastAsia="Times New Roman" w:hint="default"/>
                <w:sz w:val="18"/>
                <w:szCs w:val="18"/>
              </w:rPr>
            </w:pPr>
            <w:r>
              <w:rPr>
                <w:rFonts w:ascii="Times New Roman"/>
                <w:sz w:val="18"/>
              </w:rPr>
              <w:t>586,204,085.21</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客户存款和同业存放款项净增加 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向其他金融机构拆入资金净增加 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回购业务资金净增加额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3,855,170.94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3,845,438.83</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35,860,414.55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14,781,395.61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1,026,947,439.12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604,830,919.65</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784,579,470.06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417,379,876.35</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存放中央银行和同业款项净增加 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支付保单红利的现金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148,176,068.19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104,709,956.36</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60,836,541.20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65,172,719.67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115,560,547.33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64,293,999.77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1,109,152,626.78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651,556,552.15</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-82,205,187.66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-46,725,632.50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3,948,515.59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7,126,450.43</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4,088,879.62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209,045.52</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546,773.29</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31,700,000.00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15,991,738.64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40,284,168.50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23,327,234.59</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63,452,606.36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30,751,587.21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质押贷款净增加额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56,351.64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43,672,007.01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31,191,738.64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94,700,696.64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88,923,594.22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-54,416,528.14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-65,596,359.63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8,500,000.00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59,659,437.52</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8,500,000.00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9,267,736.05</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82,748,611.12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141,248,611.12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80,659,437.52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30,200,000.00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16,000,000.00</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32,889,107.02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725,398.76</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39,085,471.89</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102,174,578.91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16,725,398.76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39,074,032.21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63,934,038.76</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-0.31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-144.50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-97,547,683.90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-48,388,097.87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158,142,185.24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206,530,283.11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60,594,501.34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158,142,185.24</w:t>
            </w:r>
            <w:r>
              <w:rPr>
                <w:rFonts w:ascii="Times New Roman"/>
                <w:sz w:val="18"/>
              </w:rPr>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982"/>
        <w:jc w:val="left"/>
        <w:rPr>
          <w:b w:val="0"/>
          <w:bCs w:val="0"/>
        </w:rPr>
      </w:pPr>
      <w:bookmarkStart w:name="6、母公司现金流量表" w:id="162"/>
      <w:bookmarkEnd w:id="162"/>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88,552,187.97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70,288,287.73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1,199,155.43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30,356,522.20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6,202,805.03</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120,107,865.60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76,491,092.76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46,568,444.46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22,702,188.98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12,425,198.21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9,546,831.24</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36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9,666,638.64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12,408,739.63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22,957,983.60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14,079,206.85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91,618,264.91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58,736,966.70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28,489,600.69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17,754,126.06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2,356,878.11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2,383,987.32</w:t>
            </w:r>
            <w:r>
              <w:rPr>
                <w:rFonts w:ascii="Times New Roman"/>
                <w:sz w:val="18"/>
              </w:rPr>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243,000.00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169,045.52</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547,197.59</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11,589,105.78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14,736,181.48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2,553,032.84</w:t>
            </w:r>
            <w:r>
              <w:rPr>
                <w:rFonts w:ascii="Times New Roman"/>
                <w:sz w:val="18"/>
              </w:rPr>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11,871,186.35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3,235,832.26</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24,506,351.64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56,648,145.38</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18,850,000.00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42,300,000.00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55,227,537.99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102,183,977.64</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-40,491,356.51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-99,630,944.80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50,765,756.02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50,765,756.02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31,004,029.46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7,080.85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1,050,000.00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31,204,029.46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1,057,080.85</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-11,204,029.46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49,708,675.17</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-23,205,785.28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-32,168,143.57</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26,818,021.35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58,986,164.92</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3,612,236.07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26,818,021.35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982"/>
        <w:jc w:val="left"/>
        <w:rPr>
          <w:b w:val="0"/>
          <w:bCs w:val="0"/>
        </w:rPr>
      </w:pPr>
      <w:bookmarkStart w:name="7、合并所有者权益变动表" w:id="163"/>
      <w:bookmarkEnd w:id="163"/>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982"/>
        <w:jc w:val="left"/>
      </w:pPr>
      <w:r>
        <w:rPr/>
        <w:t>本期金额</w:t>
      </w:r>
    </w:p>
    <w:p>
      <w:pPr>
        <w:pStyle w:val="BodyText"/>
        <w:spacing w:line="240" w:lineRule="auto" w:before="117"/>
        <w:ind w:left="0" w:right="1133"/>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3"/>
        <w:gridCol w:w="530"/>
        <w:gridCol w:w="530"/>
        <w:gridCol w:w="665"/>
        <w:gridCol w:w="665"/>
        <w:gridCol w:w="665"/>
        <w:gridCol w:w="665"/>
        <w:gridCol w:w="665"/>
        <w:gridCol w:w="665"/>
        <w:gridCol w:w="665"/>
        <w:gridCol w:w="665"/>
        <w:gridCol w:w="660"/>
      </w:tblGrid>
      <w:tr>
        <w:trPr>
          <w:trHeight w:val="401" w:hRule="exact"/>
        </w:trPr>
        <w:tc>
          <w:tcPr>
            <w:tcW w:w="1438" w:type="dxa"/>
            <w:vMerge w:val="restart"/>
            <w:tcBorders>
              <w:top w:val="single" w:sz="4" w:space="0" w:color="000000"/>
              <w:left w:val="single" w:sz="4" w:space="0" w:color="000000"/>
              <w:right w:val="single" w:sz="4" w:space="0" w:color="000000"/>
            </w:tcBorders>
            <w:shd w:val="clear" w:color="auto" w:fill="D4D4D4"/>
          </w:tcPr>
          <w:p>
            <w:pPr/>
          </w:p>
        </w:tc>
        <w:tc>
          <w:tcPr>
            <w:tcW w:w="8134" w:type="dxa"/>
            <w:gridSpan w:val="1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2" w:hRule="exact"/>
        </w:trPr>
        <w:tc>
          <w:tcPr>
            <w:tcW w:w="1438" w:type="dxa"/>
            <w:vMerge/>
            <w:tcBorders>
              <w:left w:val="single" w:sz="4" w:space="0" w:color="000000"/>
              <w:right w:val="single" w:sz="4" w:space="0" w:color="000000"/>
            </w:tcBorders>
            <w:shd w:val="clear" w:color="auto" w:fill="D4D4D4"/>
          </w:tcPr>
          <w:p>
            <w:pPr/>
          </w:p>
        </w:tc>
        <w:tc>
          <w:tcPr>
            <w:tcW w:w="6809" w:type="dxa"/>
            <w:gridSpan w:val="11"/>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4D4D4"/>
          </w:tcPr>
          <w:p>
            <w:pPr/>
          </w:p>
        </w:tc>
        <w:tc>
          <w:tcPr>
            <w:tcW w:w="660"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4D4D4"/>
          </w:tcPr>
          <w:p>
            <w:pPr/>
          </w:p>
        </w:tc>
        <w:tc>
          <w:tcPr>
            <w:tcW w:w="6809" w:type="dxa"/>
            <w:gridSpan w:val="11"/>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0"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4" w:hRule="exact"/>
        </w:trPr>
        <w:tc>
          <w:tcPr>
            <w:tcW w:w="143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4D4D4"/>
          </w:tcPr>
          <w:p>
            <w:pPr/>
          </w:p>
        </w:tc>
        <w:tc>
          <w:tcPr>
            <w:tcW w:w="1594"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53"/>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000000"/>
              <w:right w:val="single" w:sz="4" w:space="0" w:color="000000"/>
            </w:tcBorders>
            <w:shd w:val="clear" w:color="auto" w:fill="D4D4D4"/>
          </w:tcPr>
          <w:p>
            <w:pPr/>
          </w:p>
        </w:tc>
      </w:tr>
      <w:tr>
        <w:trPr>
          <w:trHeight w:val="174" w:hRule="exact"/>
        </w:trPr>
        <w:tc>
          <w:tcPr>
            <w:tcW w:w="1438" w:type="dxa"/>
            <w:vMerge/>
            <w:tcBorders>
              <w:left w:val="single" w:sz="4" w:space="0" w:color="000000"/>
              <w:bottom w:val="nil" w:sz="6" w:space="0" w:color="auto"/>
              <w:right w:val="single" w:sz="4" w:space="0" w:color="000000"/>
            </w:tcBorders>
            <w:shd w:val="clear" w:color="auto" w:fill="D4D4D4"/>
          </w:tcPr>
          <w:p>
            <w:pPr/>
          </w:p>
        </w:tc>
        <w:tc>
          <w:tcPr>
            <w:tcW w:w="562" w:type="dxa"/>
            <w:vMerge/>
            <w:tcBorders>
              <w:left w:val="single" w:sz="4" w:space="0" w:color="000000"/>
              <w:bottom w:val="nil" w:sz="6" w:space="0" w:color="auto"/>
              <w:right w:val="single" w:sz="4" w:space="0" w:color="000000"/>
            </w:tcBorders>
            <w:shd w:val="clear" w:color="auto" w:fill="D4D4D4"/>
          </w:tcPr>
          <w:p>
            <w:pPr/>
          </w:p>
        </w:tc>
        <w:tc>
          <w:tcPr>
            <w:tcW w:w="1594" w:type="dxa"/>
            <w:gridSpan w:val="3"/>
            <w:vMerge/>
            <w:tcBorders>
              <w:left w:val="single" w:sz="4" w:space="0" w:color="000000"/>
              <w:bottom w:val="single" w:sz="4" w:space="0" w:color="000000"/>
              <w:right w:val="single" w:sz="4" w:space="0" w:color="000000"/>
            </w:tcBorders>
            <w:shd w:val="clear" w:color="auto" w:fill="D4D4D4"/>
          </w:tcPr>
          <w:p>
            <w:pP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4D4D4"/>
          </w:tcPr>
          <w:p>
            <w:pPr/>
          </w:p>
        </w:tc>
        <w:tc>
          <w:tcPr>
            <w:tcW w:w="660" w:type="dxa"/>
            <w:vMerge/>
            <w:tcBorders>
              <w:left w:val="single" w:sz="4" w:space="0" w:color="000000"/>
              <w:right w:val="single" w:sz="4" w:space="0" w:color="000000"/>
            </w:tcBorders>
            <w:shd w:val="clear" w:color="auto" w:fill="D4D4D4"/>
          </w:tcPr>
          <w:p>
            <w:pPr/>
          </w:p>
        </w:tc>
      </w:tr>
      <w:tr>
        <w:trPr>
          <w:trHeight w:val="184" w:hRule="exact"/>
        </w:trPr>
        <w:tc>
          <w:tcPr>
            <w:tcW w:w="1438" w:type="dxa"/>
            <w:vMerge w:val="restart"/>
            <w:tcBorders>
              <w:top w:val="nil" w:sz="6" w:space="0" w:color="auto"/>
              <w:left w:val="single" w:sz="4" w:space="0" w:color="000000"/>
              <w:right w:val="single" w:sz="4" w:space="0" w:color="000000"/>
            </w:tcBorders>
            <w:shd w:val="clear" w:color="auto" w:fill="D4D4D4"/>
          </w:tcPr>
          <w:p>
            <w:pPr/>
          </w:p>
        </w:tc>
        <w:tc>
          <w:tcPr>
            <w:tcW w:w="56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3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71"/>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0" w:type="dxa"/>
            <w:vMerge/>
            <w:tcBorders>
              <w:left w:val="single" w:sz="4" w:space="0" w:color="000000"/>
              <w:right w:val="single" w:sz="4" w:space="0" w:color="000000"/>
            </w:tcBorders>
            <w:shd w:val="clear" w:color="auto" w:fill="D4D4D4"/>
          </w:tcPr>
          <w:p>
            <w:pPr/>
          </w:p>
        </w:tc>
      </w:tr>
      <w:tr>
        <w:trPr>
          <w:trHeight w:val="169" w:hRule="exact"/>
        </w:trPr>
        <w:tc>
          <w:tcPr>
            <w:tcW w:w="1438" w:type="dxa"/>
            <w:vMerge/>
            <w:tcBorders>
              <w:left w:val="single" w:sz="4" w:space="0" w:color="000000"/>
              <w:right w:val="single" w:sz="4" w:space="0" w:color="000000"/>
            </w:tcBorders>
            <w:shd w:val="clear" w:color="auto" w:fill="D4D4D4"/>
          </w:tcPr>
          <w:p>
            <w:pPr/>
          </w:p>
        </w:tc>
        <w:tc>
          <w:tcPr>
            <w:tcW w:w="562" w:type="dxa"/>
            <w:vMerge/>
            <w:tcBorders>
              <w:left w:val="single" w:sz="4" w:space="0" w:color="000000"/>
              <w:bottom w:val="nil" w:sz="6" w:space="0" w:color="auto"/>
              <w:right w:val="single" w:sz="4" w:space="0" w:color="000000"/>
            </w:tcBorders>
            <w:shd w:val="clear" w:color="auto" w:fill="D4D4D4"/>
          </w:tcPr>
          <w:p>
            <w:pPr/>
          </w:p>
        </w:tc>
        <w:tc>
          <w:tcPr>
            <w:tcW w:w="533" w:type="dxa"/>
            <w:vMerge/>
            <w:tcBorders>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0" w:type="dxa"/>
            <w:vMerge/>
            <w:tcBorders>
              <w:left w:val="single" w:sz="4" w:space="0" w:color="000000"/>
              <w:right w:val="single" w:sz="4" w:space="0" w:color="000000"/>
            </w:tcBorders>
            <w:shd w:val="clear" w:color="auto" w:fill="D4D4D4"/>
          </w:tcPr>
          <w:p>
            <w:pPr/>
          </w:p>
        </w:tc>
      </w:tr>
      <w:tr>
        <w:trPr>
          <w:trHeight w:val="156" w:hRule="exact"/>
        </w:trPr>
        <w:tc>
          <w:tcPr>
            <w:tcW w:w="1438" w:type="dxa"/>
            <w:vMerge/>
            <w:tcBorders>
              <w:left w:val="single" w:sz="4" w:space="0" w:color="000000"/>
              <w:right w:val="single" w:sz="4" w:space="0" w:color="000000"/>
            </w:tcBorders>
            <w:shd w:val="clear" w:color="auto" w:fill="D4D4D4"/>
          </w:tcPr>
          <w:p>
            <w:pPr/>
          </w:p>
        </w:tc>
        <w:tc>
          <w:tcPr>
            <w:tcW w:w="562" w:type="dxa"/>
            <w:vMerge w:val="restart"/>
            <w:tcBorders>
              <w:top w:val="nil" w:sz="6" w:space="0" w:color="auto"/>
              <w:left w:val="single" w:sz="4" w:space="0" w:color="000000"/>
              <w:right w:val="single" w:sz="4" w:space="0" w:color="000000"/>
            </w:tcBorders>
            <w:shd w:val="clear" w:color="auto" w:fill="D4D4D4"/>
          </w:tcPr>
          <w:p>
            <w:pPr/>
          </w:p>
        </w:tc>
        <w:tc>
          <w:tcPr>
            <w:tcW w:w="533" w:type="dxa"/>
            <w:vMerge/>
            <w:tcBorders>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0"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val="restart"/>
            <w:tcBorders>
              <w:top w:val="nil" w:sz="6" w:space="0" w:color="auto"/>
              <w:left w:val="single" w:sz="4" w:space="0" w:color="000000"/>
              <w:right w:val="single" w:sz="4" w:space="0" w:color="000000"/>
            </w:tcBorders>
            <w:shd w:val="clear" w:color="auto" w:fill="D4D4D4"/>
          </w:tcPr>
          <w:p>
            <w:pPr/>
          </w:p>
        </w:tc>
        <w:tc>
          <w:tcPr>
            <w:tcW w:w="660" w:type="dxa"/>
            <w:vMerge/>
            <w:tcBorders>
              <w:left w:val="single" w:sz="4" w:space="0" w:color="000000"/>
              <w:bottom w:val="nil" w:sz="6" w:space="0" w:color="auto"/>
              <w:right w:val="single" w:sz="4" w:space="0" w:color="000000"/>
            </w:tcBorders>
            <w:shd w:val="clear" w:color="auto" w:fill="D4D4D4"/>
          </w:tcPr>
          <w:p>
            <w:pPr/>
          </w:p>
        </w:tc>
      </w:tr>
      <w:tr>
        <w:trPr>
          <w:trHeight w:val="229" w:hRule="exact"/>
        </w:trPr>
        <w:tc>
          <w:tcPr>
            <w:tcW w:w="1438" w:type="dxa"/>
            <w:vMerge/>
            <w:tcBorders>
              <w:left w:val="single" w:sz="4" w:space="0" w:color="000000"/>
              <w:bottom w:val="single" w:sz="4" w:space="0" w:color="000000"/>
              <w:right w:val="single" w:sz="4" w:space="0" w:color="000000"/>
            </w:tcBorders>
            <w:shd w:val="clear" w:color="auto" w:fill="D4D4D4"/>
          </w:tcPr>
          <w:p>
            <w:pPr/>
          </w:p>
        </w:tc>
        <w:tc>
          <w:tcPr>
            <w:tcW w:w="562" w:type="dxa"/>
            <w:vMerge/>
            <w:tcBorders>
              <w:left w:val="single" w:sz="4" w:space="0" w:color="000000"/>
              <w:bottom w:val="single" w:sz="4" w:space="0" w:color="000000"/>
              <w:right w:val="single" w:sz="4" w:space="0" w:color="000000"/>
            </w:tcBorders>
            <w:shd w:val="clear" w:color="auto" w:fill="D4D4D4"/>
          </w:tcPr>
          <w:p>
            <w:pPr/>
          </w:p>
        </w:tc>
        <w:tc>
          <w:tcPr>
            <w:tcW w:w="533" w:type="dxa"/>
            <w:vMerge/>
            <w:tcBorders>
              <w:left w:val="single" w:sz="4" w:space="0" w:color="000000"/>
              <w:bottom w:val="single" w:sz="4" w:space="0" w:color="000000"/>
              <w:right w:val="single" w:sz="4" w:space="0" w:color="000000"/>
            </w:tcBorders>
            <w:shd w:val="clear" w:color="auto" w:fill="D4D4D4"/>
          </w:tcPr>
          <w:p>
            <w:pPr/>
          </w:p>
        </w:tc>
        <w:tc>
          <w:tcPr>
            <w:tcW w:w="530" w:type="dxa"/>
            <w:vMerge/>
            <w:tcBorders>
              <w:left w:val="single" w:sz="4" w:space="0" w:color="000000"/>
              <w:bottom w:val="single" w:sz="4" w:space="0" w:color="000000"/>
              <w:right w:val="single" w:sz="4" w:space="0" w:color="000000"/>
            </w:tcBorders>
            <w:shd w:val="clear" w:color="auto" w:fill="D4D4D4"/>
          </w:tcPr>
          <w:p>
            <w:pPr/>
          </w:p>
        </w:tc>
        <w:tc>
          <w:tcPr>
            <w:tcW w:w="530"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0"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4D4D4"/>
          </w:tcPr>
          <w:p>
            <w:pPr/>
          </w:p>
        </w:tc>
        <w:tc>
          <w:tcPr>
            <w:tcW w:w="562" w:type="dxa"/>
            <w:vMerge w:val="restart"/>
            <w:tcBorders>
              <w:top w:val="single" w:sz="4" w:space="0" w:color="000000"/>
              <w:left w:val="single" w:sz="10" w:space="0" w:color="D4D4D4"/>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511,16</w:t>
            </w:r>
          </w:p>
          <w:p>
            <w:pPr>
              <w:pStyle w:val="TableParagraph"/>
              <w:spacing w:line="240" w:lineRule="auto" w:before="102"/>
              <w:ind w:left="71" w:right="0"/>
              <w:jc w:val="left"/>
              <w:rPr>
                <w:rFonts w:ascii="Times New Roman" w:hAnsi="Times New Roman" w:cs="Times New Roman" w:eastAsia="Times New Roman" w:hint="default"/>
                <w:sz w:val="18"/>
                <w:szCs w:val="18"/>
              </w:rPr>
            </w:pPr>
            <w:r>
              <w:rPr>
                <w:rFonts w:ascii="Times New Roman"/>
                <w:sz w:val="18"/>
              </w:rPr>
              <w:t>4,635.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674,509</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,550.47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15,311,</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849.84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245,888</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,132.21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21,022,</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204.59</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1,467,8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96,372.</w:t>
            </w:r>
          </w:p>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r>
      <w:tr>
        <w:trPr>
          <w:trHeight w:val="391" w:hRule="exact"/>
        </w:trPr>
        <w:tc>
          <w:tcPr>
            <w:tcW w:w="143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10" w:space="0" w:color="D4D4D4"/>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4D4D4"/>
          </w:tcPr>
          <w:p>
            <w:pPr/>
          </w:p>
        </w:tc>
        <w:tc>
          <w:tcPr>
            <w:tcW w:w="562" w:type="dxa"/>
            <w:vMerge/>
            <w:tcBorders>
              <w:left w:val="single" w:sz="10" w:space="0" w:color="D4D4D4"/>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4" w:right="14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56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4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制下企业合并</w:t>
            </w:r>
          </w:p>
        </w:tc>
        <w:tc>
          <w:tcPr>
            <w:tcW w:w="56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6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4D4D4"/>
          </w:tcPr>
          <w:p>
            <w:pPr/>
          </w:p>
        </w:tc>
        <w:tc>
          <w:tcPr>
            <w:tcW w:w="562" w:type="dxa"/>
            <w:vMerge w:val="restart"/>
            <w:tcBorders>
              <w:top w:val="single" w:sz="4" w:space="0" w:color="000000"/>
              <w:left w:val="single" w:sz="10" w:space="0" w:color="D4D4D4"/>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511,16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4,635.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674,509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,550.47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15,311,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849.84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245,888</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,132.21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21,022,</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204.59</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1,467,8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96,372.</w:t>
            </w:r>
          </w:p>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r>
      <w:tr>
        <w:trPr>
          <w:trHeight w:val="394" w:hRule="exact"/>
        </w:trPr>
        <w:tc>
          <w:tcPr>
            <w:tcW w:w="143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10" w:space="0" w:color="D4D4D4"/>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4D4D4"/>
          </w:tcPr>
          <w:p>
            <w:pPr/>
          </w:p>
        </w:tc>
        <w:tc>
          <w:tcPr>
            <w:tcW w:w="562" w:type="dxa"/>
            <w:vMerge/>
            <w:tcBorders>
              <w:left w:val="single" w:sz="10" w:space="0" w:color="D4D4D4"/>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49"/>
              <w:ind w:left="24" w:right="1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204,46</w:t>
            </w:r>
          </w:p>
          <w:p>
            <w:pPr>
              <w:pStyle w:val="TableParagraph"/>
              <w:spacing w:line="240" w:lineRule="auto" w:before="102"/>
              <w:ind w:left="71" w:right="0"/>
              <w:jc w:val="left"/>
              <w:rPr>
                <w:rFonts w:ascii="Times New Roman" w:hAnsi="Times New Roman" w:cs="Times New Roman" w:eastAsia="Times New Roman" w:hint="default"/>
                <w:sz w:val="18"/>
                <w:szCs w:val="18"/>
              </w:rPr>
            </w:pPr>
            <w:r>
              <w:rPr>
                <w:rFonts w:ascii="Times New Roman"/>
                <w:sz w:val="18"/>
              </w:rPr>
              <w:t>5,854.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-203,35</w:t>
            </w:r>
            <w:r>
              <w:rPr>
                <w:rFonts w:ascii="Times New Roman"/>
                <w:sz w:val="18"/>
              </w:rPr>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pacing w:val="-1"/>
                <w:sz w:val="18"/>
              </w:rPr>
              <w:t>6,706.7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1,694,9</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83.84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98,630,</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237.53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5,782,6</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46.13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107,217</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,014.73</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130,995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,099.47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-1,712,1</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98.44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129,282</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,901.03</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4" w:right="1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1,109,1</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47.23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7,494,8</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44.57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8,603,9</w:t>
            </w:r>
          </w:p>
          <w:p>
            <w:pPr>
              <w:pStyle w:val="TableParagraph"/>
              <w:spacing w:line="240" w:lineRule="auto" w:before="102"/>
              <w:ind w:left="199" w:right="0"/>
              <w:jc w:val="center"/>
              <w:rPr>
                <w:rFonts w:ascii="Times New Roman" w:hAnsi="Times New Roman" w:cs="Times New Roman" w:eastAsia="Times New Roman" w:hint="default"/>
                <w:sz w:val="18"/>
                <w:szCs w:val="18"/>
              </w:rPr>
            </w:pPr>
            <w:r>
              <w:rPr>
                <w:rFonts w:ascii="Times New Roman"/>
                <w:sz w:val="18"/>
              </w:rPr>
              <w:t>91.80</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8,500,0</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8,500,0</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00.00</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w:t>
            </w:r>
          </w:p>
        </w:tc>
        <w:tc>
          <w:tcPr>
            <w:tcW w:w="56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3"/>
        <w:gridCol w:w="530"/>
        <w:gridCol w:w="530"/>
        <w:gridCol w:w="665"/>
        <w:gridCol w:w="665"/>
        <w:gridCol w:w="665"/>
        <w:gridCol w:w="665"/>
        <w:gridCol w:w="665"/>
        <w:gridCol w:w="665"/>
        <w:gridCol w:w="665"/>
        <w:gridCol w:w="665"/>
        <w:gridCol w:w="660"/>
      </w:tblGrid>
      <w:tr>
        <w:trPr>
          <w:trHeight w:val="362"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1,109,1</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47.23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-1,005,1</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55.43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103,991</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.80</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1,694,9</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83.84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-32,364,</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861.94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-30,669,</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878.10</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1,694,9</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83.84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-1,694,9</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83.84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-30,669,</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878.10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-30,669,</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878.10</w:t>
            </w: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204,46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5,854.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-204,46</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5,854.0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204,46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5,854.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-204,46</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5,854.0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715,63</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0,489.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471,152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,843.70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17,006,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833.68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344,518</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,369.74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26,804,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850.72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1,575,1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13,386.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84</w:t>
            </w:r>
          </w:p>
        </w:tc>
      </w:tr>
    </w:tbl>
    <w:p>
      <w:pPr>
        <w:pStyle w:val="BodyText"/>
        <w:spacing w:line="240" w:lineRule="auto" w:before="49"/>
        <w:ind w:right="982"/>
        <w:jc w:val="left"/>
      </w:pPr>
      <w:r>
        <w:rPr/>
        <w:t>上期金额</w:t>
      </w:r>
    </w:p>
    <w:p>
      <w:pPr>
        <w:pStyle w:val="BodyText"/>
        <w:spacing w:line="240" w:lineRule="auto" w:before="117"/>
        <w:ind w:left="0" w:right="1133"/>
        <w:jc w:val="right"/>
      </w:pPr>
      <w:r>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1594"/>
        <w:gridCol w:w="662"/>
        <w:gridCol w:w="665"/>
        <w:gridCol w:w="667"/>
        <w:gridCol w:w="665"/>
        <w:gridCol w:w="662"/>
        <w:gridCol w:w="665"/>
        <w:gridCol w:w="679"/>
        <w:gridCol w:w="653"/>
        <w:gridCol w:w="658"/>
      </w:tblGrid>
      <w:tr>
        <w:trPr>
          <w:trHeight w:val="402" w:hRule="exact"/>
        </w:trPr>
        <w:tc>
          <w:tcPr>
            <w:tcW w:w="143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FFFFFF"/>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1436" w:type="dxa"/>
            <w:vMerge/>
            <w:tcBorders>
              <w:left w:val="single" w:sz="4" w:space="0" w:color="000000"/>
              <w:right w:val="single" w:sz="4" w:space="0" w:color="000000"/>
            </w:tcBorders>
            <w:shd w:val="clear" w:color="auto" w:fill="D4D4D4"/>
          </w:tcPr>
          <w:p>
            <w:pPr/>
          </w:p>
        </w:tc>
        <w:tc>
          <w:tcPr>
            <w:tcW w:w="6821" w:type="dxa"/>
            <w:gridSpan w:val="9"/>
            <w:tcBorders>
              <w:top w:val="single" w:sz="4" w:space="0" w:color="FFFFFF"/>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FFFFFF"/>
              <w:left w:val="single" w:sz="4" w:space="0" w:color="000000"/>
              <w:right w:val="single" w:sz="4" w:space="0" w:color="000000"/>
            </w:tcBorders>
            <w:shd w:val="clear" w:color="auto" w:fill="D4D4D4"/>
          </w:tcPr>
          <w:p>
            <w:pPr>
              <w:pStyle w:val="TableParagraph"/>
              <w:spacing w:line="316" w:lineRule="auto" w:before="94"/>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val="restart"/>
            <w:tcBorders>
              <w:top w:val="single" w:sz="4" w:space="0" w:color="FFFFFF"/>
              <w:left w:val="single" w:sz="4" w:space="0" w:color="000000"/>
              <w:right w:val="single" w:sz="4" w:space="0" w:color="000000"/>
            </w:tcBorders>
            <w:shd w:val="clear" w:color="auto" w:fill="D4D4D4"/>
          </w:tcPr>
          <w:p>
            <w:pPr>
              <w:pStyle w:val="TableParagraph"/>
              <w:spacing w:line="316" w:lineRule="auto" w:before="113"/>
              <w:ind w:left="55" w:right="50"/>
              <w:jc w:val="left"/>
              <w:rPr>
                <w:rFonts w:ascii="宋体" w:hAnsi="宋体" w:cs="宋体" w:eastAsia="宋体" w:hint="default"/>
                <w:sz w:val="18"/>
                <w:szCs w:val="18"/>
              </w:rPr>
            </w:pPr>
            <w:r>
              <w:rPr>
                <w:rFonts w:ascii="宋体" w:hAnsi="宋体" w:cs="宋体" w:eastAsia="宋体" w:hint="default"/>
                <w:sz w:val="18"/>
                <w:szCs w:val="18"/>
              </w:rPr>
              <w:t>所有者 权益合</w:t>
            </w:r>
          </w:p>
        </w:tc>
      </w:tr>
      <w:tr>
        <w:trPr>
          <w:trHeight w:val="403" w:hRule="exact"/>
        </w:trPr>
        <w:tc>
          <w:tcPr>
            <w:tcW w:w="1436" w:type="dxa"/>
            <w:vMerge/>
            <w:tcBorders>
              <w:left w:val="single" w:sz="4" w:space="0" w:color="000000"/>
              <w:bottom w:val="single" w:sz="4" w:space="0" w:color="000000"/>
              <w:right w:val="single" w:sz="4" w:space="0" w:color="000000"/>
            </w:tcBorders>
            <w:shd w:val="clear" w:color="auto" w:fill="D4D4D4"/>
          </w:tcPr>
          <w:p>
            <w:pPr/>
          </w:p>
        </w:tc>
        <w:tc>
          <w:tcPr>
            <w:tcW w:w="5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57" w:right="0"/>
              <w:jc w:val="left"/>
              <w:rPr>
                <w:rFonts w:ascii="宋体" w:hAnsi="宋体" w:cs="宋体" w:eastAsia="宋体" w:hint="default"/>
                <w:sz w:val="18"/>
                <w:szCs w:val="18"/>
              </w:rPr>
            </w:pPr>
            <w:r>
              <w:rPr>
                <w:rFonts w:ascii="宋体" w:hAnsi="宋体" w:cs="宋体" w:eastAsia="宋体" w:hint="default"/>
                <w:sz w:val="18"/>
                <w:szCs w:val="18"/>
              </w:rPr>
              <w:t>资本公</w:t>
            </w: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57" w:right="0"/>
              <w:jc w:val="left"/>
              <w:rPr>
                <w:rFonts w:ascii="宋体" w:hAnsi="宋体" w:cs="宋体" w:eastAsia="宋体" w:hint="default"/>
                <w:sz w:val="18"/>
                <w:szCs w:val="18"/>
              </w:rPr>
            </w:pPr>
            <w:r>
              <w:rPr>
                <w:rFonts w:ascii="宋体" w:hAnsi="宋体" w:cs="宋体" w:eastAsia="宋体" w:hint="default"/>
                <w:sz w:val="18"/>
                <w:szCs w:val="18"/>
              </w:rPr>
              <w:t>减：库</w:t>
            </w:r>
          </w:p>
        </w:tc>
        <w:tc>
          <w:tcPr>
            <w:tcW w:w="6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60" w:right="0"/>
              <w:jc w:val="left"/>
              <w:rPr>
                <w:rFonts w:ascii="宋体" w:hAnsi="宋体" w:cs="宋体" w:eastAsia="宋体" w:hint="default"/>
                <w:sz w:val="18"/>
                <w:szCs w:val="18"/>
              </w:rPr>
            </w:pPr>
            <w:r>
              <w:rPr>
                <w:rFonts w:ascii="宋体" w:hAnsi="宋体" w:cs="宋体" w:eastAsia="宋体" w:hint="default"/>
                <w:sz w:val="18"/>
                <w:szCs w:val="18"/>
              </w:rPr>
              <w:t>其他综</w:t>
            </w: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57" w:right="0"/>
              <w:jc w:val="left"/>
              <w:rPr>
                <w:rFonts w:ascii="宋体" w:hAnsi="宋体" w:cs="宋体" w:eastAsia="宋体" w:hint="default"/>
                <w:sz w:val="18"/>
                <w:szCs w:val="18"/>
              </w:rPr>
            </w:pPr>
            <w:r>
              <w:rPr>
                <w:rFonts w:ascii="宋体" w:hAnsi="宋体" w:cs="宋体" w:eastAsia="宋体" w:hint="default"/>
                <w:sz w:val="18"/>
                <w:szCs w:val="18"/>
              </w:rPr>
              <w:t>专项储</w:t>
            </w:r>
          </w:p>
        </w:tc>
        <w:tc>
          <w:tcPr>
            <w:tcW w:w="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57" w:right="0"/>
              <w:jc w:val="left"/>
              <w:rPr>
                <w:rFonts w:ascii="宋体" w:hAnsi="宋体" w:cs="宋体" w:eastAsia="宋体" w:hint="default"/>
                <w:sz w:val="18"/>
                <w:szCs w:val="18"/>
              </w:rPr>
            </w:pPr>
            <w:r>
              <w:rPr>
                <w:rFonts w:ascii="宋体" w:hAnsi="宋体" w:cs="宋体" w:eastAsia="宋体" w:hint="default"/>
                <w:sz w:val="18"/>
                <w:szCs w:val="18"/>
              </w:rPr>
              <w:t>盈余公</w:t>
            </w: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57" w:right="0"/>
              <w:jc w:val="left"/>
              <w:rPr>
                <w:rFonts w:ascii="宋体" w:hAnsi="宋体" w:cs="宋体" w:eastAsia="宋体" w:hint="default"/>
                <w:sz w:val="18"/>
                <w:szCs w:val="18"/>
              </w:rPr>
            </w:pPr>
            <w:r>
              <w:rPr>
                <w:rFonts w:ascii="宋体" w:hAnsi="宋体" w:cs="宋体" w:eastAsia="宋体" w:hint="default"/>
                <w:sz w:val="18"/>
                <w:szCs w:val="18"/>
              </w:rPr>
              <w:t>一般风</w:t>
            </w:r>
          </w:p>
        </w:tc>
        <w:tc>
          <w:tcPr>
            <w:tcW w:w="6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64" w:right="0"/>
              <w:jc w:val="left"/>
              <w:rPr>
                <w:rFonts w:ascii="宋体" w:hAnsi="宋体" w:cs="宋体" w:eastAsia="宋体" w:hint="default"/>
                <w:sz w:val="18"/>
                <w:szCs w:val="18"/>
              </w:rPr>
            </w:pPr>
            <w:r>
              <w:rPr>
                <w:rFonts w:ascii="宋体" w:hAnsi="宋体" w:cs="宋体" w:eastAsia="宋体" w:hint="default"/>
                <w:sz w:val="18"/>
                <w:szCs w:val="18"/>
              </w:rPr>
              <w:t>未分配</w:t>
            </w:r>
          </w:p>
        </w:tc>
        <w:tc>
          <w:tcPr>
            <w:tcW w:w="653" w:type="dxa"/>
            <w:vMerge/>
            <w:tcBorders>
              <w:left w:val="single" w:sz="4" w:space="0" w:color="000000"/>
              <w:bottom w:val="single" w:sz="4" w:space="0" w:color="000000"/>
              <w:right w:val="single" w:sz="4" w:space="0" w:color="000000"/>
            </w:tcBorders>
            <w:shd w:val="clear" w:color="auto" w:fill="D4D4D4"/>
          </w:tcPr>
          <w:p>
            <w:pPr/>
          </w:p>
        </w:tc>
        <w:tc>
          <w:tcPr>
            <w:tcW w:w="658" w:type="dxa"/>
            <w:vMerge/>
            <w:tcBorders>
              <w:left w:val="single" w:sz="4" w:space="0" w:color="000000"/>
              <w:bottom w:val="single" w:sz="4" w:space="0" w:color="000000"/>
              <w:right w:val="single" w:sz="4" w:space="0" w:color="000000"/>
            </w:tcBorders>
            <w:shd w:val="clear" w:color="auto" w:fill="D4D4D4"/>
          </w:tcPr>
          <w:p>
            <w:pPr/>
          </w:p>
        </w:tc>
      </w:tr>
    </w:tbl>
    <w:p>
      <w:pPr>
        <w:spacing w:after="0"/>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5"/>
        <w:gridCol w:w="572"/>
        <w:gridCol w:w="530"/>
        <w:gridCol w:w="530"/>
        <w:gridCol w:w="533"/>
        <w:gridCol w:w="662"/>
        <w:gridCol w:w="665"/>
        <w:gridCol w:w="667"/>
        <w:gridCol w:w="665"/>
        <w:gridCol w:w="662"/>
        <w:gridCol w:w="665"/>
        <w:gridCol w:w="679"/>
        <w:gridCol w:w="653"/>
        <w:gridCol w:w="658"/>
      </w:tblGrid>
      <w:tr>
        <w:trPr>
          <w:trHeight w:val="161" w:hRule="exact"/>
        </w:trPr>
        <w:tc>
          <w:tcPr>
            <w:tcW w:w="1415" w:type="dxa"/>
            <w:vMerge w:val="restart"/>
            <w:tcBorders>
              <w:top w:val="single" w:sz="4" w:space="0" w:color="000000"/>
              <w:left w:val="single" w:sz="4" w:space="0" w:color="000000"/>
              <w:right w:val="single" w:sz="4" w:space="0" w:color="000000"/>
            </w:tcBorders>
            <w:shd w:val="clear" w:color="auto" w:fill="D4D4D4"/>
          </w:tcPr>
          <w:p>
            <w:pPr/>
          </w:p>
        </w:tc>
        <w:tc>
          <w:tcPr>
            <w:tcW w:w="572" w:type="dxa"/>
            <w:vMerge w:val="restart"/>
            <w:tcBorders>
              <w:top w:val="single" w:sz="4" w:space="0" w:color="000000"/>
              <w:left w:val="single" w:sz="4" w:space="0" w:color="000000"/>
              <w:right w:val="single" w:sz="4" w:space="0" w:color="000000"/>
            </w:tcBorders>
            <w:shd w:val="clear" w:color="auto" w:fill="D4D4D4"/>
          </w:tcPr>
          <w:p>
            <w:pPr/>
          </w:p>
        </w:tc>
        <w:tc>
          <w:tcPr>
            <w:tcW w:w="53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nil" w:sz="6" w:space="0" w:color="auto"/>
              <w:right w:val="single" w:sz="4" w:space="0" w:color="000000"/>
            </w:tcBorders>
            <w:shd w:val="clear" w:color="auto" w:fill="D4D4D4"/>
          </w:tcPr>
          <w:p>
            <w:pPr/>
          </w:p>
        </w:tc>
        <w:tc>
          <w:tcPr>
            <w:tcW w:w="66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积</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
              <w:ind w:left="148" w:right="0"/>
              <w:jc w:val="left"/>
              <w:rPr>
                <w:rFonts w:ascii="宋体" w:hAnsi="宋体" w:cs="宋体" w:eastAsia="宋体" w:hint="default"/>
                <w:sz w:val="18"/>
                <w:szCs w:val="18"/>
              </w:rPr>
            </w:pPr>
            <w:r>
              <w:rPr>
                <w:rFonts w:ascii="宋体" w:hAnsi="宋体" w:cs="宋体" w:eastAsia="宋体" w:hint="default"/>
                <w:sz w:val="18"/>
                <w:szCs w:val="18"/>
              </w:rPr>
              <w:t>存股</w:t>
            </w:r>
          </w:p>
        </w:tc>
        <w:tc>
          <w:tcPr>
            <w:tcW w:w="6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
              <w:ind w:left="60" w:right="0"/>
              <w:jc w:val="left"/>
              <w:rPr>
                <w:rFonts w:ascii="宋体" w:hAnsi="宋体" w:cs="宋体" w:eastAsia="宋体" w:hint="default"/>
                <w:sz w:val="18"/>
                <w:szCs w:val="18"/>
              </w:rPr>
            </w:pPr>
            <w:r>
              <w:rPr>
                <w:rFonts w:ascii="宋体" w:hAnsi="宋体" w:cs="宋体" w:eastAsia="宋体" w:hint="default"/>
                <w:sz w:val="18"/>
                <w:szCs w:val="18"/>
              </w:rPr>
              <w:t>合收益</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66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积</w:t>
            </w:r>
          </w:p>
        </w:tc>
        <w:tc>
          <w:tcPr>
            <w:tcW w:w="665" w:type="dxa"/>
            <w:vMerge w:val="restart"/>
            <w:tcBorders>
              <w:top w:val="single" w:sz="4" w:space="0" w:color="000000"/>
              <w:left w:val="single" w:sz="10" w:space="0" w:color="D4D4D4"/>
              <w:right w:val="single" w:sz="4" w:space="0" w:color="000000"/>
            </w:tcBorders>
          </w:tcPr>
          <w:p>
            <w:pPr>
              <w:pStyle w:val="TableParagraph"/>
              <w:spacing w:line="240" w:lineRule="auto" w:before="8"/>
              <w:ind w:left="50" w:right="0"/>
              <w:jc w:val="left"/>
              <w:rPr>
                <w:rFonts w:ascii="宋体" w:hAnsi="宋体" w:cs="宋体" w:eastAsia="宋体" w:hint="default"/>
                <w:sz w:val="18"/>
                <w:szCs w:val="18"/>
              </w:rPr>
            </w:pPr>
            <w:r>
              <w:rPr>
                <w:rFonts w:ascii="宋体" w:hAnsi="宋体" w:cs="宋体" w:eastAsia="宋体" w:hint="default"/>
                <w:sz w:val="18"/>
                <w:szCs w:val="18"/>
              </w:rPr>
              <w:t>险准备</w:t>
            </w: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8"/>
              <w:ind w:left="153"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653" w:type="dxa"/>
            <w:vMerge w:val="restart"/>
            <w:tcBorders>
              <w:top w:val="single" w:sz="4" w:space="0" w:color="000000"/>
              <w:left w:val="single" w:sz="4" w:space="0" w:color="000000"/>
              <w:right w:val="single" w:sz="4" w:space="0" w:color="000000"/>
            </w:tcBorders>
            <w:shd w:val="clear" w:color="auto" w:fill="D4D4D4"/>
          </w:tcPr>
          <w:p>
            <w:pP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计</w:t>
            </w:r>
          </w:p>
        </w:tc>
      </w:tr>
      <w:tr>
        <w:trPr>
          <w:trHeight w:val="197" w:hRule="exact"/>
        </w:trPr>
        <w:tc>
          <w:tcPr>
            <w:tcW w:w="1415" w:type="dxa"/>
            <w:vMerge/>
            <w:tcBorders>
              <w:left w:val="single" w:sz="4" w:space="0" w:color="000000"/>
              <w:right w:val="single" w:sz="4" w:space="0" w:color="000000"/>
            </w:tcBorders>
            <w:shd w:val="clear" w:color="auto" w:fill="D4D4D4"/>
          </w:tcPr>
          <w:p>
            <w:pPr/>
          </w:p>
        </w:tc>
        <w:tc>
          <w:tcPr>
            <w:tcW w:w="572" w:type="dxa"/>
            <w:vMerge/>
            <w:tcBorders>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7"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2"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10" w:space="0" w:color="D4D4D4"/>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shd w:val="clear" w:color="auto" w:fill="D4D4D4"/>
          </w:tcPr>
          <w:p>
            <w:pPr/>
          </w:p>
        </w:tc>
        <w:tc>
          <w:tcPr>
            <w:tcW w:w="658" w:type="dxa"/>
            <w:vMerge/>
            <w:tcBorders>
              <w:left w:val="single" w:sz="4" w:space="0" w:color="000000"/>
              <w:right w:val="single" w:sz="4" w:space="0" w:color="000000"/>
            </w:tcBorders>
          </w:tcPr>
          <w:p>
            <w:pPr/>
          </w:p>
        </w:tc>
      </w:tr>
      <w:tr>
        <w:trPr>
          <w:trHeight w:val="194" w:hRule="exact"/>
        </w:trPr>
        <w:tc>
          <w:tcPr>
            <w:tcW w:w="1415" w:type="dxa"/>
            <w:vMerge/>
            <w:tcBorders>
              <w:left w:val="single" w:sz="4" w:space="0" w:color="000000"/>
              <w:right w:val="single" w:sz="4" w:space="0" w:color="000000"/>
            </w:tcBorders>
            <w:shd w:val="clear" w:color="auto" w:fill="D4D4D4"/>
          </w:tcPr>
          <w:p>
            <w:pPr/>
          </w:p>
        </w:tc>
        <w:tc>
          <w:tcPr>
            <w:tcW w:w="572" w:type="dxa"/>
            <w:vMerge/>
            <w:tcBorders>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3" w:type="dxa"/>
            <w:vMerge/>
            <w:tcBorders>
              <w:left w:val="single" w:sz="4" w:space="0" w:color="000000"/>
              <w:bottom w:val="nil" w:sz="6" w:space="0" w:color="auto"/>
              <w:right w:val="single" w:sz="4" w:space="0" w:color="000000"/>
            </w:tcBorders>
            <w:shd w:val="clear" w:color="auto" w:fill="D4D4D4"/>
          </w:tcPr>
          <w:p>
            <w:pPr/>
          </w:p>
        </w:tc>
        <w:tc>
          <w:tcPr>
            <w:tcW w:w="662" w:type="dxa"/>
            <w:vMerge w:val="restart"/>
            <w:tcBorders>
              <w:top w:val="nil" w:sz="6" w:space="0" w:color="auto"/>
              <w:left w:val="single" w:sz="4" w:space="0" w:color="000000"/>
              <w:right w:val="single" w:sz="4" w:space="0" w:color="000000"/>
            </w:tcBorders>
            <w:shd w:val="clear" w:color="auto" w:fill="D4D4D4"/>
          </w:tcPr>
          <w:p>
            <w:pPr/>
          </w:p>
        </w:tc>
        <w:tc>
          <w:tcPr>
            <w:tcW w:w="665" w:type="dxa"/>
            <w:vMerge w:val="restart"/>
            <w:tcBorders>
              <w:top w:val="nil" w:sz="6" w:space="0" w:color="auto"/>
              <w:left w:val="single" w:sz="4" w:space="0" w:color="000000"/>
              <w:right w:val="single" w:sz="4" w:space="0" w:color="000000"/>
            </w:tcBorders>
            <w:shd w:val="clear" w:color="auto" w:fill="D4D4D4"/>
          </w:tcPr>
          <w:p>
            <w:pPr/>
          </w:p>
        </w:tc>
        <w:tc>
          <w:tcPr>
            <w:tcW w:w="667" w:type="dxa"/>
            <w:vMerge w:val="restart"/>
            <w:tcBorders>
              <w:top w:val="nil" w:sz="6" w:space="0" w:color="auto"/>
              <w:left w:val="single" w:sz="4" w:space="0" w:color="000000"/>
              <w:right w:val="single" w:sz="4" w:space="0" w:color="000000"/>
            </w:tcBorders>
            <w:shd w:val="clear" w:color="auto" w:fill="D4D4D4"/>
          </w:tcPr>
          <w:p>
            <w:pPr/>
          </w:p>
        </w:tc>
        <w:tc>
          <w:tcPr>
            <w:tcW w:w="665" w:type="dxa"/>
            <w:vMerge w:val="restart"/>
            <w:tcBorders>
              <w:top w:val="nil" w:sz="6" w:space="0" w:color="auto"/>
              <w:left w:val="single" w:sz="4" w:space="0" w:color="000000"/>
              <w:right w:val="single" w:sz="4" w:space="0" w:color="000000"/>
            </w:tcBorders>
            <w:shd w:val="clear" w:color="auto" w:fill="D4D4D4"/>
          </w:tcPr>
          <w:p>
            <w:pPr/>
          </w:p>
        </w:tc>
        <w:tc>
          <w:tcPr>
            <w:tcW w:w="662" w:type="dxa"/>
            <w:vMerge w:val="restart"/>
            <w:tcBorders>
              <w:top w:val="nil" w:sz="6" w:space="0" w:color="auto"/>
              <w:left w:val="single" w:sz="4" w:space="0" w:color="000000"/>
              <w:right w:val="single" w:sz="4" w:space="0" w:color="000000"/>
            </w:tcBorders>
            <w:shd w:val="clear" w:color="auto" w:fill="D4D4D4"/>
          </w:tcPr>
          <w:p>
            <w:pPr/>
          </w:p>
        </w:tc>
        <w:tc>
          <w:tcPr>
            <w:tcW w:w="665" w:type="dxa"/>
            <w:vMerge/>
            <w:tcBorders>
              <w:left w:val="single" w:sz="10" w:space="0" w:color="D4D4D4"/>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shd w:val="clear" w:color="auto" w:fill="D4D4D4"/>
          </w:tcPr>
          <w:p>
            <w:pPr/>
          </w:p>
        </w:tc>
        <w:tc>
          <w:tcPr>
            <w:tcW w:w="658" w:type="dxa"/>
            <w:vMerge/>
            <w:tcBorders>
              <w:left w:val="single" w:sz="4" w:space="0" w:color="000000"/>
              <w:right w:val="single" w:sz="4" w:space="0" w:color="000000"/>
            </w:tcBorders>
          </w:tcPr>
          <w:p>
            <w:pPr/>
          </w:p>
        </w:tc>
      </w:tr>
      <w:tr>
        <w:trPr>
          <w:trHeight w:val="161" w:hRule="exact"/>
        </w:trPr>
        <w:tc>
          <w:tcPr>
            <w:tcW w:w="1415" w:type="dxa"/>
            <w:vMerge/>
            <w:tcBorders>
              <w:left w:val="single" w:sz="4" w:space="0" w:color="000000"/>
              <w:bottom w:val="single" w:sz="4" w:space="0" w:color="000000"/>
              <w:right w:val="single" w:sz="4" w:space="0" w:color="000000"/>
            </w:tcBorders>
            <w:shd w:val="clear" w:color="auto" w:fill="D4D4D4"/>
          </w:tcPr>
          <w:p>
            <w:pPr/>
          </w:p>
        </w:tc>
        <w:tc>
          <w:tcPr>
            <w:tcW w:w="572" w:type="dxa"/>
            <w:vMerge/>
            <w:tcBorders>
              <w:left w:val="single" w:sz="4" w:space="0" w:color="000000"/>
              <w:bottom w:val="single" w:sz="4" w:space="0" w:color="000000"/>
              <w:right w:val="single" w:sz="4" w:space="0" w:color="000000"/>
            </w:tcBorders>
            <w:shd w:val="clear" w:color="auto" w:fill="D4D4D4"/>
          </w:tcPr>
          <w:p>
            <w:pPr/>
          </w:p>
        </w:tc>
        <w:tc>
          <w:tcPr>
            <w:tcW w:w="530" w:type="dxa"/>
            <w:vMerge/>
            <w:tcBorders>
              <w:left w:val="single" w:sz="4" w:space="0" w:color="000000"/>
              <w:bottom w:val="single" w:sz="4" w:space="0" w:color="000000"/>
              <w:right w:val="single" w:sz="4" w:space="0" w:color="000000"/>
            </w:tcBorders>
            <w:shd w:val="clear" w:color="auto" w:fill="D4D4D4"/>
          </w:tcPr>
          <w:p>
            <w:pPr/>
          </w:p>
        </w:tc>
        <w:tc>
          <w:tcPr>
            <w:tcW w:w="530" w:type="dxa"/>
            <w:vMerge/>
            <w:tcBorders>
              <w:left w:val="single" w:sz="4" w:space="0" w:color="000000"/>
              <w:bottom w:val="single" w:sz="4" w:space="0" w:color="000000"/>
              <w:right w:val="single" w:sz="4" w:space="0" w:color="000000"/>
            </w:tcBorders>
            <w:shd w:val="clear" w:color="auto" w:fill="D4D4D4"/>
          </w:tcPr>
          <w:p>
            <w:pPr/>
          </w:p>
        </w:tc>
        <w:tc>
          <w:tcPr>
            <w:tcW w:w="533" w:type="dxa"/>
            <w:tcBorders>
              <w:top w:val="nil" w:sz="6" w:space="0" w:color="auto"/>
              <w:left w:val="single" w:sz="4" w:space="0" w:color="000000"/>
              <w:bottom w:val="single" w:sz="4" w:space="0" w:color="000000"/>
              <w:right w:val="single" w:sz="4" w:space="0" w:color="000000"/>
            </w:tcBorders>
            <w:shd w:val="clear" w:color="auto" w:fill="D4D4D4"/>
          </w:tcPr>
          <w:p>
            <w:pPr/>
          </w:p>
        </w:tc>
        <w:tc>
          <w:tcPr>
            <w:tcW w:w="662"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7"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2"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10" w:space="0" w:color="D4D4D4"/>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shd w:val="clear" w:color="auto" w:fill="D4D4D4"/>
          </w:tcPr>
          <w:p>
            <w:pPr/>
          </w:p>
        </w:tc>
        <w:tc>
          <w:tcPr>
            <w:tcW w:w="658" w:type="dxa"/>
            <w:vMerge/>
            <w:tcBorders>
              <w:left w:val="single" w:sz="4" w:space="0" w:color="000000"/>
              <w:bottom w:val="single" w:sz="4" w:space="0" w:color="000000"/>
              <w:right w:val="single" w:sz="4" w:space="0" w:color="000000"/>
            </w:tcBorders>
          </w:tcPr>
          <w:p>
            <w:pPr/>
          </w:p>
        </w:tc>
      </w:tr>
      <w:tr>
        <w:trPr>
          <w:trHeight w:val="319" w:hRule="exact"/>
        </w:trPr>
        <w:tc>
          <w:tcPr>
            <w:tcW w:w="1415" w:type="dxa"/>
            <w:tcBorders>
              <w:top w:val="single" w:sz="4" w:space="0" w:color="000000"/>
              <w:left w:val="single" w:sz="4" w:space="0" w:color="000000"/>
              <w:bottom w:val="nil" w:sz="6" w:space="0" w:color="auto"/>
              <w:right w:val="single" w:sz="4" w:space="0" w:color="000000"/>
            </w:tcBorders>
            <w:shd w:val="clear" w:color="auto" w:fill="D4D4D4"/>
          </w:tcPr>
          <w:p>
            <w:pPr/>
          </w:p>
        </w:tc>
        <w:tc>
          <w:tcPr>
            <w:tcW w:w="572" w:type="dxa"/>
            <w:vMerge w:val="restart"/>
            <w:tcBorders>
              <w:top w:val="single" w:sz="4" w:space="0" w:color="000000"/>
              <w:left w:val="single" w:sz="9" w:space="0" w:color="D4D4D4"/>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242,61</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5,517.</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692,131</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,210.73</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14,221,</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300.43</w:t>
            </w: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169,411</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,769.89</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19,261,</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667.31</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1,137,6</w:t>
            </w:r>
          </w:p>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41,465.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36</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2" w:type="dxa"/>
            <w:vMerge/>
            <w:tcBorders>
              <w:left w:val="single" w:sz="9" w:space="0" w:color="D4D4D4"/>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4D4D4"/>
          </w:tcPr>
          <w:p>
            <w:pPr/>
          </w:p>
        </w:tc>
        <w:tc>
          <w:tcPr>
            <w:tcW w:w="572" w:type="dxa"/>
            <w:vMerge/>
            <w:tcBorders>
              <w:left w:val="single" w:sz="9" w:space="0" w:color="D4D4D4"/>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2" w:type="dxa"/>
            <w:tcBorders>
              <w:top w:val="single" w:sz="4" w:space="0" w:color="000000"/>
              <w:left w:val="single" w:sz="12"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13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572" w:type="dxa"/>
            <w:tcBorders>
              <w:top w:val="single" w:sz="4" w:space="0" w:color="000000"/>
              <w:left w:val="single" w:sz="12"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3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制下企业合并</w:t>
            </w:r>
          </w:p>
        </w:tc>
        <w:tc>
          <w:tcPr>
            <w:tcW w:w="572" w:type="dxa"/>
            <w:tcBorders>
              <w:top w:val="single" w:sz="4" w:space="0" w:color="000000"/>
              <w:left w:val="single" w:sz="12"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72" w:type="dxa"/>
            <w:tcBorders>
              <w:top w:val="single" w:sz="4" w:space="0" w:color="000000"/>
              <w:left w:val="single" w:sz="12"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4D4D4"/>
          </w:tcPr>
          <w:p>
            <w:pPr/>
          </w:p>
        </w:tc>
        <w:tc>
          <w:tcPr>
            <w:tcW w:w="572" w:type="dxa"/>
            <w:vMerge w:val="restart"/>
            <w:tcBorders>
              <w:top w:val="single" w:sz="4" w:space="0" w:color="000000"/>
              <w:left w:val="single" w:sz="9" w:space="0" w:color="D4D4D4"/>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242,61</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5,517.</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692,131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,210.73</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14,221,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300.43</w:t>
            </w: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169,411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,769.89</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19,261,</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667.31</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1,137,6</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41,465.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36</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2" w:type="dxa"/>
            <w:vMerge/>
            <w:tcBorders>
              <w:left w:val="single" w:sz="9" w:space="0" w:color="D4D4D4"/>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4D4D4"/>
          </w:tcPr>
          <w:p>
            <w:pPr/>
          </w:p>
        </w:tc>
        <w:tc>
          <w:tcPr>
            <w:tcW w:w="572" w:type="dxa"/>
            <w:vMerge/>
            <w:tcBorders>
              <w:left w:val="single" w:sz="9" w:space="0" w:color="D4D4D4"/>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1027"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12" w:right="1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7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268,54</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9,118.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-17,621,</w:t>
            </w:r>
          </w:p>
          <w:p>
            <w:pPr>
              <w:pStyle w:val="TableParagraph"/>
              <w:spacing w:line="240" w:lineRule="auto" w:before="102"/>
              <w:ind w:left="115" w:right="0"/>
              <w:jc w:val="center"/>
              <w:rPr>
                <w:rFonts w:ascii="Times New Roman" w:hAnsi="Times New Roman" w:cs="Times New Roman" w:eastAsia="Times New Roman" w:hint="default"/>
                <w:sz w:val="18"/>
                <w:szCs w:val="18"/>
              </w:rPr>
            </w:pPr>
            <w:r>
              <w:rPr>
                <w:rFonts w:ascii="Times New Roman"/>
                <w:sz w:val="18"/>
              </w:rPr>
              <w:t>660.26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1,090,5</w:t>
            </w:r>
          </w:p>
          <w:p>
            <w:pPr>
              <w:pStyle w:val="TableParagraph"/>
              <w:spacing w:line="240" w:lineRule="auto" w:before="102"/>
              <w:ind w:left="206" w:right="0"/>
              <w:jc w:val="center"/>
              <w:rPr>
                <w:rFonts w:ascii="Times New Roman" w:hAnsi="Times New Roman" w:cs="Times New Roman" w:eastAsia="Times New Roman" w:hint="default"/>
                <w:sz w:val="18"/>
                <w:szCs w:val="18"/>
              </w:rPr>
            </w:pPr>
            <w:r>
              <w:rPr>
                <w:rFonts w:ascii="Times New Roman"/>
                <w:sz w:val="18"/>
              </w:rPr>
              <w:t>49.41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76,476,</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362.32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1,760,5</w:t>
            </w:r>
          </w:p>
          <w:p>
            <w:pPr>
              <w:pStyle w:val="TableParagraph"/>
              <w:spacing w:line="240" w:lineRule="auto" w:before="102"/>
              <w:ind w:left="192" w:right="0"/>
              <w:jc w:val="center"/>
              <w:rPr>
                <w:rFonts w:ascii="Times New Roman" w:hAnsi="Times New Roman" w:cs="Times New Roman" w:eastAsia="Times New Roman" w:hint="default"/>
                <w:sz w:val="18"/>
                <w:szCs w:val="18"/>
              </w:rPr>
            </w:pPr>
            <w:r>
              <w:rPr>
                <w:rFonts w:ascii="Times New Roman"/>
                <w:sz w:val="18"/>
              </w:rPr>
              <w:t>37.28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330,254</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,906.75</w:t>
            </w: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72" w:type="dxa"/>
            <w:tcBorders>
              <w:top w:val="single" w:sz="4" w:space="0" w:color="000000"/>
              <w:left w:val="single" w:sz="12"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77,566,</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911.73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-7,507,</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198.77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70,059,</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712.96</w:t>
            </w:r>
          </w:p>
        </w:tc>
      </w:tr>
      <w:tr>
        <w:trPr>
          <w:trHeight w:val="163" w:hRule="exact"/>
        </w:trPr>
        <w:tc>
          <w:tcPr>
            <w:tcW w:w="1415" w:type="dxa"/>
            <w:tcBorders>
              <w:top w:val="single" w:sz="4" w:space="0" w:color="000000"/>
              <w:left w:val="single" w:sz="4" w:space="0" w:color="000000"/>
              <w:bottom w:val="nil" w:sz="6" w:space="0" w:color="auto"/>
              <w:right w:val="single" w:sz="4" w:space="0" w:color="000000"/>
            </w:tcBorders>
            <w:shd w:val="clear" w:color="auto" w:fill="D4D4D4"/>
          </w:tcPr>
          <w:p>
            <w:pPr/>
          </w:p>
        </w:tc>
        <w:tc>
          <w:tcPr>
            <w:tcW w:w="572" w:type="dxa"/>
            <w:vMerge w:val="restart"/>
            <w:tcBorders>
              <w:top w:val="single" w:sz="4" w:space="0" w:color="000000"/>
              <w:left w:val="single" w:sz="9" w:space="0" w:color="D4D4D4"/>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25,933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,601.0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224,831</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,856.74</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9,267,7</w:t>
            </w:r>
          </w:p>
          <w:p>
            <w:pPr>
              <w:pStyle w:val="TableParagraph"/>
              <w:spacing w:line="240" w:lineRule="auto" w:before="102"/>
              <w:ind w:left="192" w:right="0"/>
              <w:jc w:val="center"/>
              <w:rPr>
                <w:rFonts w:ascii="Times New Roman" w:hAnsi="Times New Roman" w:cs="Times New Roman" w:eastAsia="Times New Roman" w:hint="default"/>
                <w:sz w:val="18"/>
                <w:szCs w:val="18"/>
              </w:rPr>
            </w:pPr>
            <w:r>
              <w:rPr>
                <w:rFonts w:ascii="Times New Roman"/>
                <w:sz w:val="18"/>
              </w:rPr>
              <w:t>36.05</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260,033</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,193.79</w:t>
            </w:r>
          </w:p>
        </w:tc>
      </w:tr>
      <w:tr>
        <w:trPr>
          <w:trHeight w:val="703" w:hRule="exact"/>
        </w:trPr>
        <w:tc>
          <w:tcPr>
            <w:tcW w:w="14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4" w:lineRule="auto" w:before="49"/>
              <w:ind w:left="12" w:right="1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72" w:type="dxa"/>
            <w:vMerge/>
            <w:tcBorders>
              <w:left w:val="single" w:sz="9" w:space="0" w:color="D4D4D4"/>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4D4D4"/>
          </w:tcPr>
          <w:p>
            <w:pPr/>
          </w:p>
        </w:tc>
        <w:tc>
          <w:tcPr>
            <w:tcW w:w="572" w:type="dxa"/>
            <w:vMerge/>
            <w:tcBorders>
              <w:left w:val="single" w:sz="9" w:space="0" w:color="D4D4D4"/>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4D4D4"/>
          </w:tcPr>
          <w:p>
            <w:pPr/>
          </w:p>
        </w:tc>
        <w:tc>
          <w:tcPr>
            <w:tcW w:w="572"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25,933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,601.0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224,831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,856.74</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9,267,7</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36.05</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260,033</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,193.79</w:t>
            </w:r>
          </w:p>
        </w:tc>
      </w:tr>
      <w:tr>
        <w:trPr>
          <w:trHeight w:val="703" w:hRule="exact"/>
        </w:trPr>
        <w:tc>
          <w:tcPr>
            <w:tcW w:w="14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00" w:lineRule="auto" w:before="49"/>
              <w:ind w:left="12"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72" w:type="dxa"/>
            <w:vMerge/>
            <w:tcBorders>
              <w:left w:val="single" w:sz="9" w:space="0" w:color="D4D4D4"/>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4D4D4"/>
          </w:tcPr>
          <w:p>
            <w:pPr/>
          </w:p>
        </w:tc>
        <w:tc>
          <w:tcPr>
            <w:tcW w:w="572" w:type="dxa"/>
            <w:vMerge/>
            <w:tcBorders>
              <w:left w:val="single" w:sz="9" w:space="0" w:color="D4D4D4"/>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12"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2" w:type="dxa"/>
            <w:tcBorders>
              <w:top w:val="single" w:sz="4" w:space="0" w:color="000000"/>
              <w:left w:val="single" w:sz="12"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12"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2" w:type="dxa"/>
            <w:tcBorders>
              <w:top w:val="single" w:sz="4" w:space="0" w:color="000000"/>
              <w:left w:val="single" w:sz="12"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2" w:type="dxa"/>
            <w:tcBorders>
              <w:top w:val="single" w:sz="4" w:space="0" w:color="000000"/>
              <w:left w:val="single" w:sz="12"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4D4D4"/>
          </w:tcPr>
          <w:p>
            <w:pPr/>
          </w:p>
        </w:tc>
        <w:tc>
          <w:tcPr>
            <w:tcW w:w="572" w:type="dxa"/>
            <w:vMerge w:val="restart"/>
            <w:tcBorders>
              <w:top w:val="single" w:sz="4" w:space="0" w:color="000000"/>
              <w:left w:val="single" w:sz="9" w:space="0" w:color="D4D4D4"/>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1,090,5</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49.41</w:t>
            </w: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-1,090,5</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49.41</w:t>
            </w:r>
          </w:p>
        </w:tc>
        <w:tc>
          <w:tcPr>
            <w:tcW w:w="653"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2" w:type="dxa"/>
            <w:vMerge/>
            <w:tcBorders>
              <w:left w:val="single" w:sz="9" w:space="0" w:color="D4D4D4"/>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4D4D4"/>
          </w:tcPr>
          <w:p>
            <w:pPr/>
          </w:p>
        </w:tc>
        <w:tc>
          <w:tcPr>
            <w:tcW w:w="572" w:type="dxa"/>
            <w:vMerge/>
            <w:tcBorders>
              <w:left w:val="single" w:sz="9" w:space="0" w:color="D4D4D4"/>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163" w:hRule="exact"/>
        </w:trPr>
        <w:tc>
          <w:tcPr>
            <w:tcW w:w="1415" w:type="dxa"/>
            <w:tcBorders>
              <w:top w:val="single" w:sz="4" w:space="0" w:color="000000"/>
              <w:left w:val="single" w:sz="4" w:space="0" w:color="000000"/>
              <w:bottom w:val="nil" w:sz="6" w:space="0" w:color="auto"/>
              <w:right w:val="single" w:sz="4" w:space="0" w:color="000000"/>
            </w:tcBorders>
            <w:shd w:val="clear" w:color="auto" w:fill="D4D4D4"/>
          </w:tcPr>
          <w:p>
            <w:pPr/>
          </w:p>
        </w:tc>
        <w:tc>
          <w:tcPr>
            <w:tcW w:w="572" w:type="dxa"/>
            <w:vMerge w:val="restart"/>
            <w:tcBorders>
              <w:top w:val="single" w:sz="4" w:space="0" w:color="000000"/>
              <w:left w:val="single" w:sz="9" w:space="0" w:color="D4D4D4"/>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93"/>
              <w:ind w:left="70" w:right="0"/>
              <w:jc w:val="center"/>
              <w:rPr>
                <w:rFonts w:ascii="Times New Roman" w:hAnsi="Times New Roman" w:cs="Times New Roman" w:eastAsia="Times New Roman" w:hint="default"/>
                <w:sz w:val="18"/>
                <w:szCs w:val="18"/>
              </w:rPr>
            </w:pPr>
            <w:r>
              <w:rPr>
                <w:rFonts w:ascii="Times New Roman"/>
                <w:sz w:val="18"/>
              </w:rPr>
              <w:t>1,090,5</w:t>
            </w:r>
          </w:p>
          <w:p>
            <w:pPr>
              <w:pStyle w:val="TableParagraph"/>
              <w:spacing w:line="240" w:lineRule="auto" w:before="102"/>
              <w:ind w:left="206" w:right="0"/>
              <w:jc w:val="center"/>
              <w:rPr>
                <w:rFonts w:ascii="Times New Roman" w:hAnsi="Times New Roman" w:cs="Times New Roman" w:eastAsia="Times New Roman" w:hint="default"/>
                <w:sz w:val="18"/>
                <w:szCs w:val="18"/>
              </w:rPr>
            </w:pPr>
            <w:r>
              <w:rPr>
                <w:rFonts w:ascii="Times New Roman"/>
                <w:sz w:val="18"/>
              </w:rPr>
              <w:t>49.41</w:t>
            </w: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-1,090,5</w:t>
            </w:r>
          </w:p>
          <w:p>
            <w:pPr>
              <w:pStyle w:val="TableParagraph"/>
              <w:spacing w:line="240" w:lineRule="auto" w:before="102"/>
              <w:ind w:left="218" w:right="0"/>
              <w:jc w:val="center"/>
              <w:rPr>
                <w:rFonts w:ascii="Times New Roman" w:hAnsi="Times New Roman" w:cs="Times New Roman" w:eastAsia="Times New Roman" w:hint="default"/>
                <w:sz w:val="18"/>
                <w:szCs w:val="18"/>
              </w:rPr>
            </w:pPr>
            <w:r>
              <w:rPr>
                <w:rFonts w:ascii="Times New Roman"/>
                <w:sz w:val="18"/>
              </w:rPr>
              <w:t>49.41</w:t>
            </w:r>
          </w:p>
        </w:tc>
        <w:tc>
          <w:tcPr>
            <w:tcW w:w="653"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72" w:type="dxa"/>
            <w:vMerge/>
            <w:tcBorders>
              <w:left w:val="single" w:sz="9" w:space="0" w:color="D4D4D4"/>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4D4D4"/>
          </w:tcPr>
          <w:p>
            <w:pPr/>
          </w:p>
        </w:tc>
        <w:tc>
          <w:tcPr>
            <w:tcW w:w="572" w:type="dxa"/>
            <w:vMerge/>
            <w:tcBorders>
              <w:left w:val="single" w:sz="9" w:space="0" w:color="D4D4D4"/>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72" w:type="dxa"/>
            <w:tcBorders>
              <w:top w:val="single" w:sz="4" w:space="0" w:color="000000"/>
              <w:left w:val="single" w:sz="12"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w:t>
            </w:r>
          </w:p>
        </w:tc>
        <w:tc>
          <w:tcPr>
            <w:tcW w:w="572" w:type="dxa"/>
            <w:tcBorders>
              <w:top w:val="single" w:sz="4" w:space="0" w:color="000000"/>
              <w:left w:val="single" w:sz="12"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0"/>
        <w:gridCol w:w="530"/>
        <w:gridCol w:w="533"/>
        <w:gridCol w:w="662"/>
        <w:gridCol w:w="665"/>
        <w:gridCol w:w="667"/>
        <w:gridCol w:w="665"/>
        <w:gridCol w:w="662"/>
        <w:gridCol w:w="665"/>
        <w:gridCol w:w="679"/>
        <w:gridCol w:w="653"/>
        <w:gridCol w:w="658"/>
      </w:tblGrid>
      <w:tr>
        <w:trPr>
          <w:trHeight w:val="362"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242,61</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5,517.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-242,61</w:t>
            </w:r>
            <w:r>
              <w:rPr>
                <w:rFonts w:ascii="Times New Roman"/>
                <w:sz w:val="18"/>
              </w:rPr>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5,517.0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242,61</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5,517.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-242,61</w:t>
            </w:r>
            <w:r>
              <w:rPr>
                <w:rFonts w:ascii="Times New Roman"/>
                <w:sz w:val="18"/>
              </w:rPr>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5,517.0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162,000</w:t>
            </w:r>
          </w:p>
          <w:p>
            <w:pPr>
              <w:pStyle w:val="TableParagraph"/>
              <w:spacing w:line="240" w:lineRule="auto" w:before="105"/>
              <w:ind w:left="405"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162,000</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.00</w:t>
            </w: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511,16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4,635.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674,509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,550.47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15,311,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849.84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245,888</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,132.21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21,022,</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204.59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1,467,8</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96,372.</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982"/>
        <w:jc w:val="left"/>
        <w:rPr>
          <w:b w:val="0"/>
          <w:bCs w:val="0"/>
        </w:rPr>
      </w:pPr>
      <w:bookmarkStart w:name="8、母公司所有者权益变动表" w:id="164"/>
      <w:bookmarkEnd w:id="164"/>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982"/>
        <w:jc w:val="left"/>
      </w:pPr>
      <w:r>
        <w:rPr/>
        <w:t>本期金额</w:t>
      </w:r>
    </w:p>
    <w:p>
      <w:pPr>
        <w:pStyle w:val="BodyText"/>
        <w:spacing w:line="240" w:lineRule="auto" w:before="115"/>
        <w:ind w:left="0" w:right="113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7"/>
        <w:gridCol w:w="702"/>
        <w:gridCol w:w="665"/>
        <w:gridCol w:w="667"/>
        <w:gridCol w:w="665"/>
        <w:gridCol w:w="797"/>
        <w:gridCol w:w="797"/>
        <w:gridCol w:w="797"/>
        <w:gridCol w:w="799"/>
        <w:gridCol w:w="797"/>
        <w:gridCol w:w="677"/>
        <w:gridCol w:w="780"/>
      </w:tblGrid>
      <w:tr>
        <w:trPr>
          <w:trHeight w:val="396" w:hRule="exact"/>
        </w:trPr>
        <w:tc>
          <w:tcPr>
            <w:tcW w:w="1417"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2"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02" w:type="dxa"/>
            <w:tcBorders>
              <w:top w:val="single" w:sz="4" w:space="0" w:color="000000"/>
              <w:left w:val="single" w:sz="4" w:space="0" w:color="000000"/>
              <w:bottom w:val="nil" w:sz="6" w:space="0" w:color="auto"/>
              <w:right w:val="single" w:sz="4" w:space="0" w:color="000000"/>
            </w:tcBorders>
            <w:shd w:val="clear" w:color="auto" w:fill="D4D4D4"/>
          </w:tcPr>
          <w:p>
            <w:pPr/>
          </w:p>
        </w:tc>
        <w:tc>
          <w:tcPr>
            <w:tcW w:w="1997"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9"/>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67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17" w:type="dxa"/>
            <w:vMerge/>
            <w:tcBorders>
              <w:left w:val="single" w:sz="4" w:space="0" w:color="000000"/>
              <w:bottom w:val="nil" w:sz="6" w:space="0" w:color="auto"/>
              <w:right w:val="single" w:sz="4" w:space="0" w:color="000000"/>
            </w:tcBorders>
            <w:shd w:val="clear" w:color="auto" w:fill="D4D4D4"/>
          </w:tcPr>
          <w:p>
            <w:pPr/>
          </w:p>
        </w:tc>
        <w:tc>
          <w:tcPr>
            <w:tcW w:w="70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4D4D4"/>
          </w:tcPr>
          <w:p>
            <w:pP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r>
      <w:tr>
        <w:trPr>
          <w:trHeight w:val="202" w:hRule="exact"/>
        </w:trPr>
        <w:tc>
          <w:tcPr>
            <w:tcW w:w="1417" w:type="dxa"/>
            <w:vMerge w:val="restart"/>
            <w:tcBorders>
              <w:top w:val="nil" w:sz="6" w:space="0" w:color="auto"/>
              <w:left w:val="single" w:sz="4" w:space="0" w:color="000000"/>
              <w:right w:val="single" w:sz="4" w:space="0" w:color="000000"/>
            </w:tcBorders>
            <w:shd w:val="clear" w:color="auto" w:fill="D4D4D4"/>
          </w:tcPr>
          <w:p>
            <w:pPr/>
          </w:p>
        </w:tc>
        <w:tc>
          <w:tcPr>
            <w:tcW w:w="702" w:type="dxa"/>
            <w:vMerge/>
            <w:tcBorders>
              <w:left w:val="single" w:sz="4" w:space="0" w:color="000000"/>
              <w:bottom w:val="nil" w:sz="6" w:space="0" w:color="auto"/>
              <w:right w:val="single" w:sz="4" w:space="0" w:color="000000"/>
            </w:tcBorders>
            <w:shd w:val="clear" w:color="auto" w:fill="D4D4D4"/>
          </w:tcPr>
          <w:p>
            <w:pP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9"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bottom w:val="nil" w:sz="6" w:space="0" w:color="auto"/>
              <w:right w:val="single" w:sz="4" w:space="0" w:color="000000"/>
            </w:tcBorders>
            <w:shd w:val="clear" w:color="auto" w:fill="D4D4D4"/>
          </w:tcPr>
          <w:p>
            <w:pPr/>
          </w:p>
        </w:tc>
        <w:tc>
          <w:tcPr>
            <w:tcW w:w="677"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r>
      <w:tr>
        <w:trPr>
          <w:trHeight w:val="204" w:hRule="exact"/>
        </w:trPr>
        <w:tc>
          <w:tcPr>
            <w:tcW w:w="1417" w:type="dxa"/>
            <w:vMerge/>
            <w:tcBorders>
              <w:left w:val="single" w:sz="4" w:space="0" w:color="000000"/>
              <w:bottom w:val="single" w:sz="4" w:space="0" w:color="000000"/>
              <w:right w:val="single" w:sz="4" w:space="0" w:color="000000"/>
            </w:tcBorders>
            <w:shd w:val="clear" w:color="auto" w:fill="D4D4D4"/>
          </w:tcPr>
          <w:p>
            <w:pPr/>
          </w:p>
        </w:tc>
        <w:tc>
          <w:tcPr>
            <w:tcW w:w="702"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7"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9"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677" w:type="dxa"/>
            <w:vMerge/>
            <w:tcBorders>
              <w:left w:val="single" w:sz="4" w:space="0" w:color="000000"/>
              <w:bottom w:val="single" w:sz="4" w:space="0" w:color="000000"/>
              <w:right w:val="single" w:sz="4" w:space="0" w:color="000000"/>
            </w:tcBorders>
            <w:shd w:val="clear" w:color="auto" w:fill="D4D4D4"/>
          </w:tcPr>
          <w:p>
            <w:pPr/>
          </w:p>
        </w:tc>
        <w:tc>
          <w:tcPr>
            <w:tcW w:w="780" w:type="dxa"/>
            <w:vMerge/>
            <w:tcBorders>
              <w:left w:val="single" w:sz="4" w:space="0" w:color="000000"/>
              <w:bottom w:val="single" w:sz="4" w:space="0" w:color="000000"/>
              <w:right w:val="single" w:sz="4" w:space="0" w:color="000000"/>
            </w:tcBorders>
            <w:shd w:val="clear" w:color="auto" w:fill="D4D4D4"/>
          </w:tcPr>
          <w:p>
            <w:pPr/>
          </w:p>
        </w:tc>
      </w:tr>
      <w:tr>
        <w:trPr>
          <w:trHeight w:val="163" w:hRule="exact"/>
        </w:trPr>
        <w:tc>
          <w:tcPr>
            <w:tcW w:w="1417" w:type="dxa"/>
            <w:tcBorders>
              <w:top w:val="single" w:sz="4" w:space="0" w:color="000000"/>
              <w:left w:val="single" w:sz="4" w:space="0" w:color="000000"/>
              <w:bottom w:val="nil" w:sz="6" w:space="0" w:color="auto"/>
              <w:right w:val="single" w:sz="4" w:space="0" w:color="000000"/>
            </w:tcBorders>
            <w:shd w:val="clear" w:color="auto" w:fill="D4D4D4"/>
          </w:tcPr>
          <w:p>
            <w:pPr/>
          </w:p>
        </w:tc>
        <w:tc>
          <w:tcPr>
            <w:tcW w:w="702" w:type="dxa"/>
            <w:vMerge w:val="restart"/>
            <w:tcBorders>
              <w:top w:val="single" w:sz="4" w:space="0" w:color="000000"/>
              <w:left w:val="single" w:sz="10" w:space="0" w:color="D4D4D4"/>
              <w:right w:val="single" w:sz="4" w:space="0" w:color="000000"/>
            </w:tcBorders>
          </w:tcPr>
          <w:p>
            <w:pPr>
              <w:pStyle w:val="TableParagraph"/>
              <w:spacing w:line="240" w:lineRule="auto" w:before="93"/>
              <w:ind w:left="25" w:right="0"/>
              <w:jc w:val="center"/>
              <w:rPr>
                <w:rFonts w:ascii="Times New Roman" w:hAnsi="Times New Roman" w:cs="Times New Roman" w:eastAsia="Times New Roman" w:hint="default"/>
                <w:sz w:val="18"/>
                <w:szCs w:val="18"/>
              </w:rPr>
            </w:pPr>
            <w:r>
              <w:rPr>
                <w:rFonts w:ascii="Times New Roman"/>
                <w:sz w:val="18"/>
              </w:rPr>
              <w:t>511,164,</w:t>
            </w:r>
          </w:p>
          <w:p>
            <w:pPr>
              <w:pStyle w:val="TableParagraph"/>
              <w:spacing w:line="240" w:lineRule="auto" w:before="102"/>
              <w:ind w:left="152" w:right="0"/>
              <w:jc w:val="center"/>
              <w:rPr>
                <w:rFonts w:ascii="Times New Roman" w:hAnsi="Times New Roman" w:cs="Times New Roman" w:eastAsia="Times New Roman" w:hint="default"/>
                <w:sz w:val="18"/>
                <w:szCs w:val="18"/>
              </w:rPr>
            </w:pPr>
            <w:r>
              <w:rPr>
                <w:rFonts w:ascii="Times New Roman"/>
                <w:sz w:val="18"/>
              </w:rPr>
              <w:t>635.00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674,120,0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82.82</w:t>
            </w:r>
          </w:p>
        </w:tc>
        <w:tc>
          <w:tcPr>
            <w:tcW w:w="797" w:type="dxa"/>
            <w:vMerge w:val="restart"/>
            <w:tcBorders>
              <w:top w:val="single" w:sz="21" w:space="0" w:color="D4D4D4"/>
              <w:left w:val="single" w:sz="4" w:space="0" w:color="000000"/>
              <w:right w:val="single" w:sz="4" w:space="0" w:color="000000"/>
            </w:tcBorders>
          </w:tcPr>
          <w:p>
            <w:pPr/>
          </w:p>
        </w:tc>
        <w:tc>
          <w:tcPr>
            <w:tcW w:w="797" w:type="dxa"/>
            <w:vMerge w:val="restart"/>
            <w:tcBorders>
              <w:top w:val="single" w:sz="21" w:space="0" w:color="D4D4D4"/>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15,311,84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9.84</w:t>
            </w:r>
          </w:p>
        </w:tc>
        <w:tc>
          <w:tcPr>
            <w:tcW w:w="677" w:type="dxa"/>
            <w:vMerge w:val="restart"/>
            <w:tcBorders>
              <w:top w:val="single" w:sz="21" w:space="0" w:color="D4D4D4"/>
              <w:left w:val="single" w:sz="4" w:space="0" w:color="000000"/>
              <w:right w:val="single" w:sz="4" w:space="0" w:color="000000"/>
            </w:tcBorders>
          </w:tcPr>
          <w:p>
            <w:pPr>
              <w:pStyle w:val="TableParagraph"/>
              <w:spacing w:line="240" w:lineRule="auto" w:before="72"/>
              <w:ind w:left="57" w:right="0"/>
              <w:jc w:val="left"/>
              <w:rPr>
                <w:rFonts w:ascii="Times New Roman" w:hAnsi="Times New Roman" w:cs="Times New Roman" w:eastAsia="Times New Roman" w:hint="default"/>
                <w:sz w:val="18"/>
                <w:szCs w:val="18"/>
              </w:rPr>
            </w:pPr>
            <w:r>
              <w:rPr>
                <w:rFonts w:ascii="Times New Roman"/>
                <w:sz w:val="18"/>
              </w:rPr>
              <w:t>108,354</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,338.20</w:t>
            </w:r>
          </w:p>
        </w:tc>
        <w:tc>
          <w:tcPr>
            <w:tcW w:w="780" w:type="dxa"/>
            <w:vMerge w:val="restart"/>
            <w:tcBorders>
              <w:top w:val="single" w:sz="21" w:space="0" w:color="D4D4D4"/>
              <w:left w:val="single" w:sz="4" w:space="0" w:color="000000"/>
              <w:right w:val="single" w:sz="4" w:space="0" w:color="000000"/>
            </w:tcBorders>
          </w:tcPr>
          <w:p>
            <w:pPr>
              <w:pStyle w:val="TableParagraph"/>
              <w:spacing w:line="240" w:lineRule="auto" w:before="72"/>
              <w:ind w:left="8" w:right="0"/>
              <w:jc w:val="center"/>
              <w:rPr>
                <w:rFonts w:ascii="Times New Roman" w:hAnsi="Times New Roman" w:cs="Times New Roman" w:eastAsia="Times New Roman" w:hint="default"/>
                <w:sz w:val="18"/>
                <w:szCs w:val="18"/>
              </w:rPr>
            </w:pPr>
            <w:r>
              <w:rPr>
                <w:rFonts w:ascii="Times New Roman"/>
                <w:sz w:val="18"/>
              </w:rPr>
              <w:t>1,308,950</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,905.86</w:t>
            </w:r>
          </w:p>
        </w:tc>
      </w:tr>
      <w:tr>
        <w:trPr>
          <w:trHeight w:val="391" w:hRule="exact"/>
        </w:trPr>
        <w:tc>
          <w:tcPr>
            <w:tcW w:w="141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2"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7" w:type="dxa"/>
            <w:tcBorders>
              <w:top w:val="nil" w:sz="6" w:space="0" w:color="auto"/>
              <w:left w:val="single" w:sz="4" w:space="0" w:color="000000"/>
              <w:bottom w:val="single" w:sz="4" w:space="0" w:color="000000"/>
              <w:right w:val="single" w:sz="4" w:space="0" w:color="000000"/>
            </w:tcBorders>
            <w:shd w:val="clear" w:color="auto" w:fill="D4D4D4"/>
          </w:tcPr>
          <w:p>
            <w:pPr/>
          </w:p>
        </w:tc>
        <w:tc>
          <w:tcPr>
            <w:tcW w:w="702"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3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511,164,</w:t>
            </w:r>
          </w:p>
          <w:p>
            <w:pPr>
              <w:pStyle w:val="TableParagraph"/>
              <w:spacing w:line="240" w:lineRule="auto" w:before="102"/>
              <w:ind w:left="148" w:right="0"/>
              <w:jc w:val="center"/>
              <w:rPr>
                <w:rFonts w:ascii="Times New Roman" w:hAnsi="Times New Roman" w:cs="Times New Roman" w:eastAsia="Times New Roman" w:hint="default"/>
                <w:sz w:val="18"/>
                <w:szCs w:val="18"/>
              </w:rPr>
            </w:pPr>
            <w:r>
              <w:rPr>
                <w:rFonts w:ascii="Times New Roman"/>
                <w:sz w:val="18"/>
              </w:rPr>
              <w:t>635.00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674,120,0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82.82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15,311,84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9.84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108,354</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,338.20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1,308,950</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,905.86</w:t>
            </w: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204,465,</w:t>
            </w:r>
          </w:p>
          <w:p>
            <w:pPr>
              <w:pStyle w:val="TableParagraph"/>
              <w:spacing w:line="240" w:lineRule="auto" w:before="105"/>
              <w:ind w:left="148" w:right="0"/>
              <w:jc w:val="center"/>
              <w:rPr>
                <w:rFonts w:ascii="Times New Roman" w:hAnsi="Times New Roman" w:cs="Times New Roman" w:eastAsia="Times New Roman" w:hint="default"/>
                <w:sz w:val="18"/>
                <w:szCs w:val="18"/>
              </w:rPr>
            </w:pPr>
            <w:r>
              <w:rPr>
                <w:rFonts w:ascii="Times New Roman"/>
                <w:sz w:val="18"/>
              </w:rPr>
              <w:t>854.00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-204,465,</w:t>
            </w:r>
          </w:p>
          <w:p>
            <w:pPr>
              <w:pStyle w:val="TableParagraph"/>
              <w:spacing w:line="240" w:lineRule="auto" w:before="105"/>
              <w:ind w:left="249" w:right="0"/>
              <w:jc w:val="center"/>
              <w:rPr>
                <w:rFonts w:ascii="Times New Roman" w:hAnsi="Times New Roman" w:cs="Times New Roman" w:eastAsia="Times New Roman" w:hint="default"/>
                <w:sz w:val="18"/>
                <w:szCs w:val="18"/>
              </w:rPr>
            </w:pPr>
            <w:r>
              <w:rPr>
                <w:rFonts w:ascii="Times New Roman"/>
                <w:sz w:val="18"/>
              </w:rPr>
              <w:t>854.00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1,694,983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-15,415,</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023.52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-13,720,0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39.68</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16,949,</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838.42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16,949,83</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8.42</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1,694,983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-32,364,</w:t>
            </w:r>
          </w:p>
          <w:p>
            <w:pPr>
              <w:pStyle w:val="TableParagraph"/>
              <w:spacing w:line="240" w:lineRule="auto" w:before="102"/>
              <w:ind w:left="124" w:right="0"/>
              <w:jc w:val="center"/>
              <w:rPr>
                <w:rFonts w:ascii="Times New Roman" w:hAnsi="Times New Roman" w:cs="Times New Roman" w:eastAsia="Times New Roman" w:hint="default"/>
                <w:sz w:val="18"/>
                <w:szCs w:val="18"/>
              </w:rPr>
            </w:pPr>
            <w:r>
              <w:rPr>
                <w:rFonts w:ascii="Times New Roman"/>
                <w:sz w:val="18"/>
              </w:rPr>
              <w:t>861.94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-30,669,8</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78.10</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1,694,983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-1,694,9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83.84</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-30,669,</w:t>
            </w:r>
          </w:p>
          <w:p>
            <w:pPr>
              <w:pStyle w:val="TableParagraph"/>
              <w:spacing w:line="240" w:lineRule="auto" w:before="102"/>
              <w:ind w:left="124" w:right="0"/>
              <w:jc w:val="center"/>
              <w:rPr>
                <w:rFonts w:ascii="Times New Roman" w:hAnsi="Times New Roman" w:cs="Times New Roman" w:eastAsia="Times New Roman" w:hint="default"/>
                <w:sz w:val="18"/>
                <w:szCs w:val="18"/>
              </w:rPr>
            </w:pPr>
            <w:r>
              <w:rPr>
                <w:rFonts w:ascii="Times New Roman"/>
                <w:sz w:val="18"/>
              </w:rPr>
              <w:t>878.10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-30,669,8</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78.10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 w:right="0"/>
              <w:jc w:val="center"/>
              <w:rPr>
                <w:rFonts w:ascii="Times New Roman" w:hAnsi="Times New Roman" w:cs="Times New Roman" w:eastAsia="Times New Roman" w:hint="default"/>
                <w:sz w:val="18"/>
                <w:szCs w:val="18"/>
              </w:rPr>
            </w:pPr>
            <w:r>
              <w:rPr>
                <w:rFonts w:ascii="Times New Roman"/>
                <w:sz w:val="18"/>
              </w:rPr>
              <w:t>204,465,</w:t>
            </w:r>
          </w:p>
          <w:p>
            <w:pPr>
              <w:pStyle w:val="TableParagraph"/>
              <w:spacing w:line="240" w:lineRule="auto" w:before="102"/>
              <w:ind w:left="148" w:right="0"/>
              <w:jc w:val="center"/>
              <w:rPr>
                <w:rFonts w:ascii="Times New Roman" w:hAnsi="Times New Roman" w:cs="Times New Roman" w:eastAsia="Times New Roman" w:hint="default"/>
                <w:sz w:val="18"/>
                <w:szCs w:val="18"/>
              </w:rPr>
            </w:pPr>
            <w:r>
              <w:rPr>
                <w:rFonts w:ascii="Times New Roman"/>
                <w:sz w:val="18"/>
              </w:rPr>
              <w:t>854.00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center"/>
              <w:rPr>
                <w:rFonts w:ascii="Times New Roman" w:hAnsi="Times New Roman" w:cs="Times New Roman" w:eastAsia="Times New Roman" w:hint="default"/>
                <w:sz w:val="18"/>
                <w:szCs w:val="18"/>
              </w:rPr>
            </w:pPr>
            <w:r>
              <w:rPr>
                <w:rFonts w:ascii="Times New Roman"/>
                <w:sz w:val="18"/>
              </w:rPr>
              <w:t>-204,465,</w:t>
            </w:r>
          </w:p>
          <w:p>
            <w:pPr>
              <w:pStyle w:val="TableParagraph"/>
              <w:spacing w:line="240" w:lineRule="auto" w:before="102"/>
              <w:ind w:left="249" w:right="0"/>
              <w:jc w:val="center"/>
              <w:rPr>
                <w:rFonts w:ascii="Times New Roman" w:hAnsi="Times New Roman" w:cs="Times New Roman" w:eastAsia="Times New Roman" w:hint="default"/>
                <w:sz w:val="18"/>
                <w:szCs w:val="18"/>
              </w:rPr>
            </w:pPr>
            <w:r>
              <w:rPr>
                <w:rFonts w:ascii="Times New Roman"/>
                <w:sz w:val="18"/>
              </w:rPr>
              <w:t>854.00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204,465,</w:t>
            </w:r>
          </w:p>
          <w:p>
            <w:pPr>
              <w:pStyle w:val="TableParagraph"/>
              <w:spacing w:line="240" w:lineRule="auto" w:before="105"/>
              <w:ind w:left="148" w:right="0"/>
              <w:jc w:val="center"/>
              <w:rPr>
                <w:rFonts w:ascii="Times New Roman" w:hAnsi="Times New Roman" w:cs="Times New Roman" w:eastAsia="Times New Roman" w:hint="default"/>
                <w:sz w:val="18"/>
                <w:szCs w:val="18"/>
              </w:rPr>
            </w:pPr>
            <w:r>
              <w:rPr>
                <w:rFonts w:ascii="Times New Roman"/>
                <w:sz w:val="18"/>
              </w:rPr>
              <w:t>854.00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-204,465,</w:t>
            </w:r>
          </w:p>
          <w:p>
            <w:pPr>
              <w:pStyle w:val="TableParagraph"/>
              <w:spacing w:line="240" w:lineRule="auto" w:before="105"/>
              <w:ind w:left="249" w:right="0"/>
              <w:jc w:val="center"/>
              <w:rPr>
                <w:rFonts w:ascii="Times New Roman" w:hAnsi="Times New Roman" w:cs="Times New Roman" w:eastAsia="Times New Roman" w:hint="default"/>
                <w:sz w:val="18"/>
                <w:szCs w:val="18"/>
              </w:rPr>
            </w:pPr>
            <w:r>
              <w:rPr>
                <w:rFonts w:ascii="Times New Roman"/>
                <w:sz w:val="18"/>
              </w:rPr>
              <w:t>854.00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 w:right="0"/>
              <w:jc w:val="center"/>
              <w:rPr>
                <w:rFonts w:ascii="Times New Roman" w:hAnsi="Times New Roman" w:cs="Times New Roman" w:eastAsia="Times New Roman" w:hint="default"/>
                <w:sz w:val="18"/>
                <w:szCs w:val="18"/>
              </w:rPr>
            </w:pPr>
            <w:r>
              <w:rPr>
                <w:rFonts w:ascii="Times New Roman"/>
                <w:sz w:val="18"/>
              </w:rPr>
              <w:t>715,630,</w:t>
            </w:r>
          </w:p>
          <w:p>
            <w:pPr>
              <w:pStyle w:val="TableParagraph"/>
              <w:spacing w:line="240" w:lineRule="auto" w:before="102"/>
              <w:ind w:left="148" w:right="0"/>
              <w:jc w:val="center"/>
              <w:rPr>
                <w:rFonts w:ascii="Times New Roman" w:hAnsi="Times New Roman" w:cs="Times New Roman" w:eastAsia="Times New Roman" w:hint="default"/>
                <w:sz w:val="18"/>
                <w:szCs w:val="18"/>
              </w:rPr>
            </w:pPr>
            <w:r>
              <w:rPr>
                <w:rFonts w:ascii="Times New Roman"/>
                <w:sz w:val="18"/>
              </w:rPr>
              <w:t>489.00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469,654,2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28.82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17,006,83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3.68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92,939,</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314.68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1,295,230</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,866.18</w:t>
            </w:r>
          </w:p>
        </w:tc>
      </w:tr>
    </w:tbl>
    <w:p>
      <w:pPr>
        <w:pStyle w:val="BodyText"/>
        <w:spacing w:line="240" w:lineRule="auto" w:before="49"/>
        <w:ind w:right="982"/>
        <w:jc w:val="left"/>
      </w:pPr>
      <w:r>
        <w:rPr/>
        <w:t>上期金额</w:t>
      </w:r>
    </w:p>
    <w:p>
      <w:pPr>
        <w:pStyle w:val="BodyText"/>
        <w:spacing w:line="240" w:lineRule="auto" w:before="115"/>
        <w:ind w:left="0" w:right="113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7"/>
        <w:gridCol w:w="702"/>
        <w:gridCol w:w="665"/>
        <w:gridCol w:w="667"/>
        <w:gridCol w:w="665"/>
        <w:gridCol w:w="797"/>
        <w:gridCol w:w="797"/>
        <w:gridCol w:w="797"/>
        <w:gridCol w:w="799"/>
        <w:gridCol w:w="797"/>
        <w:gridCol w:w="677"/>
        <w:gridCol w:w="780"/>
      </w:tblGrid>
      <w:tr>
        <w:trPr>
          <w:trHeight w:val="398" w:hRule="exact"/>
        </w:trPr>
        <w:tc>
          <w:tcPr>
            <w:tcW w:w="1417"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2"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02" w:type="dxa"/>
            <w:tcBorders>
              <w:top w:val="single" w:sz="4" w:space="0" w:color="000000"/>
              <w:left w:val="single" w:sz="4" w:space="0" w:color="000000"/>
              <w:bottom w:val="nil" w:sz="6" w:space="0" w:color="auto"/>
              <w:right w:val="single" w:sz="4" w:space="0" w:color="000000"/>
            </w:tcBorders>
            <w:shd w:val="clear" w:color="auto" w:fill="D4D4D4"/>
          </w:tcPr>
          <w:p>
            <w:pPr/>
          </w:p>
        </w:tc>
        <w:tc>
          <w:tcPr>
            <w:tcW w:w="1997"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99"/>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677"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0" w:hRule="exact"/>
        </w:trPr>
        <w:tc>
          <w:tcPr>
            <w:tcW w:w="1417" w:type="dxa"/>
            <w:vMerge/>
            <w:tcBorders>
              <w:left w:val="single" w:sz="4" w:space="0" w:color="000000"/>
              <w:bottom w:val="nil" w:sz="6" w:space="0" w:color="auto"/>
              <w:right w:val="single" w:sz="4" w:space="0" w:color="000000"/>
            </w:tcBorders>
            <w:shd w:val="clear" w:color="auto" w:fill="D4D4D4"/>
          </w:tcPr>
          <w:p>
            <w:pPr/>
          </w:p>
        </w:tc>
        <w:tc>
          <w:tcPr>
            <w:tcW w:w="70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4D4D4"/>
          </w:tcPr>
          <w:p>
            <w:pP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r>
      <w:tr>
        <w:trPr>
          <w:trHeight w:val="202" w:hRule="exact"/>
        </w:trPr>
        <w:tc>
          <w:tcPr>
            <w:tcW w:w="1417" w:type="dxa"/>
            <w:vMerge w:val="restart"/>
            <w:tcBorders>
              <w:top w:val="nil" w:sz="6" w:space="0" w:color="auto"/>
              <w:left w:val="single" w:sz="4" w:space="0" w:color="000000"/>
              <w:right w:val="single" w:sz="4" w:space="0" w:color="000000"/>
            </w:tcBorders>
            <w:shd w:val="clear" w:color="auto" w:fill="D4D4D4"/>
          </w:tcPr>
          <w:p>
            <w:pPr/>
          </w:p>
        </w:tc>
        <w:tc>
          <w:tcPr>
            <w:tcW w:w="702" w:type="dxa"/>
            <w:vMerge/>
            <w:tcBorders>
              <w:left w:val="single" w:sz="4" w:space="0" w:color="000000"/>
              <w:bottom w:val="nil" w:sz="6" w:space="0" w:color="auto"/>
              <w:right w:val="single" w:sz="4" w:space="0" w:color="000000"/>
            </w:tcBorders>
            <w:shd w:val="clear" w:color="auto" w:fill="D4D4D4"/>
          </w:tcPr>
          <w:p>
            <w:pP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9"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bottom w:val="nil" w:sz="6" w:space="0" w:color="auto"/>
              <w:right w:val="single" w:sz="4" w:space="0" w:color="000000"/>
            </w:tcBorders>
            <w:shd w:val="clear" w:color="auto" w:fill="D4D4D4"/>
          </w:tcPr>
          <w:p>
            <w:pPr/>
          </w:p>
        </w:tc>
        <w:tc>
          <w:tcPr>
            <w:tcW w:w="677"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r>
      <w:tr>
        <w:trPr>
          <w:trHeight w:val="206" w:hRule="exact"/>
        </w:trPr>
        <w:tc>
          <w:tcPr>
            <w:tcW w:w="1417" w:type="dxa"/>
            <w:vMerge/>
            <w:tcBorders>
              <w:left w:val="single" w:sz="4" w:space="0" w:color="000000"/>
              <w:bottom w:val="single" w:sz="4" w:space="0" w:color="000000"/>
              <w:right w:val="single" w:sz="4" w:space="0" w:color="000000"/>
            </w:tcBorders>
            <w:shd w:val="clear" w:color="auto" w:fill="D4D4D4"/>
          </w:tcPr>
          <w:p>
            <w:pPr/>
          </w:p>
        </w:tc>
        <w:tc>
          <w:tcPr>
            <w:tcW w:w="702"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7"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9"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677" w:type="dxa"/>
            <w:vMerge/>
            <w:tcBorders>
              <w:left w:val="single" w:sz="4" w:space="0" w:color="000000"/>
              <w:bottom w:val="single" w:sz="4" w:space="0" w:color="000000"/>
              <w:right w:val="single" w:sz="4" w:space="0" w:color="000000"/>
            </w:tcBorders>
            <w:shd w:val="clear" w:color="auto" w:fill="D4D4D4"/>
          </w:tcPr>
          <w:p>
            <w:pPr/>
          </w:p>
        </w:tc>
        <w:tc>
          <w:tcPr>
            <w:tcW w:w="780" w:type="dxa"/>
            <w:vMerge/>
            <w:tcBorders>
              <w:left w:val="single" w:sz="4" w:space="0" w:color="000000"/>
              <w:bottom w:val="single" w:sz="4" w:space="0" w:color="000000"/>
              <w:right w:val="single" w:sz="4" w:space="0" w:color="000000"/>
            </w:tcBorders>
            <w:shd w:val="clear" w:color="auto" w:fill="D4D4D4"/>
          </w:tcPr>
          <w:p>
            <w:pPr/>
          </w:p>
        </w:tc>
      </w:tr>
      <w:tr>
        <w:trPr>
          <w:trHeight w:val="161" w:hRule="exact"/>
        </w:trPr>
        <w:tc>
          <w:tcPr>
            <w:tcW w:w="1417" w:type="dxa"/>
            <w:tcBorders>
              <w:top w:val="single" w:sz="4" w:space="0" w:color="000000"/>
              <w:left w:val="single" w:sz="4" w:space="0" w:color="000000"/>
              <w:bottom w:val="nil" w:sz="6" w:space="0" w:color="auto"/>
              <w:right w:val="single" w:sz="4" w:space="0" w:color="000000"/>
            </w:tcBorders>
            <w:shd w:val="clear" w:color="auto" w:fill="D4D4D4"/>
          </w:tcPr>
          <w:p>
            <w:pPr/>
          </w:p>
        </w:tc>
        <w:tc>
          <w:tcPr>
            <w:tcW w:w="702" w:type="dxa"/>
            <w:vMerge w:val="restart"/>
            <w:tcBorders>
              <w:top w:val="single" w:sz="4" w:space="0" w:color="000000"/>
              <w:left w:val="single" w:sz="10" w:space="0" w:color="D4D4D4"/>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242,615,</w:t>
            </w:r>
          </w:p>
          <w:p>
            <w:pPr>
              <w:pStyle w:val="TableParagraph"/>
              <w:spacing w:line="240" w:lineRule="auto" w:before="102"/>
              <w:ind w:left="152" w:right="0"/>
              <w:jc w:val="center"/>
              <w:rPr>
                <w:rFonts w:ascii="Times New Roman" w:hAnsi="Times New Roman" w:cs="Times New Roman" w:eastAsia="Times New Roman" w:hint="default"/>
                <w:sz w:val="18"/>
                <w:szCs w:val="18"/>
              </w:rPr>
            </w:pPr>
            <w:r>
              <w:rPr>
                <w:rFonts w:ascii="Times New Roman"/>
                <w:sz w:val="18"/>
              </w:rPr>
              <w:t>517.00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691,903,7</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43.08</w:t>
            </w:r>
          </w:p>
        </w:tc>
        <w:tc>
          <w:tcPr>
            <w:tcW w:w="797" w:type="dxa"/>
            <w:vMerge w:val="restart"/>
            <w:tcBorders>
              <w:top w:val="single" w:sz="18" w:space="0" w:color="D4D4D4"/>
              <w:left w:val="single" w:sz="4" w:space="0" w:color="000000"/>
              <w:right w:val="single" w:sz="4" w:space="0" w:color="000000"/>
            </w:tcBorders>
          </w:tcPr>
          <w:p>
            <w:pPr/>
          </w:p>
        </w:tc>
        <w:tc>
          <w:tcPr>
            <w:tcW w:w="797" w:type="dxa"/>
            <w:vMerge w:val="restart"/>
            <w:tcBorders>
              <w:top w:val="single" w:sz="18" w:space="0" w:color="D4D4D4"/>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14,221,30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0.43</w:t>
            </w:r>
          </w:p>
        </w:tc>
        <w:tc>
          <w:tcPr>
            <w:tcW w:w="677" w:type="dxa"/>
            <w:vMerge w:val="restart"/>
            <w:tcBorders>
              <w:top w:val="single" w:sz="18" w:space="0" w:color="D4D4D4"/>
              <w:left w:val="single" w:sz="4" w:space="0" w:color="000000"/>
              <w:right w:val="single" w:sz="4" w:space="0" w:color="000000"/>
            </w:tcBorders>
          </w:tcPr>
          <w:p>
            <w:pPr>
              <w:pStyle w:val="TableParagraph"/>
              <w:spacing w:line="240" w:lineRule="auto" w:before="73"/>
              <w:ind w:left="103" w:right="0"/>
              <w:jc w:val="left"/>
              <w:rPr>
                <w:rFonts w:ascii="Times New Roman" w:hAnsi="Times New Roman" w:cs="Times New Roman" w:eastAsia="Times New Roman" w:hint="default"/>
                <w:sz w:val="18"/>
                <w:szCs w:val="18"/>
              </w:rPr>
            </w:pPr>
            <w:r>
              <w:rPr>
                <w:rFonts w:ascii="Times New Roman"/>
                <w:sz w:val="18"/>
              </w:rPr>
              <w:t>98,539,</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393.51</w:t>
            </w:r>
          </w:p>
        </w:tc>
        <w:tc>
          <w:tcPr>
            <w:tcW w:w="780" w:type="dxa"/>
            <w:vMerge w:val="restart"/>
            <w:tcBorders>
              <w:top w:val="single" w:sz="18" w:space="0" w:color="D4D4D4"/>
              <w:left w:val="single" w:sz="4" w:space="0" w:color="000000"/>
              <w:right w:val="single" w:sz="4" w:space="0" w:color="000000"/>
            </w:tcBorders>
          </w:tcPr>
          <w:p>
            <w:pPr>
              <w:pStyle w:val="TableParagraph"/>
              <w:spacing w:line="240" w:lineRule="auto" w:before="73"/>
              <w:ind w:left="8" w:right="0"/>
              <w:jc w:val="center"/>
              <w:rPr>
                <w:rFonts w:ascii="Times New Roman" w:hAnsi="Times New Roman" w:cs="Times New Roman" w:eastAsia="Times New Roman" w:hint="default"/>
                <w:sz w:val="18"/>
                <w:szCs w:val="18"/>
              </w:rPr>
            </w:pPr>
            <w:r>
              <w:rPr>
                <w:rFonts w:ascii="Times New Roman"/>
                <w:sz w:val="18"/>
              </w:rPr>
              <w:t>1,047,279</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,954.02</w:t>
            </w:r>
          </w:p>
        </w:tc>
      </w:tr>
      <w:tr>
        <w:trPr>
          <w:trHeight w:val="391" w:hRule="exact"/>
        </w:trPr>
        <w:tc>
          <w:tcPr>
            <w:tcW w:w="141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2"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7" w:type="dxa"/>
            <w:tcBorders>
              <w:top w:val="nil" w:sz="6" w:space="0" w:color="auto"/>
              <w:left w:val="single" w:sz="4" w:space="0" w:color="000000"/>
              <w:bottom w:val="single" w:sz="4" w:space="0" w:color="000000"/>
              <w:right w:val="single" w:sz="4" w:space="0" w:color="000000"/>
            </w:tcBorders>
            <w:shd w:val="clear" w:color="auto" w:fill="D4D4D4"/>
          </w:tcPr>
          <w:p>
            <w:pPr/>
          </w:p>
        </w:tc>
        <w:tc>
          <w:tcPr>
            <w:tcW w:w="702"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13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7" w:type="dxa"/>
            <w:tcBorders>
              <w:top w:val="single" w:sz="4" w:space="0" w:color="000000"/>
              <w:left w:val="single" w:sz="4" w:space="0" w:color="000000"/>
              <w:bottom w:val="nil" w:sz="6" w:space="0" w:color="auto"/>
              <w:right w:val="single" w:sz="4" w:space="0" w:color="000000"/>
            </w:tcBorders>
            <w:shd w:val="clear" w:color="auto" w:fill="D4D4D4"/>
          </w:tcPr>
          <w:p>
            <w:pPr/>
          </w:p>
        </w:tc>
        <w:tc>
          <w:tcPr>
            <w:tcW w:w="702" w:type="dxa"/>
            <w:vMerge w:val="restart"/>
            <w:tcBorders>
              <w:top w:val="single" w:sz="4" w:space="0" w:color="000000"/>
              <w:left w:val="single" w:sz="10" w:space="0" w:color="D4D4D4"/>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242,615,</w:t>
            </w:r>
          </w:p>
          <w:p>
            <w:pPr>
              <w:pStyle w:val="TableParagraph"/>
              <w:spacing w:line="240" w:lineRule="auto" w:before="102"/>
              <w:ind w:left="152" w:right="0"/>
              <w:jc w:val="center"/>
              <w:rPr>
                <w:rFonts w:ascii="Times New Roman" w:hAnsi="Times New Roman" w:cs="Times New Roman" w:eastAsia="Times New Roman" w:hint="default"/>
                <w:sz w:val="18"/>
                <w:szCs w:val="18"/>
              </w:rPr>
            </w:pPr>
            <w:r>
              <w:rPr>
                <w:rFonts w:ascii="Times New Roman"/>
                <w:sz w:val="18"/>
              </w:rPr>
              <w:t>517.00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691,903,7</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43.08</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14,221,30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0.43</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98,539,</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393.51</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1,047,279</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,954.02</w:t>
            </w:r>
          </w:p>
        </w:tc>
      </w:tr>
      <w:tr>
        <w:trPr>
          <w:trHeight w:val="391" w:hRule="exact"/>
        </w:trPr>
        <w:tc>
          <w:tcPr>
            <w:tcW w:w="141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2"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7" w:type="dxa"/>
            <w:tcBorders>
              <w:top w:val="nil" w:sz="6" w:space="0" w:color="auto"/>
              <w:left w:val="single" w:sz="4" w:space="0" w:color="000000"/>
              <w:bottom w:val="single" w:sz="4" w:space="0" w:color="000000"/>
              <w:right w:val="single" w:sz="4" w:space="0" w:color="000000"/>
            </w:tcBorders>
            <w:shd w:val="clear" w:color="auto" w:fill="D4D4D4"/>
          </w:tcPr>
          <w:p>
            <w:pPr/>
          </w:p>
        </w:tc>
        <w:tc>
          <w:tcPr>
            <w:tcW w:w="702"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7"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12" w:right="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7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268,549,</w:t>
            </w:r>
          </w:p>
          <w:p>
            <w:pPr>
              <w:pStyle w:val="TableParagraph"/>
              <w:spacing w:line="240" w:lineRule="auto" w:before="105"/>
              <w:ind w:left="159" w:right="0"/>
              <w:jc w:val="center"/>
              <w:rPr>
                <w:rFonts w:ascii="Times New Roman" w:hAnsi="Times New Roman" w:cs="Times New Roman" w:eastAsia="Times New Roman" w:hint="default"/>
                <w:sz w:val="18"/>
                <w:szCs w:val="18"/>
              </w:rPr>
            </w:pPr>
            <w:r>
              <w:rPr>
                <w:rFonts w:ascii="Times New Roman"/>
                <w:sz w:val="18"/>
              </w:rPr>
              <w:t>118.00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-17,783,6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60.26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1,090,549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9,814,9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44.69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261,670,9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51.84</w:t>
            </w:r>
          </w:p>
        </w:tc>
      </w:tr>
      <w:tr>
        <w:trPr>
          <w:trHeight w:val="713"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8"/>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10,905,</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494.10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10,905,49</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4.10</w:t>
            </w: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25,933,6</w:t>
            </w:r>
          </w:p>
          <w:p>
            <w:pPr>
              <w:pStyle w:val="TableParagraph"/>
              <w:spacing w:line="240" w:lineRule="auto" w:before="105"/>
              <w:ind w:left="260" w:right="0"/>
              <w:jc w:val="left"/>
              <w:rPr>
                <w:rFonts w:ascii="Times New Roman" w:hAnsi="Times New Roman" w:cs="Times New Roman" w:eastAsia="Times New Roman" w:hint="default"/>
                <w:sz w:val="18"/>
                <w:szCs w:val="18"/>
              </w:rPr>
            </w:pPr>
            <w:r>
              <w:rPr>
                <w:rFonts w:ascii="Times New Roman"/>
                <w:sz w:val="18"/>
              </w:rPr>
              <w:t>01.00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224,831,8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56.74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250,765,4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57.74</w:t>
            </w:r>
          </w:p>
        </w:tc>
      </w:tr>
      <w:tr>
        <w:trPr>
          <w:trHeight w:val="713"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7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25,933,6</w:t>
            </w:r>
          </w:p>
          <w:p>
            <w:pPr>
              <w:pStyle w:val="TableParagraph"/>
              <w:spacing w:line="240" w:lineRule="auto" w:before="102"/>
              <w:ind w:left="260" w:right="0"/>
              <w:jc w:val="left"/>
              <w:rPr>
                <w:rFonts w:ascii="Times New Roman" w:hAnsi="Times New Roman" w:cs="Times New Roman" w:eastAsia="Times New Roman" w:hint="default"/>
                <w:sz w:val="18"/>
                <w:szCs w:val="18"/>
              </w:rPr>
            </w:pPr>
            <w:r>
              <w:rPr>
                <w:rFonts w:ascii="Times New Roman"/>
                <w:sz w:val="18"/>
              </w:rPr>
              <w:t>01.00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224,831,8</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56.74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250,765,4</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57.74</w:t>
            </w: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7" w:type="dxa"/>
            <w:tcBorders>
              <w:top w:val="single" w:sz="4" w:space="0" w:color="000000"/>
              <w:left w:val="single" w:sz="4" w:space="0" w:color="000000"/>
              <w:bottom w:val="nil" w:sz="6" w:space="0" w:color="auto"/>
              <w:right w:val="single" w:sz="4" w:space="0" w:color="000000"/>
            </w:tcBorders>
            <w:shd w:val="clear" w:color="auto" w:fill="D4D4D4"/>
          </w:tcPr>
          <w:p>
            <w:pPr/>
          </w:p>
        </w:tc>
        <w:tc>
          <w:tcPr>
            <w:tcW w:w="702" w:type="dxa"/>
            <w:vMerge w:val="restart"/>
            <w:tcBorders>
              <w:top w:val="single" w:sz="4" w:space="0" w:color="000000"/>
              <w:left w:val="single" w:sz="10" w:space="0" w:color="D4D4D4"/>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1,090,549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.41</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-1,090,5</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49.41</w:t>
            </w:r>
          </w:p>
        </w:tc>
        <w:tc>
          <w:tcPr>
            <w:tcW w:w="780" w:type="dxa"/>
            <w:vMerge w:val="restart"/>
            <w:tcBorders>
              <w:top w:val="single" w:sz="4" w:space="0" w:color="000000"/>
              <w:left w:val="single" w:sz="4" w:space="0" w:color="000000"/>
              <w:right w:val="single" w:sz="4" w:space="0" w:color="000000"/>
            </w:tcBorders>
          </w:tcPr>
          <w:p>
            <w:pPr/>
          </w:p>
        </w:tc>
      </w:tr>
      <w:tr>
        <w:trPr>
          <w:trHeight w:val="391" w:hRule="exact"/>
        </w:trPr>
        <w:tc>
          <w:tcPr>
            <w:tcW w:w="141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2"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7" w:type="dxa"/>
            <w:tcBorders>
              <w:top w:val="nil" w:sz="6" w:space="0" w:color="auto"/>
              <w:left w:val="single" w:sz="4" w:space="0" w:color="000000"/>
              <w:bottom w:val="single" w:sz="4" w:space="0" w:color="000000"/>
              <w:right w:val="single" w:sz="4" w:space="0" w:color="000000"/>
            </w:tcBorders>
            <w:shd w:val="clear" w:color="auto" w:fill="D4D4D4"/>
          </w:tcPr>
          <w:p>
            <w:pPr/>
          </w:p>
        </w:tc>
        <w:tc>
          <w:tcPr>
            <w:tcW w:w="702"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61" w:hRule="exact"/>
        </w:trPr>
        <w:tc>
          <w:tcPr>
            <w:tcW w:w="1417" w:type="dxa"/>
            <w:tcBorders>
              <w:top w:val="single" w:sz="4" w:space="0" w:color="000000"/>
              <w:left w:val="single" w:sz="4" w:space="0" w:color="000000"/>
              <w:bottom w:val="nil" w:sz="6" w:space="0" w:color="auto"/>
              <w:right w:val="single" w:sz="4" w:space="0" w:color="000000"/>
            </w:tcBorders>
            <w:shd w:val="clear" w:color="auto" w:fill="D4D4D4"/>
          </w:tcPr>
          <w:p>
            <w:pPr/>
          </w:p>
        </w:tc>
        <w:tc>
          <w:tcPr>
            <w:tcW w:w="702" w:type="dxa"/>
            <w:vMerge w:val="restart"/>
            <w:tcBorders>
              <w:top w:val="single" w:sz="4" w:space="0" w:color="000000"/>
              <w:left w:val="single" w:sz="10" w:space="0" w:color="D4D4D4"/>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1,090,549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.41</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-1,090,5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49.41</w:t>
            </w:r>
          </w:p>
        </w:tc>
        <w:tc>
          <w:tcPr>
            <w:tcW w:w="780" w:type="dxa"/>
            <w:vMerge w:val="restart"/>
            <w:tcBorders>
              <w:top w:val="single" w:sz="4" w:space="0" w:color="000000"/>
              <w:left w:val="single" w:sz="4" w:space="0" w:color="000000"/>
              <w:right w:val="single" w:sz="4" w:space="0" w:color="000000"/>
            </w:tcBorders>
          </w:tcPr>
          <w:p>
            <w:pPr/>
          </w:p>
        </w:tc>
      </w:tr>
      <w:tr>
        <w:trPr>
          <w:trHeight w:val="394" w:hRule="exact"/>
        </w:trPr>
        <w:tc>
          <w:tcPr>
            <w:tcW w:w="141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2"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7" w:type="dxa"/>
            <w:tcBorders>
              <w:top w:val="nil" w:sz="6" w:space="0" w:color="auto"/>
              <w:left w:val="single" w:sz="4" w:space="0" w:color="000000"/>
              <w:bottom w:val="single" w:sz="4" w:space="0" w:color="000000"/>
              <w:right w:val="single" w:sz="4" w:space="0" w:color="000000"/>
            </w:tcBorders>
            <w:shd w:val="clear" w:color="auto" w:fill="D4D4D4"/>
          </w:tcPr>
          <w:p>
            <w:pPr/>
          </w:p>
        </w:tc>
        <w:tc>
          <w:tcPr>
            <w:tcW w:w="702"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242,615,</w:t>
            </w:r>
          </w:p>
          <w:p>
            <w:pPr>
              <w:pStyle w:val="TableParagraph"/>
              <w:spacing w:line="240" w:lineRule="auto" w:before="105"/>
              <w:ind w:left="148" w:right="0"/>
              <w:jc w:val="center"/>
              <w:rPr>
                <w:rFonts w:ascii="Times New Roman" w:hAnsi="Times New Roman" w:cs="Times New Roman" w:eastAsia="Times New Roman" w:hint="default"/>
                <w:sz w:val="18"/>
                <w:szCs w:val="18"/>
              </w:rPr>
            </w:pPr>
            <w:r>
              <w:rPr>
                <w:rFonts w:ascii="Times New Roman"/>
                <w:sz w:val="18"/>
              </w:rPr>
              <w:t>517.00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-242,615,</w:t>
            </w:r>
          </w:p>
          <w:p>
            <w:pPr>
              <w:pStyle w:val="TableParagraph"/>
              <w:spacing w:line="240" w:lineRule="auto" w:before="105"/>
              <w:ind w:left="249" w:right="0"/>
              <w:jc w:val="center"/>
              <w:rPr>
                <w:rFonts w:ascii="Times New Roman" w:hAnsi="Times New Roman" w:cs="Times New Roman" w:eastAsia="Times New Roman" w:hint="default"/>
                <w:sz w:val="18"/>
                <w:szCs w:val="18"/>
              </w:rPr>
            </w:pPr>
            <w:r>
              <w:rPr>
                <w:rFonts w:ascii="Times New Roman"/>
                <w:sz w:val="18"/>
              </w:rPr>
              <w:t>517.00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 w:right="0"/>
              <w:jc w:val="center"/>
              <w:rPr>
                <w:rFonts w:ascii="Times New Roman" w:hAnsi="Times New Roman" w:cs="Times New Roman" w:eastAsia="Times New Roman" w:hint="default"/>
                <w:sz w:val="18"/>
                <w:szCs w:val="18"/>
              </w:rPr>
            </w:pPr>
            <w:r>
              <w:rPr>
                <w:rFonts w:ascii="Times New Roman"/>
                <w:sz w:val="18"/>
              </w:rPr>
              <w:t>242,615,</w:t>
            </w:r>
          </w:p>
          <w:p>
            <w:pPr>
              <w:pStyle w:val="TableParagraph"/>
              <w:spacing w:line="240" w:lineRule="auto" w:before="102"/>
              <w:ind w:left="148" w:right="0"/>
              <w:jc w:val="center"/>
              <w:rPr>
                <w:rFonts w:ascii="Times New Roman" w:hAnsi="Times New Roman" w:cs="Times New Roman" w:eastAsia="Times New Roman" w:hint="default"/>
                <w:sz w:val="18"/>
                <w:szCs w:val="18"/>
              </w:rPr>
            </w:pPr>
            <w:r>
              <w:rPr>
                <w:rFonts w:ascii="Times New Roman"/>
                <w:sz w:val="18"/>
              </w:rPr>
              <w:t>517.00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center"/>
              <w:rPr>
                <w:rFonts w:ascii="Times New Roman" w:hAnsi="Times New Roman" w:cs="Times New Roman" w:eastAsia="Times New Roman" w:hint="default"/>
                <w:sz w:val="18"/>
                <w:szCs w:val="18"/>
              </w:rPr>
            </w:pPr>
            <w:r>
              <w:rPr>
                <w:rFonts w:ascii="Times New Roman"/>
                <w:sz w:val="18"/>
              </w:rPr>
              <w:t>-242,615,</w:t>
            </w:r>
          </w:p>
          <w:p>
            <w:pPr>
              <w:pStyle w:val="TableParagraph"/>
              <w:spacing w:line="240" w:lineRule="auto" w:before="102"/>
              <w:ind w:left="249" w:right="0"/>
              <w:jc w:val="center"/>
              <w:rPr>
                <w:rFonts w:ascii="Times New Roman" w:hAnsi="Times New Roman" w:cs="Times New Roman" w:eastAsia="Times New Roman" w:hint="default"/>
                <w:sz w:val="18"/>
                <w:szCs w:val="18"/>
              </w:rPr>
            </w:pPr>
            <w:r>
              <w:rPr>
                <w:rFonts w:ascii="Times New Roman"/>
                <w:sz w:val="18"/>
              </w:rPr>
              <w:t>517.00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511,164,</w:t>
            </w:r>
          </w:p>
          <w:p>
            <w:pPr>
              <w:pStyle w:val="TableParagraph"/>
              <w:spacing w:line="240" w:lineRule="auto" w:before="105"/>
              <w:ind w:left="148" w:right="0"/>
              <w:jc w:val="center"/>
              <w:rPr>
                <w:rFonts w:ascii="Times New Roman" w:hAnsi="Times New Roman" w:cs="Times New Roman" w:eastAsia="Times New Roman" w:hint="default"/>
                <w:sz w:val="18"/>
                <w:szCs w:val="18"/>
              </w:rPr>
            </w:pPr>
            <w:r>
              <w:rPr>
                <w:rFonts w:ascii="Times New Roman"/>
                <w:sz w:val="18"/>
              </w:rPr>
              <w:t>635.00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674,120,0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82.82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15,311,84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9.84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108,354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,338.20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1,308,950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,905.86</w:t>
            </w:r>
          </w:p>
        </w:tc>
      </w:tr>
    </w:tbl>
    <w:p>
      <w:pPr>
        <w:spacing w:line="240" w:lineRule="auto" w:before="1"/>
        <w:rPr>
          <w:rFonts w:ascii="宋体" w:hAnsi="宋体" w:cs="宋体" w:eastAsia="宋体" w:hint="default"/>
          <w:sz w:val="18"/>
          <w:szCs w:val="18"/>
        </w:rPr>
      </w:pPr>
    </w:p>
    <w:p>
      <w:pPr>
        <w:pStyle w:val="Heading2"/>
        <w:spacing w:line="240" w:lineRule="auto" w:before="26"/>
        <w:ind w:right="982"/>
        <w:jc w:val="left"/>
        <w:rPr>
          <w:b w:val="0"/>
          <w:bCs w:val="0"/>
        </w:rPr>
      </w:pPr>
      <w:bookmarkStart w:name="三、公司基本情况" w:id="165"/>
      <w:bookmarkEnd w:id="165"/>
      <w:r>
        <w:rPr>
          <w:b w:val="0"/>
          <w:bCs w:val="0"/>
        </w:rPr>
      </w:r>
      <w:r>
        <w:rPr/>
        <w:t>三、公司基本情况</w:t>
      </w:r>
      <w:r>
        <w:rPr>
          <w:b w:val="0"/>
          <w:bCs w:val="0"/>
        </w:rPr>
      </w:r>
    </w:p>
    <w:p>
      <w:pPr>
        <w:spacing w:line="240" w:lineRule="auto" w:before="4"/>
        <w:rPr>
          <w:rFonts w:ascii="宋体" w:hAnsi="宋体" w:cs="宋体" w:eastAsia="宋体" w:hint="default"/>
          <w:b/>
          <w:bCs/>
          <w:sz w:val="26"/>
          <w:szCs w:val="26"/>
        </w:rPr>
      </w:pPr>
    </w:p>
    <w:p>
      <w:pPr>
        <w:pStyle w:val="BodyText"/>
        <w:spacing w:line="300" w:lineRule="auto" w:before="0"/>
        <w:ind w:right="1133" w:firstLine="360"/>
        <w:jc w:val="both"/>
      </w:pPr>
      <w:r>
        <w:rPr/>
        <w:t>江苏五洋停车产业集团股份有限公司（以下简称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）前身系徐州五洋科技有限公司（以下简称</w:t>
      </w:r>
      <w:r>
        <w:rPr>
          <w:rFonts w:ascii="Times New Roman" w:hAnsi="Times New Roman" w:cs="Times New Roman" w:eastAsia="Times New Roman" w:hint="default"/>
        </w:rPr>
        <w:t>“</w:t>
      </w:r>
      <w:r>
        <w:rPr/>
        <w:t>五洋有 </w:t>
      </w:r>
      <w:r>
        <w:rPr>
          <w:spacing w:val="-2"/>
        </w:rPr>
        <w:t>限公司</w:t>
      </w:r>
      <w:r>
        <w:rPr>
          <w:rFonts w:ascii="Times New Roman" w:hAnsi="Times New Roman" w:cs="Times New Roman" w:eastAsia="Times New Roman" w:hint="default"/>
          <w:spacing w:val="-2"/>
        </w:rPr>
        <w:t>”</w:t>
      </w:r>
      <w:r>
        <w:rPr>
          <w:spacing w:val="-2"/>
        </w:rPr>
        <w:t>），五洋有限公司系由自然人孙丹瑞和侯宝土共同出资组建，于</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22</w:t>
      </w:r>
      <w:r>
        <w:rPr>
          <w:spacing w:val="-2"/>
        </w:rPr>
        <w:t>日在江苏省徐州工商行政管理局登记注</w:t>
      </w:r>
      <w:r>
        <w:rPr>
          <w:spacing w:val="-50"/>
        </w:rPr>
        <w:t> </w:t>
      </w:r>
      <w:r>
        <w:rPr>
          <w:spacing w:val="-50"/>
        </w:rPr>
      </w:r>
      <w:r>
        <w:rPr/>
        <w:t>册，取得注册号为</w:t>
      </w:r>
      <w:r>
        <w:rPr>
          <w:rFonts w:ascii="Times New Roman" w:hAnsi="Times New Roman" w:cs="Times New Roman" w:eastAsia="Times New Roman" w:hint="default"/>
        </w:rPr>
        <w:t>3203002105105</w:t>
      </w:r>
      <w:r>
        <w:rPr/>
        <w:t>的企业法人营业执照，设立时注册资本</w:t>
      </w:r>
      <w:r>
        <w:rPr>
          <w:rFonts w:ascii="Times New Roman" w:hAnsi="Times New Roman" w:cs="Times New Roman" w:eastAsia="Times New Roman" w:hint="default"/>
        </w:rPr>
        <w:t>50</w:t>
      </w:r>
      <w:r>
        <w:rPr/>
        <w:t>万元。</w:t>
      </w:r>
    </w:p>
    <w:p>
      <w:pPr>
        <w:pStyle w:val="BodyText"/>
        <w:spacing w:line="300" w:lineRule="auto" w:before="13"/>
        <w:ind w:right="1131" w:firstLine="360"/>
        <w:jc w:val="both"/>
      </w:pPr>
      <w:r>
        <w:rPr/>
        <w:t>五洋有限公司以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日为基准日整体变更为股份有限公司，于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14</w:t>
      </w:r>
      <w:r>
        <w:rPr/>
        <w:t>日在江苏省徐州工商行政管理局登 记注册，现持有统一社会信用代码为</w:t>
      </w:r>
      <w:r>
        <w:rPr>
          <w:rFonts w:ascii="Times New Roman" w:hAnsi="Times New Roman" w:cs="Times New Roman" w:eastAsia="Times New Roman" w:hint="default"/>
        </w:rPr>
        <w:t>9132030072931977X4</w:t>
      </w:r>
      <w:r>
        <w:rPr/>
        <w:t>的营业执照。公司现有注册资本人民币</w:t>
      </w:r>
      <w:r>
        <w:rPr>
          <w:rFonts w:ascii="Times New Roman" w:hAnsi="Times New Roman" w:cs="Times New Roman" w:eastAsia="Times New Roman" w:hint="default"/>
        </w:rPr>
        <w:t>715,630,489.00</w:t>
      </w:r>
      <w:r>
        <w:rPr/>
        <w:t>元，股份总 </w:t>
      </w:r>
      <w:r>
        <w:rPr>
          <w:spacing w:val="-2"/>
        </w:rPr>
        <w:t>数</w:t>
      </w:r>
      <w:r>
        <w:rPr>
          <w:rFonts w:ascii="Times New Roman" w:hAnsi="Times New Roman" w:cs="Times New Roman" w:eastAsia="Times New Roman" w:hint="default"/>
          <w:spacing w:val="-2"/>
        </w:rPr>
        <w:t>715,630,489</w:t>
      </w:r>
      <w:r>
        <w:rPr>
          <w:spacing w:val="-2"/>
        </w:rPr>
        <w:t>股（每股面值</w:t>
      </w:r>
      <w:r>
        <w:rPr>
          <w:rFonts w:ascii="Times New Roman" w:hAnsi="Times New Roman" w:cs="Times New Roman" w:eastAsia="Times New Roman" w:hint="default"/>
          <w:spacing w:val="-2"/>
        </w:rPr>
        <w:t>1</w:t>
      </w:r>
      <w:r>
        <w:rPr>
          <w:spacing w:val="-2"/>
        </w:rPr>
        <w:t>元），其中有限售条件的流通股份：</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290,392,561</w:t>
      </w:r>
      <w:r>
        <w:rPr>
          <w:spacing w:val="-2"/>
        </w:rPr>
        <w:t>股，无限售条件的流通股份</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425,237,928</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t>股。公司股票已于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17</w:t>
      </w:r>
      <w:r>
        <w:rPr/>
        <w:t>日在深圳证券交易所挂牌交易。公司总部位于江苏省徐州市。</w:t>
      </w:r>
    </w:p>
    <w:p>
      <w:pPr>
        <w:pStyle w:val="BodyText"/>
        <w:spacing w:line="312" w:lineRule="auto" w:before="13"/>
        <w:ind w:right="1026" w:firstLine="360"/>
        <w:jc w:val="left"/>
      </w:pPr>
      <w:r>
        <w:rPr>
          <w:spacing w:val="-2"/>
        </w:rPr>
        <w:t>本公司属专用设备制造行业。主要经营活动为机械式停车设备、自动化设备研发、制造、销售、技术服务；停车场管理</w:t>
      </w:r>
      <w:r>
        <w:rPr/>
        <w:t> 服务；信息系统集成服务；机电设备及配件</w:t>
      </w:r>
      <w:r>
        <w:rPr>
          <w:rFonts w:ascii="Times New Roman" w:hAnsi="Times New Roman" w:cs="Times New Roman" w:eastAsia="Times New Roman" w:hint="default"/>
        </w:rPr>
        <w:t>(</w:t>
      </w:r>
      <w:r>
        <w:rPr/>
        <w:t>专营除外</w:t>
      </w:r>
      <w:r>
        <w:rPr>
          <w:rFonts w:ascii="Times New Roman" w:hAnsi="Times New Roman" w:cs="Times New Roman" w:eastAsia="Times New Roman" w:hint="default"/>
        </w:rPr>
        <w:t>)</w:t>
      </w:r>
      <w:r>
        <w:rPr/>
        <w:t>、矿山机械设备及配件、液压设备及配件、环保专用设备及配件、洗 </w:t>
      </w:r>
      <w:r>
        <w:rPr>
          <w:spacing w:val="-2"/>
        </w:rPr>
        <w:t>选设备及配件、管型母线、电力控制与保护设备及配件的研制、生产、销售、安装、维护、租赁及技术服务</w:t>
      </w:r>
      <w:r>
        <w:rPr>
          <w:rFonts w:ascii="Times New Roman" w:hAnsi="Times New Roman" w:cs="Times New Roman" w:eastAsia="Times New Roman" w:hint="default"/>
          <w:spacing w:val="-2"/>
        </w:rPr>
        <w:t>(</w:t>
      </w:r>
      <w:r>
        <w:rPr>
          <w:spacing w:val="-2"/>
        </w:rPr>
        <w:t>专项审批除外</w:t>
      </w:r>
      <w:r>
        <w:rPr>
          <w:rFonts w:ascii="Times New Roman" w:hAnsi="Times New Roman" w:cs="Times New Roman" w:eastAsia="Times New Roman" w:hint="default"/>
          <w:spacing w:val="-2"/>
        </w:rPr>
        <w:t>)</w:t>
      </w:r>
      <w:r>
        <w:rPr>
          <w:spacing w:val="-2"/>
        </w:rPr>
        <w:t>；</w:t>
      </w:r>
      <w:r>
        <w:rPr/>
        <w:t> </w:t>
      </w:r>
      <w:r>
        <w:rPr>
          <w:spacing w:val="-4"/>
        </w:rPr>
        <w:t>软件的开发、销售、安装及技术服务；房屋租赁；道路普通货物运输。产品主要有：张紧装置、制动装置、给料机和搅拌站、</w:t>
      </w:r>
      <w:r>
        <w:rPr>
          <w:spacing w:val="-46"/>
        </w:rPr>
        <w:t> </w:t>
      </w:r>
      <w:r>
        <w:rPr>
          <w:spacing w:val="-46"/>
        </w:rPr>
      </w:r>
      <w:r>
        <w:rPr>
          <w:spacing w:val="-2"/>
        </w:rPr>
        <w:t>工业机器人成套生产线、智能化机械式停车设备、物流及智能仓储系统等专用设备的研发、生产、销售和维修，以及融资租</w:t>
      </w:r>
      <w:r>
        <w:rPr>
          <w:spacing w:val="-65"/>
        </w:rPr>
        <w:t> </w:t>
      </w:r>
      <w:r>
        <w:rPr>
          <w:spacing w:val="-65"/>
        </w:rPr>
      </w:r>
      <w:r>
        <w:rPr/>
        <w:t>赁业务。</w:t>
      </w:r>
    </w:p>
    <w:p>
      <w:pPr>
        <w:pStyle w:val="BodyText"/>
        <w:spacing w:line="240" w:lineRule="auto" w:before="22"/>
        <w:ind w:right="982"/>
        <w:jc w:val="left"/>
      </w:pPr>
      <w:r>
        <w:rPr/>
        <w:t>本财务报表业经公司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日第三届董事会第十四次会议审议批准对外报出。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6"/>
          <w:szCs w:val="16"/>
        </w:rPr>
      </w:pPr>
    </w:p>
    <w:p>
      <w:pPr>
        <w:pStyle w:val="BodyText"/>
        <w:spacing w:line="240" w:lineRule="auto" w:before="0"/>
        <w:ind w:left="440" w:right="982"/>
        <w:jc w:val="left"/>
      </w:pPr>
      <w:r>
        <w:rPr/>
        <w:t>本公司将徐州五洋科技有限公司、江苏天沃重工科技有限公司、江苏五岳科技实业有限公司、深圳市伟创自动化设备有</w:t>
      </w:r>
    </w:p>
    <w:p>
      <w:pPr>
        <w:spacing w:after="0" w:line="240" w:lineRule="auto"/>
        <w:jc w:val="left"/>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314" w:lineRule="auto"/>
        <w:ind w:right="1130"/>
        <w:jc w:val="both"/>
      </w:pPr>
      <w:r>
        <w:rPr>
          <w:spacing w:val="-2"/>
        </w:rPr>
        <w:t>限公司、广东伟创五洋智能设备有限公司、东莞市伟创华鑫自动化设备有限公司、北京伟创停车场管理有限公司、合肥市伟</w:t>
      </w:r>
      <w:r>
        <w:rPr>
          <w:spacing w:val="-65"/>
        </w:rPr>
        <w:t> </w:t>
      </w:r>
      <w:r>
        <w:rPr>
          <w:spacing w:val="-65"/>
        </w:rPr>
      </w:r>
      <w:r>
        <w:rPr>
          <w:spacing w:val="-2"/>
        </w:rPr>
        <w:t>创自动化设备有限公司、山东天辰智能停车有限公司、江西泰壬科技有限公司、安徽惠邦融资租赁有限公司、北京联合智能</w:t>
      </w:r>
      <w:r>
        <w:rPr>
          <w:spacing w:val="-65"/>
        </w:rPr>
        <w:t> </w:t>
      </w:r>
      <w:r>
        <w:rPr>
          <w:spacing w:val="-65"/>
        </w:rPr>
      </w:r>
      <w:r>
        <w:rPr>
          <w:spacing w:val="-2"/>
        </w:rPr>
        <w:t>科技有限公司、深圳市前海弘毅华浩投资有限公司、北京华逸奇科贸有限公司、同方佰宜科技（北京）有限公司、昆明五洋</w:t>
      </w:r>
      <w:r>
        <w:rPr>
          <w:spacing w:val="-70"/>
        </w:rPr>
        <w:t> </w:t>
      </w:r>
      <w:r>
        <w:rPr>
          <w:spacing w:val="-70"/>
        </w:rPr>
      </w:r>
      <w:r>
        <w:rPr>
          <w:spacing w:val="-2"/>
        </w:rPr>
        <w:t>伟创停车服务有限公司、南昌市青云市政运营有限公司、沈阳市五洋恒信泊车有限公司、抚州五洋智慧交通产业发展有限公</w:t>
      </w:r>
      <w:r>
        <w:rPr>
          <w:spacing w:val="-63"/>
        </w:rPr>
        <w:t> </w:t>
      </w:r>
      <w:r>
        <w:rPr>
          <w:spacing w:val="-63"/>
        </w:rPr>
      </w:r>
      <w:r>
        <w:rPr>
          <w:spacing w:val="-2"/>
        </w:rPr>
        <w:t>司、徐州疌盛五洋智能装备产业基金合伙企业（有限合伙）等</w:t>
      </w:r>
      <w:r>
        <w:rPr>
          <w:rFonts w:ascii="Times New Roman" w:hAnsi="Times New Roman" w:cs="Times New Roman" w:eastAsia="Times New Roman" w:hint="default"/>
          <w:spacing w:val="-2"/>
        </w:rPr>
        <w:t>20</w:t>
      </w:r>
      <w:r>
        <w:rPr>
          <w:spacing w:val="-2"/>
        </w:rPr>
        <w:t>家子公司纳入本期合并财务报表范围。情况详见本财务报表</w:t>
      </w:r>
      <w:r>
        <w:rPr>
          <w:spacing w:val="-63"/>
        </w:rPr>
        <w:t> </w:t>
      </w:r>
      <w:r>
        <w:rPr>
          <w:spacing w:val="-63"/>
        </w:rPr>
      </w:r>
      <w:r>
        <w:rPr/>
        <w:t>附注合并范围的变更和在其他主体中的权益之说明。</w:t>
      </w:r>
    </w:p>
    <w:p>
      <w:pPr>
        <w:spacing w:line="240" w:lineRule="auto" w:before="0"/>
        <w:rPr>
          <w:rFonts w:ascii="宋体" w:hAnsi="宋体" w:cs="宋体" w:eastAsia="宋体" w:hint="default"/>
          <w:sz w:val="21"/>
          <w:szCs w:val="21"/>
        </w:rPr>
      </w:pPr>
    </w:p>
    <w:p>
      <w:pPr>
        <w:pStyle w:val="Heading2"/>
        <w:spacing w:line="240" w:lineRule="auto"/>
        <w:ind w:right="0"/>
        <w:jc w:val="both"/>
        <w:rPr>
          <w:b w:val="0"/>
          <w:bCs w:val="0"/>
        </w:rPr>
      </w:pPr>
      <w:bookmarkStart w:name="四、财务报表的编制基础" w:id="166"/>
      <w:bookmarkEnd w:id="166"/>
      <w:r>
        <w:rPr>
          <w:b w:val="0"/>
          <w:bCs w:val="0"/>
        </w:rPr>
      </w: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bookmarkStart w:name="1、编制基础" w:id="167"/>
      <w:bookmarkEnd w:id="167"/>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572" w:right="982"/>
        <w:jc w:val="left"/>
      </w:pPr>
      <w:r>
        <w:rPr/>
        <w:t>本公司财务报表以持续经营为编制基础。</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bookmarkStart w:name="2、持续经营" w:id="168"/>
      <w:bookmarkEnd w:id="168"/>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512" w:right="982"/>
        <w:jc w:val="left"/>
      </w:pPr>
      <w:r>
        <w:rPr/>
        <w:t>本公司不存在导致对报告期末起</w:t>
      </w:r>
      <w:r>
        <w:rPr>
          <w:rFonts w:ascii="Times New Roman" w:hAnsi="Times New Roman" w:cs="Times New Roman" w:eastAsia="Times New Roman" w:hint="default"/>
        </w:rPr>
        <w:t>12</w:t>
      </w:r>
      <w:r>
        <w:rPr/>
        <w:t>个月内的持续经营能力产生重大疑虑的事项或情况。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3"/>
          <w:szCs w:val="23"/>
        </w:rPr>
      </w:pPr>
    </w:p>
    <w:p>
      <w:pPr>
        <w:pStyle w:val="Heading2"/>
        <w:spacing w:line="240" w:lineRule="auto"/>
        <w:ind w:right="0"/>
        <w:jc w:val="both"/>
        <w:rPr>
          <w:b w:val="0"/>
          <w:bCs w:val="0"/>
        </w:rPr>
      </w:pPr>
      <w:bookmarkStart w:name="五、重要会计政策及会计估计" w:id="169"/>
      <w:bookmarkEnd w:id="169"/>
      <w:r>
        <w:rPr>
          <w:b w:val="0"/>
          <w:bCs w:val="0"/>
        </w:rPr>
      </w: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before="0"/>
        <w:ind w:right="7694"/>
        <w:jc w:val="left"/>
      </w:pPr>
      <w:r>
        <w:rPr/>
        <w:t>公司是否需要遵守特殊行业的披露要求 否</w:t>
      </w:r>
    </w:p>
    <w:p>
      <w:pPr>
        <w:pStyle w:val="BodyText"/>
        <w:spacing w:line="360" w:lineRule="auto" w:before="25"/>
        <w:ind w:left="440" w:right="982" w:hanging="288"/>
        <w:jc w:val="left"/>
      </w:pPr>
      <w:r>
        <w:rPr/>
        <w:t>具体会计政策和会计估计提示： </w:t>
      </w:r>
      <w:r>
        <w:rPr>
          <w:spacing w:val="-1"/>
        </w:rPr>
        <w:t>本公司根据实际生产经营特点针对应收款项坏账准备计提、固定资产折旧、无形资产摊销、收入确认等交易或事项制定</w:t>
      </w:r>
    </w:p>
    <w:p>
      <w:pPr>
        <w:pStyle w:val="BodyText"/>
        <w:spacing w:line="222" w:lineRule="exact" w:before="0"/>
        <w:ind w:right="0"/>
        <w:jc w:val="both"/>
      </w:pPr>
      <w:r>
        <w:rPr/>
        <w:t>了具体会计政策和会计估计。</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bookmarkStart w:name="1、遵循企业会计准则的声明" w:id="170"/>
      <w:bookmarkEnd w:id="170"/>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982" w:firstLine="360"/>
        <w:jc w:val="left"/>
      </w:pPr>
      <w:r>
        <w:rPr>
          <w:spacing w:val="-2"/>
        </w:rPr>
        <w:t>本公司所编制的财务报表符合企业会计准则的要求，真实、完整地反映了公司的财务状况、经营成果和现金流量等有关</w:t>
      </w:r>
      <w:r>
        <w:rPr/>
        <w:t> 信息。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6"/>
          <w:szCs w:val="16"/>
        </w:rPr>
      </w:pPr>
    </w:p>
    <w:p>
      <w:pPr>
        <w:pStyle w:val="Heading3"/>
        <w:spacing w:line="240" w:lineRule="auto"/>
        <w:ind w:right="0"/>
        <w:jc w:val="both"/>
        <w:rPr>
          <w:b w:val="0"/>
          <w:bCs w:val="0"/>
        </w:rPr>
      </w:pPr>
      <w:bookmarkStart w:name="2、会计期间" w:id="171"/>
      <w:bookmarkEnd w:id="171"/>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440" w:right="982"/>
        <w:jc w:val="left"/>
      </w:pPr>
      <w:r>
        <w:rPr/>
        <w:t>会计年度自公历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9"/>
          <w:szCs w:val="19"/>
        </w:rPr>
      </w:pPr>
    </w:p>
    <w:p>
      <w:pPr>
        <w:pStyle w:val="Heading3"/>
        <w:spacing w:line="240" w:lineRule="auto"/>
        <w:ind w:right="0"/>
        <w:jc w:val="both"/>
        <w:rPr>
          <w:b w:val="0"/>
          <w:bCs w:val="0"/>
        </w:rPr>
      </w:pPr>
      <w:bookmarkStart w:name="3、营业周期" w:id="172"/>
      <w:bookmarkEnd w:id="172"/>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320" w:right="982"/>
        <w:jc w:val="left"/>
      </w:pPr>
      <w:r>
        <w:rPr/>
        <w:t>公司经营业务的营业周期较短，以</w:t>
      </w:r>
      <w:r>
        <w:rPr>
          <w:rFonts w:ascii="Times New Roman" w:hAnsi="Times New Roman" w:cs="Times New Roman" w:eastAsia="Times New Roman" w:hint="default"/>
        </w:rPr>
        <w:t>12</w:t>
      </w:r>
      <w:r>
        <w:rPr/>
        <w:t>个月作为资产和负债的流动性划分标准。</w:t>
      </w:r>
    </w:p>
    <w:p>
      <w:pPr>
        <w:spacing w:after="0" w:line="240" w:lineRule="auto"/>
        <w:jc w:val="left"/>
        <w:sectPr>
          <w:pgSz w:w="11910" w:h="16840"/>
          <w:pgMar w:header="745"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bookmarkStart w:name="4、记账本位币" w:id="173"/>
      <w:bookmarkEnd w:id="173"/>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left="572" w:right="982"/>
        <w:jc w:val="left"/>
        <w:rPr>
          <w:sz w:val="21"/>
          <w:szCs w:val="21"/>
        </w:rPr>
      </w:pPr>
      <w:r>
        <w:rPr/>
        <w:t>采用人民币为记账本位币</w:t>
      </w:r>
      <w:r>
        <w:rPr>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3"/>
        <w:spacing w:line="240" w:lineRule="auto"/>
        <w:ind w:right="982"/>
        <w:jc w:val="left"/>
        <w:rPr>
          <w:b w:val="0"/>
          <w:bCs w:val="0"/>
        </w:rPr>
      </w:pPr>
      <w:bookmarkStart w:name="5、同一控制下和非同一控制下企业合并的会计处理方法" w:id="174"/>
      <w:bookmarkEnd w:id="174"/>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00" w:lineRule="auto" w:before="0"/>
        <w:ind w:left="512" w:right="98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同一控制下企业合并的会计处理方法 </w:t>
      </w:r>
      <w:r>
        <w:rPr>
          <w:spacing w:val="-2"/>
        </w:rPr>
        <w:t>公司在企业合并中取得的资产和负债，按照合并日被合并方在最终控制方合并财务报表中的账面价值计量。公司按照被</w:t>
      </w:r>
    </w:p>
    <w:p>
      <w:pPr>
        <w:pStyle w:val="BodyText"/>
        <w:spacing w:line="316" w:lineRule="auto" w:before="31"/>
        <w:ind w:right="982"/>
        <w:jc w:val="left"/>
      </w:pPr>
      <w:r>
        <w:rPr>
          <w:spacing w:val="-2"/>
        </w:rPr>
        <w:t>合并方所有者权益在最终控制方合并财务报表中的账面价值份额与支付的合并对价账面价值或发行股份面值总额的差额，调</w:t>
      </w:r>
      <w:r>
        <w:rPr>
          <w:spacing w:val="-64"/>
        </w:rPr>
        <w:t> </w:t>
      </w:r>
      <w:r>
        <w:rPr>
          <w:spacing w:val="-64"/>
        </w:rPr>
      </w:r>
      <w:r>
        <w:rPr/>
        <w:t>整资本公积；资本公积不足冲减的，调整留存收益。</w:t>
      </w:r>
    </w:p>
    <w:p>
      <w:pPr>
        <w:pStyle w:val="BodyText"/>
        <w:spacing w:line="314" w:lineRule="auto" w:before="18"/>
        <w:ind w:right="982" w:firstLine="36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非同一控制下企业合并的会计处理方法 </w:t>
      </w:r>
      <w:r>
        <w:rPr>
          <w:spacing w:val="-2"/>
        </w:rPr>
        <w:t>公司在购买日对合并成本大于合并中取得的被购买方可辨认净资产公允价值份额的差额，确认为商誉；如果合并成本小于合</w:t>
      </w:r>
      <w:r>
        <w:rPr>
          <w:spacing w:val="-64"/>
        </w:rPr>
        <w:t> </w:t>
      </w:r>
      <w:r>
        <w:rPr>
          <w:spacing w:val="-64"/>
        </w:rPr>
      </w:r>
      <w:r>
        <w:rPr>
          <w:spacing w:val="-2"/>
        </w:rPr>
        <w:t>并中取得的被购买方可辨认净资产公允价值份额，首先对取得的被购买方各项可辨认资产、负债及或有负债的公允价值以及</w:t>
      </w:r>
      <w:r>
        <w:rPr>
          <w:spacing w:val="-64"/>
        </w:rPr>
        <w:t> </w:t>
      </w:r>
      <w:r>
        <w:rPr>
          <w:spacing w:val="-64"/>
        </w:rPr>
      </w:r>
      <w:r>
        <w:rPr>
          <w:spacing w:val="-2"/>
        </w:rPr>
        <w:t>合并成本的计量进行复核，经复核后合并成本仍小于合并中取得的被购买方可辨认净资产公允价值份额的，其差额计入当期</w:t>
      </w:r>
      <w:r>
        <w:rPr>
          <w:spacing w:val="-64"/>
        </w:rPr>
        <w:t> </w:t>
      </w:r>
      <w:r>
        <w:rPr>
          <w:spacing w:val="-64"/>
        </w:rPr>
      </w:r>
      <w:r>
        <w:rPr/>
        <w:t>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8"/>
          <w:szCs w:val="18"/>
        </w:rPr>
      </w:pPr>
    </w:p>
    <w:p>
      <w:pPr>
        <w:pStyle w:val="Heading3"/>
        <w:spacing w:line="240" w:lineRule="auto"/>
        <w:ind w:right="982"/>
        <w:jc w:val="left"/>
        <w:rPr>
          <w:b w:val="0"/>
          <w:bCs w:val="0"/>
        </w:rPr>
      </w:pPr>
      <w:bookmarkStart w:name="6、合并财务报表的编制方法" w:id="175"/>
      <w:bookmarkEnd w:id="175"/>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982" w:firstLine="420"/>
        <w:jc w:val="left"/>
      </w:pPr>
      <w:r>
        <w:rPr/>
        <w:t>母公司将其控制的所有子公司纳入合并财务报表的合并范围。合并财务报表以母公司及其子公司的财务报表为基础， 根据其他有关资料，由母公司按照《企业会计准则第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合并财务报表》编制。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4"/>
          <w:szCs w:val="14"/>
        </w:rPr>
      </w:pPr>
    </w:p>
    <w:p>
      <w:pPr>
        <w:pStyle w:val="Heading3"/>
        <w:spacing w:line="240" w:lineRule="auto"/>
        <w:ind w:right="982"/>
        <w:jc w:val="left"/>
        <w:rPr>
          <w:b w:val="0"/>
          <w:bCs w:val="0"/>
        </w:rPr>
      </w:pPr>
      <w:bookmarkStart w:name="7、合营安排分类及共同经营会计处理方法" w:id="176"/>
      <w:bookmarkEnd w:id="176"/>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2"/>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bookmarkStart w:name="8、现金及现金等价物的确定标准" w:id="177"/>
      <w:bookmarkEnd w:id="177"/>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982" w:firstLine="419"/>
        <w:jc w:val="left"/>
      </w:pPr>
      <w:r>
        <w:rPr/>
        <w:t>列示于现金流量表中的现金是指库存现金以及可以随时用于支付的存款。现金等价物是指企业持有的期限短、流动性 强、易于转换为已知金额现金、价值变动风险很小的投资。</w:t>
      </w:r>
    </w:p>
    <w:p>
      <w:pPr>
        <w:spacing w:after="0" w:line="316" w:lineRule="auto"/>
        <w:jc w:val="left"/>
        <w:sectPr>
          <w:pgSz w:w="11910" w:h="16840"/>
          <w:pgMar w:header="745"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bookmarkStart w:name="9、外币业务和外币报表折算" w:id="178"/>
      <w:bookmarkEnd w:id="178"/>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30" w:firstLine="288"/>
        <w:jc w:val="both"/>
      </w:pPr>
      <w:r>
        <w:rPr>
          <w:spacing w:val="-1"/>
        </w:rPr>
        <w:t>外币交易在初始确认时，采用交易发生日即期汇率的近似汇率折算为人民币金额。资产负债表日，外币货币性项目采用</w:t>
      </w:r>
      <w:r>
        <w:rPr/>
        <w:t> </w:t>
      </w:r>
      <w:r>
        <w:rPr>
          <w:spacing w:val="-2"/>
        </w:rPr>
        <w:t>资产负债表日即期汇率折算，因汇率不同而产生的汇兑差额，除与购建符合资本化条件资产有关的外币专门借款本金及利息</w:t>
      </w:r>
      <w:r>
        <w:rPr>
          <w:spacing w:val="-64"/>
        </w:rPr>
        <w:t> </w:t>
      </w:r>
      <w:r>
        <w:rPr>
          <w:spacing w:val="-64"/>
        </w:rPr>
      </w:r>
      <w:r>
        <w:rPr>
          <w:spacing w:val="-2"/>
        </w:rPr>
        <w:t>的汇兑差额外，计入当期损益；以历史成本计量的外币非货币性项目仍采用交易发生日即期汇率的近似汇率折算，不改变其</w:t>
      </w:r>
      <w:r>
        <w:rPr>
          <w:spacing w:val="-63"/>
        </w:rPr>
        <w:t> </w:t>
      </w:r>
      <w:r>
        <w:rPr>
          <w:spacing w:val="-63"/>
        </w:rPr>
      </w:r>
      <w:r>
        <w:rPr>
          <w:spacing w:val="-2"/>
        </w:rPr>
        <w:t>人民币金额；以公允价值计量的外币非货币性项目，采用公允价值确定日的即期汇率折算，差额计入当期损益或其他综合收</w:t>
      </w:r>
      <w:r>
        <w:rPr>
          <w:spacing w:val="-63"/>
        </w:rPr>
        <w:t> </w:t>
      </w:r>
      <w:r>
        <w:rPr>
          <w:spacing w:val="-63"/>
        </w:rPr>
      </w:r>
      <w:r>
        <w:rPr/>
        <w:t>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0"/>
        <w:jc w:val="both"/>
        <w:rPr>
          <w:b w:val="0"/>
          <w:bCs w:val="0"/>
        </w:rPr>
      </w:pPr>
      <w:bookmarkStart w:name="10、金融工具" w:id="179"/>
      <w:bookmarkEnd w:id="179"/>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2"/>
        <w:rPr>
          <w:rFonts w:ascii="宋体" w:hAnsi="宋体" w:cs="宋体" w:eastAsia="宋体" w:hint="default"/>
          <w:b/>
          <w:bCs/>
          <w:sz w:val="26"/>
          <w:szCs w:val="26"/>
        </w:rPr>
      </w:pPr>
    </w:p>
    <w:p>
      <w:pPr>
        <w:pStyle w:val="BodyText"/>
        <w:spacing w:line="300" w:lineRule="auto" w:before="0"/>
        <w:ind w:left="512" w:right="982"/>
        <w:jc w:val="left"/>
      </w:pPr>
      <w:r>
        <w:rPr>
          <w:rFonts w:ascii="Times New Roman" w:hAnsi="Times New Roman" w:cs="Times New Roman" w:eastAsia="Times New Roman" w:hint="default"/>
        </w:rPr>
        <w:t>1.</w:t>
      </w:r>
      <w:r>
        <w:rPr/>
        <w:t>金融资产和金融负债的分类 </w:t>
      </w:r>
      <w:r>
        <w:rPr>
          <w:spacing w:val="-2"/>
        </w:rPr>
        <w:t>金融资产在初始确认时划分为以下四类：以公允价值计量且其变动计入当期损益的金融资产（包括交易性金融资产和在</w:t>
      </w:r>
    </w:p>
    <w:p>
      <w:pPr>
        <w:pStyle w:val="BodyText"/>
        <w:spacing w:line="316" w:lineRule="auto" w:before="31"/>
        <w:ind w:right="1133"/>
        <w:jc w:val="both"/>
      </w:pPr>
      <w:r>
        <w:rPr>
          <w:spacing w:val="-2"/>
        </w:rPr>
        <w:t>初始确认时指定为以公允价值计量且其变动计入当期损益的金融资产）、持有至到期投资、贷款和应收款项、可供出售金融</w:t>
      </w:r>
      <w:r>
        <w:rPr>
          <w:spacing w:val="-66"/>
        </w:rPr>
        <w:t> </w:t>
      </w:r>
      <w:r>
        <w:rPr>
          <w:spacing w:val="-66"/>
        </w:rPr>
      </w:r>
      <w:r>
        <w:rPr/>
        <w:t>资产。</w:t>
      </w:r>
    </w:p>
    <w:p>
      <w:pPr>
        <w:pStyle w:val="BodyText"/>
        <w:spacing w:line="316" w:lineRule="auto" w:before="18"/>
        <w:ind w:right="1133" w:firstLine="360"/>
        <w:jc w:val="both"/>
      </w:pPr>
      <w:r>
        <w:rPr>
          <w:spacing w:val="-2"/>
        </w:rPr>
        <w:t>金融负债在初始确认时划分为以下两类：以公允价值计量且其变动计入当期损益的金融负债（包括交易性金融负债和在</w:t>
      </w:r>
      <w:r>
        <w:rPr/>
        <w:t> 初始确认时指定为以公允价值计量且其变动计入当期损益的金融负债）、其他金融负债。</w:t>
      </w:r>
    </w:p>
    <w:p>
      <w:pPr>
        <w:pStyle w:val="BodyText"/>
        <w:spacing w:line="300" w:lineRule="auto" w:before="18"/>
        <w:ind w:left="512" w:right="982"/>
        <w:jc w:val="left"/>
      </w:pPr>
      <w:r>
        <w:rPr>
          <w:rFonts w:ascii="Times New Roman" w:hAnsi="Times New Roman" w:cs="Times New Roman" w:eastAsia="Times New Roman" w:hint="default"/>
        </w:rPr>
        <w:t>2.</w:t>
      </w:r>
      <w:r>
        <w:rPr/>
        <w:t>金融资产和金融负债的确认依据、计量方法和终止确认条件 </w:t>
      </w:r>
      <w:r>
        <w:rPr>
          <w:spacing w:val="-4"/>
        </w:rPr>
        <w:t>公司成为金融工具合同的一方时，确认一项金融资产或金融负债。初始确认金融资产或金融负债时，按照公允价值计量；</w:t>
      </w:r>
    </w:p>
    <w:p>
      <w:pPr>
        <w:pStyle w:val="BodyText"/>
        <w:spacing w:line="316" w:lineRule="auto" w:before="31"/>
        <w:ind w:right="1133"/>
        <w:jc w:val="both"/>
      </w:pPr>
      <w:r>
        <w:rPr>
          <w:spacing w:val="-2"/>
        </w:rPr>
        <w:t>对于以公允价值计量且其变动计入当期损益的金融资产和金融负债，相关交易费用直接计入当期损益；对于其他类别的金融</w:t>
      </w:r>
      <w:r>
        <w:rPr>
          <w:spacing w:val="-64"/>
        </w:rPr>
        <w:t> </w:t>
      </w:r>
      <w:r>
        <w:rPr>
          <w:spacing w:val="-64"/>
        </w:rPr>
      </w:r>
      <w:r>
        <w:rPr/>
        <w:t>资产或金融负债，相关交易费用计入初始确认金额。</w:t>
      </w:r>
    </w:p>
    <w:p>
      <w:pPr>
        <w:pStyle w:val="BodyText"/>
        <w:spacing w:line="309" w:lineRule="auto" w:before="18"/>
        <w:ind w:right="1034" w:firstLine="360"/>
        <w:jc w:val="left"/>
      </w:pPr>
      <w:r>
        <w:rPr/>
        <w:t>公司按照公允价值对金融资产进行后续计量，且不扣除将来处置该金融资产时可能发生的交易费用，但下列情况除外： </w:t>
      </w:r>
      <w:r>
        <w:rPr>
          <w:rFonts w:ascii="Times New Roman" w:hAnsi="Times New Roman" w:cs="Times New Roman" w:eastAsia="Times New Roman" w:hint="default"/>
        </w:rPr>
        <w:t>(1) </w:t>
      </w:r>
      <w:r>
        <w:rPr/>
        <w:t>持有至到期投资以及贷款和应收款项采用实际利率法，按摊余成本计量；</w:t>
      </w:r>
      <w:r>
        <w:rPr>
          <w:rFonts w:ascii="Times New Roman" w:hAnsi="Times New Roman" w:cs="Times New Roman" w:eastAsia="Times New Roman" w:hint="default"/>
        </w:rPr>
        <w:t>(2) </w:t>
      </w:r>
      <w:r>
        <w:rPr/>
        <w:t>在活跃市场中没有报价且其公允价值不能</w:t>
      </w:r>
      <w:r>
        <w:rPr>
          <w:spacing w:val="-61"/>
        </w:rPr>
        <w:t> </w:t>
      </w:r>
      <w:r>
        <w:rPr>
          <w:spacing w:val="-61"/>
        </w:rPr>
      </w:r>
      <w:r>
        <w:rPr/>
        <w:t>可靠计量的权益工具投资，以及与该权益工具挂钩并须通过交付该权益工具结算的衍生金融资产，按照成本计量。</w:t>
      </w:r>
    </w:p>
    <w:p>
      <w:pPr>
        <w:pStyle w:val="BodyText"/>
        <w:spacing w:line="302" w:lineRule="auto" w:before="24"/>
        <w:ind w:right="1128" w:firstLine="360"/>
        <w:jc w:val="both"/>
      </w:pPr>
      <w:r>
        <w:rPr/>
        <w:t>公司采用实际利率法，按摊余成本对金融负债进行后续计量，但下列情况除外：</w:t>
      </w: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t>以公允价值计量且其变动计入当期 损益的金融负债，按照公允价值计量，且不扣除将来结清金融负债时可能发生的交易费用；</w:t>
      </w: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与在活跃市场中没有报价、 公允价值不能可靠计量的权益工具挂钩并须通过交付该权益工具结算的衍生金融负债，按照成本计量；</w:t>
      </w:r>
      <w:r>
        <w:rPr>
          <w:rFonts w:ascii="Times New Roman" w:hAnsi="Times New Roman" w:cs="Times New Roman" w:eastAsia="Times New Roman" w:hint="default"/>
        </w:rPr>
        <w:t>(3)</w:t>
      </w:r>
      <w:r>
        <w:rPr>
          <w:rFonts w:ascii="Times New Roman" w:hAnsi="Times New Roman" w:cs="Times New Roman" w:eastAsia="Times New Roman" w:hint="default"/>
          <w:spacing w:val="22"/>
        </w:rPr>
        <w:t> </w:t>
      </w:r>
      <w:r>
        <w:rPr/>
        <w:t>不属于指定为以 </w:t>
      </w:r>
      <w:r>
        <w:rPr>
          <w:spacing w:val="-2"/>
        </w:rPr>
        <w:t>公允价值计量且其变动计入当期损益的金融负债的财务担保合同，或没有指定为以公允价值计量且其变动计入当期损益并将</w:t>
      </w:r>
      <w:r>
        <w:rPr>
          <w:spacing w:val="-64"/>
        </w:rPr>
        <w:t> </w:t>
      </w:r>
      <w:r>
        <w:rPr>
          <w:spacing w:val="-64"/>
        </w:rPr>
      </w:r>
      <w:r>
        <w:rPr/>
        <w:t>以低于市场利率贷款的贷款承诺，在初始确认后按照下列两项金额之中的较高者进行后续计量：</w:t>
      </w:r>
      <w:r>
        <w:rPr>
          <w:rFonts w:ascii="Times New Roman" w:hAnsi="Times New Roman" w:cs="Times New Roman" w:eastAsia="Times New Roman" w:hint="default"/>
        </w:rPr>
        <w:t>1) </w:t>
      </w:r>
      <w:r>
        <w:rPr/>
        <w:t>按照《企业会计准则第</w:t>
      </w:r>
      <w:r>
        <w:rPr>
          <w:spacing w:val="-61"/>
        </w:rPr>
        <w:t> </w:t>
      </w:r>
      <w:r>
        <w:rPr>
          <w:spacing w:val="-61"/>
        </w:rPr>
      </w:r>
      <w:r>
        <w:rPr>
          <w:rFonts w:ascii="Times New Roman" w:hAnsi="Times New Roman" w:cs="Times New Roman" w:eastAsia="Times New Roman" w:hint="default"/>
        </w:rPr>
        <w:t>13</w:t>
      </w:r>
      <w:r>
        <w:rPr/>
        <w:t>号</w:t>
      </w:r>
      <w:r>
        <w:rPr>
          <w:rFonts w:ascii="Times New Roman" w:hAnsi="Times New Roman" w:cs="Times New Roman" w:eastAsia="Times New Roman" w:hint="default"/>
        </w:rPr>
        <w:t>——</w:t>
      </w:r>
      <w:r>
        <w:rPr/>
        <w:t>或有事项》确定的金额；</w:t>
      </w:r>
      <w:r>
        <w:rPr>
          <w:rFonts w:ascii="Times New Roman" w:hAnsi="Times New Roman" w:cs="Times New Roman" w:eastAsia="Times New Roman" w:hint="default"/>
        </w:rPr>
        <w:t>2) </w:t>
      </w:r>
      <w:r>
        <w:rPr/>
        <w:t>初始确认金额扣除按照《企业会计准则第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收入》的原则确定的累积摊销额后</w:t>
      </w:r>
      <w:r>
        <w:rPr>
          <w:spacing w:val="-60"/>
        </w:rPr>
        <w:t> </w:t>
      </w:r>
      <w:r>
        <w:rPr>
          <w:spacing w:val="-60"/>
        </w:rPr>
      </w:r>
      <w:r>
        <w:rPr/>
        <w:t>的余额。</w:t>
      </w:r>
    </w:p>
    <w:p>
      <w:pPr>
        <w:pStyle w:val="BodyText"/>
        <w:spacing w:line="312" w:lineRule="auto" w:before="29"/>
        <w:ind w:right="1131" w:firstLine="360"/>
        <w:jc w:val="both"/>
      </w:pPr>
      <w:r>
        <w:rPr/>
        <w:t>金融资产或金融负债公允价值变动形成的利得或损失，除与套期保值有关外，按照如下方法处理：</w:t>
      </w:r>
      <w:r>
        <w:rPr>
          <w:rFonts w:ascii="Times New Roman" w:hAnsi="Times New Roman" w:cs="Times New Roman" w:eastAsia="Times New Roman" w:hint="default"/>
        </w:rPr>
        <w:t>(1)</w:t>
      </w:r>
      <w:r>
        <w:rPr>
          <w:rFonts w:ascii="Times New Roman" w:hAnsi="Times New Roman" w:cs="Times New Roman" w:eastAsia="Times New Roman" w:hint="default"/>
          <w:spacing w:val="23"/>
        </w:rPr>
        <w:t> </w:t>
      </w:r>
      <w:r>
        <w:rPr/>
        <w:t>以公允价值计量 </w:t>
      </w:r>
      <w:r>
        <w:rPr>
          <w:spacing w:val="-2"/>
        </w:rPr>
        <w:t>且其变动计入当期损益的金融资产或金融负债公允价值变动形成的利得或损失，计入公允价值变动收益；在资产持有期间所</w:t>
      </w:r>
      <w:r>
        <w:rPr>
          <w:spacing w:val="-64"/>
        </w:rPr>
        <w:t> </w:t>
      </w:r>
      <w:r>
        <w:rPr>
          <w:spacing w:val="-64"/>
        </w:rPr>
      </w:r>
      <w:r>
        <w:rPr>
          <w:spacing w:val="-2"/>
        </w:rPr>
        <w:t>取得的利息或现金股利，确认为投资收益；处置时，将实际收到的金额与初始入账金额之间的差额确认为投资收益，同时调</w:t>
      </w:r>
      <w:r>
        <w:rPr>
          <w:spacing w:val="-64"/>
        </w:rPr>
        <w:t> </w:t>
      </w:r>
      <w:r>
        <w:rPr>
          <w:spacing w:val="-64"/>
        </w:rPr>
      </w:r>
      <w:r>
        <w:rPr/>
        <w:t>整公允价值变动收益。</w:t>
      </w:r>
      <w:r>
        <w:rPr>
          <w:rFonts w:ascii="Times New Roman" w:hAnsi="Times New Roman" w:cs="Times New Roman" w:eastAsia="Times New Roman" w:hint="default"/>
        </w:rPr>
        <w:t>(2)</w:t>
      </w:r>
      <w:r>
        <w:rPr>
          <w:rFonts w:ascii="Times New Roman" w:hAnsi="Times New Roman" w:cs="Times New Roman" w:eastAsia="Times New Roman" w:hint="default"/>
          <w:spacing w:val="23"/>
        </w:rPr>
        <w:t> </w:t>
      </w:r>
      <w:r>
        <w:rPr/>
        <w:t>可供出售金融资产的公允价值变动计入其他综合收益；持有期间按实际利率法计算的利息，计入 </w:t>
      </w:r>
      <w:r>
        <w:rPr>
          <w:spacing w:val="-2"/>
        </w:rPr>
        <w:t>投资收益；可供出售权益工具投资的现金股利，于被投资单位宣告发放股利时计入投资收益；处置时，将实际收到的金额与</w:t>
      </w:r>
      <w:r>
        <w:rPr>
          <w:spacing w:val="-64"/>
        </w:rPr>
        <w:t> </w:t>
      </w:r>
      <w:r>
        <w:rPr>
          <w:spacing w:val="-64"/>
        </w:rPr>
      </w:r>
      <w:r>
        <w:rPr/>
        <w:t>账面价值扣除原直接计入其他综合收益的公允价值变动累计额之后的差额确认为投资收益。</w:t>
      </w:r>
    </w:p>
    <w:p>
      <w:pPr>
        <w:pStyle w:val="BodyText"/>
        <w:spacing w:line="316" w:lineRule="auto" w:before="22"/>
        <w:ind w:right="1133" w:firstLine="360"/>
        <w:jc w:val="both"/>
      </w:pPr>
      <w:r>
        <w:rPr>
          <w:spacing w:val="-2"/>
        </w:rPr>
        <w:t>当收取某项金融资产现金流量的合同权利已终止或该金融资产所有权上几乎所有的风险和报酬已转移时，终止确认该金</w:t>
      </w:r>
      <w:r>
        <w:rPr/>
        <w:t> 融资产；当金融负债的现时义务全部或部分解除时，相应终止确认该金融负债或其一部分。</w:t>
      </w:r>
    </w:p>
    <w:p>
      <w:pPr>
        <w:pStyle w:val="BodyText"/>
        <w:spacing w:line="300" w:lineRule="auto" w:before="18"/>
        <w:ind w:left="512" w:right="982"/>
        <w:jc w:val="left"/>
      </w:pPr>
      <w:r>
        <w:rPr>
          <w:rFonts w:ascii="Times New Roman" w:hAnsi="Times New Roman" w:cs="Times New Roman" w:eastAsia="Times New Roman" w:hint="default"/>
        </w:rPr>
        <w:t>3.</w:t>
      </w:r>
      <w:r>
        <w:rPr/>
        <w:t>金融资产转移的确认依据和计量方法 </w:t>
      </w:r>
      <w:r>
        <w:rPr>
          <w:spacing w:val="-2"/>
        </w:rPr>
        <w:t>公司已将金融资产所有权上几乎所有的风险和报酬转移给了转入方的，终止确认该金融资产；保留了金融资产所有权上</w:t>
      </w:r>
    </w:p>
    <w:p>
      <w:pPr>
        <w:pStyle w:val="BodyText"/>
        <w:spacing w:line="309" w:lineRule="auto" w:before="31"/>
        <w:ind w:right="1128"/>
        <w:jc w:val="both"/>
      </w:pPr>
      <w:r>
        <w:rPr>
          <w:spacing w:val="-2"/>
        </w:rPr>
        <w:t>几乎所有的风险和报酬的，继续确认所转移的金融资产，并将收到的对价确认为一项金融负债。公司既没有转移也没有保留</w:t>
      </w:r>
      <w:r>
        <w:rPr>
          <w:spacing w:val="-63"/>
        </w:rPr>
        <w:t> </w:t>
      </w:r>
      <w:r>
        <w:rPr>
          <w:spacing w:val="-63"/>
        </w:rPr>
      </w:r>
      <w:r>
        <w:rPr/>
        <w:t>金融资产所有权上几乎所有的风险和报酬的，分别下列情况处理：</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放弃了对该金融资产控制的，终止确认该金融资产； </w:t>
      </w: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未放弃对该金融资产控制的，按照继续涉入所转移金融资产的程度确认有关金融资产，并相应确认有关负债。</w:t>
      </w:r>
    </w:p>
    <w:p>
      <w:pPr>
        <w:spacing w:after="0" w:line="309" w:lineRule="auto"/>
        <w:jc w:val="both"/>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309" w:lineRule="auto"/>
        <w:ind w:right="1131" w:firstLine="360"/>
        <w:jc w:val="both"/>
      </w:pPr>
      <w:r>
        <w:rPr/>
        <w:t>金融资产整体转移满足终止确认条件的，将下列两项金额的差额计入当期损益：</w:t>
      </w:r>
      <w:r>
        <w:rPr>
          <w:rFonts w:ascii="Times New Roman" w:hAnsi="Times New Roman" w:cs="Times New Roman" w:eastAsia="Times New Roman" w:hint="default"/>
        </w:rPr>
        <w:t>(1) </w:t>
      </w:r>
      <w:r>
        <w:rPr>
          <w:spacing w:val="-3"/>
        </w:rPr>
        <w:t>所转移金融资产的账面价值；</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1"/>
        </w:rPr>
        <w:t> </w:t>
      </w:r>
      <w:r>
        <w:rPr/>
        <w:t>因 </w:t>
      </w:r>
      <w:r>
        <w:rPr>
          <w:spacing w:val="-2"/>
        </w:rPr>
        <w:t>转移而收到的对价，与原直接计入所有者权益的公允价值变动累计额之和。金融资产部分转移满足终止确认条件的，将所转</w:t>
      </w:r>
      <w:r>
        <w:rPr>
          <w:spacing w:val="-63"/>
        </w:rPr>
        <w:t> </w:t>
      </w:r>
      <w:r>
        <w:rPr>
          <w:spacing w:val="-63"/>
        </w:rPr>
      </w:r>
      <w:r>
        <w:rPr>
          <w:spacing w:val="-2"/>
        </w:rPr>
        <w:t>移金融资产整体的账面价值，在终止确认部分和未终止确认部分之间，按照各自的相对公允价值进行分摊，并将下列两项金</w:t>
      </w:r>
      <w:r>
        <w:rPr>
          <w:spacing w:val="-63"/>
        </w:rPr>
        <w:t> </w:t>
      </w:r>
      <w:r>
        <w:rPr>
          <w:spacing w:val="-63"/>
        </w:rPr>
      </w:r>
      <w:r>
        <w:rPr/>
        <w:t>额的差额计入当期损益：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终止确认部分的账面价值；</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终止确认部分的对价，与原直接计入所有者权益的公允价值变</w:t>
      </w:r>
      <w:r>
        <w:rPr>
          <w:spacing w:val="-83"/>
        </w:rPr>
        <w:t> </w:t>
      </w:r>
      <w:r>
        <w:rPr>
          <w:spacing w:val="-83"/>
        </w:rPr>
      </w:r>
      <w:r>
        <w:rPr/>
        <w:t>动累计额中对应终止确认部分的金额之和。</w:t>
      </w:r>
    </w:p>
    <w:p>
      <w:pPr>
        <w:pStyle w:val="BodyText"/>
        <w:spacing w:line="300" w:lineRule="auto" w:before="24"/>
        <w:ind w:left="512" w:right="982"/>
        <w:jc w:val="left"/>
      </w:pPr>
      <w:r>
        <w:rPr>
          <w:rFonts w:ascii="Times New Roman" w:hAnsi="Times New Roman" w:cs="Times New Roman" w:eastAsia="Times New Roman" w:hint="default"/>
        </w:rPr>
        <w:t>4.</w:t>
      </w:r>
      <w:r>
        <w:rPr/>
        <w:t>金融资产和金融负债的公允价值确定方法 公司采用在当前情况下适用并且有足够可利用数据和其他信息支持的估值技术确定相关金融资产和金融负债的公允价</w:t>
      </w:r>
    </w:p>
    <w:p>
      <w:pPr>
        <w:pStyle w:val="BodyText"/>
        <w:spacing w:line="240" w:lineRule="auto" w:before="31"/>
        <w:ind w:left="133" w:right="5892"/>
        <w:jc w:val="center"/>
      </w:pPr>
      <w:r>
        <w:rPr/>
        <w:t>值。公司将估值技术使用的输入值分以下层级，并依次使用：</w:t>
      </w:r>
    </w:p>
    <w:p>
      <w:pPr>
        <w:pStyle w:val="BodyText"/>
        <w:spacing w:line="240" w:lineRule="auto" w:before="76"/>
        <w:ind w:left="512" w:right="98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第一层次输入值是在计量日能够取得的相同资产或负债在活跃市场上未经调整的报价；</w:t>
      </w:r>
    </w:p>
    <w:p>
      <w:pPr>
        <w:pStyle w:val="BodyText"/>
        <w:spacing w:line="309" w:lineRule="auto" w:before="62"/>
        <w:ind w:right="1131" w:firstLine="36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2"/>
        </w:rPr>
        <w:t> </w:t>
      </w:r>
      <w:r>
        <w:rPr/>
        <w:t>第二层次输入值是除第一层次输入值外相关资产或负债直接或间接可观察的输入值，包括：活跃市场中类似资产或</w:t>
      </w:r>
      <w:r>
        <w:rPr>
          <w:w w:val="99"/>
        </w:rPr>
        <w:t> </w:t>
      </w:r>
      <w:r>
        <w:rPr>
          <w:spacing w:val="-2"/>
        </w:rPr>
        <w:t>负债的报价；非活跃市场中相同或类似资产或负债的报价；除报价以外的其他可观察输入值，如在正常报价间隔期间可观察</w:t>
      </w:r>
      <w:r>
        <w:rPr>
          <w:spacing w:val="-64"/>
        </w:rPr>
        <w:t> </w:t>
      </w:r>
      <w:r>
        <w:rPr>
          <w:spacing w:val="-64"/>
        </w:rPr>
      </w:r>
      <w:r>
        <w:rPr/>
        <w:t>的利率和收益率曲线等；市场验证的输入值等；</w:t>
      </w:r>
    </w:p>
    <w:p>
      <w:pPr>
        <w:pStyle w:val="BodyText"/>
        <w:spacing w:line="300" w:lineRule="auto" w:before="24"/>
        <w:ind w:right="1117" w:firstLine="36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2"/>
        </w:rPr>
        <w:t> </w:t>
      </w:r>
      <w:r>
        <w:rPr/>
        <w:t>第三层次输入值是相关资产或负债的不可观察输入值，包括不能直接观察或无法由可观察市场数据验证的利率、股</w:t>
      </w:r>
      <w:r>
        <w:rPr>
          <w:w w:val="99"/>
        </w:rPr>
        <w:t> </w:t>
      </w:r>
      <w:r>
        <w:rPr/>
        <w:t>票波动率、企业合并中承担的弃置义务的未来现金流量、使用自身数据作出的财务预测等。</w:t>
      </w:r>
    </w:p>
    <w:p>
      <w:pPr>
        <w:pStyle w:val="BodyText"/>
        <w:spacing w:line="240" w:lineRule="auto" w:before="31"/>
        <w:ind w:left="512" w:right="982"/>
        <w:jc w:val="left"/>
      </w:pPr>
      <w:r>
        <w:rPr>
          <w:rFonts w:ascii="Times New Roman" w:hAnsi="Times New Roman" w:cs="Times New Roman" w:eastAsia="Times New Roman" w:hint="default"/>
        </w:rPr>
        <w:t>5.</w:t>
      </w:r>
      <w:r>
        <w:rPr/>
        <w:t>金融资产的减值测试和减值准备计提方法</w:t>
      </w:r>
    </w:p>
    <w:p>
      <w:pPr>
        <w:pStyle w:val="BodyText"/>
        <w:spacing w:line="300" w:lineRule="auto" w:before="62"/>
        <w:ind w:right="1116" w:firstLine="36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3"/>
        </w:rPr>
        <w:t> </w:t>
      </w:r>
      <w:r>
        <w:rPr/>
        <w:t>资产负债表日对以公允价值计量且其变动计入当期损益的金融资产以外的金融资产的账面价值进行检查，如有客观</w:t>
      </w:r>
      <w:r>
        <w:rPr>
          <w:w w:val="99"/>
        </w:rPr>
        <w:t> </w:t>
      </w:r>
      <w:r>
        <w:rPr/>
        <w:t>证据表明该金融资产发生减值的，计提减值准备。</w:t>
      </w:r>
    </w:p>
    <w:p>
      <w:pPr>
        <w:pStyle w:val="BodyText"/>
        <w:spacing w:line="312" w:lineRule="auto" w:before="31"/>
        <w:ind w:right="1131" w:firstLine="36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对于持有至到期投资、贷款和应收款，先将单项金额重大的金融资产区分开来，单独进行减值测试；对单项金额不</w:t>
      </w:r>
      <w:r>
        <w:rPr>
          <w:w w:val="99"/>
        </w:rPr>
        <w:t> </w:t>
      </w:r>
      <w:r>
        <w:rPr>
          <w:spacing w:val="-2"/>
        </w:rPr>
        <w:t>重大的金融资产，可以单独进行减值测试，或包括在具有类似信用风险特征的金融资产组合中进行减值测试；单独测试未发</w:t>
      </w:r>
      <w:r>
        <w:rPr>
          <w:spacing w:val="-64"/>
        </w:rPr>
        <w:t> </w:t>
      </w:r>
      <w:r>
        <w:rPr>
          <w:spacing w:val="-64"/>
        </w:rPr>
      </w:r>
      <w:r>
        <w:rPr>
          <w:spacing w:val="-2"/>
        </w:rPr>
        <w:t>生减值的金融资产（包括单项金额重大和不重大的金融资产），包括在具有类似信用风险特征的金融资产组合中再进行减值</w:t>
      </w:r>
      <w:r>
        <w:rPr>
          <w:spacing w:val="-67"/>
        </w:rPr>
        <w:t> </w:t>
      </w:r>
      <w:r>
        <w:rPr>
          <w:spacing w:val="-67"/>
        </w:rPr>
      </w:r>
      <w:r>
        <w:rPr/>
        <w:t>测试。测试结果表明其发生了减值的，根据其账面价值高于预计未来现金流量现值的差额确认减值损失。</w:t>
      </w:r>
    </w:p>
    <w:p>
      <w:pPr>
        <w:pStyle w:val="BodyText"/>
        <w:spacing w:line="240" w:lineRule="auto" w:before="22"/>
        <w:ind w:left="512" w:right="98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可供出售金融资产</w:t>
      </w:r>
    </w:p>
    <w:p>
      <w:pPr>
        <w:pStyle w:val="BodyText"/>
        <w:spacing w:line="240" w:lineRule="auto" w:before="62"/>
        <w:ind w:left="512" w:right="98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表明可供出售债务工具投资发生减值的客观证据包括：</w:t>
      </w:r>
    </w:p>
    <w:p>
      <w:pPr>
        <w:pStyle w:val="BodyText"/>
        <w:spacing w:line="240" w:lineRule="auto" w:before="62"/>
        <w:ind w:left="512" w:right="982"/>
        <w:jc w:val="left"/>
      </w:pPr>
      <w:r>
        <w:rPr/>
        <w:t>①</w:t>
      </w:r>
      <w:r>
        <w:rPr>
          <w:spacing w:val="-18"/>
        </w:rPr>
        <w:t> </w:t>
      </w:r>
      <w:r>
        <w:rPr/>
        <w:t>债务人发生严重财务困难；</w:t>
      </w:r>
    </w:p>
    <w:p>
      <w:pPr>
        <w:pStyle w:val="BodyText"/>
        <w:spacing w:line="240" w:lineRule="auto" w:before="76"/>
        <w:ind w:left="512" w:right="982"/>
        <w:jc w:val="left"/>
      </w:pPr>
      <w:r>
        <w:rPr/>
        <w:t>②</w:t>
      </w:r>
      <w:r>
        <w:rPr>
          <w:spacing w:val="-18"/>
        </w:rPr>
        <w:t> </w:t>
      </w:r>
      <w:r>
        <w:rPr/>
        <w:t>债务人违反了合同条款，如偿付利息或本金发生违约或逾期；</w:t>
      </w:r>
    </w:p>
    <w:p>
      <w:pPr>
        <w:pStyle w:val="BodyText"/>
        <w:spacing w:line="240" w:lineRule="auto" w:before="76"/>
        <w:ind w:left="512" w:right="982"/>
        <w:jc w:val="left"/>
      </w:pPr>
      <w:r>
        <w:rPr/>
        <w:t>③</w:t>
      </w:r>
      <w:r>
        <w:rPr>
          <w:spacing w:val="-18"/>
        </w:rPr>
        <w:t> </w:t>
      </w:r>
      <w:r>
        <w:rPr/>
        <w:t>公司出于经济或法律等方面因素的考虑，对发生财务困难的债务人作出让步；</w:t>
      </w:r>
    </w:p>
    <w:p>
      <w:pPr>
        <w:pStyle w:val="BodyText"/>
        <w:spacing w:line="240" w:lineRule="auto" w:before="76"/>
        <w:ind w:left="512" w:right="982"/>
        <w:jc w:val="left"/>
      </w:pPr>
      <w:r>
        <w:rPr/>
        <w:t>④</w:t>
      </w:r>
      <w:r>
        <w:rPr>
          <w:spacing w:val="-18"/>
        </w:rPr>
        <w:t> </w:t>
      </w:r>
      <w:r>
        <w:rPr/>
        <w:t>债务人很可能倒闭或进行其他财务重组；</w:t>
      </w:r>
    </w:p>
    <w:p>
      <w:pPr>
        <w:pStyle w:val="BodyText"/>
        <w:spacing w:line="240" w:lineRule="auto" w:before="76"/>
        <w:ind w:left="512" w:right="982"/>
        <w:jc w:val="left"/>
      </w:pPr>
      <w:r>
        <w:rPr/>
        <w:t>⑤</w:t>
      </w:r>
      <w:r>
        <w:rPr>
          <w:spacing w:val="-18"/>
        </w:rPr>
        <w:t> </w:t>
      </w:r>
      <w:r>
        <w:rPr/>
        <w:t>因债务人发生重大财务困难，该债务工具无法在活跃市场继续交易；</w:t>
      </w:r>
    </w:p>
    <w:p>
      <w:pPr>
        <w:pStyle w:val="BodyText"/>
        <w:spacing w:line="240" w:lineRule="auto" w:before="76"/>
        <w:ind w:left="512" w:right="982"/>
        <w:jc w:val="left"/>
      </w:pPr>
      <w:r>
        <w:rPr/>
        <w:t>⑥</w:t>
      </w:r>
      <w:r>
        <w:rPr>
          <w:spacing w:val="-18"/>
        </w:rPr>
        <w:t> </w:t>
      </w:r>
      <w:r>
        <w:rPr/>
        <w:t>其他表明可供出售债务工具已经发生减值的情况。</w:t>
      </w:r>
    </w:p>
    <w:p>
      <w:pPr>
        <w:pStyle w:val="BodyText"/>
        <w:spacing w:line="300" w:lineRule="auto" w:before="76"/>
        <w:ind w:right="982" w:firstLine="36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9"/>
        </w:rPr>
        <w:t> </w:t>
      </w:r>
      <w:r>
        <w:rPr/>
        <w:t>表明可供出售权益工具投资发生减值的客观证据包括权益工具投资的公允价值发生严重或非暂时性下跌，以及被投 资单位经营所处的技术、市场、经济或法律环境等发生重大不利变化使公司可能无法收回投资成本。</w:t>
      </w:r>
    </w:p>
    <w:p>
      <w:pPr>
        <w:pStyle w:val="BodyText"/>
        <w:spacing w:line="307" w:lineRule="auto" w:before="31"/>
        <w:ind w:right="1034" w:firstLine="360"/>
        <w:jc w:val="left"/>
      </w:pPr>
      <w:r>
        <w:rPr>
          <w:spacing w:val="-2"/>
        </w:rPr>
        <w:t>本公司于资产负债表日对各项可供出售权益工具投资单独进行检查。对于以公允价值计量的权益工具投资，若其于资产</w:t>
      </w:r>
      <w:r>
        <w:rPr/>
        <w:t> </w:t>
      </w:r>
      <w:r>
        <w:rPr>
          <w:spacing w:val="-3"/>
        </w:rPr>
        <w:t>负债表日的公允价值低于其成本超过</w:t>
      </w:r>
      <w:r>
        <w:rPr>
          <w:rFonts w:ascii="Times New Roman" w:hAnsi="Times New Roman" w:cs="Times New Roman" w:eastAsia="Times New Roman" w:hint="default"/>
          <w:spacing w:val="-3"/>
        </w:rPr>
        <w:t>50%</w:t>
      </w:r>
      <w:r>
        <w:rPr>
          <w:spacing w:val="-3"/>
        </w:rPr>
        <w:t>（含</w:t>
      </w:r>
      <w:r>
        <w:rPr>
          <w:rFonts w:ascii="Times New Roman" w:hAnsi="Times New Roman" w:cs="Times New Roman" w:eastAsia="Times New Roman" w:hint="default"/>
          <w:spacing w:val="-3"/>
        </w:rPr>
        <w:t>50%</w:t>
      </w:r>
      <w:r>
        <w:rPr>
          <w:spacing w:val="-3"/>
        </w:rPr>
        <w:t>）或低于其成本持续时间超过</w:t>
      </w:r>
      <w:r>
        <w:rPr>
          <w:rFonts w:ascii="Times New Roman" w:hAnsi="Times New Roman" w:cs="Times New Roman" w:eastAsia="Times New Roman" w:hint="default"/>
          <w:spacing w:val="-3"/>
        </w:rPr>
        <w:t>12</w:t>
      </w:r>
      <w:r>
        <w:rPr>
          <w:spacing w:val="-3"/>
        </w:rPr>
        <w:t>个月（含</w:t>
      </w:r>
      <w:r>
        <w:rPr>
          <w:rFonts w:ascii="Times New Roman" w:hAnsi="Times New Roman" w:cs="Times New Roman" w:eastAsia="Times New Roman" w:hint="default"/>
          <w:spacing w:val="-3"/>
        </w:rPr>
        <w:t>12</w:t>
      </w:r>
      <w:r>
        <w:rPr>
          <w:spacing w:val="-3"/>
        </w:rPr>
        <w:t>个月）的，则表明其发生减值；</w:t>
      </w:r>
      <w:r>
        <w:rPr>
          <w:spacing w:val="-33"/>
        </w:rPr>
        <w:t> </w:t>
      </w:r>
      <w:r>
        <w:rPr>
          <w:spacing w:val="-33"/>
        </w:rPr>
      </w:r>
      <w:r>
        <w:rPr/>
        <w:t>若其于资产负债表日的公允价值低于其成本超过</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）但尚未达到</w:t>
      </w:r>
      <w:r>
        <w:rPr>
          <w:rFonts w:ascii="Times New Roman" w:hAnsi="Times New Roman" w:cs="Times New Roman" w:eastAsia="Times New Roman" w:hint="default"/>
        </w:rPr>
        <w:t>50%</w:t>
      </w:r>
      <w:r>
        <w:rPr/>
        <w:t>的，或低于其成本持续时间超过</w:t>
      </w:r>
      <w:r>
        <w:rPr>
          <w:rFonts w:ascii="Times New Roman" w:hAnsi="Times New Roman" w:cs="Times New Roman" w:eastAsia="Times New Roman" w:hint="default"/>
        </w:rPr>
        <w:t>6</w:t>
      </w:r>
      <w:r>
        <w:rPr/>
        <w:t>个月（含</w:t>
      </w:r>
      <w:r>
        <w:rPr>
          <w:rFonts w:ascii="Times New Roman" w:hAnsi="Times New Roman" w:cs="Times New Roman" w:eastAsia="Times New Roman" w:hint="default"/>
        </w:rPr>
        <w:t>6</w:t>
      </w:r>
      <w:r>
        <w:rPr>
          <w:rFonts w:ascii="Times New Roman" w:hAnsi="Times New Roman" w:cs="Times New Roman" w:eastAsia="Times New Roman" w:hint="default"/>
          <w:spacing w:val="-41"/>
        </w:rPr>
        <w:t> </w:t>
      </w:r>
      <w:r>
        <w:rPr>
          <w:spacing w:val="-2"/>
        </w:rPr>
        <w:t>个月）但未超过</w:t>
      </w:r>
      <w:r>
        <w:rPr>
          <w:rFonts w:ascii="Times New Roman" w:hAnsi="Times New Roman" w:cs="Times New Roman" w:eastAsia="Times New Roman" w:hint="default"/>
          <w:spacing w:val="-2"/>
        </w:rPr>
        <w:t>12</w:t>
      </w:r>
      <w:r>
        <w:rPr>
          <w:spacing w:val="-2"/>
        </w:rPr>
        <w:t>个月的，本公司会综合考虑其他相关因素，诸如价格波动率等，判断该权益工具投资是否发生减值。对于</w:t>
      </w:r>
      <w:r>
        <w:rPr>
          <w:spacing w:val="-66"/>
        </w:rPr>
        <w:t> </w:t>
      </w:r>
      <w:r>
        <w:rPr>
          <w:spacing w:val="-66"/>
        </w:rPr>
      </w:r>
      <w:r>
        <w:rPr/>
        <w:t>以成本计量的权益工具投资，公司综合考虑被投资单位经营所处的技术、市场、经济或法律环境等是否发生重大不利变化， 判断该权益工具是否发生减值。</w:t>
      </w:r>
    </w:p>
    <w:p>
      <w:pPr>
        <w:pStyle w:val="BodyText"/>
        <w:spacing w:line="316" w:lineRule="auto" w:before="26"/>
        <w:ind w:right="982" w:firstLine="360"/>
        <w:jc w:val="left"/>
      </w:pPr>
      <w:r>
        <w:rPr>
          <w:spacing w:val="-2"/>
        </w:rPr>
        <w:t>以公允价值计量的可供出售金融资产发生减值时，原直接计入其他综合收益的因公允价值下降形成的累计损失予以转出</w:t>
      </w:r>
      <w:r>
        <w:rPr/>
        <w:t> </w:t>
      </w:r>
      <w:r>
        <w:rPr>
          <w:spacing w:val="-2"/>
        </w:rPr>
        <w:t>并计入减值损失。对已确认减值损失的可供出售债务工具投资，在期后公允价值回升且客观上与确认原减值损失后发生的事</w:t>
      </w:r>
      <w:r>
        <w:rPr>
          <w:spacing w:val="-64"/>
        </w:rPr>
        <w:t> </w:t>
      </w:r>
      <w:r>
        <w:rPr>
          <w:spacing w:val="-64"/>
        </w:rPr>
      </w:r>
      <w:r>
        <w:rPr>
          <w:spacing w:val="-2"/>
        </w:rPr>
        <w:t>项有关的，原确认的减值损失予以转回并计入当期损益。对已确认减值损失的可供出售权益工具投资，期后公允价值回升直</w:t>
      </w:r>
      <w:r>
        <w:rPr>
          <w:spacing w:val="-63"/>
        </w:rPr>
        <w:t> </w:t>
      </w:r>
      <w:r>
        <w:rPr>
          <w:spacing w:val="-63"/>
        </w:rPr>
      </w:r>
      <w:r>
        <w:rPr/>
        <w:t>接计入其他综合收益。 </w:t>
      </w:r>
      <w:r>
        <w:rPr>
          <w:spacing w:val="-2"/>
        </w:rPr>
        <w:t>以成本计量的可供出售权益工具发生减值时，将该权益工具投资的账面价值，与按照类似金融资产当时市场收益率对未来现</w:t>
      </w:r>
      <w:r>
        <w:rPr>
          <w:spacing w:val="-64"/>
        </w:rPr>
        <w:t> </w:t>
      </w:r>
      <w:r>
        <w:rPr>
          <w:spacing w:val="-64"/>
        </w:rPr>
      </w:r>
      <w:r>
        <w:rPr/>
        <w:t>金流量折现确定的现值之间的差额，确认为减值损失，计入当期损益，发生的减值损失一经确认，不予转回。</w:t>
      </w:r>
    </w:p>
    <w:p>
      <w:pPr>
        <w:spacing w:after="0" w:line="316" w:lineRule="auto"/>
        <w:jc w:val="left"/>
        <w:sectPr>
          <w:pgSz w:w="11910" w:h="16840"/>
          <w:pgMar w:header="745"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bookmarkStart w:name="11、应收票据及应收账款" w:id="180"/>
      <w:bookmarkEnd w:id="180"/>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bookmarkStart w:name="（1）单项金额重大并单独计提坏账准备的应收款项" w:id="181"/>
      <w:bookmarkEnd w:id="181"/>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715"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53"/>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万元以上（含）且占应收款项账面余额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 款项。</w:t>
            </w:r>
          </w:p>
        </w:tc>
      </w:tr>
      <w:tr>
        <w:trPr>
          <w:trHeight w:val="71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6"/>
        <w:ind w:right="982"/>
        <w:jc w:val="left"/>
        <w:rPr>
          <w:b w:val="0"/>
          <w:bCs w:val="0"/>
        </w:rPr>
      </w:pPr>
      <w:bookmarkStart w:name="（2）按信用风险特征组合计提坏账准备的应收款项" w:id="182"/>
      <w:bookmarkEnd w:id="182"/>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应收融资租赁款</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49"/>
        <w:ind w:right="982"/>
        <w:jc w:val="left"/>
      </w:pPr>
      <w:r>
        <w:rPr/>
        <w:t>组合中，采用账龄分析法计提坏账准备的：</w:t>
      </w:r>
    </w:p>
    <w:p>
      <w:pPr>
        <w:pStyle w:val="BodyText"/>
        <w:spacing w:line="240" w:lineRule="auto" w:before="117"/>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8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49"/>
        <w:ind w:right="982"/>
        <w:jc w:val="left"/>
      </w:pPr>
      <w:r>
        <w:rPr/>
        <w:t>组合中，采用余额百分比法计提坏账准备的：</w:t>
      </w:r>
    </w:p>
    <w:p>
      <w:pPr>
        <w:pStyle w:val="BodyText"/>
        <w:spacing w:line="340" w:lineRule="auto" w:before="115"/>
        <w:ind w:right="7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1"/>
        <w:ind w:right="982"/>
        <w:jc w:val="left"/>
      </w:pPr>
      <w:r>
        <w:rPr/>
        <w:pict>
          <v:group style="position:absolute;margin-left:216.360001pt;margin-top:59.358715pt;width:157.950pt;height:20.8pt;mso-position-horizontal-relative:page;mso-position-vertical-relative:paragraph;z-index:-1051984" coordorigin="4327,1187" coordsize="3159,416">
            <v:group style="position:absolute;left:4339;top:1199;width:2;height:392" coordorigin="4339,1199" coordsize="2,392">
              <v:shape style="position:absolute;left:4339;top:1199;width:2;height:392" coordorigin="4339,1199" coordsize="0,392" path="m4339,1199l4339,1590e" filled="false" stroked="true" strokeweight="1.2pt" strokecolor="#ffffff">
                <v:path arrowok="t"/>
              </v:shape>
            </v:group>
            <v:group style="position:absolute;left:4351;top:1199;width:3135;height:392" coordorigin="4351,1199" coordsize="3135,392">
              <v:shape style="position:absolute;left:4351;top:1199;width:3135;height:392" coordorigin="4351,1199" coordsize="3135,392" path="m4351,1590l7486,1590,7486,1199,4351,1199,4351,1590xe" filled="true" fillcolor="#ffffff" stroked="false">
                <v:path arrowok="t"/>
                <v:fill type="solid"/>
              </v:shape>
            </v:group>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正常类（未逾期客户）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关注类（逾期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个月，含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个月客户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tabs>
                <w:tab w:pos="2692" w:val="left" w:leader="none"/>
              </w:tabs>
              <w:spacing w:line="240" w:lineRule="auto" w:before="51"/>
              <w:ind w:left="-135" w:right="17"/>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2.00%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次级类（逾期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6-12 </w:t>
            </w:r>
            <w:r>
              <w:rPr>
                <w:rFonts w:ascii="宋体" w:hAnsi="宋体" w:cs="宋体" w:eastAsia="宋体" w:hint="default"/>
                <w:sz w:val="18"/>
                <w:szCs w:val="18"/>
              </w:rPr>
              <w:t>个月客户）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25.00%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可疑类（逾期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个月客户）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损失类（逾期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个月以上客户）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bookmarkStart w:name="（3）单项金额不重大但单独计提坏账准备的应收款项" w:id="183"/>
      <w:bookmarkEnd w:id="183"/>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715"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应收款项的未来现金流量现值与以账龄为信用风险特征的应 收款项组合的未来现金流量现值存在显著差异。</w:t>
            </w:r>
          </w:p>
        </w:tc>
      </w:tr>
    </w:tbl>
    <w:p>
      <w:pPr>
        <w:spacing w:after="0" w:line="316" w:lineRule="auto"/>
        <w:jc w:val="left"/>
        <w:rPr>
          <w:rFonts w:ascii="宋体" w:hAnsi="宋体" w:cs="宋体" w:eastAsia="宋体" w:hint="default"/>
          <w:sz w:val="18"/>
          <w:szCs w:val="18"/>
        </w:rPr>
        <w:sectPr>
          <w:pgSz w:w="11910" w:h="16840"/>
          <w:pgMar w:header="745" w:footer="982" w:top="1060" w:bottom="118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715"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6"/>
        <w:ind w:right="982"/>
        <w:jc w:val="left"/>
        <w:rPr>
          <w:b w:val="0"/>
          <w:bCs w:val="0"/>
        </w:rPr>
      </w:pPr>
      <w:bookmarkStart w:name="12、存货" w:id="184"/>
      <w:bookmarkEnd w:id="184"/>
      <w:r>
        <w:rPr>
          <w:b w:val="0"/>
          <w:bCs w:val="0"/>
        </w:rPr>
      </w:r>
      <w:r>
        <w:rPr>
          <w:rFonts w:ascii="Times New Roman" w:hAnsi="Times New Roman" w:cs="Times New Roman" w:eastAsia="Times New Roman" w:hint="default"/>
        </w:rPr>
        <w:t>12</w:t>
      </w:r>
      <w:r>
        <w:rPr/>
        <w:t>、存货</w:t>
      </w:r>
      <w:r>
        <w:rPr>
          <w:b w:val="0"/>
          <w:bCs w:val="0"/>
        </w:rPr>
      </w:r>
    </w:p>
    <w:p>
      <w:pPr>
        <w:spacing w:line="240" w:lineRule="auto" w:before="2"/>
        <w:rPr>
          <w:rFonts w:ascii="宋体" w:hAnsi="宋体" w:cs="宋体" w:eastAsia="宋体" w:hint="default"/>
          <w:b/>
          <w:bCs/>
          <w:sz w:val="26"/>
          <w:szCs w:val="26"/>
        </w:rPr>
      </w:pPr>
    </w:p>
    <w:p>
      <w:pPr>
        <w:pStyle w:val="BodyText"/>
        <w:spacing w:line="360" w:lineRule="auto" w:before="0"/>
        <w:ind w:right="7694"/>
        <w:jc w:val="left"/>
      </w:pPr>
      <w:r>
        <w:rPr/>
        <w:t>公司是否需要遵守特殊行业的披露要求 否</w:t>
      </w:r>
    </w:p>
    <w:p>
      <w:pPr>
        <w:pStyle w:val="BodyText"/>
        <w:spacing w:line="300" w:lineRule="auto" w:before="27"/>
        <w:ind w:left="512" w:right="982"/>
        <w:jc w:val="left"/>
      </w:pPr>
      <w:r>
        <w:rPr>
          <w:rFonts w:ascii="Times New Roman" w:hAnsi="Times New Roman" w:cs="Times New Roman" w:eastAsia="Times New Roman" w:hint="default"/>
        </w:rPr>
        <w:t>1.</w:t>
      </w:r>
      <w:r>
        <w:rPr/>
        <w:t>存货的分类 </w:t>
      </w:r>
      <w:r>
        <w:rPr>
          <w:spacing w:val="-2"/>
        </w:rPr>
        <w:t>存货包括在日常活动中持有以备出售的产成品或商品、处在生产过程中的在产品、在生产过程或提供劳务过程中耗用的</w:t>
      </w:r>
    </w:p>
    <w:p>
      <w:pPr>
        <w:pStyle w:val="BodyText"/>
        <w:spacing w:line="240" w:lineRule="auto" w:before="31"/>
        <w:ind w:right="982"/>
        <w:jc w:val="left"/>
      </w:pPr>
      <w:r>
        <w:rPr/>
        <w:t>材料和物料等。</w:t>
      </w:r>
    </w:p>
    <w:p>
      <w:pPr>
        <w:pStyle w:val="BodyText"/>
        <w:spacing w:line="309" w:lineRule="auto" w:before="76"/>
        <w:ind w:left="512" w:right="7514"/>
        <w:jc w:val="left"/>
      </w:pPr>
      <w:r>
        <w:rPr>
          <w:rFonts w:ascii="Times New Roman" w:hAnsi="Times New Roman" w:cs="Times New Roman" w:eastAsia="Times New Roman" w:hint="default"/>
        </w:rPr>
        <w:t>2.</w:t>
      </w:r>
      <w:r>
        <w:rPr/>
        <w:t>发出存货的计价方法 发出存货采用月末一次加权平均法。 </w:t>
      </w:r>
      <w:r>
        <w:rPr>
          <w:rFonts w:ascii="Times New Roman" w:hAnsi="Times New Roman" w:cs="Times New Roman" w:eastAsia="Times New Roman" w:hint="default"/>
        </w:rPr>
        <w:t>3.</w:t>
      </w:r>
      <w:r>
        <w:rPr/>
        <w:t>存货可变现净值的确定依据</w:t>
      </w:r>
    </w:p>
    <w:p>
      <w:pPr>
        <w:pStyle w:val="BodyText"/>
        <w:spacing w:line="316" w:lineRule="auto" w:before="5"/>
        <w:ind w:right="982" w:firstLine="360"/>
        <w:jc w:val="left"/>
      </w:pPr>
      <w:r>
        <w:rPr>
          <w:spacing w:val="-2"/>
        </w:rPr>
        <w:t>资产负债表日，存货采用成本与可变现净值孰低计量，按照单个存货成本高于可变现净值的差额计提存货跌价准备。直</w:t>
      </w:r>
      <w:r>
        <w:rPr/>
        <w:t> 接用于出售的存货，在正常生产经营过程中以该存货的估计售价减去估计的销售费用和相关税费后的金额确定其可变现净 </w:t>
      </w:r>
      <w:r>
        <w:rPr>
          <w:spacing w:val="-2"/>
        </w:rPr>
        <w:t>值；需要经过加工的存货，在正常生产经营过程中以所生产的产成品的估计售价减去至完工时估计将要发生的成本、估计的</w:t>
      </w:r>
      <w:r>
        <w:rPr>
          <w:spacing w:val="-66"/>
        </w:rPr>
        <w:t> </w:t>
      </w:r>
      <w:r>
        <w:rPr>
          <w:spacing w:val="-66"/>
        </w:rPr>
      </w:r>
      <w:r>
        <w:rPr>
          <w:spacing w:val="-2"/>
        </w:rPr>
        <w:t>销售费用和相关税费后的金额确定其可变现净值；资产负债表日，同一项存货中一部分有合同价格约定、其他部分不存在合</w:t>
      </w:r>
      <w:r>
        <w:rPr>
          <w:spacing w:val="-63"/>
        </w:rPr>
        <w:t> </w:t>
      </w:r>
      <w:r>
        <w:rPr>
          <w:spacing w:val="-63"/>
        </w:rPr>
      </w:r>
      <w:r>
        <w:rPr/>
        <w:t>同价格的，分别确定其可变现净值，并与其对应的成本进行比较，分别确定存货跌价准备的计提或转回的金额。</w:t>
      </w:r>
    </w:p>
    <w:p>
      <w:pPr>
        <w:pStyle w:val="BodyText"/>
        <w:spacing w:line="304" w:lineRule="auto" w:before="18"/>
        <w:ind w:left="512" w:right="7739"/>
        <w:jc w:val="left"/>
      </w:pPr>
      <w:r>
        <w:rPr>
          <w:rFonts w:ascii="Times New Roman" w:hAnsi="Times New Roman" w:cs="Times New Roman" w:eastAsia="Times New Roman" w:hint="default"/>
        </w:rPr>
        <w:t>4.</w:t>
      </w:r>
      <w:r>
        <w:rPr/>
        <w:t>存货的盘存制度 存货的盘存制度为永续盘存制。 </w:t>
      </w:r>
      <w:r>
        <w:rPr>
          <w:rFonts w:ascii="Times New Roman" w:hAnsi="Times New Roman" w:cs="Times New Roman" w:eastAsia="Times New Roman" w:hint="default"/>
        </w:rPr>
        <w:t>5.</w:t>
      </w:r>
      <w:r>
        <w:rPr/>
        <w:t>低值易耗品和包装物的摊销方法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低值易耗品 按照一次转销法进行摊销。</w:t>
      </w:r>
    </w:p>
    <w:p>
      <w:pPr>
        <w:pStyle w:val="BodyText"/>
        <w:spacing w:line="300" w:lineRule="auto" w:before="27"/>
        <w:ind w:left="440" w:right="8306" w:firstLine="7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包装物</w:t>
      </w:r>
      <w:r>
        <w:rPr>
          <w:w w:val="99"/>
        </w:rPr>
        <w:t> </w:t>
      </w:r>
      <w:r>
        <w:rPr/>
        <w:t>按照一次转销法进行摊销。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9"/>
          <w:szCs w:val="19"/>
        </w:rPr>
      </w:pPr>
    </w:p>
    <w:p>
      <w:pPr>
        <w:pStyle w:val="Heading3"/>
        <w:spacing w:line="240" w:lineRule="auto"/>
        <w:ind w:right="982"/>
        <w:jc w:val="left"/>
        <w:rPr>
          <w:b w:val="0"/>
          <w:bCs w:val="0"/>
        </w:rPr>
      </w:pPr>
      <w:bookmarkStart w:name="13、持有待售资产" w:id="185"/>
      <w:bookmarkEnd w:id="185"/>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2"/>
        <w:jc w:val="left"/>
      </w:pPr>
      <w:r>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3"/>
        <w:spacing w:line="240" w:lineRule="auto"/>
        <w:ind w:right="982"/>
        <w:jc w:val="left"/>
        <w:rPr>
          <w:b w:val="0"/>
          <w:bCs w:val="0"/>
        </w:rPr>
      </w:pPr>
      <w:bookmarkStart w:name="14、长期股权投资" w:id="186"/>
      <w:bookmarkEnd w:id="186"/>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2"/>
        <w:rPr>
          <w:rFonts w:ascii="宋体" w:hAnsi="宋体" w:cs="宋体" w:eastAsia="宋体" w:hint="default"/>
          <w:b/>
          <w:bCs/>
          <w:sz w:val="26"/>
          <w:szCs w:val="26"/>
        </w:rPr>
      </w:pPr>
    </w:p>
    <w:p>
      <w:pPr>
        <w:pStyle w:val="BodyText"/>
        <w:spacing w:line="300" w:lineRule="auto" w:before="0"/>
        <w:ind w:left="512" w:right="1034"/>
        <w:jc w:val="left"/>
      </w:pPr>
      <w:r>
        <w:rPr>
          <w:rFonts w:ascii="Times New Roman" w:hAnsi="Times New Roman" w:cs="Times New Roman" w:eastAsia="Times New Roman" w:hint="default"/>
        </w:rPr>
        <w:t>1.</w:t>
      </w:r>
      <w:r>
        <w:rPr/>
        <w:t>共同控制、重要影响的判断 按照相关约定对某项安排存在共有的控制，并且该安排的相关活动必须经过分享控制权的参与方一致同意后才能决策，</w:t>
      </w:r>
    </w:p>
    <w:p>
      <w:pPr>
        <w:pStyle w:val="BodyText"/>
        <w:spacing w:line="316" w:lineRule="auto" w:before="31"/>
        <w:ind w:right="982"/>
        <w:jc w:val="left"/>
      </w:pPr>
      <w:r>
        <w:rPr>
          <w:spacing w:val="-2"/>
        </w:rPr>
        <w:t>认定为共同控制。对被投资单位的财务和经营政策有参与决策的权力，但并不能够控制或者与其他方一起共同控制这些政策</w:t>
      </w:r>
      <w:r>
        <w:rPr>
          <w:spacing w:val="-64"/>
        </w:rPr>
        <w:t> </w:t>
      </w:r>
      <w:r>
        <w:rPr>
          <w:spacing w:val="-64"/>
        </w:rPr>
      </w:r>
      <w:r>
        <w:rPr/>
        <w:t>的制定，认定为重大影响。</w:t>
      </w:r>
    </w:p>
    <w:p>
      <w:pPr>
        <w:pStyle w:val="BodyText"/>
        <w:spacing w:line="240" w:lineRule="auto" w:before="18"/>
        <w:ind w:left="512" w:right="982"/>
        <w:jc w:val="left"/>
      </w:pPr>
      <w:r>
        <w:rPr>
          <w:rFonts w:ascii="Times New Roman" w:hAnsi="Times New Roman" w:cs="Times New Roman" w:eastAsia="Times New Roman" w:hint="default"/>
        </w:rPr>
        <w:t>2.</w:t>
      </w:r>
      <w:r>
        <w:rPr/>
        <w:t>投资成本的确定</w:t>
      </w:r>
    </w:p>
    <w:p>
      <w:pPr>
        <w:pStyle w:val="BodyText"/>
        <w:spacing w:line="312" w:lineRule="auto" w:before="62"/>
        <w:ind w:right="1028" w:firstLine="36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3"/>
        </w:rPr>
        <w:t> </w:t>
      </w:r>
      <w:r>
        <w:rPr>
          <w:spacing w:val="-2"/>
        </w:rPr>
        <w:t>同一控制下的企业合并形成的，合并方以支付现金、转让非现金资产、承担债务或发行权益性证券作为合并对价的，</w:t>
      </w:r>
      <w:r>
        <w:rPr>
          <w:w w:val="99"/>
        </w:rPr>
        <w:t> </w:t>
      </w:r>
      <w:r>
        <w:rPr>
          <w:spacing w:val="-2"/>
          <w:w w:val="99"/>
        </w:rPr>
        <w:t>在合并日按照取得被合并方所有者权益在最终控制方合并财务报表中的账面价值的份额作为其初始投资成本。长期股权投资</w:t>
      </w:r>
      <w:r>
        <w:rPr>
          <w:spacing w:val="-64"/>
          <w:w w:val="99"/>
        </w:rPr>
        <w:t> </w:t>
      </w:r>
      <w:r>
        <w:rPr>
          <w:spacing w:val="-64"/>
          <w:w w:val="99"/>
        </w:rPr>
      </w:r>
      <w:r>
        <w:rPr>
          <w:spacing w:val="-2"/>
        </w:rPr>
        <w:t>初始投资成本与支付的合并对价的账面价值或发行股份的面值总额之间的差额调整资本公积；资本公积不足冲减的，调整留</w:t>
      </w:r>
      <w:r>
        <w:rPr>
          <w:spacing w:val="-65"/>
        </w:rPr>
        <w:t> </w:t>
      </w:r>
      <w:r>
        <w:rPr>
          <w:spacing w:val="-65"/>
        </w:rPr>
      </w:r>
      <w:r>
        <w:rPr/>
        <w:t>存收益。</w:t>
      </w:r>
    </w:p>
    <w:p>
      <w:pPr>
        <w:pStyle w:val="BodyText"/>
        <w:spacing w:line="240" w:lineRule="auto" w:before="22"/>
        <w:ind w:left="512" w:right="982"/>
        <w:jc w:val="left"/>
        <w:rPr>
          <w:rFonts w:ascii="Times New Roman" w:hAnsi="Times New Roman" w:cs="Times New Roman" w:eastAsia="Times New Roman" w:hint="default"/>
        </w:rPr>
      </w:pPr>
      <w:r>
        <w:rPr/>
        <w:t>公司通过多次交易分步实现同一控制下企业合并形成的长期股权投资，判断是否属于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p>
    <w:p>
      <w:pPr>
        <w:spacing w:after="0" w:line="240" w:lineRule="auto"/>
        <w:jc w:val="left"/>
        <w:rPr>
          <w:rFonts w:ascii="Times New Roman" w:hAnsi="Times New Roman" w:cs="Times New Roman" w:eastAsia="Times New Roman" w:hint="default"/>
        </w:rPr>
        <w:sectPr>
          <w:footerReference w:type="default" r:id="rId14"/>
          <w:pgSz w:w="11910" w:h="16840"/>
          <w:pgMar w:footer="982" w:header="745" w:top="1060" w:bottom="1180" w:left="980" w:right="0"/>
        </w:sectPr>
      </w:pPr>
    </w:p>
    <w:p>
      <w:pPr>
        <w:spacing w:line="240" w:lineRule="auto" w:before="3"/>
        <w:rPr>
          <w:rFonts w:ascii="Times New Roman" w:hAnsi="Times New Roman" w:cs="Times New Roman" w:eastAsia="Times New Roman" w:hint="default"/>
          <w:sz w:val="29"/>
          <w:szCs w:val="29"/>
        </w:rPr>
      </w:pPr>
    </w:p>
    <w:p>
      <w:pPr>
        <w:pStyle w:val="BodyText"/>
        <w:spacing w:line="312" w:lineRule="auto"/>
        <w:ind w:right="1130"/>
        <w:jc w:val="both"/>
      </w:pPr>
      <w:r>
        <w:rPr>
          <w:spacing w:val="-2"/>
        </w:rPr>
        <w:t>的，把各项交易作为一项取得控制权的交易进行会计处理。不属于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的，在合并日，根据合并后应享有被合并方</w:t>
      </w:r>
      <w:r>
        <w:rPr>
          <w:spacing w:val="-42"/>
        </w:rPr>
        <w:t> </w:t>
      </w:r>
      <w:r>
        <w:rPr>
          <w:spacing w:val="-42"/>
        </w:rPr>
      </w:r>
      <w:r>
        <w:rPr>
          <w:spacing w:val="-2"/>
        </w:rPr>
        <w:t>净资产在最终控制方合并财务报表中的账面价值的份额确定初始投资成本。合并日长期股权投资的初始投资成本，与达到合</w:t>
      </w:r>
      <w:r>
        <w:rPr>
          <w:spacing w:val="-64"/>
        </w:rPr>
        <w:t> </w:t>
      </w:r>
      <w:r>
        <w:rPr>
          <w:spacing w:val="-64"/>
        </w:rPr>
      </w:r>
      <w:r>
        <w:rPr>
          <w:spacing w:val="-2"/>
        </w:rPr>
        <w:t>并前的长期股权投资账面价值加上合并日进一步取得股份新支付对价的账面价值之和的差额，调整资本公积；资本公积不足</w:t>
      </w:r>
      <w:r>
        <w:rPr>
          <w:spacing w:val="-64"/>
        </w:rPr>
        <w:t> </w:t>
      </w:r>
      <w:r>
        <w:rPr>
          <w:spacing w:val="-64"/>
        </w:rPr>
      </w:r>
      <w:r>
        <w:rPr/>
        <w:t>冲减的，调整留存收益。</w:t>
      </w:r>
    </w:p>
    <w:p>
      <w:pPr>
        <w:pStyle w:val="BodyText"/>
        <w:spacing w:line="300" w:lineRule="auto" w:before="22"/>
        <w:ind w:left="512" w:right="98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非同一控制下的企业合并形成的，在购买日按照支付的合并对价的公允价值作为其初始投资成本。</w:t>
      </w:r>
      <w:r>
        <w:rPr>
          <w:w w:val="99"/>
        </w:rPr>
        <w:t> </w:t>
      </w:r>
      <w:r>
        <w:rPr>
          <w:spacing w:val="-2"/>
          <w:w w:val="99"/>
        </w:rPr>
        <w:t>公司通过多次交易分步实现非同一控制下企业合并形成的长期股权投资，区分个别财务报表和合并财务报表进行相关会</w:t>
      </w:r>
      <w:r>
        <w:rPr>
          <w:spacing w:val="-2"/>
        </w:rPr>
      </w:r>
    </w:p>
    <w:p>
      <w:pPr>
        <w:pStyle w:val="BodyText"/>
        <w:spacing w:line="240" w:lineRule="auto" w:before="31"/>
        <w:ind w:right="0"/>
        <w:jc w:val="both"/>
      </w:pPr>
      <w:r>
        <w:rPr/>
        <w:t>计处理：</w:t>
      </w:r>
    </w:p>
    <w:p>
      <w:pPr>
        <w:pStyle w:val="BodyText"/>
        <w:spacing w:line="300" w:lineRule="auto" w:before="76"/>
        <w:ind w:right="982" w:firstLine="36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9"/>
        </w:rPr>
        <w:t> </w:t>
      </w:r>
      <w:r>
        <w:rPr/>
        <w:t>在个别财务报表中，按照原持有的股权投资的账面价值加上新增投资成本之和，作为改按成本法核算的初始投资成 本。</w:t>
      </w:r>
    </w:p>
    <w:p>
      <w:pPr>
        <w:pStyle w:val="BodyText"/>
        <w:spacing w:line="309" w:lineRule="auto" w:before="31"/>
        <w:ind w:right="982" w:firstLine="36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在合并财务报表中，判断是否属于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的，把各项交易作为一项取得控制权的交易进行 </w:t>
      </w:r>
      <w:r>
        <w:rPr>
          <w:spacing w:val="-3"/>
        </w:rPr>
        <w:t>会计处理。不属于</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spacing w:val="-3"/>
        </w:rPr>
        <w:t>的，对于购买日之前持有的被购买方的股权，按照该股权在购买日的公允价值进行重新计量，</w:t>
      </w:r>
      <w:r>
        <w:rPr>
          <w:spacing w:val="-75"/>
        </w:rPr>
        <w:t> </w:t>
      </w:r>
      <w:r>
        <w:rPr>
          <w:spacing w:val="-75"/>
        </w:rPr>
      </w:r>
      <w:r>
        <w:rPr/>
        <w:t>公允价值与其账面价值的差额计入当期投资收益；购买日之前持有的被购买方的股权涉及权益法核算下的其他综合收益等</w:t>
      </w:r>
      <w:r>
        <w:rPr>
          <w:spacing w:val="-11"/>
        </w:rPr>
        <w:t> </w:t>
      </w:r>
      <w:r>
        <w:rPr>
          <w:spacing w:val="-11"/>
        </w:rPr>
      </w:r>
      <w:r>
        <w:rPr>
          <w:spacing w:val="-2"/>
        </w:rPr>
        <w:t>的，与其相关的其他综合收益等转为购买日所属当期收益。但由于被投资方重新计量设定受益计划净负债或净资产变动而产</w:t>
      </w:r>
      <w:r>
        <w:rPr>
          <w:spacing w:val="-64"/>
        </w:rPr>
        <w:t> </w:t>
      </w:r>
      <w:r>
        <w:rPr>
          <w:spacing w:val="-64"/>
        </w:rPr>
      </w:r>
      <w:r>
        <w:rPr/>
        <w:t>生的其他综合收益除外。</w:t>
      </w:r>
    </w:p>
    <w:p>
      <w:pPr>
        <w:pStyle w:val="BodyText"/>
        <w:spacing w:line="300" w:lineRule="auto" w:before="24"/>
        <w:ind w:right="1130" w:firstLine="36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21"/>
        </w:rPr>
        <w:t> </w:t>
      </w:r>
      <w:r>
        <w:rPr/>
        <w:t>除企业合并形成以外的：以支付现金取得的，按照实际支付的购买价款作为其初始投资成本；以发行权益性证券取</w:t>
      </w:r>
      <w:r>
        <w:rPr>
          <w:w w:val="99"/>
        </w:rPr>
        <w:t> </w:t>
      </w:r>
      <w:r>
        <w:rPr>
          <w:spacing w:val="-2"/>
        </w:rPr>
        <w:t>得的，按照发行权益性证券的公允价值作为其初始投资成本；以债务重组方式取得的，按《企业会计准则第</w:t>
      </w:r>
      <w:r>
        <w:rPr>
          <w:rFonts w:ascii="Times New Roman" w:hAnsi="Times New Roman" w:cs="Times New Roman" w:eastAsia="Times New Roman" w:hint="default"/>
          <w:spacing w:val="-2"/>
        </w:rPr>
        <w:t>12</w:t>
      </w:r>
      <w:r>
        <w:rPr>
          <w:spacing w:val="-2"/>
        </w:rPr>
        <w:t>号</w:t>
      </w:r>
      <w:r>
        <w:rPr>
          <w:rFonts w:ascii="Times New Roman" w:hAnsi="Times New Roman" w:cs="Times New Roman" w:eastAsia="Times New Roman" w:hint="default"/>
          <w:spacing w:val="-2"/>
        </w:rPr>
        <w:t>——</w:t>
      </w:r>
      <w:r>
        <w:rPr>
          <w:spacing w:val="-2"/>
        </w:rPr>
        <w:t>债务重</w:t>
      </w:r>
      <w:r>
        <w:rPr>
          <w:spacing w:val="-63"/>
        </w:rPr>
        <w:t> </w:t>
      </w:r>
      <w:r>
        <w:rPr/>
        <w:t>组》确定其初始投资成本；以非货币性资产交换取得的，按《企业会计准则第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非货币性资产交换》确定其初始投资</w:t>
      </w:r>
      <w:r>
        <w:rPr>
          <w:spacing w:val="-84"/>
        </w:rPr>
        <w:t> </w:t>
      </w:r>
      <w:r>
        <w:rPr>
          <w:spacing w:val="-84"/>
        </w:rPr>
      </w:r>
      <w:r>
        <w:rPr/>
        <w:t>成本。</w:t>
      </w:r>
    </w:p>
    <w:p>
      <w:pPr>
        <w:pStyle w:val="BodyText"/>
        <w:spacing w:line="309" w:lineRule="auto" w:before="31"/>
        <w:ind w:left="512" w:right="1214"/>
        <w:jc w:val="left"/>
      </w:pPr>
      <w:r>
        <w:rPr>
          <w:rFonts w:ascii="Times New Roman" w:hAnsi="Times New Roman" w:cs="Times New Roman" w:eastAsia="Times New Roman" w:hint="default"/>
        </w:rPr>
        <w:t>3.</w:t>
      </w:r>
      <w:r>
        <w:rPr/>
        <w:t>后续计量及损益确认方法 对被投资单位实施控制的长期股权投资采用成本法核算；对联营企业和合营企业的长期股权投资，采用权益法核算。 </w:t>
      </w:r>
      <w:r>
        <w:rPr>
          <w:rFonts w:ascii="Times New Roman" w:hAnsi="Times New Roman" w:cs="Times New Roman" w:eastAsia="Times New Roman" w:hint="default"/>
        </w:rPr>
        <w:t>4.</w:t>
      </w:r>
      <w:r>
        <w:rPr/>
        <w:t>通过多次交易分步处置对子公司投资至丧失控制权的处理方法</w:t>
      </w:r>
    </w:p>
    <w:p>
      <w:pPr>
        <w:pStyle w:val="BodyText"/>
        <w:spacing w:line="300" w:lineRule="auto" w:before="5"/>
        <w:ind w:left="512" w:right="98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个别财务报表</w:t>
      </w:r>
      <w:r>
        <w:rPr>
          <w:w w:val="99"/>
        </w:rPr>
        <w:t> </w:t>
      </w:r>
      <w:r>
        <w:rPr>
          <w:spacing w:val="-2"/>
        </w:rPr>
        <w:t>对处置的股权，其账面价值与实际取得价款之间的差额，计入当期损益。对于剩余股权，对被投资单位仍具有重大影响</w:t>
      </w:r>
    </w:p>
    <w:p>
      <w:pPr>
        <w:pStyle w:val="BodyText"/>
        <w:spacing w:line="316" w:lineRule="auto" w:before="31"/>
        <w:ind w:right="982"/>
        <w:jc w:val="left"/>
      </w:pPr>
      <w:r>
        <w:rPr>
          <w:spacing w:val="-2"/>
        </w:rPr>
        <w:t>或者与其他方一起实施共同控制的，转为权益法核算；不能再对被投资单位实施控制、共同控制或重大影响的，确认为金融</w:t>
      </w:r>
      <w:r>
        <w:rPr>
          <w:spacing w:val="-64"/>
        </w:rPr>
        <w:t> </w:t>
      </w:r>
      <w:r>
        <w:rPr>
          <w:spacing w:val="-64"/>
        </w:rPr>
      </w:r>
      <w:r>
        <w:rPr/>
        <w:t>资产，按照《企业会计准则第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金融工具确认和计量》的相关规定进行核算。</w:t>
      </w:r>
    </w:p>
    <w:p>
      <w:pPr>
        <w:pStyle w:val="BodyText"/>
        <w:spacing w:line="248" w:lineRule="exact" w:before="0"/>
        <w:ind w:left="512" w:right="98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合并财务报表</w:t>
      </w:r>
    </w:p>
    <w:p>
      <w:pPr>
        <w:pStyle w:val="BodyText"/>
        <w:spacing w:line="314" w:lineRule="auto" w:before="62"/>
        <w:ind w:right="982" w:firstLine="36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通过多次交易分步处置对子公司投资至丧失控制权，且不属于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 </w:t>
      </w:r>
      <w:r>
        <w:rPr>
          <w:spacing w:val="-2"/>
        </w:rPr>
        <w:t>在丧失控制权之前，处置价款与处置长期股权投资相对应享有子公司自购买日或合并日开始持续计算的净资产份额之间的差</w:t>
      </w:r>
      <w:r>
        <w:rPr>
          <w:spacing w:val="-64"/>
        </w:rPr>
        <w:t> </w:t>
      </w:r>
      <w:r>
        <w:rPr>
          <w:spacing w:val="-64"/>
        </w:rPr>
      </w:r>
      <w:r>
        <w:rPr/>
        <w:t>额，调整资本公积（资本溢价），资本溢价不足冲减的，冲减留存收益。 </w:t>
      </w:r>
      <w:r>
        <w:rPr>
          <w:spacing w:val="-2"/>
        </w:rPr>
        <w:t>丧失对原子公司控制权时，对于剩余股权，按照其在丧失控制权日的公允价值进行重新计量。处置股权取得的对价与剩余股</w:t>
      </w:r>
      <w:r>
        <w:rPr>
          <w:spacing w:val="-63"/>
        </w:rPr>
        <w:t> </w:t>
      </w:r>
      <w:r>
        <w:rPr>
          <w:spacing w:val="-63"/>
        </w:rPr>
      </w:r>
      <w:r>
        <w:rPr>
          <w:spacing w:val="-2"/>
        </w:rPr>
        <w:t>权公允价值之和，减去按原持股比例计算应享有原有子公司自购买日或合并日开始持续计算的净资产的份额之间的差额，计</w:t>
      </w:r>
      <w:r>
        <w:rPr>
          <w:spacing w:val="-64"/>
        </w:rPr>
        <w:t> </w:t>
      </w:r>
      <w:r>
        <w:rPr>
          <w:spacing w:val="-64"/>
        </w:rPr>
      </w:r>
      <w:r>
        <w:rPr>
          <w:spacing w:val="-2"/>
        </w:rPr>
        <w:t>入丧失控制权当期的投资收益，同时冲减商誉。与原有子公司股权投资相关的其他综合收益等，应当在丧失控制权时转为当</w:t>
      </w:r>
      <w:r>
        <w:rPr>
          <w:spacing w:val="-66"/>
        </w:rPr>
        <w:t> </w:t>
      </w:r>
      <w:r>
        <w:rPr>
          <w:spacing w:val="-66"/>
        </w:rPr>
      </w:r>
      <w:r>
        <w:rPr/>
        <w:t>期投资收益。</w:t>
      </w:r>
    </w:p>
    <w:p>
      <w:pPr>
        <w:pStyle w:val="BodyText"/>
        <w:spacing w:line="312" w:lineRule="auto" w:before="20"/>
        <w:ind w:right="982" w:firstLine="36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通过多次交易分步处置对子公司投资至丧失控制权，且属于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 </w:t>
      </w:r>
      <w:r>
        <w:rPr>
          <w:spacing w:val="-2"/>
        </w:rPr>
        <w:t>将各项交易作为一项处置子公司并丧失控制权的交易进行会计处理。但是，在丧失控制权之前每一次处置价款与处置投资对</w:t>
      </w:r>
      <w:r>
        <w:rPr>
          <w:spacing w:val="-64"/>
        </w:rPr>
        <w:t> </w:t>
      </w:r>
      <w:r>
        <w:rPr>
          <w:spacing w:val="-64"/>
        </w:rPr>
      </w:r>
      <w:r>
        <w:rPr>
          <w:spacing w:val="-2"/>
        </w:rPr>
        <w:t>应的享有该子公司净资产份额的差额，在合并财务报表中确认为其他综合收益，在丧失控制权时一并转入丧失控制权当期的</w:t>
      </w:r>
      <w:r>
        <w:rPr>
          <w:spacing w:val="-64"/>
        </w:rPr>
        <w:t> </w:t>
      </w:r>
      <w:r>
        <w:rPr>
          <w:spacing w:val="-64"/>
        </w:rPr>
      </w:r>
      <w:r>
        <w:rPr/>
        <w:t>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8"/>
          <w:szCs w:val="18"/>
        </w:rPr>
      </w:pPr>
    </w:p>
    <w:p>
      <w:pPr>
        <w:pStyle w:val="Heading3"/>
        <w:spacing w:line="240" w:lineRule="auto"/>
        <w:ind w:right="0"/>
        <w:jc w:val="both"/>
        <w:rPr>
          <w:b w:val="0"/>
          <w:bCs w:val="0"/>
        </w:rPr>
      </w:pPr>
      <w:bookmarkStart w:name="15、投资性房地产" w:id="187"/>
      <w:bookmarkEnd w:id="187"/>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2"/>
        <w:rPr>
          <w:rFonts w:ascii="宋体" w:hAnsi="宋体" w:cs="宋体" w:eastAsia="宋体" w:hint="default"/>
          <w:b/>
          <w:bCs/>
          <w:sz w:val="26"/>
          <w:szCs w:val="26"/>
        </w:rPr>
      </w:pPr>
    </w:p>
    <w:p>
      <w:pPr>
        <w:pStyle w:val="BodyText"/>
        <w:spacing w:line="360" w:lineRule="auto" w:before="0"/>
        <w:ind w:right="8954"/>
        <w:jc w:val="left"/>
      </w:pPr>
      <w:r>
        <w:rPr/>
        <w:t>投资性房地产计量模式 不适用</w:t>
      </w:r>
    </w:p>
    <w:p>
      <w:pPr>
        <w:spacing w:after="0" w:line="360" w:lineRule="auto"/>
        <w:jc w:val="left"/>
        <w:sectPr>
          <w:footerReference w:type="default" r:id="rId15"/>
          <w:pgSz w:w="11910" w:h="16840"/>
          <w:pgMar w:footer="982" w:header="745" w:top="1060" w:bottom="1180" w:left="980" w:right="0"/>
          <w:pgNumType w:start="101"/>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bookmarkStart w:name="16、固定资产" w:id="188"/>
      <w:bookmarkEnd w:id="188"/>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bookmarkStart w:name="（1）确认条件" w:id="189"/>
      <w:bookmarkEnd w:id="189"/>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982"/>
        <w:jc w:val="left"/>
      </w:pPr>
      <w:r>
        <w:rPr>
          <w:spacing w:val="-2"/>
        </w:rPr>
        <w:t>固定资产是指为生产商品、提供劳务、出租或经营管理而持有的，使用年限超过一个会计年度的有形资产。固定资产在同时</w:t>
      </w:r>
      <w:r>
        <w:rPr>
          <w:spacing w:val="-65"/>
        </w:rPr>
        <w:t> </w:t>
      </w:r>
      <w:r>
        <w:rPr>
          <w:spacing w:val="-65"/>
        </w:rPr>
      </w:r>
      <w:r>
        <w:rPr/>
        <w:t>满足经济利益很可能流入、成本能够可靠计量时予以确认。</w:t>
      </w:r>
    </w:p>
    <w:p>
      <w:pPr>
        <w:spacing w:line="240" w:lineRule="auto" w:before="10"/>
        <w:rPr>
          <w:rFonts w:ascii="宋体" w:hAnsi="宋体" w:cs="宋体" w:eastAsia="宋体" w:hint="default"/>
          <w:sz w:val="22"/>
          <w:szCs w:val="22"/>
        </w:rPr>
      </w:pPr>
    </w:p>
    <w:p>
      <w:pPr>
        <w:pStyle w:val="Heading3"/>
        <w:spacing w:line="240" w:lineRule="auto"/>
        <w:ind w:right="982"/>
        <w:jc w:val="left"/>
        <w:rPr>
          <w:b w:val="0"/>
          <w:bCs w:val="0"/>
        </w:rPr>
      </w:pPr>
      <w:bookmarkStart w:name="（2）折旧方法" w:id="190"/>
      <w:bookmarkEnd w:id="190"/>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19.00-4.75</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31.67-19.00</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19.00-9.50</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19.00-9.50</w:t>
            </w:r>
          </w:p>
        </w:tc>
      </w:tr>
    </w:tbl>
    <w:p>
      <w:pPr>
        <w:spacing w:line="240" w:lineRule="auto" w:before="3"/>
        <w:rPr>
          <w:rFonts w:ascii="宋体" w:hAnsi="宋体" w:cs="宋体" w:eastAsia="宋体" w:hint="default"/>
          <w:b/>
          <w:bCs/>
          <w:sz w:val="19"/>
          <w:szCs w:val="19"/>
        </w:rPr>
      </w:pPr>
    </w:p>
    <w:p>
      <w:pPr>
        <w:pStyle w:val="Heading3"/>
        <w:spacing w:line="240" w:lineRule="auto" w:before="36"/>
        <w:ind w:right="982"/>
        <w:jc w:val="left"/>
        <w:rPr>
          <w:b w:val="0"/>
          <w:bCs w:val="0"/>
        </w:rPr>
      </w:pPr>
      <w:bookmarkStart w:name="（3）融资租入固定资产的认定依据、计价和折旧方法" w:id="191"/>
      <w:bookmarkEnd w:id="191"/>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2"/>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bookmarkStart w:name="17、在建工程" w:id="192"/>
      <w:bookmarkEnd w:id="192"/>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60" w:lineRule="auto" w:before="0"/>
        <w:ind w:right="7694"/>
        <w:jc w:val="left"/>
      </w:pPr>
      <w:r>
        <w:rPr/>
        <w:t>公司是否需要遵守特殊行业的披露要求 否</w:t>
      </w:r>
    </w:p>
    <w:p>
      <w:pPr>
        <w:pStyle w:val="BodyText"/>
        <w:spacing w:line="300" w:lineRule="auto" w:before="27"/>
        <w:ind w:right="1132" w:firstLine="360"/>
        <w:jc w:val="left"/>
      </w:pPr>
      <w:r>
        <w:rPr>
          <w:rFonts w:ascii="Times New Roman" w:hAnsi="Times New Roman" w:cs="Times New Roman" w:eastAsia="Times New Roman" w:hint="default"/>
          <w:spacing w:val="-1"/>
        </w:rPr>
        <w:t>1.</w:t>
      </w:r>
      <w:r>
        <w:rPr>
          <w:spacing w:val="-1"/>
        </w:rPr>
        <w:t>在建工程同时满足经济利益很可能流入、成本能够可靠计量则予以确认。在建工程按建造该项资产达到预定可使用状</w:t>
      </w:r>
      <w:r>
        <w:rPr/>
        <w:t> 态前所发生的实际成本计量。</w:t>
      </w:r>
    </w:p>
    <w:p>
      <w:pPr>
        <w:pStyle w:val="BodyText"/>
        <w:spacing w:line="300" w:lineRule="auto" w:before="31"/>
        <w:ind w:right="982" w:firstLine="288"/>
        <w:jc w:val="left"/>
      </w:pPr>
      <w:r>
        <w:rPr>
          <w:rFonts w:ascii="Times New Roman" w:hAnsi="Times New Roman" w:cs="Times New Roman" w:eastAsia="Times New Roman" w:hint="default"/>
        </w:rPr>
        <w:t>2.</w:t>
      </w:r>
      <w:r>
        <w:rPr/>
        <w:t>在建工程达到预定可使用状态时，按工程实际成本转入固定资产。已达到预定可使用状态但尚未办理竣工决算的，先 按估计价值转入固定资产，待办理竣工决算后再按实际成本调整原暂估价值，但不再调整原已计提的折旧。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9"/>
          <w:szCs w:val="19"/>
        </w:rPr>
      </w:pPr>
    </w:p>
    <w:p>
      <w:pPr>
        <w:pStyle w:val="Heading3"/>
        <w:spacing w:line="240" w:lineRule="auto"/>
        <w:ind w:right="982"/>
        <w:jc w:val="left"/>
        <w:rPr>
          <w:b w:val="0"/>
          <w:bCs w:val="0"/>
        </w:rPr>
      </w:pPr>
      <w:bookmarkStart w:name="18、借款费用" w:id="193"/>
      <w:bookmarkEnd w:id="193"/>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4"/>
        <w:rPr>
          <w:rFonts w:ascii="宋体" w:hAnsi="宋体" w:cs="宋体" w:eastAsia="宋体" w:hint="default"/>
          <w:b/>
          <w:bCs/>
          <w:sz w:val="26"/>
          <w:szCs w:val="26"/>
        </w:rPr>
      </w:pPr>
    </w:p>
    <w:p>
      <w:pPr>
        <w:pStyle w:val="BodyText"/>
        <w:spacing w:line="300" w:lineRule="auto" w:before="0"/>
        <w:ind w:left="512" w:right="982"/>
        <w:jc w:val="left"/>
      </w:pPr>
      <w:r>
        <w:rPr>
          <w:rFonts w:ascii="Times New Roman" w:hAnsi="Times New Roman" w:cs="Times New Roman" w:eastAsia="Times New Roman" w:hint="default"/>
        </w:rPr>
        <w:t>1.</w:t>
      </w:r>
      <w:r>
        <w:rPr/>
        <w:t>借款费用资本化的确认原则 </w:t>
      </w:r>
      <w:r>
        <w:rPr>
          <w:spacing w:val="-2"/>
        </w:rPr>
        <w:t>公司发生的借款费用，可直接归属于符合资本化条件的资产的购建或者生产的，予以资本化，计入相关资产成本；其他</w:t>
      </w:r>
    </w:p>
    <w:p>
      <w:pPr>
        <w:pStyle w:val="BodyText"/>
        <w:spacing w:line="240" w:lineRule="auto" w:before="31"/>
        <w:ind w:right="982"/>
        <w:jc w:val="left"/>
      </w:pPr>
      <w:r>
        <w:rPr/>
        <w:t>借款费用，在发生时确认为费用，计入当期损益。</w:t>
      </w:r>
    </w:p>
    <w:p>
      <w:pPr>
        <w:pStyle w:val="BodyText"/>
        <w:spacing w:line="240" w:lineRule="auto" w:before="76"/>
        <w:ind w:left="512" w:right="982"/>
        <w:jc w:val="left"/>
      </w:pPr>
      <w:r>
        <w:rPr>
          <w:rFonts w:ascii="Times New Roman" w:hAnsi="Times New Roman" w:cs="Times New Roman" w:eastAsia="Times New Roman" w:hint="default"/>
        </w:rPr>
        <w:t>2.</w:t>
      </w:r>
      <w:r>
        <w:rPr/>
        <w:t>借款费用资本化期间</w:t>
      </w:r>
    </w:p>
    <w:p>
      <w:pPr>
        <w:pStyle w:val="BodyText"/>
        <w:spacing w:line="300" w:lineRule="auto" w:before="62"/>
        <w:ind w:left="572" w:right="982"/>
        <w:jc w:val="left"/>
      </w:pPr>
      <w:r>
        <w:rPr>
          <w:rFonts w:ascii="Times New Roman" w:hAnsi="Times New Roman" w:cs="Times New Roman" w:eastAsia="Times New Roman" w:hint="default"/>
        </w:rPr>
        <w:t>(1) </w:t>
      </w:r>
      <w:r>
        <w:rPr/>
        <w:t>当借款费用同时满足下列条件时，开始资本化：</w:t>
      </w:r>
      <w:r>
        <w:rPr>
          <w:rFonts w:ascii="Times New Roman" w:hAnsi="Times New Roman" w:cs="Times New Roman" w:eastAsia="Times New Roman" w:hint="default"/>
        </w:rPr>
        <w:t>1) </w:t>
      </w:r>
      <w:r>
        <w:rPr/>
        <w:t>资产支出已经发生；</w:t>
      </w:r>
      <w:r>
        <w:rPr>
          <w:rFonts w:ascii="Times New Roman" w:hAnsi="Times New Roman" w:cs="Times New Roman" w:eastAsia="Times New Roman" w:hint="default"/>
        </w:rPr>
        <w:t>2) </w:t>
      </w:r>
      <w:r>
        <w:rPr/>
        <w:t>借款费用已经发生；</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为使资产达到预</w:t>
      </w:r>
      <w:r>
        <w:rPr>
          <w:w w:val="99"/>
        </w:rPr>
        <w:t> </w:t>
      </w:r>
      <w:r>
        <w:rPr/>
        <w:t>定可使用或可销售状态所必要的购建或者生产活动已经开始。</w:t>
      </w:r>
    </w:p>
    <w:p>
      <w:pPr>
        <w:pStyle w:val="BodyText"/>
        <w:spacing w:line="300" w:lineRule="auto" w:before="31"/>
        <w:ind w:right="1201" w:firstLine="36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若符合资本化条件的资产在购建或者生产过程中发生非正常中断，并且中断时间连续超过</w:t>
      </w:r>
      <w:r>
        <w:rPr>
          <w:rFonts w:ascii="Times New Roman" w:hAnsi="Times New Roman" w:cs="Times New Roman" w:eastAsia="Times New Roman" w:hint="default"/>
        </w:rPr>
        <w:t>3</w:t>
      </w:r>
      <w:r>
        <w:rPr/>
        <w:t>个月，暂停借款费用的</w:t>
      </w:r>
      <w:r>
        <w:rPr>
          <w:w w:val="99"/>
        </w:rPr>
        <w:t> </w:t>
      </w:r>
      <w:r>
        <w:rPr/>
        <w:t>资本化；中断期间发生的借款费用确认为当期费用，直至资产的购建或者生产活动重新开始。</w:t>
      </w:r>
    </w:p>
    <w:p>
      <w:pPr>
        <w:pStyle w:val="BodyText"/>
        <w:spacing w:line="240" w:lineRule="auto" w:before="31"/>
        <w:ind w:left="512" w:right="98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当所购建或者生产符合资本化条件的资产达到预定可使用或可销售状态时，借款费用停止资本化。</w:t>
      </w:r>
    </w:p>
    <w:p>
      <w:pPr>
        <w:pStyle w:val="BodyText"/>
        <w:spacing w:line="309" w:lineRule="auto" w:before="62"/>
        <w:ind w:right="1034" w:firstLine="360"/>
        <w:jc w:val="left"/>
      </w:pPr>
      <w:r>
        <w:rPr>
          <w:rFonts w:ascii="Times New Roman" w:hAnsi="Times New Roman" w:cs="Times New Roman" w:eastAsia="Times New Roman" w:hint="default"/>
        </w:rPr>
        <w:t>3.</w:t>
      </w:r>
      <w:r>
        <w:rPr/>
        <w:t>借款费用资本化率以及资本化金额 </w:t>
      </w:r>
      <w:r>
        <w:rPr>
          <w:spacing w:val="-2"/>
        </w:rPr>
        <w:t>为购建或者生产符合资本化条件的资产而借入专门借款的，以专门借款当期实际发生的利息费用（包括按照实际利率法确定</w:t>
      </w:r>
      <w:r>
        <w:rPr>
          <w:spacing w:val="-64"/>
        </w:rPr>
        <w:t> </w:t>
      </w:r>
      <w:r>
        <w:rPr>
          <w:spacing w:val="-64"/>
        </w:rPr>
      </w:r>
      <w:r>
        <w:rPr/>
        <w:t>的折价或溢价的摊销），减去将尚未动用的借款资金存入银行取得的利息收入或进行暂时性投资取得的投资收益后的金额，</w:t>
      </w:r>
    </w:p>
    <w:p>
      <w:pPr>
        <w:spacing w:after="0" w:line="309" w:lineRule="auto"/>
        <w:jc w:val="left"/>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316" w:lineRule="auto"/>
        <w:ind w:right="982"/>
        <w:jc w:val="left"/>
      </w:pPr>
      <w:r>
        <w:rPr>
          <w:spacing w:val="-2"/>
        </w:rPr>
        <w:t>确定应予资本化的利息金额；为购建或者生产符合资本化条件的资产占用了一般借款的，根据累计资产支出超过专门借款的</w:t>
      </w:r>
      <w:r>
        <w:rPr>
          <w:spacing w:val="-64"/>
        </w:rPr>
        <w:t> </w:t>
      </w:r>
      <w:r>
        <w:rPr>
          <w:spacing w:val="-64"/>
        </w:rPr>
      </w:r>
      <w:r>
        <w:rPr/>
        <w:t>资产支出加权平均数乘以占用一般借款的资本化率，计算确定一般借款应予资本化的利息金额。</w:t>
      </w:r>
    </w:p>
    <w:p>
      <w:pPr>
        <w:spacing w:line="240" w:lineRule="auto" w:before="10"/>
        <w:rPr>
          <w:rFonts w:ascii="宋体" w:hAnsi="宋体" w:cs="宋体" w:eastAsia="宋体" w:hint="default"/>
          <w:sz w:val="22"/>
          <w:szCs w:val="22"/>
        </w:rPr>
      </w:pPr>
    </w:p>
    <w:p>
      <w:pPr>
        <w:pStyle w:val="Heading3"/>
        <w:spacing w:line="240" w:lineRule="auto"/>
        <w:ind w:right="982"/>
        <w:jc w:val="left"/>
        <w:rPr>
          <w:b w:val="0"/>
          <w:bCs w:val="0"/>
        </w:rPr>
      </w:pPr>
      <w:bookmarkStart w:name="19、生物资产" w:id="194"/>
      <w:bookmarkEnd w:id="194"/>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2"/>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bookmarkStart w:name="20、油气资产" w:id="195"/>
      <w:bookmarkEnd w:id="195"/>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982"/>
        <w:jc w:val="left"/>
      </w:pPr>
      <w:r>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3"/>
        <w:spacing w:line="240" w:lineRule="auto"/>
        <w:ind w:right="982"/>
        <w:jc w:val="left"/>
        <w:rPr>
          <w:b w:val="0"/>
          <w:bCs w:val="0"/>
        </w:rPr>
      </w:pPr>
      <w:bookmarkStart w:name="21、无形资产" w:id="196"/>
      <w:bookmarkEnd w:id="196"/>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bookmarkStart w:name="（1）计价方法、使用寿命、减值测试" w:id="197"/>
      <w:bookmarkEnd w:id="197"/>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2"/>
        <w:rPr>
          <w:rFonts w:ascii="宋体" w:hAnsi="宋体" w:cs="宋体" w:eastAsia="宋体" w:hint="default"/>
          <w:b/>
          <w:bCs/>
          <w:sz w:val="26"/>
          <w:szCs w:val="26"/>
        </w:rPr>
      </w:pPr>
    </w:p>
    <w:p>
      <w:pPr>
        <w:pStyle w:val="BodyText"/>
        <w:spacing w:line="360" w:lineRule="auto" w:before="0"/>
        <w:ind w:right="7694"/>
        <w:jc w:val="left"/>
      </w:pPr>
      <w:r>
        <w:rPr/>
        <w:t>公司是否需要遵守特殊行业的披露要求 否</w:t>
      </w:r>
    </w:p>
    <w:p>
      <w:pPr>
        <w:pStyle w:val="BodyText"/>
        <w:spacing w:line="240" w:lineRule="auto" w:before="25"/>
        <w:ind w:right="982"/>
        <w:jc w:val="left"/>
      </w:pPr>
      <w:r>
        <w:rPr>
          <w:rFonts w:ascii="Times New Roman" w:hAnsi="Times New Roman" w:cs="Times New Roman" w:eastAsia="Times New Roman" w:hint="default"/>
        </w:rPr>
        <w:t>1.</w:t>
      </w:r>
      <w:r>
        <w:rPr/>
        <w:t>无形资产包括土地使用权、专利权及非专利技术等，按成本进行初始计量。</w:t>
      </w:r>
    </w:p>
    <w:p>
      <w:pPr>
        <w:pStyle w:val="BodyText"/>
        <w:spacing w:line="300" w:lineRule="auto" w:before="62"/>
        <w:ind w:right="982"/>
        <w:jc w:val="left"/>
      </w:pPr>
      <w:r>
        <w:rPr>
          <w:rFonts w:ascii="Times New Roman" w:hAnsi="Times New Roman" w:cs="Times New Roman" w:eastAsia="Times New Roman" w:hint="default"/>
          <w:spacing w:val="-1"/>
        </w:rPr>
        <w:t>2.</w:t>
      </w:r>
      <w:r>
        <w:rPr>
          <w:spacing w:val="-1"/>
        </w:rPr>
        <w:t>使用寿命有限的无形资产，在使用寿命内按照与该项无形资产有关的经济利益的预期实现方式系统合理地摊销，无法可靠</w:t>
      </w:r>
      <w:r>
        <w:rPr>
          <w:spacing w:val="-74"/>
        </w:rPr>
        <w:t> </w:t>
      </w:r>
      <w:r>
        <w:rPr>
          <w:spacing w:val="-74"/>
        </w:rPr>
      </w:r>
      <w:r>
        <w:rPr/>
        <w:t>确定预期实现方式的，采用直线法摊销。具体年限如下</w:t>
      </w:r>
    </w:p>
    <w:tbl>
      <w:tblPr>
        <w:tblW w:w="0" w:type="auto"/>
        <w:jc w:val="left"/>
        <w:tblInd w:w="145" w:type="dxa"/>
        <w:tblLayout w:type="fixed"/>
        <w:tblCellMar>
          <w:top w:w="0" w:type="dxa"/>
          <w:left w:w="0" w:type="dxa"/>
          <w:bottom w:w="0" w:type="dxa"/>
          <w:right w:w="0" w:type="dxa"/>
        </w:tblCellMar>
        <w:tblLook w:val="01E0"/>
      </w:tblPr>
      <w:tblGrid>
        <w:gridCol w:w="2126"/>
        <w:gridCol w:w="1834"/>
      </w:tblGrid>
      <w:tr>
        <w:trPr>
          <w:trHeight w:val="348" w:hRule="exact"/>
        </w:trPr>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摊销年限（年）</w:t>
            </w:r>
          </w:p>
        </w:tc>
      </w:tr>
      <w:tr>
        <w:trPr>
          <w:trHeight w:val="348" w:hRule="exact"/>
        </w:trPr>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土地使用权</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2" w:right="0"/>
              <w:jc w:val="center"/>
              <w:rPr>
                <w:rFonts w:ascii="Times New Roman" w:hAnsi="Times New Roman" w:cs="Times New Roman" w:eastAsia="Times New Roman" w:hint="default"/>
                <w:sz w:val="20"/>
                <w:szCs w:val="20"/>
              </w:rPr>
            </w:pPr>
            <w:r>
              <w:rPr>
                <w:rFonts w:ascii="Times New Roman"/>
                <w:sz w:val="20"/>
              </w:rPr>
              <w:t>40-50</w:t>
            </w:r>
          </w:p>
        </w:tc>
      </w:tr>
      <w:tr>
        <w:trPr>
          <w:trHeight w:val="346" w:hRule="exact"/>
        </w:trPr>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 w:right="0"/>
              <w:jc w:val="center"/>
              <w:rPr>
                <w:rFonts w:ascii="宋体" w:hAnsi="宋体" w:cs="宋体" w:eastAsia="宋体" w:hint="default"/>
                <w:sz w:val="20"/>
                <w:szCs w:val="20"/>
              </w:rPr>
            </w:pPr>
            <w:r>
              <w:rPr>
                <w:rFonts w:ascii="宋体" w:hAnsi="宋体" w:cs="宋体" w:eastAsia="宋体" w:hint="default"/>
                <w:sz w:val="20"/>
                <w:szCs w:val="20"/>
              </w:rPr>
              <w:t>专利权</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sz w:val="20"/>
              </w:rPr>
              <w:t>3-6</w:t>
            </w:r>
          </w:p>
        </w:tc>
      </w:tr>
      <w:tr>
        <w:trPr>
          <w:trHeight w:val="348" w:hRule="exact"/>
        </w:trPr>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非专利技术</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 w:right="0"/>
              <w:jc w:val="center"/>
              <w:rPr>
                <w:rFonts w:ascii="Times New Roman" w:hAnsi="Times New Roman" w:cs="Times New Roman" w:eastAsia="Times New Roman" w:hint="default"/>
                <w:sz w:val="20"/>
                <w:szCs w:val="20"/>
              </w:rPr>
            </w:pPr>
            <w:r>
              <w:rPr>
                <w:rFonts w:ascii="Times New Roman"/>
                <w:sz w:val="20"/>
              </w:rPr>
              <w:t>10</w:t>
            </w:r>
          </w:p>
        </w:tc>
      </w:tr>
      <w:tr>
        <w:trPr>
          <w:trHeight w:val="348" w:hRule="exact"/>
        </w:trPr>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特许经营权</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4" w:right="0"/>
              <w:jc w:val="center"/>
              <w:rPr>
                <w:rFonts w:ascii="Times New Roman" w:hAnsi="Times New Roman" w:cs="Times New Roman" w:eastAsia="Times New Roman" w:hint="default"/>
                <w:sz w:val="20"/>
                <w:szCs w:val="20"/>
              </w:rPr>
            </w:pPr>
            <w:r>
              <w:rPr>
                <w:rFonts w:ascii="Times New Roman"/>
                <w:sz w:val="20"/>
              </w:rPr>
              <w:t>12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3"/>
        <w:spacing w:line="240" w:lineRule="auto" w:before="36"/>
        <w:ind w:right="982"/>
        <w:jc w:val="left"/>
        <w:rPr>
          <w:b w:val="0"/>
          <w:bCs w:val="0"/>
        </w:rPr>
      </w:pPr>
      <w:bookmarkStart w:name="（2）内部研究开发支出会计政策" w:id="198"/>
      <w:bookmarkEnd w:id="198"/>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4"/>
        <w:rPr>
          <w:rFonts w:ascii="宋体" w:hAnsi="宋体" w:cs="宋体" w:eastAsia="宋体" w:hint="default"/>
          <w:b/>
          <w:bCs/>
          <w:sz w:val="26"/>
          <w:szCs w:val="26"/>
        </w:rPr>
      </w:pPr>
    </w:p>
    <w:p>
      <w:pPr>
        <w:pStyle w:val="BodyText"/>
        <w:spacing w:line="304" w:lineRule="auto" w:before="0"/>
        <w:ind w:right="1032" w:firstLine="288"/>
        <w:jc w:val="left"/>
      </w:pPr>
      <w:r>
        <w:rPr>
          <w:spacing w:val="-2"/>
        </w:rPr>
        <w:t>内部研究开发项目研究阶段的支出，于发生时计入当期损益。内部研究开发项目开发阶段的支出，同时满足下列条件的，</w:t>
      </w:r>
      <w:r>
        <w:rPr/>
        <w:t> 确认为无形资产：</w:t>
      </w:r>
      <w:r>
        <w:rPr>
          <w:rFonts w:ascii="Times New Roman" w:hAnsi="Times New Roman" w:cs="Times New Roman" w:eastAsia="Times New Roman" w:hint="default"/>
        </w:rPr>
        <w:t>(1) </w:t>
      </w:r>
      <w:r>
        <w:rPr/>
        <w:t>完成该无形资产以使其能够使用或出售在技术上具有可行性；</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具有完成该无形资产并使用或出售 的意图；</w:t>
      </w: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无形资产产生经济利益的方式，包括能够证明运用该无形资产生产的产品存在市场或无形资产自身存在市场， 无形资产将在内部使用的，能证明其有用性；</w:t>
      </w:r>
      <w:r>
        <w:rPr>
          <w:rFonts w:ascii="Times New Roman" w:hAnsi="Times New Roman" w:cs="Times New Roman" w:eastAsia="Times New Roman" w:hint="default"/>
        </w:rPr>
        <w:t>(4)</w:t>
      </w:r>
      <w:r>
        <w:rPr>
          <w:rFonts w:ascii="Times New Roman" w:hAnsi="Times New Roman" w:cs="Times New Roman" w:eastAsia="Times New Roman" w:hint="default"/>
          <w:spacing w:val="24"/>
        </w:rPr>
        <w:t> </w:t>
      </w:r>
      <w:r>
        <w:rPr/>
        <w:t>有足够的技术、财务资源和其他资源支持，以完成该无形资产的开发，并 有能力使用或出售该无形资产；</w:t>
      </w:r>
      <w:r>
        <w:rPr>
          <w:rFonts w:ascii="Times New Roman" w:hAnsi="Times New Roman" w:cs="Times New Roman" w:eastAsia="Times New Roman" w:hint="default"/>
        </w:rPr>
        <w:t>(5)</w:t>
      </w:r>
      <w:r>
        <w:rPr>
          <w:rFonts w:ascii="Times New Roman" w:hAnsi="Times New Roman" w:cs="Times New Roman" w:eastAsia="Times New Roman" w:hint="default"/>
          <w:spacing w:val="28"/>
        </w:rPr>
        <w:t> </w:t>
      </w:r>
      <w:r>
        <w:rPr/>
        <w:t>归属于该无形资产开发阶段的支出能够可靠地计量。</w:t>
      </w:r>
    </w:p>
    <w:p>
      <w:pPr>
        <w:spacing w:line="240" w:lineRule="auto" w:before="1"/>
        <w:rPr>
          <w:rFonts w:ascii="宋体" w:hAnsi="宋体" w:cs="宋体" w:eastAsia="宋体" w:hint="default"/>
          <w:sz w:val="22"/>
          <w:szCs w:val="22"/>
        </w:rPr>
      </w:pPr>
    </w:p>
    <w:p>
      <w:pPr>
        <w:pStyle w:val="Heading3"/>
        <w:spacing w:line="240" w:lineRule="auto"/>
        <w:ind w:right="982"/>
        <w:jc w:val="left"/>
        <w:rPr>
          <w:b w:val="0"/>
          <w:bCs w:val="0"/>
        </w:rPr>
      </w:pPr>
      <w:bookmarkStart w:name="22、长期资产减值" w:id="199"/>
      <w:bookmarkEnd w:id="199"/>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2"/>
        <w:rPr>
          <w:rFonts w:ascii="宋体" w:hAnsi="宋体" w:cs="宋体" w:eastAsia="宋体" w:hint="default"/>
          <w:b/>
          <w:bCs/>
          <w:sz w:val="26"/>
          <w:szCs w:val="26"/>
        </w:rPr>
      </w:pPr>
    </w:p>
    <w:p>
      <w:pPr>
        <w:pStyle w:val="BodyText"/>
        <w:spacing w:line="309" w:lineRule="auto" w:before="0"/>
        <w:ind w:right="982" w:firstLine="360"/>
        <w:jc w:val="left"/>
      </w:pPr>
      <w:r>
        <w:rPr>
          <w:spacing w:val="-1"/>
        </w:rPr>
        <w:t>对长期股权投资、固定资产、在建工程、使用寿命有限的无形资产等长期资产</w:t>
      </w:r>
      <w:r>
        <w:rPr>
          <w:rFonts w:ascii="Times New Roman" w:hAnsi="Times New Roman" w:cs="Times New Roman" w:eastAsia="Times New Roman" w:hint="default"/>
          <w:spacing w:val="-1"/>
        </w:rPr>
        <w:t>,</w:t>
      </w:r>
      <w:r>
        <w:rPr>
          <w:spacing w:val="-1"/>
        </w:rPr>
        <w:t>在资产负债表日有迹象表明发生减值的，</w:t>
      </w:r>
      <w:r>
        <w:rPr/>
        <w:t> </w:t>
      </w:r>
      <w:r>
        <w:rPr>
          <w:spacing w:val="-2"/>
        </w:rPr>
        <w:t>估计其可收回金额。对因企业合并所形成的商誉和使用寿命不确定的无形资产，无论是否存在减值迹象，每年都进行减值测</w:t>
      </w:r>
      <w:r>
        <w:rPr>
          <w:spacing w:val="-63"/>
        </w:rPr>
        <w:t> </w:t>
      </w:r>
      <w:r>
        <w:rPr>
          <w:spacing w:val="-63"/>
        </w:rPr>
      </w:r>
      <w:r>
        <w:rPr/>
        <w:t>试。商誉结合与其相关的资产组或者资产组组合进行减值测试。</w:t>
      </w:r>
    </w:p>
    <w:p>
      <w:pPr>
        <w:pStyle w:val="BodyText"/>
        <w:spacing w:line="240" w:lineRule="auto" w:before="24"/>
        <w:ind w:left="440" w:right="982"/>
        <w:jc w:val="left"/>
      </w:pPr>
      <w:r>
        <w:rPr/>
        <w:t>若上述长期资产的可收回金额低于其账面价值的，按其差额确认资产减值准备并计入当期损益。</w:t>
      </w:r>
    </w:p>
    <w:p>
      <w:pPr>
        <w:spacing w:after="0" w:line="240" w:lineRule="auto"/>
        <w:jc w:val="left"/>
        <w:sectPr>
          <w:pgSz w:w="11910" w:h="16840"/>
          <w:pgMar w:header="745"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3"/>
        <w:spacing w:line="240" w:lineRule="auto" w:before="36"/>
        <w:ind w:right="982"/>
        <w:jc w:val="left"/>
        <w:rPr>
          <w:b w:val="0"/>
          <w:bCs w:val="0"/>
        </w:rPr>
      </w:pPr>
      <w:bookmarkStart w:name="23、长期待摊费用" w:id="200"/>
      <w:bookmarkEnd w:id="200"/>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09" w:lineRule="auto" w:before="0"/>
        <w:ind w:right="1133" w:firstLine="288"/>
        <w:jc w:val="both"/>
      </w:pPr>
      <w:r>
        <w:rPr>
          <w:spacing w:val="-1"/>
        </w:rPr>
        <w:t>长期待摊费用核算已经支出，摊销期限在</w:t>
      </w:r>
      <w:r>
        <w:rPr>
          <w:rFonts w:ascii="Times New Roman" w:hAnsi="Times New Roman" w:cs="Times New Roman" w:eastAsia="Times New Roman" w:hint="default"/>
          <w:spacing w:val="-1"/>
        </w:rPr>
        <w:t>1</w:t>
      </w:r>
      <w:r>
        <w:rPr>
          <w:spacing w:val="-1"/>
        </w:rPr>
        <w:t>年以上（不含</w:t>
      </w:r>
      <w:r>
        <w:rPr>
          <w:rFonts w:ascii="Times New Roman" w:hAnsi="Times New Roman" w:cs="Times New Roman" w:eastAsia="Times New Roman" w:hint="default"/>
          <w:spacing w:val="-1"/>
        </w:rPr>
        <w:t>1</w:t>
      </w:r>
      <w:r>
        <w:rPr>
          <w:spacing w:val="-1"/>
        </w:rPr>
        <w:t>年）的各项费用。长期待摊费用按实际发生额入账，在受益期</w:t>
      </w:r>
      <w:r>
        <w:rPr/>
        <w:t> </w:t>
      </w:r>
      <w:r>
        <w:rPr>
          <w:spacing w:val="-2"/>
        </w:rPr>
        <w:t>或规定的期限内分期平均摊销。如果长期待摊的费用项目不能使以后会计期间受益则将尚未摊销的该项目的摊余价值全部转</w:t>
      </w:r>
      <w:r>
        <w:rPr>
          <w:spacing w:val="-64"/>
        </w:rPr>
        <w:t> </w:t>
      </w:r>
      <w:r>
        <w:rPr>
          <w:spacing w:val="-64"/>
        </w:rPr>
      </w:r>
      <w:r>
        <w:rPr/>
        <w:t>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4"/>
        <w:ind w:right="982"/>
        <w:jc w:val="left"/>
        <w:rPr>
          <w:b w:val="0"/>
          <w:bCs w:val="0"/>
        </w:rPr>
      </w:pPr>
      <w:bookmarkStart w:name="24、职工薪酬" w:id="201"/>
      <w:bookmarkEnd w:id="201"/>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bookmarkStart w:name="（1）短期薪酬的会计处理方法" w:id="202"/>
      <w:bookmarkEnd w:id="202"/>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2"/>
        <w:jc w:val="left"/>
      </w:pPr>
      <w:r>
        <w:rPr/>
        <w:t>在职工为公司提供服务的会计期间，将实际发生的短期薪酬确认为负债，并计入当期损益或相关资产成本。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3"/>
        <w:spacing w:line="240" w:lineRule="auto"/>
        <w:ind w:right="982"/>
        <w:jc w:val="left"/>
        <w:rPr>
          <w:b w:val="0"/>
          <w:bCs w:val="0"/>
        </w:rPr>
      </w:pPr>
      <w:bookmarkStart w:name="（2）离职后福利的会计处理方法" w:id="203"/>
      <w:bookmarkEnd w:id="203"/>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572" w:right="982"/>
        <w:jc w:val="left"/>
      </w:pPr>
      <w:r>
        <w:rPr/>
        <w:t>离职后福利分为设定提存计划和设定受益计划。</w:t>
      </w:r>
    </w:p>
    <w:p>
      <w:pPr>
        <w:pStyle w:val="BodyText"/>
        <w:spacing w:line="300" w:lineRule="auto" w:before="76"/>
        <w:ind w:right="1130"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spacing w:val="-2"/>
        </w:rPr>
        <w:t>在职工为公司提供服务的会计期间，根据设定提存计划计算的应缴存金额确认为负债，并计入当期损益或相关资产</w:t>
      </w:r>
      <w:r>
        <w:rPr>
          <w:w w:val="99"/>
        </w:rPr>
        <w:t> </w:t>
      </w:r>
      <w:r>
        <w:rPr/>
        <w:t>成本。</w:t>
      </w:r>
    </w:p>
    <w:p>
      <w:pPr>
        <w:pStyle w:val="BodyText"/>
        <w:spacing w:line="240" w:lineRule="auto" w:before="31"/>
        <w:ind w:left="572" w:right="98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对设定受益计划的会计处理通常包括下列步骤：</w:t>
      </w:r>
    </w:p>
    <w:p>
      <w:pPr>
        <w:pStyle w:val="BodyText"/>
        <w:spacing w:line="309" w:lineRule="auto" w:before="62"/>
        <w:ind w:right="1131" w:firstLine="372"/>
        <w:jc w:val="both"/>
      </w:pPr>
      <w:r>
        <w:rPr>
          <w:rFonts w:ascii="Times New Roman" w:hAnsi="Times New Roman" w:cs="Times New Roman" w:eastAsia="Times New Roman" w:hint="default"/>
          <w:spacing w:val="-2"/>
        </w:rPr>
        <w:t>1)</w:t>
      </w:r>
      <w:r>
        <w:rPr>
          <w:spacing w:val="-2"/>
        </w:rPr>
        <w:t>根据预期累计福利单位法，采用无偏且相互一致的精算假设对有关人口统计变量和财务变量等作出估计，计量设定受</w:t>
      </w:r>
      <w:r>
        <w:rPr>
          <w:w w:val="99"/>
        </w:rPr>
        <w:t> </w:t>
      </w:r>
      <w:r>
        <w:rPr>
          <w:spacing w:val="-2"/>
        </w:rPr>
        <w:t>益计划所产生的义务，并确定相关义务的所属期间。同时，对设定受益计划所产生的义务予以折现，以确定设定受益计划义</w:t>
      </w:r>
      <w:r>
        <w:rPr>
          <w:spacing w:val="-65"/>
        </w:rPr>
        <w:t> </w:t>
      </w:r>
      <w:r>
        <w:rPr>
          <w:spacing w:val="-65"/>
        </w:rPr>
      </w:r>
      <w:r>
        <w:rPr/>
        <w:t>务的现值和当期服务成本；</w:t>
      </w:r>
    </w:p>
    <w:p>
      <w:pPr>
        <w:pStyle w:val="BodyText"/>
        <w:spacing w:line="309" w:lineRule="auto" w:before="24"/>
        <w:ind w:right="1133" w:firstLine="372"/>
        <w:jc w:val="both"/>
      </w:pPr>
      <w:r>
        <w:rPr>
          <w:rFonts w:ascii="Times New Roman" w:hAnsi="Times New Roman" w:cs="Times New Roman" w:eastAsia="Times New Roman" w:hint="default"/>
          <w:spacing w:val="-2"/>
        </w:rPr>
        <w:t>2)</w:t>
      </w:r>
      <w:r>
        <w:rPr>
          <w:spacing w:val="-2"/>
        </w:rPr>
        <w:t>设定受益计划存在资产的，将设定受益计划义务现值减去设定受益计划资产公允价值所形成的赤字或盈余确认为一项</w:t>
      </w:r>
      <w:r>
        <w:rPr>
          <w:w w:val="99"/>
        </w:rPr>
        <w:t> </w:t>
      </w:r>
      <w:r>
        <w:rPr>
          <w:spacing w:val="-2"/>
        </w:rPr>
        <w:t>设定受益计划净负债或净资产。设定受益计划存在盈余的，以设定受益计划的盈余和资产上限两项的孰低者计量设定受益计</w:t>
      </w:r>
      <w:r>
        <w:rPr>
          <w:spacing w:val="-65"/>
        </w:rPr>
        <w:t> </w:t>
      </w:r>
      <w:r>
        <w:rPr>
          <w:spacing w:val="-65"/>
        </w:rPr>
      </w:r>
      <w:r>
        <w:rPr/>
        <w:t>划净资产；</w:t>
      </w:r>
    </w:p>
    <w:p>
      <w:pPr>
        <w:pStyle w:val="BodyText"/>
        <w:spacing w:line="312" w:lineRule="auto" w:before="24"/>
        <w:ind w:right="1133" w:firstLine="288"/>
        <w:jc w:val="both"/>
      </w:pPr>
      <w:r>
        <w:rPr>
          <w:rFonts w:ascii="Times New Roman" w:hAnsi="Times New Roman" w:cs="Times New Roman" w:eastAsia="Times New Roman" w:hint="default"/>
        </w:rPr>
        <w:t>3)</w:t>
      </w:r>
      <w:r>
        <w:rPr/>
        <w:t>期末，将设定受益计划产生的职工薪酬成本确认为服务成本、设定受益计划净负债或净资产的利息净额以及重新计量</w:t>
      </w:r>
      <w:r>
        <w:rPr>
          <w:w w:val="99"/>
        </w:rPr>
        <w:t> </w:t>
      </w:r>
      <w:r>
        <w:rPr>
          <w:spacing w:val="-2"/>
          <w:w w:val="99"/>
        </w:rPr>
        <w:t>设定受益计划净负债或净资产所产生的变动等三部分，其中服务成本和设定受益计划净负债或净资产的利息净额计入当期损</w:t>
      </w:r>
      <w:r>
        <w:rPr>
          <w:spacing w:val="-64"/>
          <w:w w:val="99"/>
        </w:rPr>
        <w:t> </w:t>
      </w:r>
      <w:r>
        <w:rPr>
          <w:spacing w:val="-64"/>
          <w:w w:val="99"/>
        </w:rPr>
      </w:r>
      <w:r>
        <w:rPr>
          <w:spacing w:val="-2"/>
        </w:rPr>
        <w:t>益或相关资产成本，重新计量设定受益计划净负债或净资产所产生的变动计入其他综合收益，并且在后续会计期间不允许转</w:t>
      </w:r>
      <w:r>
        <w:rPr>
          <w:spacing w:val="-65"/>
        </w:rPr>
        <w:t> </w:t>
      </w:r>
      <w:r>
        <w:rPr>
          <w:spacing w:val="-65"/>
        </w:rPr>
      </w:r>
      <w:r>
        <w:rPr/>
        <w:t>回至损益，但可以在权益范围内转移这些在其他综合收益确认的金额。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8"/>
          <w:szCs w:val="18"/>
        </w:rPr>
      </w:pPr>
    </w:p>
    <w:p>
      <w:pPr>
        <w:pStyle w:val="Heading3"/>
        <w:spacing w:line="240" w:lineRule="auto"/>
        <w:ind w:right="982"/>
        <w:jc w:val="left"/>
        <w:rPr>
          <w:b w:val="0"/>
          <w:bCs w:val="0"/>
        </w:rPr>
      </w:pPr>
      <w:bookmarkStart w:name="（3）辞退福利的会计处理方法" w:id="204"/>
      <w:bookmarkEnd w:id="204"/>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00" w:lineRule="auto" w:before="0"/>
        <w:ind w:right="1133" w:firstLine="288"/>
        <w:jc w:val="both"/>
      </w:pPr>
      <w:r>
        <w:rPr>
          <w:spacing w:val="-1"/>
        </w:rPr>
        <w:t>向职工提供的辞退福利，在下列两者孰早日确认辞退福利产生的职工薪酬负债，并计入当期损益：</w:t>
      </w:r>
      <w:r>
        <w:rPr>
          <w:rFonts w:ascii="Times New Roman" w:hAnsi="Times New Roman" w:cs="Times New Roman" w:eastAsia="Times New Roman" w:hint="default"/>
          <w:spacing w:val="-1"/>
        </w:rPr>
        <w:t>(1)</w:t>
      </w:r>
      <w:r>
        <w:rPr>
          <w:spacing w:val="-1"/>
        </w:rPr>
        <w:t>公司不能单方面撤</w:t>
      </w:r>
      <w:r>
        <w:rPr/>
        <w:t> 回因解除劳动关系计划或裁减建议所提供的辞退福利时；</w:t>
      </w:r>
      <w:r>
        <w:rPr>
          <w:rFonts w:ascii="Times New Roman" w:hAnsi="Times New Roman" w:cs="Times New Roman" w:eastAsia="Times New Roman" w:hint="default"/>
        </w:rPr>
        <w:t>(2)</w:t>
      </w:r>
      <w:r>
        <w:rPr/>
        <w:t>公司确认与涉及支付辞退福利的重组相的成本或费用时。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3"/>
        <w:ind w:right="982"/>
        <w:jc w:val="left"/>
        <w:rPr>
          <w:b w:val="0"/>
          <w:bCs w:val="0"/>
        </w:rPr>
      </w:pPr>
      <w:bookmarkStart w:name="（4）其他长期职工福利的会计处理方法" w:id="205"/>
      <w:bookmarkEnd w:id="205"/>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440" w:right="982"/>
        <w:jc w:val="left"/>
      </w:pPr>
      <w:r>
        <w:rPr/>
        <w:t>向职工提供的其他长期福利，符合设定提存计划条件的，按照设定提存计划的有关规定进行会计处理；除此之外的其他</w:t>
      </w:r>
    </w:p>
    <w:p>
      <w:pPr>
        <w:spacing w:after="0" w:line="240" w:lineRule="auto"/>
        <w:jc w:val="left"/>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316" w:lineRule="auto"/>
        <w:ind w:right="1034"/>
        <w:jc w:val="left"/>
      </w:pPr>
      <w:r>
        <w:rPr/>
        <w:t>长期福利，按照设定受益计划的有关规定进行会计处理，为简化相关会计处理，将其产生的职工薪酬成本确认为服务成本、 其他长期职工福利净负债或净资产的利息净额以及重新计量其他长期职工福利净负债或净资产所产生的变动等组成项目的</w:t>
      </w:r>
      <w:r>
        <w:rPr>
          <w:spacing w:val="-11"/>
        </w:rPr>
        <w:t> </w:t>
      </w:r>
      <w:r>
        <w:rPr>
          <w:spacing w:val="-11"/>
        </w:rPr>
      </w:r>
      <w:r>
        <w:rPr/>
        <w:t>总净额计入当期损益或相关资产成本。</w:t>
      </w:r>
    </w:p>
    <w:p>
      <w:pPr>
        <w:spacing w:line="240" w:lineRule="auto" w:before="10"/>
        <w:rPr>
          <w:rFonts w:ascii="宋体" w:hAnsi="宋体" w:cs="宋体" w:eastAsia="宋体" w:hint="default"/>
          <w:sz w:val="22"/>
          <w:szCs w:val="22"/>
        </w:rPr>
      </w:pPr>
    </w:p>
    <w:p>
      <w:pPr>
        <w:pStyle w:val="Heading3"/>
        <w:spacing w:line="240" w:lineRule="auto"/>
        <w:ind w:right="982"/>
        <w:jc w:val="left"/>
        <w:rPr>
          <w:b w:val="0"/>
          <w:bCs w:val="0"/>
        </w:rPr>
      </w:pPr>
      <w:bookmarkStart w:name="25、预计负债" w:id="206"/>
      <w:bookmarkEnd w:id="206"/>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4"/>
        <w:rPr>
          <w:rFonts w:ascii="宋体" w:hAnsi="宋体" w:cs="宋体" w:eastAsia="宋体" w:hint="default"/>
          <w:b/>
          <w:bCs/>
          <w:sz w:val="26"/>
          <w:szCs w:val="26"/>
        </w:rPr>
      </w:pPr>
    </w:p>
    <w:p>
      <w:pPr>
        <w:pStyle w:val="BodyText"/>
        <w:spacing w:line="307" w:lineRule="auto" w:before="0"/>
        <w:ind w:right="982"/>
        <w:jc w:val="left"/>
      </w:pPr>
      <w:r>
        <w:rPr>
          <w:rFonts w:ascii="Times New Roman" w:hAnsi="Times New Roman" w:cs="Times New Roman" w:eastAsia="Times New Roman" w:hint="default"/>
          <w:spacing w:val="-1"/>
        </w:rPr>
        <w:t>1.</w:t>
      </w:r>
      <w:r>
        <w:rPr>
          <w:spacing w:val="-1"/>
        </w:rPr>
        <w:t>因对外提供担保、诉讼事项、产品质量保证、亏损合同等或有事项形成的义务成为公司承担的现时义务，履行该义务很可</w:t>
      </w:r>
      <w:r>
        <w:rPr>
          <w:spacing w:val="-77"/>
        </w:rPr>
        <w:t> </w:t>
      </w:r>
      <w:r>
        <w:rPr>
          <w:spacing w:val="-77"/>
        </w:rPr>
      </w:r>
      <w:r>
        <w:rPr/>
        <w:t>能导致经济利益流出公司，且该义务的金额能够可靠的计量时，公司将该项义务确认为预计负债。 </w:t>
      </w:r>
      <w:r>
        <w:rPr>
          <w:rFonts w:ascii="Times New Roman" w:hAnsi="Times New Roman" w:cs="Times New Roman" w:eastAsia="Times New Roman" w:hint="default"/>
          <w:spacing w:val="-1"/>
        </w:rPr>
        <w:t>2.</w:t>
      </w:r>
      <w:r>
        <w:rPr>
          <w:spacing w:val="-1"/>
        </w:rPr>
        <w:t>公司按照履行相关现时义务所需支出的最佳估计数对预计负债进行初始计量，并在资产负债表日对预计负债的账面价值进</w:t>
      </w:r>
      <w:r>
        <w:rPr>
          <w:spacing w:val="-73"/>
        </w:rPr>
        <w:t> </w:t>
      </w:r>
      <w:r>
        <w:rPr>
          <w:spacing w:val="-73"/>
        </w:rPr>
      </w:r>
      <w:r>
        <w:rPr/>
        <w:t>行复核。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2"/>
          <w:szCs w:val="12"/>
        </w:rPr>
      </w:pPr>
    </w:p>
    <w:p>
      <w:pPr>
        <w:pStyle w:val="Heading3"/>
        <w:spacing w:line="240" w:lineRule="auto"/>
        <w:ind w:right="982"/>
        <w:jc w:val="left"/>
        <w:rPr>
          <w:b w:val="0"/>
          <w:bCs w:val="0"/>
        </w:rPr>
      </w:pPr>
      <w:bookmarkStart w:name="26、股份支付" w:id="207"/>
      <w:bookmarkEnd w:id="207"/>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2"/>
        <w:jc w:val="left"/>
      </w:pPr>
      <w:r>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3"/>
        <w:spacing w:line="240" w:lineRule="auto"/>
        <w:ind w:right="982"/>
        <w:jc w:val="left"/>
        <w:rPr>
          <w:b w:val="0"/>
          <w:bCs w:val="0"/>
        </w:rPr>
      </w:pPr>
      <w:bookmarkStart w:name="27、优先股、永续债等其他金融工具" w:id="208"/>
      <w:bookmarkEnd w:id="208"/>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982"/>
        <w:jc w:val="left"/>
      </w:pPr>
      <w:r>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3"/>
        <w:spacing w:line="240" w:lineRule="auto"/>
        <w:ind w:right="982"/>
        <w:jc w:val="left"/>
        <w:rPr>
          <w:b w:val="0"/>
          <w:bCs w:val="0"/>
        </w:rPr>
      </w:pPr>
      <w:bookmarkStart w:name="28、收入" w:id="209"/>
      <w:bookmarkEnd w:id="209"/>
      <w:r>
        <w:rPr>
          <w:b w:val="0"/>
          <w:bCs w:val="0"/>
        </w:rPr>
      </w:r>
      <w:r>
        <w:rPr>
          <w:rFonts w:ascii="Times New Roman" w:hAnsi="Times New Roman" w:cs="Times New Roman" w:eastAsia="Times New Roman" w:hint="default"/>
        </w:rPr>
        <w:t>28</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357" w:lineRule="auto" w:before="0"/>
        <w:ind w:right="7694"/>
        <w:jc w:val="left"/>
      </w:pPr>
      <w:r>
        <w:rPr/>
        <w:t>公司是否需要遵守特殊行业的披露要求 否</w:t>
      </w:r>
    </w:p>
    <w:p>
      <w:pPr>
        <w:pStyle w:val="BodyText"/>
        <w:spacing w:line="300" w:lineRule="auto" w:before="29"/>
        <w:ind w:left="512" w:right="9179"/>
        <w:jc w:val="left"/>
      </w:pPr>
      <w:r>
        <w:rPr>
          <w:rFonts w:ascii="Times New Roman" w:hAnsi="Times New Roman" w:cs="Times New Roman" w:eastAsia="Times New Roman" w:hint="default"/>
        </w:rPr>
        <w:t>1.</w:t>
      </w:r>
      <w:r>
        <w:rPr/>
        <w:t>收入确认原则 </w:t>
      </w: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销售商品</w:t>
      </w:r>
    </w:p>
    <w:p>
      <w:pPr>
        <w:pStyle w:val="BodyText"/>
        <w:spacing w:line="300" w:lineRule="auto" w:before="13"/>
        <w:ind w:right="1132" w:firstLine="360"/>
        <w:jc w:val="both"/>
      </w:pPr>
      <w:r>
        <w:rPr/>
        <w:t>销售商品收入在同时满足下列条件时予以确认：</w:t>
      </w:r>
      <w:r>
        <w:rPr>
          <w:rFonts w:ascii="Times New Roman" w:hAnsi="Times New Roman" w:cs="Times New Roman" w:eastAsia="Times New Roman" w:hint="default"/>
        </w:rPr>
        <w:t>1) </w:t>
      </w:r>
      <w:r>
        <w:rPr/>
        <w:t>将商品所有权上的主要风险和报酬转移给购货方；</w:t>
      </w:r>
      <w:r>
        <w:rPr>
          <w:rFonts w:ascii="Times New Roman" w:hAnsi="Times New Roman" w:cs="Times New Roman" w:eastAsia="Times New Roman" w:hint="default"/>
        </w:rPr>
        <w:t>2)</w:t>
      </w:r>
      <w:r>
        <w:rPr>
          <w:rFonts w:ascii="Times New Roman" w:hAnsi="Times New Roman" w:cs="Times New Roman" w:eastAsia="Times New Roman" w:hint="default"/>
          <w:spacing w:val="20"/>
        </w:rPr>
        <w:t> </w:t>
      </w:r>
      <w:r>
        <w:rPr/>
        <w:t>公司不再保留 通常与所有权相联系的继续管理权，也不再对已售出的商品实施有效控制；</w:t>
      </w:r>
      <w:r>
        <w:rPr>
          <w:rFonts w:ascii="Times New Roman" w:hAnsi="Times New Roman" w:cs="Times New Roman" w:eastAsia="Times New Roman" w:hint="default"/>
        </w:rPr>
        <w:t>3) </w:t>
      </w:r>
      <w:r>
        <w:rPr/>
        <w:t>收入的金额能够可靠地计量；</w:t>
      </w:r>
      <w:r>
        <w:rPr>
          <w:rFonts w:ascii="Times New Roman" w:hAnsi="Times New Roman" w:cs="Times New Roman" w:eastAsia="Times New Roman" w:hint="default"/>
        </w:rPr>
        <w:t>4)</w:t>
      </w:r>
      <w:r>
        <w:rPr>
          <w:rFonts w:ascii="Times New Roman" w:hAnsi="Times New Roman" w:cs="Times New Roman" w:eastAsia="Times New Roman" w:hint="default"/>
          <w:spacing w:val="22"/>
        </w:rPr>
        <w:t> </w:t>
      </w:r>
      <w:r>
        <w:rPr/>
        <w:t>相关的经济 利益很可能流入；</w:t>
      </w:r>
      <w:r>
        <w:rPr>
          <w:rFonts w:ascii="Times New Roman" w:hAnsi="Times New Roman" w:cs="Times New Roman" w:eastAsia="Times New Roman" w:hint="default"/>
        </w:rPr>
        <w:t>5)</w:t>
      </w:r>
      <w:r>
        <w:rPr>
          <w:rFonts w:ascii="Times New Roman" w:hAnsi="Times New Roman" w:cs="Times New Roman" w:eastAsia="Times New Roman" w:hint="default"/>
          <w:spacing w:val="28"/>
        </w:rPr>
        <w:t> </w:t>
      </w:r>
      <w:r>
        <w:rPr/>
        <w:t>相关的已发生或将发生的成本能够可靠地计量。</w:t>
      </w:r>
    </w:p>
    <w:p>
      <w:pPr>
        <w:pStyle w:val="BodyText"/>
        <w:spacing w:line="300" w:lineRule="auto" w:before="13"/>
        <w:ind w:left="512" w:right="98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提供劳务</w:t>
      </w:r>
      <w:r>
        <w:rPr>
          <w:w w:val="99"/>
        </w:rPr>
        <w:t> </w:t>
      </w:r>
      <w:r>
        <w:rPr>
          <w:spacing w:val="-4"/>
          <w:w w:val="99"/>
        </w:rPr>
        <w:t>提供劳务交易的结果在资产负债表日能够可靠估计的（同时满足收入的金额能够可靠地计量、相关经济利益很可能流入、</w:t>
      </w:r>
      <w:r>
        <w:rPr>
          <w:spacing w:val="-4"/>
        </w:rPr>
      </w:r>
    </w:p>
    <w:p>
      <w:pPr>
        <w:pStyle w:val="BodyText"/>
        <w:spacing w:line="316" w:lineRule="auto" w:before="31"/>
        <w:ind w:right="982"/>
        <w:jc w:val="left"/>
      </w:pPr>
      <w:r>
        <w:rPr>
          <w:spacing w:val="-4"/>
        </w:rPr>
        <w:t>交易的完工进度能够可靠地确定、交易中已发生和将发生的成本能够可靠地计量），采用完工百分比法确认提供劳务的收入，</w:t>
      </w:r>
      <w:r>
        <w:rPr>
          <w:spacing w:val="-44"/>
        </w:rPr>
        <w:t> </w:t>
      </w:r>
      <w:r>
        <w:rPr>
          <w:spacing w:val="-44"/>
        </w:rPr>
      </w:r>
      <w:r>
        <w:rPr>
          <w:spacing w:val="-2"/>
        </w:rPr>
        <w:t>并按已经提供劳务占应提供劳务总量的比例确定提供劳务交易的完工进度。提供劳务交易的结果在资产负债表日不能够可靠</w:t>
      </w:r>
      <w:r>
        <w:rPr>
          <w:spacing w:val="-64"/>
        </w:rPr>
        <w:t> </w:t>
      </w:r>
      <w:r>
        <w:rPr>
          <w:spacing w:val="-64"/>
        </w:rPr>
      </w:r>
      <w:r>
        <w:rPr>
          <w:spacing w:val="-2"/>
        </w:rPr>
        <w:t>估计的，若已经发生的劳务成本预计能够得到补偿，按已经发生的劳务成本金额确认提供劳务收入，并按相同金额结转劳务</w:t>
      </w:r>
      <w:r>
        <w:rPr>
          <w:spacing w:val="-63"/>
        </w:rPr>
        <w:t> </w:t>
      </w:r>
      <w:r>
        <w:rPr>
          <w:spacing w:val="-63"/>
        </w:rPr>
      </w:r>
      <w:r>
        <w:rPr/>
        <w:t>成本；若已经发生的劳务成本预计不能够得到补偿，将已经发生的劳务成本计入当期损益，不确认劳务收入。</w:t>
      </w:r>
    </w:p>
    <w:p>
      <w:pPr>
        <w:pStyle w:val="BodyText"/>
        <w:spacing w:line="300" w:lineRule="auto" w:before="18"/>
        <w:ind w:left="512" w:right="98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让渡资产使用权</w:t>
      </w:r>
      <w:r>
        <w:rPr>
          <w:w w:val="99"/>
        </w:rPr>
        <w:t> </w:t>
      </w:r>
      <w:r>
        <w:rPr>
          <w:spacing w:val="-2"/>
        </w:rPr>
        <w:t>让渡资产使用权在同时满足相关的经济利益很可能流入、收入金额能够可靠计量时，确认让渡资产使用权的收入。利息</w:t>
      </w:r>
    </w:p>
    <w:p>
      <w:pPr>
        <w:pStyle w:val="BodyText"/>
        <w:spacing w:line="316" w:lineRule="auto" w:before="31"/>
        <w:ind w:right="982"/>
        <w:jc w:val="left"/>
      </w:pPr>
      <w:r>
        <w:rPr>
          <w:spacing w:val="-2"/>
        </w:rPr>
        <w:t>收入按照他人使用本公司货币资金的时间和实际利率计算确定；使用费收入按有关合同或协议约定的收费时间和方法计算确</w:t>
      </w:r>
      <w:r>
        <w:rPr>
          <w:spacing w:val="-64"/>
        </w:rPr>
        <w:t> </w:t>
      </w:r>
      <w:r>
        <w:rPr>
          <w:spacing w:val="-64"/>
        </w:rPr>
      </w:r>
      <w:r>
        <w:rPr/>
        <w:t>定。</w:t>
      </w:r>
    </w:p>
    <w:p>
      <w:pPr>
        <w:pStyle w:val="BodyText"/>
        <w:spacing w:line="240" w:lineRule="auto" w:before="18"/>
        <w:ind w:left="512" w:right="982"/>
        <w:jc w:val="left"/>
      </w:pPr>
      <w:r>
        <w:rPr>
          <w:rFonts w:ascii="Times New Roman" w:hAnsi="Times New Roman" w:cs="Times New Roman" w:eastAsia="Times New Roman" w:hint="default"/>
        </w:rPr>
        <w:t>2.</w:t>
      </w:r>
      <w:r>
        <w:rPr/>
        <w:t>收入确认的具体方法</w:t>
      </w:r>
    </w:p>
    <w:p>
      <w:pPr>
        <w:spacing w:after="0" w:line="240" w:lineRule="auto"/>
        <w:jc w:val="left"/>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300" w:lineRule="auto"/>
        <w:ind w:right="1133" w:firstLine="360"/>
        <w:jc w:val="both"/>
      </w:pPr>
      <w:r>
        <w:rPr/>
        <w:t>（</w:t>
      </w:r>
      <w:r>
        <w:rPr>
          <w:rFonts w:ascii="Times New Roman" w:hAnsi="Times New Roman" w:cs="Times New Roman" w:eastAsia="Times New Roman" w:hint="default"/>
        </w:rPr>
        <w:t>1</w:t>
      </w:r>
      <w:r>
        <w:rPr/>
        <w:t>）销售散料搬运核心装置、立体车库、成套生产线和输送仓储设备、混凝土搅拌站、管型母线、固态电子硬盘及存 储设备的收入确认</w:t>
      </w:r>
    </w:p>
    <w:p>
      <w:pPr>
        <w:pStyle w:val="BodyText"/>
        <w:spacing w:line="316" w:lineRule="auto" w:before="31"/>
        <w:ind w:right="1130" w:firstLine="360"/>
        <w:jc w:val="both"/>
      </w:pPr>
      <w:r>
        <w:rPr>
          <w:spacing w:val="-2"/>
        </w:rPr>
        <w:t>散料搬运核心装置（包括张紧装置、给料机、制动装置等矿业设备制动装置等控制设备）、立体车库、成套生产线和输</w:t>
      </w:r>
      <w:r>
        <w:rPr/>
        <w:t> </w:t>
      </w:r>
      <w:r>
        <w:rPr>
          <w:spacing w:val="-2"/>
        </w:rPr>
        <w:t>送仓储设备、混凝土搅拌站、管型母线、固态电子硬盘及存储设备等产品目前均为内销，其收入确认需满足以下条件：产品</w:t>
      </w:r>
      <w:r>
        <w:rPr>
          <w:spacing w:val="-67"/>
        </w:rPr>
        <w:t> </w:t>
      </w:r>
      <w:r>
        <w:rPr>
          <w:spacing w:val="-67"/>
        </w:rPr>
      </w:r>
      <w:r>
        <w:rPr>
          <w:spacing w:val="-2"/>
        </w:rPr>
        <w:t>销售金额已经确定；公司已根据合同约定将产品交付给购货方，并由购货方验收（若按照合同约定需安装调试的，则双方在</w:t>
      </w:r>
      <w:r>
        <w:rPr>
          <w:spacing w:val="-64"/>
        </w:rPr>
        <w:t> </w:t>
      </w:r>
      <w:r>
        <w:rPr>
          <w:spacing w:val="-64"/>
        </w:rPr>
      </w:r>
      <w:r>
        <w:rPr/>
        <w:t>安装调试完成后验收）。</w:t>
      </w:r>
    </w:p>
    <w:p>
      <w:pPr>
        <w:pStyle w:val="BodyText"/>
        <w:spacing w:line="300" w:lineRule="auto" w:before="18"/>
        <w:ind w:left="512" w:right="982"/>
        <w:jc w:val="left"/>
      </w:pPr>
      <w:r>
        <w:rPr/>
        <w:t>（</w:t>
      </w:r>
      <w:r>
        <w:rPr>
          <w:rFonts w:ascii="Times New Roman" w:hAnsi="Times New Roman" w:cs="Times New Roman" w:eastAsia="Times New Roman" w:hint="default"/>
        </w:rPr>
        <w:t>2</w:t>
      </w:r>
      <w:r>
        <w:rPr/>
        <w:t>）维修保养的收入确认 </w:t>
      </w:r>
      <w:r>
        <w:rPr>
          <w:spacing w:val="-2"/>
        </w:rPr>
        <w:t>设备维修保养的收入确认需满足以下条件：根据合同约定提供相关产品交付给对方，安装调试劳务已提供，并获得对方</w:t>
      </w:r>
    </w:p>
    <w:p>
      <w:pPr>
        <w:pStyle w:val="BodyText"/>
        <w:spacing w:line="240" w:lineRule="auto" w:before="31"/>
        <w:ind w:right="982"/>
        <w:jc w:val="left"/>
      </w:pPr>
      <w:r>
        <w:rPr>
          <w:spacing w:val="-4"/>
        </w:rPr>
        <w:t>确认，收入金额已确定，产品售后维修保养收入在服务已经提供，且已实际收到服务款项或取得收款依据凭证时，确认收入。</w:t>
      </w:r>
    </w:p>
    <w:p>
      <w:pPr>
        <w:pStyle w:val="BodyText"/>
        <w:spacing w:line="307" w:lineRule="auto" w:before="76"/>
        <w:ind w:left="512" w:right="982"/>
        <w:jc w:val="left"/>
      </w:pPr>
      <w:r>
        <w:rPr/>
        <w:t>（</w:t>
      </w:r>
      <w:r>
        <w:rPr>
          <w:rFonts w:ascii="Times New Roman" w:hAnsi="Times New Roman" w:cs="Times New Roman" w:eastAsia="Times New Roman" w:hint="default"/>
        </w:rPr>
        <w:t>3</w:t>
      </w:r>
      <w:r>
        <w:rPr/>
        <w:t>）融资租赁利息收入 公司融资租赁收入主要包括融资租赁业务产生的利息收入和提供融资租赁业务收取的手续费收入。 </w:t>
      </w:r>
      <w:r>
        <w:rPr>
          <w:rFonts w:ascii="Times New Roman" w:hAnsi="Times New Roman" w:cs="Times New Roman" w:eastAsia="Times New Roman" w:hint="default"/>
        </w:rPr>
        <w:t>1</w:t>
      </w:r>
      <w:r>
        <w:rPr/>
        <w:t>）租赁期开始日的处理 </w:t>
      </w:r>
      <w:r>
        <w:rPr>
          <w:spacing w:val="-4"/>
        </w:rPr>
        <w:t>在租赁期开始日，将应收融资租赁款、未担保余值之和与其现值、未实现融资租赁增值税的差额确认为未实现融资收益，</w:t>
      </w:r>
    </w:p>
    <w:p>
      <w:pPr>
        <w:pStyle w:val="BodyText"/>
        <w:spacing w:line="316" w:lineRule="auto" w:before="26"/>
        <w:ind w:right="982"/>
        <w:jc w:val="left"/>
      </w:pPr>
      <w:r>
        <w:rPr>
          <w:spacing w:val="-2"/>
        </w:rPr>
        <w:t>在将来收到租金的各期内确认为租赁收入。公司发生的初始直接费用，应包括在应收融资租赁款的初始计量中，并减少租赁</w:t>
      </w:r>
      <w:r>
        <w:rPr>
          <w:spacing w:val="-63"/>
        </w:rPr>
        <w:t> </w:t>
      </w:r>
      <w:r>
        <w:rPr>
          <w:spacing w:val="-63"/>
        </w:rPr>
      </w:r>
      <w:r>
        <w:rPr/>
        <w:t>期内确认的收益金额。</w:t>
      </w:r>
    </w:p>
    <w:p>
      <w:pPr>
        <w:pStyle w:val="BodyText"/>
        <w:spacing w:line="300" w:lineRule="auto" w:before="18"/>
        <w:ind w:left="512" w:right="982"/>
        <w:jc w:val="left"/>
      </w:pPr>
      <w:r>
        <w:rPr>
          <w:rFonts w:ascii="Times New Roman" w:hAnsi="Times New Roman" w:cs="Times New Roman" w:eastAsia="Times New Roman" w:hint="default"/>
        </w:rPr>
        <w:t>2</w:t>
      </w:r>
      <w:r>
        <w:rPr/>
        <w:t>）未实现融资收益的分配 </w:t>
      </w:r>
      <w:r>
        <w:rPr>
          <w:spacing w:val="-2"/>
        </w:rPr>
        <w:t>未实现融资收益在租赁期内各个期间进行分配，确认各期的租赁收入和销项税金。分配时，公司采用实际利率法计算当</w:t>
      </w:r>
    </w:p>
    <w:p>
      <w:pPr>
        <w:pStyle w:val="BodyText"/>
        <w:spacing w:line="316" w:lineRule="auto" w:before="31"/>
        <w:ind w:right="1130"/>
        <w:jc w:val="both"/>
      </w:pPr>
      <w:r>
        <w:rPr>
          <w:spacing w:val="-2"/>
        </w:rPr>
        <w:t>期应确认的租赁收入。实际利率是指租赁开始日，使最低融资租赁收款额的现值与未担保余值的现值之和等于融资租赁资产</w:t>
      </w:r>
      <w:r>
        <w:rPr>
          <w:spacing w:val="-64"/>
        </w:rPr>
        <w:t> </w:t>
      </w:r>
      <w:r>
        <w:rPr>
          <w:spacing w:val="-64"/>
        </w:rPr>
      </w:r>
      <w:r>
        <w:rPr>
          <w:spacing w:val="-2"/>
        </w:rPr>
        <w:t>公允价值与公司发生的初始直接费用之和的折现率。最低融资租赁收款额，是指最低租赁付款额加上独立于承租人和出租人</w:t>
      </w:r>
      <w:r>
        <w:rPr>
          <w:spacing w:val="-64"/>
        </w:rPr>
        <w:t> </w:t>
      </w:r>
      <w:r>
        <w:rPr>
          <w:spacing w:val="-64"/>
        </w:rPr>
      </w:r>
      <w:r>
        <w:rPr>
          <w:spacing w:val="-2"/>
        </w:rPr>
        <w:t>的第三方对出租人担保的资产余值。最低租赁付款额，是指在租赁期内，承租人应支付或可能被要求支付的款项（不包括或</w:t>
      </w:r>
      <w:r>
        <w:rPr>
          <w:spacing w:val="-64"/>
        </w:rPr>
        <w:t> </w:t>
      </w:r>
      <w:r>
        <w:rPr>
          <w:spacing w:val="-64"/>
        </w:rPr>
      </w:r>
      <w:r>
        <w:rPr>
          <w:spacing w:val="-2"/>
        </w:rPr>
        <w:t>有租金和履约成本），加上由承租人或与其有关的第三方担保的资产余值。最低租赁付款额包含公司向承租人收取的融资租</w:t>
      </w:r>
      <w:r>
        <w:rPr>
          <w:spacing w:val="-66"/>
        </w:rPr>
        <w:t> </w:t>
      </w:r>
      <w:r>
        <w:rPr>
          <w:spacing w:val="-66"/>
        </w:rPr>
      </w:r>
      <w:r>
        <w:rPr/>
        <w:t>赁手续费。</w:t>
      </w:r>
    </w:p>
    <w:p>
      <w:pPr>
        <w:pStyle w:val="BodyText"/>
        <w:spacing w:line="300" w:lineRule="auto" w:before="18"/>
        <w:ind w:left="512" w:right="982"/>
        <w:jc w:val="left"/>
      </w:pPr>
      <w:r>
        <w:rPr>
          <w:rFonts w:ascii="Times New Roman" w:hAnsi="Times New Roman" w:cs="Times New Roman" w:eastAsia="Times New Roman" w:hint="default"/>
        </w:rPr>
        <w:t>3</w:t>
      </w:r>
      <w:r>
        <w:rPr/>
        <w:t>）未担保余值发生变动时的处理 </w:t>
      </w:r>
      <w:r>
        <w:rPr>
          <w:spacing w:val="-2"/>
        </w:rPr>
        <w:t>在未担保余值发生减少和已确认损失的未担保余值得以恢复的情况下，均重新计算租赁内含利率（实际利率）以后各期</w:t>
      </w:r>
    </w:p>
    <w:p>
      <w:pPr>
        <w:pStyle w:val="BodyText"/>
        <w:spacing w:line="316" w:lineRule="auto" w:before="31"/>
        <w:ind w:right="982"/>
        <w:jc w:val="left"/>
      </w:pPr>
      <w:r>
        <w:rPr>
          <w:spacing w:val="-2"/>
        </w:rPr>
        <w:t>根据修正后的租赁投资净额和重新计算的租赁内含利率确定应确认的租赁收入。在未担保余值增加时，不做任何调整。未担</w:t>
      </w:r>
      <w:r>
        <w:rPr>
          <w:spacing w:val="-65"/>
        </w:rPr>
        <w:t> </w:t>
      </w:r>
      <w:r>
        <w:rPr>
          <w:spacing w:val="-65"/>
        </w:rPr>
      </w:r>
      <w:r>
        <w:rPr/>
        <w:t>保余值，指租赁资产余值中扣除就出租人而言的担保余值以后的资产余值。</w:t>
      </w:r>
    </w:p>
    <w:p>
      <w:pPr>
        <w:pStyle w:val="BodyText"/>
        <w:spacing w:line="300" w:lineRule="auto" w:before="18"/>
        <w:ind w:right="6794" w:firstLine="360"/>
        <w:jc w:val="left"/>
      </w:pPr>
      <w:r>
        <w:rPr>
          <w:rFonts w:ascii="Times New Roman" w:hAnsi="Times New Roman" w:cs="Times New Roman" w:eastAsia="Times New Roman" w:hint="default"/>
        </w:rPr>
        <w:t>4</w:t>
      </w:r>
      <w:r>
        <w:rPr/>
        <w:t>）或有租金的处理 公司在融资租赁下收到的或有租金计入当期损益。</w:t>
      </w:r>
    </w:p>
    <w:p>
      <w:pPr>
        <w:spacing w:line="240" w:lineRule="auto" w:before="11"/>
        <w:rPr>
          <w:rFonts w:ascii="宋体" w:hAnsi="宋体" w:cs="宋体" w:eastAsia="宋体" w:hint="default"/>
          <w:sz w:val="23"/>
          <w:szCs w:val="23"/>
        </w:rPr>
      </w:pPr>
    </w:p>
    <w:p>
      <w:pPr>
        <w:pStyle w:val="Heading3"/>
        <w:spacing w:line="240" w:lineRule="auto"/>
        <w:ind w:right="982"/>
        <w:jc w:val="left"/>
        <w:rPr>
          <w:b w:val="0"/>
          <w:bCs w:val="0"/>
        </w:rPr>
      </w:pPr>
      <w:bookmarkStart w:name="29、政府补助" w:id="210"/>
      <w:bookmarkEnd w:id="210"/>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4"/>
        <w:rPr>
          <w:rFonts w:ascii="宋体" w:hAnsi="宋体" w:cs="宋体" w:eastAsia="宋体" w:hint="default"/>
          <w:b/>
          <w:bCs/>
          <w:sz w:val="26"/>
          <w:szCs w:val="26"/>
        </w:rPr>
      </w:pPr>
    </w:p>
    <w:p>
      <w:pPr>
        <w:pStyle w:val="BodyText"/>
        <w:spacing w:line="309" w:lineRule="auto" w:before="0"/>
        <w:ind w:right="1131" w:firstLine="360"/>
        <w:jc w:val="both"/>
      </w:pPr>
      <w:r>
        <w:rPr>
          <w:rFonts w:ascii="Times New Roman" w:hAnsi="Times New Roman" w:cs="Times New Roman" w:eastAsia="Times New Roman" w:hint="default"/>
        </w:rPr>
        <w:t>1.</w:t>
      </w:r>
      <w:r>
        <w:rPr/>
        <w:t>政府补助在同时满足下列条件时予以确认：</w:t>
      </w:r>
      <w:r>
        <w:rPr>
          <w:rFonts w:ascii="Times New Roman" w:hAnsi="Times New Roman" w:cs="Times New Roman" w:eastAsia="Times New Roman" w:hint="default"/>
        </w:rPr>
        <w:t>(1) </w:t>
      </w:r>
      <w:r>
        <w:rPr/>
        <w:t>公司能够满足政府补助所附的条件；</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公司能够收到政府补助。政府 </w:t>
      </w:r>
      <w:r>
        <w:rPr>
          <w:spacing w:val="-2"/>
        </w:rPr>
        <w:t>补助为货币性资产的，按照收到或应收的金额计量。政府补助为非货币性资产的，按照公允价值计量；公允价值不能可靠取</w:t>
      </w:r>
      <w:r>
        <w:rPr>
          <w:spacing w:val="-65"/>
        </w:rPr>
        <w:t> </w:t>
      </w:r>
      <w:r>
        <w:rPr>
          <w:spacing w:val="-65"/>
        </w:rPr>
      </w:r>
      <w:r>
        <w:rPr/>
        <w:t>得的，按照名义金额计量。</w:t>
      </w:r>
    </w:p>
    <w:p>
      <w:pPr>
        <w:pStyle w:val="BodyText"/>
        <w:spacing w:line="300" w:lineRule="auto" w:before="24"/>
        <w:ind w:left="512" w:right="982"/>
        <w:jc w:val="left"/>
      </w:pPr>
      <w:r>
        <w:rPr>
          <w:rFonts w:ascii="Times New Roman" w:hAnsi="Times New Roman" w:cs="Times New Roman" w:eastAsia="Times New Roman" w:hint="default"/>
        </w:rPr>
        <w:t>2.</w:t>
      </w:r>
      <w:r>
        <w:rPr/>
        <w:t>与资产相关的政府补助判断依据及会计处理方法 </w:t>
      </w:r>
      <w:r>
        <w:rPr>
          <w:spacing w:val="-2"/>
        </w:rPr>
        <w:t>政府文件规定用于购建或以其他方式形成长期资产的政府补助划分为与资产相关的政府补助。政府文件不明确的，以取</w:t>
      </w:r>
    </w:p>
    <w:p>
      <w:pPr>
        <w:pStyle w:val="BodyText"/>
        <w:spacing w:line="316" w:lineRule="auto" w:before="29"/>
        <w:ind w:right="1034"/>
        <w:jc w:val="left"/>
      </w:pPr>
      <w:r>
        <w:rPr/>
        <w:t>得该补助必须具备的基本条件为基础进行判断，以购建或其他方式形成长期资产为基本条件的作为与资产相关的政府补助。 </w:t>
      </w:r>
      <w:r>
        <w:rPr>
          <w:spacing w:val="-2"/>
        </w:rPr>
        <w:t>与资产相关的政府补助，冲减相关资产的账面价值或确认为递延收益。与资产相关的政府补助确认为递延收益的，在相关资</w:t>
      </w:r>
      <w:r>
        <w:rPr>
          <w:spacing w:val="-63"/>
        </w:rPr>
        <w:t> </w:t>
      </w:r>
      <w:r>
        <w:rPr>
          <w:spacing w:val="-63"/>
        </w:rPr>
      </w:r>
      <w:r>
        <w:rPr>
          <w:spacing w:val="-2"/>
        </w:rPr>
        <w:t>产使用寿命内按照合理、系统的方法分期计入损益。按照名义金额计量的政府补助，直接计入当期损益。相关资产在使用寿</w:t>
      </w:r>
      <w:r>
        <w:rPr>
          <w:spacing w:val="-65"/>
        </w:rPr>
        <w:t> </w:t>
      </w:r>
      <w:r>
        <w:rPr>
          <w:spacing w:val="-65"/>
        </w:rPr>
      </w:r>
      <w:r>
        <w:rPr/>
        <w:t>命结束前被出售、转让、报废或发生毁损的，将尚未分配的相关递延收益余额转入资产处置当期的损益。</w:t>
      </w:r>
    </w:p>
    <w:p>
      <w:pPr>
        <w:pStyle w:val="BodyText"/>
        <w:spacing w:line="300" w:lineRule="auto" w:before="18"/>
        <w:ind w:left="512" w:right="982"/>
        <w:jc w:val="left"/>
      </w:pPr>
      <w:r>
        <w:rPr>
          <w:rFonts w:ascii="Times New Roman" w:hAnsi="Times New Roman" w:cs="Times New Roman" w:eastAsia="Times New Roman" w:hint="default"/>
        </w:rPr>
        <w:t>3.</w:t>
      </w:r>
      <w:r>
        <w:rPr/>
        <w:t>与收益相关的政府补助判断依据及会计处理方法 </w:t>
      </w:r>
      <w:r>
        <w:rPr>
          <w:spacing w:val="-2"/>
        </w:rPr>
        <w:t>除与资产相关的政府补助之外的政府补助划分为与收益相关的政府补助。对于同时包含与资产相关部分和与收益相关部</w:t>
      </w:r>
    </w:p>
    <w:p>
      <w:pPr>
        <w:pStyle w:val="BodyText"/>
        <w:spacing w:line="316" w:lineRule="auto" w:before="31"/>
        <w:ind w:right="982"/>
        <w:jc w:val="left"/>
      </w:pPr>
      <w:r>
        <w:rPr>
          <w:spacing w:val="-2"/>
        </w:rPr>
        <w:t>分的政府补助，难以区分与资产相关或与收益相关的，整体归类为与收益相关的政府补助。与收益相关的政府补助，用于补</w:t>
      </w:r>
      <w:r>
        <w:rPr>
          <w:spacing w:val="-64"/>
        </w:rPr>
        <w:t> </w:t>
      </w:r>
      <w:r>
        <w:rPr>
          <w:spacing w:val="-64"/>
        </w:rPr>
      </w:r>
      <w:r>
        <w:rPr>
          <w:spacing w:val="-4"/>
        </w:rPr>
        <w:t>偿以后期间的相关成本费用或损失的，确认为递延收益，在确认相关成本费用或损失的期间，计入当期损益或冲减相关成本；</w:t>
      </w:r>
    </w:p>
    <w:p>
      <w:pPr>
        <w:spacing w:after="0" w:line="316" w:lineRule="auto"/>
        <w:jc w:val="left"/>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ind w:right="982"/>
        <w:jc w:val="left"/>
      </w:pPr>
      <w:r>
        <w:rPr/>
        <w:t>用于补偿已发生的相关成本费用或损失的，直接计入当期损益或冲减相关成本。</w:t>
      </w:r>
    </w:p>
    <w:p>
      <w:pPr>
        <w:pStyle w:val="BodyText"/>
        <w:spacing w:line="300" w:lineRule="auto" w:before="76"/>
        <w:ind w:right="1133" w:firstLine="360"/>
        <w:jc w:val="both"/>
      </w:pPr>
      <w:r>
        <w:rPr>
          <w:rFonts w:ascii="Times New Roman" w:hAnsi="Times New Roman" w:cs="Times New Roman" w:eastAsia="Times New Roman" w:hint="default"/>
          <w:spacing w:val="-1"/>
        </w:rPr>
        <w:t>4.</w:t>
      </w:r>
      <w:r>
        <w:rPr>
          <w:spacing w:val="-1"/>
        </w:rPr>
        <w:t>与公司日常经营活动相关的政府补助，按照经济业务实质，计入其他收益或冲减相关成本费用。与公司日常活动无关</w:t>
      </w:r>
      <w:r>
        <w:rPr/>
        <w:t> 的政府补助，计入营业外收支。</w:t>
      </w:r>
    </w:p>
    <w:p>
      <w:pPr>
        <w:pStyle w:val="BodyText"/>
        <w:spacing w:line="240" w:lineRule="auto" w:before="31"/>
        <w:ind w:left="512" w:right="982"/>
        <w:jc w:val="left"/>
      </w:pPr>
      <w:r>
        <w:rPr>
          <w:rFonts w:ascii="Times New Roman" w:hAnsi="Times New Roman" w:cs="Times New Roman" w:eastAsia="Times New Roman" w:hint="default"/>
        </w:rPr>
        <w:t>5.</w:t>
      </w:r>
      <w:r>
        <w:rPr/>
        <w:t>政策性优惠贷款贴息的会计处理方法</w:t>
      </w:r>
    </w:p>
    <w:p>
      <w:pPr>
        <w:pStyle w:val="BodyText"/>
        <w:spacing w:line="300" w:lineRule="auto" w:before="62"/>
        <w:ind w:right="1133" w:firstLine="36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t>财政将贴息资金拨付给贷款银行，由贷款银行以政策性优惠利率向公司提供贷款的，以实际收到的借款金额作为借</w:t>
      </w:r>
      <w:r>
        <w:rPr>
          <w:w w:val="99"/>
        </w:rPr>
        <w:t> </w:t>
      </w:r>
      <w:r>
        <w:rPr/>
        <w:t>款的入账价值，按照借款本金和该政策性优惠利率计算相关借款费用。</w:t>
      </w:r>
    </w:p>
    <w:p>
      <w:pPr>
        <w:pStyle w:val="BodyText"/>
        <w:spacing w:line="240" w:lineRule="auto" w:before="31"/>
        <w:ind w:left="440" w:right="98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财政将贴息资金直接拨付给公司的，将对应的贴息冲减相关借款费用。</w:t>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bookmarkStart w:name="30、递延所得税资产/递延所得税负债" w:id="211"/>
      <w:bookmarkEnd w:id="211"/>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宋体" w:hAnsi="宋体" w:cs="宋体" w:eastAsia="宋体" w:hint="default"/>
          <w:b/>
          <w:bCs/>
          <w:sz w:val="26"/>
          <w:szCs w:val="26"/>
        </w:rPr>
      </w:pPr>
    </w:p>
    <w:p>
      <w:pPr>
        <w:pStyle w:val="BodyText"/>
        <w:spacing w:line="309" w:lineRule="auto" w:before="0"/>
        <w:ind w:right="1133" w:firstLine="360"/>
        <w:jc w:val="both"/>
      </w:pPr>
      <w:r>
        <w:rPr>
          <w:rFonts w:ascii="Times New Roman" w:hAnsi="Times New Roman" w:cs="Times New Roman" w:eastAsia="Times New Roman" w:hint="default"/>
          <w:spacing w:val="-1"/>
        </w:rPr>
        <w:t>1.</w:t>
      </w:r>
      <w:r>
        <w:rPr>
          <w:spacing w:val="-1"/>
        </w:rPr>
        <w:t>根据资产、负债的账面价值与其计税基础之间的差额（未作为资产和负债确认的项目按照税法规定可以确定其计税基</w:t>
      </w:r>
      <w:r>
        <w:rPr/>
        <w:t> </w:t>
      </w:r>
      <w:r>
        <w:rPr>
          <w:spacing w:val="-2"/>
        </w:rPr>
        <w:t>础的，该计税基础与其账面数之间的差额），按照预期收回该资产或清偿该负债期间的适用税率计算确认递延所得税资产或</w:t>
      </w:r>
      <w:r>
        <w:rPr>
          <w:spacing w:val="-66"/>
        </w:rPr>
        <w:t> </w:t>
      </w:r>
      <w:r>
        <w:rPr>
          <w:spacing w:val="-66"/>
        </w:rPr>
      </w:r>
      <w:r>
        <w:rPr/>
        <w:t>递延所得税负债。</w:t>
      </w:r>
    </w:p>
    <w:p>
      <w:pPr>
        <w:pStyle w:val="BodyText"/>
        <w:spacing w:line="300" w:lineRule="auto" w:before="24"/>
        <w:ind w:right="1132" w:firstLine="357"/>
        <w:jc w:val="both"/>
      </w:pPr>
      <w:r>
        <w:rPr>
          <w:rFonts w:ascii="Times New Roman" w:hAnsi="Times New Roman" w:cs="Times New Roman" w:eastAsia="Times New Roman" w:hint="default"/>
          <w:spacing w:val="-1"/>
        </w:rPr>
        <w:t>2.</w:t>
      </w:r>
      <w:r>
        <w:rPr>
          <w:spacing w:val="-1"/>
        </w:rPr>
        <w:t>确认递延所得税资产以很可能取得用来抵扣可抵扣暂时性差异的应纳税所得额为限。资产负债表日，有确凿证据表明</w:t>
      </w:r>
      <w:r>
        <w:rPr/>
        <w:t> 未来期间很可能获得足够的应纳税所得额用来抵扣可抵扣暂时性差异的，确认以前会计期间未确认的递延所得税资产。</w:t>
      </w:r>
    </w:p>
    <w:p>
      <w:pPr>
        <w:pStyle w:val="BodyText"/>
        <w:spacing w:line="300" w:lineRule="auto" w:before="31"/>
        <w:ind w:right="1132" w:firstLine="357"/>
        <w:jc w:val="both"/>
      </w:pPr>
      <w:r>
        <w:rPr>
          <w:rFonts w:ascii="Times New Roman" w:hAnsi="Times New Roman" w:cs="Times New Roman" w:eastAsia="Times New Roman" w:hint="default"/>
          <w:spacing w:val="-1"/>
        </w:rPr>
        <w:t>3.</w:t>
      </w:r>
      <w:r>
        <w:rPr>
          <w:spacing w:val="-1"/>
        </w:rPr>
        <w:t>资产负债表日，对递延所得税资产的账面价值进行复核，如果未来期间很可能无法获得足够的应纳税所得额用以抵扣</w:t>
      </w:r>
      <w:r>
        <w:rPr/>
        <w:t> 递延所得税资产的利益，则减记递延所得税资产的账面价值。在很可能获得足够的应纳税所得额时，转回减记的金额。</w:t>
      </w:r>
    </w:p>
    <w:p>
      <w:pPr>
        <w:pStyle w:val="BodyText"/>
        <w:spacing w:line="240" w:lineRule="auto" w:before="31"/>
        <w:ind w:left="440" w:right="982"/>
        <w:jc w:val="left"/>
      </w:pPr>
      <w:r>
        <w:rPr>
          <w:rFonts w:ascii="Times New Roman" w:hAnsi="Times New Roman" w:cs="Times New Roman" w:eastAsia="Times New Roman" w:hint="default"/>
        </w:rPr>
        <w:t>4.</w:t>
      </w:r>
      <w:r>
        <w:rPr/>
        <w:t>公司当期所得税和递延所得税作为所得税费用或收益计入当期损益，但不包括下列情况产生的所得税：</w:t>
      </w: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企业合并；</w:t>
      </w:r>
    </w:p>
    <w:p>
      <w:pPr>
        <w:pStyle w:val="BodyText"/>
        <w:spacing w:line="240" w:lineRule="auto" w:before="62"/>
        <w:ind w:right="98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直接在所有者权益中确认的交易或者事项。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5"/>
          <w:szCs w:val="15"/>
        </w:rPr>
      </w:pPr>
    </w:p>
    <w:p>
      <w:pPr>
        <w:pStyle w:val="Heading3"/>
        <w:spacing w:line="240" w:lineRule="auto"/>
        <w:ind w:right="982"/>
        <w:jc w:val="left"/>
        <w:rPr>
          <w:b w:val="0"/>
          <w:bCs w:val="0"/>
        </w:rPr>
      </w:pPr>
      <w:bookmarkStart w:name="31、租赁" w:id="212"/>
      <w:bookmarkEnd w:id="212"/>
      <w:r>
        <w:rPr>
          <w:b w:val="0"/>
          <w:bCs w:val="0"/>
        </w:rPr>
      </w:r>
      <w:r>
        <w:rPr>
          <w:rFonts w:ascii="Times New Roman" w:hAnsi="Times New Roman" w:cs="Times New Roman" w:eastAsia="Times New Roman" w:hint="default"/>
        </w:rPr>
        <w:t>31</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bookmarkStart w:name="（1）经营租赁的会计处理方法" w:id="213"/>
      <w:bookmarkEnd w:id="213"/>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1051" w:firstLine="360"/>
        <w:jc w:val="both"/>
      </w:pPr>
      <w:r>
        <w:rPr/>
        <w:t>公司为承租人时，在租赁期内各个期间按照直线法将租金计入相关资产成本或确认为当期损益，发生的初始直接费用， 直接计入当期损益。或有租金在实际发生时计入当期损益。</w:t>
      </w:r>
    </w:p>
    <w:p>
      <w:pPr>
        <w:pStyle w:val="BodyText"/>
        <w:spacing w:line="316" w:lineRule="auto" w:before="18"/>
        <w:ind w:right="1130" w:firstLine="288"/>
        <w:jc w:val="both"/>
      </w:pPr>
      <w:r>
        <w:rPr>
          <w:spacing w:val="-1"/>
        </w:rPr>
        <w:t>公司为出租人时，在租赁期内各个期间按照直线法将租金确认为当期损益，发生的初始直接费用，除金额较大的予以资</w:t>
      </w:r>
      <w:r>
        <w:rPr/>
        <w:t> 本化并分期计入损益外，均直接计入当期损益。或有租金在实际发生时计入当期损益。</w:t>
      </w:r>
    </w:p>
    <w:p>
      <w:pPr>
        <w:spacing w:line="240" w:lineRule="auto" w:before="11"/>
        <w:rPr>
          <w:rFonts w:ascii="宋体" w:hAnsi="宋体" w:cs="宋体" w:eastAsia="宋体" w:hint="default"/>
          <w:sz w:val="22"/>
          <w:szCs w:val="22"/>
        </w:rPr>
      </w:pPr>
    </w:p>
    <w:p>
      <w:pPr>
        <w:pStyle w:val="Heading3"/>
        <w:spacing w:line="240" w:lineRule="auto"/>
        <w:ind w:right="982"/>
        <w:jc w:val="left"/>
        <w:rPr>
          <w:b w:val="0"/>
          <w:bCs w:val="0"/>
        </w:rPr>
      </w:pPr>
      <w:bookmarkStart w:name="（2）融资租赁的会计处理方法" w:id="214"/>
      <w:bookmarkEnd w:id="214"/>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30" w:firstLine="360"/>
        <w:jc w:val="both"/>
      </w:pPr>
      <w:r>
        <w:rPr>
          <w:spacing w:val="-2"/>
        </w:rPr>
        <w:t>公司为承租人时，在租赁期开始日，公司以租赁开始日租赁资产公允价值与最低租赁付款额现值中两者较低者作为租入</w:t>
      </w:r>
      <w:r>
        <w:rPr/>
        <w:t> </w:t>
      </w:r>
      <w:r>
        <w:rPr>
          <w:spacing w:val="-2"/>
        </w:rPr>
        <w:t>资产的入账价值，将最低租赁付款额作为长期应付款的入账价值，其差额为未确认融资费用，发生的初始直接费用，计入租</w:t>
      </w:r>
      <w:r>
        <w:rPr>
          <w:spacing w:val="-64"/>
        </w:rPr>
        <w:t> </w:t>
      </w:r>
      <w:r>
        <w:rPr>
          <w:spacing w:val="-64"/>
        </w:rPr>
      </w:r>
      <w:r>
        <w:rPr/>
        <w:t>赁资产价值。在租赁期各个期间，采用实际利率法计算确认当期的融资费用。</w:t>
      </w:r>
    </w:p>
    <w:p>
      <w:pPr>
        <w:pStyle w:val="BodyText"/>
        <w:spacing w:line="316" w:lineRule="auto" w:before="18"/>
        <w:ind w:right="1133" w:firstLine="288"/>
        <w:jc w:val="both"/>
      </w:pPr>
      <w:r>
        <w:rPr>
          <w:spacing w:val="-1"/>
        </w:rPr>
        <w:t>公司为出租人时，在租赁期开始日，公司以租赁开始日最低租赁收款额与初始直接费用之和作为应收融资租赁款的入账</w:t>
      </w:r>
      <w:r>
        <w:rPr/>
        <w:t> </w:t>
      </w:r>
      <w:r>
        <w:rPr>
          <w:spacing w:val="-2"/>
        </w:rPr>
        <w:t>价值，同时记录未担保余值；将最低租赁收款额、初始直接费用及未担保余值之和与其现值之和的差额确认为未实现融资收</w:t>
      </w:r>
      <w:r>
        <w:rPr>
          <w:spacing w:val="-65"/>
        </w:rPr>
        <w:t> </w:t>
      </w:r>
      <w:r>
        <w:rPr>
          <w:spacing w:val="-65"/>
        </w:rPr>
      </w:r>
      <w:r>
        <w:rPr/>
        <w:t>益。在租赁期各个期间，采用实际利率法计算确认当期的融资收入。</w:t>
      </w:r>
    </w:p>
    <w:p>
      <w:pPr>
        <w:spacing w:after="0" w:line="316" w:lineRule="auto"/>
        <w:jc w:val="both"/>
        <w:sectPr>
          <w:pgSz w:w="11910" w:h="16840"/>
          <w:pgMar w:header="745"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bookmarkStart w:name="32、其他重要的会计政策和会计估计" w:id="215"/>
      <w:bookmarkEnd w:id="215"/>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2"/>
        <w:jc w:val="left"/>
      </w:pPr>
      <w:r>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3"/>
        <w:spacing w:line="240" w:lineRule="auto"/>
        <w:ind w:right="982"/>
        <w:jc w:val="left"/>
        <w:rPr>
          <w:b w:val="0"/>
          <w:bCs w:val="0"/>
        </w:rPr>
      </w:pPr>
      <w:bookmarkStart w:name="33、重要会计政策和会计估计变更" w:id="216"/>
      <w:bookmarkEnd w:id="216"/>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bookmarkStart w:name="（1）重要会计政策变更" w:id="217"/>
      <w:bookmarkEnd w:id="217"/>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2"/>
        <w:gridCol w:w="3187"/>
        <w:gridCol w:w="3190"/>
      </w:tblGrid>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025" w:hRule="exact"/>
        </w:trPr>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《财政部关于修订印发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年度一般企 业财务报表格式的通知》</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2018</w:t>
            </w:r>
            <w:r>
              <w:rPr>
                <w:rFonts w:ascii="宋体" w:hAnsi="宋体" w:cs="宋体" w:eastAsia="宋体" w:hint="default"/>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第三届董事会第十四次会议</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4"/>
          <w:szCs w:val="4"/>
        </w:rPr>
      </w:pPr>
    </w:p>
    <w:p>
      <w:pPr>
        <w:pStyle w:val="BodyText"/>
        <w:spacing w:line="300" w:lineRule="auto"/>
        <w:ind w:right="1132" w:firstLine="360"/>
        <w:jc w:val="both"/>
      </w:pPr>
      <w:r>
        <w:rPr>
          <w:rFonts w:ascii="Times New Roman" w:hAnsi="Times New Roman" w:cs="Times New Roman" w:eastAsia="Times New Roman" w:hint="default"/>
        </w:rPr>
        <w:t>1)</w:t>
      </w:r>
      <w:r>
        <w:rPr/>
        <w:t>本公司根据《财政部关于修订印发</w:t>
      </w:r>
      <w:r>
        <w:rPr>
          <w:rFonts w:ascii="Times New Roman" w:hAnsi="Times New Roman" w:cs="Times New Roman" w:eastAsia="Times New Roman" w:hint="default"/>
        </w:rPr>
        <w:t>2018</w:t>
      </w:r>
      <w:r>
        <w:rPr/>
        <w:t>年度一般企业财务报表格式的通知》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及其解读和企业会计</w:t>
      </w:r>
      <w:r>
        <w:rPr>
          <w:w w:val="99"/>
        </w:rPr>
        <w:t> </w:t>
      </w:r>
      <w:r>
        <w:rPr>
          <w:spacing w:val="-2"/>
        </w:rPr>
        <w:t>准则的要求编制</w:t>
      </w:r>
      <w:r>
        <w:rPr>
          <w:rFonts w:ascii="Times New Roman" w:hAnsi="Times New Roman" w:cs="Times New Roman" w:eastAsia="Times New Roman" w:hint="default"/>
          <w:spacing w:val="-2"/>
        </w:rPr>
        <w:t>2018</w:t>
      </w:r>
      <w:r>
        <w:rPr>
          <w:spacing w:val="-2"/>
        </w:rPr>
        <w:t>年度财务报表，此项会计政策变更采用追溯调整法。</w:t>
      </w:r>
      <w:r>
        <w:rPr>
          <w:rFonts w:ascii="Times New Roman" w:hAnsi="Times New Roman" w:cs="Times New Roman" w:eastAsia="Times New Roman" w:hint="default"/>
          <w:spacing w:val="-2"/>
        </w:rPr>
        <w:t>2017</w:t>
      </w:r>
      <w:r>
        <w:rPr>
          <w:spacing w:val="-2"/>
        </w:rPr>
        <w:t>年度财务报表受重要影响的报表项目和金额如</w:t>
      </w:r>
      <w:r>
        <w:rPr>
          <w:spacing w:val="-61"/>
        </w:rPr>
        <w:t> </w:t>
      </w:r>
      <w:r>
        <w:rPr>
          <w:spacing w:val="-61"/>
        </w:rPr>
      </w:r>
      <w:r>
        <w:rPr/>
        <w:t>下：</w:t>
      </w:r>
    </w:p>
    <w:tbl>
      <w:tblPr>
        <w:tblW w:w="0" w:type="auto"/>
        <w:jc w:val="left"/>
        <w:tblInd w:w="145" w:type="dxa"/>
        <w:tblLayout w:type="fixed"/>
        <w:tblCellMar>
          <w:top w:w="0" w:type="dxa"/>
          <w:left w:w="0" w:type="dxa"/>
          <w:bottom w:w="0" w:type="dxa"/>
          <w:right w:w="0" w:type="dxa"/>
        </w:tblCellMar>
        <w:tblLook w:val="01E0"/>
      </w:tblPr>
      <w:tblGrid>
        <w:gridCol w:w="2268"/>
        <w:gridCol w:w="2093"/>
        <w:gridCol w:w="1985"/>
        <w:gridCol w:w="1843"/>
      </w:tblGrid>
      <w:tr>
        <w:trPr>
          <w:trHeight w:val="348" w:hRule="exact"/>
        </w:trPr>
        <w:tc>
          <w:tcPr>
            <w:tcW w:w="43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274" w:right="0"/>
              <w:jc w:val="left"/>
              <w:rPr>
                <w:rFonts w:ascii="宋体" w:hAnsi="宋体" w:cs="宋体" w:eastAsia="宋体" w:hint="default"/>
                <w:sz w:val="18"/>
                <w:szCs w:val="18"/>
              </w:rPr>
            </w:pPr>
            <w:r>
              <w:rPr>
                <w:rFonts w:ascii="宋体" w:hAnsi="宋体" w:cs="宋体" w:eastAsia="宋体" w:hint="default"/>
                <w:sz w:val="18"/>
                <w:szCs w:val="18"/>
              </w:rPr>
              <w:t>原列报报表项目及金额</w:t>
            </w:r>
          </w:p>
        </w:tc>
        <w:tc>
          <w:tcPr>
            <w:tcW w:w="38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08" w:right="0"/>
              <w:jc w:val="left"/>
              <w:rPr>
                <w:rFonts w:ascii="宋体" w:hAnsi="宋体" w:cs="宋体" w:eastAsia="宋体" w:hint="default"/>
                <w:sz w:val="18"/>
                <w:szCs w:val="18"/>
              </w:rPr>
            </w:pPr>
            <w:r>
              <w:rPr>
                <w:rFonts w:ascii="宋体" w:hAnsi="宋体" w:cs="宋体" w:eastAsia="宋体" w:hint="default"/>
                <w:sz w:val="18"/>
                <w:szCs w:val="18"/>
              </w:rPr>
              <w:t>新列报报表项目及金额</w:t>
            </w:r>
          </w:p>
        </w:tc>
      </w:tr>
      <w:tr>
        <w:trPr>
          <w:trHeight w:val="346"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58,988,771.37</w:t>
            </w:r>
          </w:p>
        </w:tc>
        <w:tc>
          <w:tcPr>
            <w:tcW w:w="1985" w:type="dxa"/>
            <w:vMerge w:val="restart"/>
            <w:tcBorders>
              <w:top w:val="single" w:sz="6" w:space="0" w:color="000000"/>
              <w:left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843" w:type="dxa"/>
            <w:vMerge w:val="restart"/>
            <w:tcBorders>
              <w:top w:val="single" w:sz="6" w:space="0" w:color="000000"/>
              <w:left w:val="single" w:sz="6" w:space="0" w:color="000000"/>
              <w:right w:val="single" w:sz="6" w:space="0" w:color="000000"/>
            </w:tcBorders>
          </w:tcPr>
          <w:p>
            <w:pPr>
              <w:pStyle w:val="TableParagraph"/>
              <w:spacing w:line="240" w:lineRule="auto" w:before="60"/>
              <w:ind w:left="700" w:right="-1"/>
              <w:jc w:val="left"/>
              <w:rPr>
                <w:rFonts w:ascii="Times New Roman" w:hAnsi="Times New Roman" w:cs="Times New Roman" w:eastAsia="Times New Roman" w:hint="default"/>
                <w:sz w:val="18"/>
                <w:szCs w:val="18"/>
              </w:rPr>
            </w:pPr>
            <w:r>
              <w:rPr>
                <w:rFonts w:ascii="Times New Roman"/>
                <w:sz w:val="18"/>
              </w:rPr>
              <w:t>558,866,011.16</w:t>
            </w:r>
          </w:p>
        </w:tc>
      </w:tr>
      <w:tr>
        <w:trPr>
          <w:trHeight w:val="348"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499,877,239.79</w:t>
            </w:r>
            <w:r>
              <w:rPr>
                <w:rFonts w:ascii="Times New Roman"/>
                <w:sz w:val="18"/>
              </w:rPr>
            </w:r>
          </w:p>
        </w:tc>
        <w:tc>
          <w:tcPr>
            <w:tcW w:w="1985" w:type="dxa"/>
            <w:vMerge/>
            <w:tcBorders>
              <w:left w:val="single" w:sz="6" w:space="0" w:color="000000"/>
              <w:bottom w:val="single" w:sz="6" w:space="0" w:color="000000"/>
              <w:right w:val="single" w:sz="6" w:space="0" w:color="000000"/>
            </w:tcBorders>
          </w:tcPr>
          <w:p>
            <w:pPr/>
          </w:p>
        </w:tc>
        <w:tc>
          <w:tcPr>
            <w:tcW w:w="1843" w:type="dxa"/>
            <w:vMerge/>
            <w:tcBorders>
              <w:left w:val="single" w:sz="6" w:space="0" w:color="000000"/>
              <w:bottom w:val="single" w:sz="6" w:space="0" w:color="000000"/>
              <w:right w:val="single" w:sz="6" w:space="0" w:color="000000"/>
            </w:tcBorders>
          </w:tcPr>
          <w:p>
            <w:pPr/>
          </w:p>
        </w:tc>
      </w:tr>
      <w:tr>
        <w:trPr>
          <w:trHeight w:val="346"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093" w:type="dxa"/>
            <w:tcBorders>
              <w:top w:val="single" w:sz="6" w:space="0" w:color="000000"/>
              <w:left w:val="single" w:sz="6" w:space="0" w:color="000000"/>
              <w:bottom w:val="single" w:sz="6" w:space="0" w:color="000000"/>
              <w:right w:val="single" w:sz="6" w:space="0" w:color="000000"/>
            </w:tcBorders>
          </w:tcPr>
          <w:p>
            <w:pPr/>
          </w:p>
        </w:tc>
        <w:tc>
          <w:tcPr>
            <w:tcW w:w="1985" w:type="dxa"/>
            <w:vMerge w:val="restart"/>
            <w:tcBorders>
              <w:top w:val="single" w:sz="6" w:space="0" w:color="000000"/>
              <w:left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43" w:type="dxa"/>
            <w:vMerge w:val="restart"/>
            <w:tcBorders>
              <w:top w:val="single" w:sz="6" w:space="0" w:color="000000"/>
              <w:left w:val="single" w:sz="6" w:space="0" w:color="000000"/>
              <w:right w:val="single" w:sz="6" w:space="0" w:color="000000"/>
            </w:tcBorders>
          </w:tcPr>
          <w:p>
            <w:pPr>
              <w:pStyle w:val="TableParagraph"/>
              <w:spacing w:line="240" w:lineRule="auto" w:before="60"/>
              <w:ind w:left="791" w:right="0"/>
              <w:jc w:val="left"/>
              <w:rPr>
                <w:rFonts w:ascii="Times New Roman" w:hAnsi="Times New Roman" w:cs="Times New Roman" w:eastAsia="Times New Roman" w:hint="default"/>
                <w:sz w:val="18"/>
                <w:szCs w:val="18"/>
              </w:rPr>
            </w:pPr>
            <w:r>
              <w:rPr>
                <w:rFonts w:ascii="Times New Roman"/>
                <w:sz w:val="18"/>
              </w:rPr>
              <w:t>29,436,843.49</w:t>
            </w:r>
          </w:p>
        </w:tc>
      </w:tr>
      <w:tr>
        <w:trPr>
          <w:trHeight w:val="348"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093" w:type="dxa"/>
            <w:tcBorders>
              <w:top w:val="single" w:sz="6" w:space="0" w:color="000000"/>
              <w:left w:val="single" w:sz="6" w:space="0" w:color="000000"/>
              <w:bottom w:val="single" w:sz="6" w:space="0" w:color="000000"/>
              <w:right w:val="single" w:sz="6" w:space="0" w:color="000000"/>
            </w:tcBorders>
          </w:tcPr>
          <w:p>
            <w:pPr/>
          </w:p>
        </w:tc>
        <w:tc>
          <w:tcPr>
            <w:tcW w:w="1985" w:type="dxa"/>
            <w:vMerge/>
            <w:tcBorders>
              <w:left w:val="single" w:sz="6" w:space="0" w:color="000000"/>
              <w:right w:val="single" w:sz="6" w:space="0" w:color="000000"/>
            </w:tcBorders>
          </w:tcPr>
          <w:p>
            <w:pPr/>
          </w:p>
        </w:tc>
        <w:tc>
          <w:tcPr>
            <w:tcW w:w="1843" w:type="dxa"/>
            <w:vMerge/>
            <w:tcBorders>
              <w:left w:val="single" w:sz="6" w:space="0" w:color="000000"/>
              <w:right w:val="single" w:sz="6" w:space="0" w:color="000000"/>
            </w:tcBorders>
          </w:tcPr>
          <w:p>
            <w:pPr/>
          </w:p>
        </w:tc>
      </w:tr>
      <w:tr>
        <w:trPr>
          <w:trHeight w:val="348"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29,436,843.49</w:t>
            </w:r>
          </w:p>
        </w:tc>
        <w:tc>
          <w:tcPr>
            <w:tcW w:w="1985" w:type="dxa"/>
            <w:vMerge/>
            <w:tcBorders>
              <w:left w:val="single" w:sz="6" w:space="0" w:color="000000"/>
              <w:bottom w:val="single" w:sz="6" w:space="0" w:color="000000"/>
              <w:right w:val="single" w:sz="6" w:space="0" w:color="000000"/>
            </w:tcBorders>
          </w:tcPr>
          <w:p>
            <w:pPr/>
          </w:p>
        </w:tc>
        <w:tc>
          <w:tcPr>
            <w:tcW w:w="1843" w:type="dxa"/>
            <w:vMerge/>
            <w:tcBorders>
              <w:left w:val="single" w:sz="6" w:space="0" w:color="000000"/>
              <w:bottom w:val="single" w:sz="6" w:space="0" w:color="000000"/>
              <w:right w:val="single" w:sz="6" w:space="0" w:color="000000"/>
            </w:tcBorders>
          </w:tcPr>
          <w:p>
            <w:pPr/>
          </w:p>
        </w:tc>
      </w:tr>
      <w:tr>
        <w:trPr>
          <w:trHeight w:val="346"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208,091,414.79</w:t>
            </w:r>
            <w:r>
              <w:rPr>
                <w:rFonts w:ascii="Times New Roman"/>
                <w:sz w:val="18"/>
              </w:rPr>
            </w:r>
          </w:p>
        </w:tc>
        <w:tc>
          <w:tcPr>
            <w:tcW w:w="1985" w:type="dxa"/>
            <w:vMerge w:val="restart"/>
            <w:tcBorders>
              <w:top w:val="single" w:sz="6" w:space="0" w:color="000000"/>
              <w:left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43" w:type="dxa"/>
            <w:vMerge w:val="restart"/>
            <w:tcBorders>
              <w:top w:val="single" w:sz="6" w:space="0" w:color="000000"/>
              <w:left w:val="single" w:sz="6" w:space="0" w:color="000000"/>
              <w:right w:val="single" w:sz="6" w:space="0" w:color="000000"/>
            </w:tcBorders>
          </w:tcPr>
          <w:p>
            <w:pPr>
              <w:pStyle w:val="TableParagraph"/>
              <w:spacing w:line="240" w:lineRule="auto" w:before="60"/>
              <w:ind w:left="700" w:right="-1"/>
              <w:jc w:val="left"/>
              <w:rPr>
                <w:rFonts w:ascii="Times New Roman" w:hAnsi="Times New Roman" w:cs="Times New Roman" w:eastAsia="Times New Roman" w:hint="default"/>
                <w:sz w:val="18"/>
                <w:szCs w:val="18"/>
              </w:rPr>
            </w:pPr>
            <w:r>
              <w:rPr>
                <w:rFonts w:ascii="Times New Roman"/>
                <w:sz w:val="18"/>
              </w:rPr>
              <w:t>208,091,414.79</w:t>
            </w:r>
          </w:p>
        </w:tc>
      </w:tr>
      <w:tr>
        <w:trPr>
          <w:trHeight w:val="348"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093" w:type="dxa"/>
            <w:tcBorders>
              <w:top w:val="single" w:sz="6" w:space="0" w:color="000000"/>
              <w:left w:val="single" w:sz="6" w:space="0" w:color="000000"/>
              <w:bottom w:val="single" w:sz="6" w:space="0" w:color="000000"/>
              <w:right w:val="single" w:sz="6" w:space="0" w:color="000000"/>
            </w:tcBorders>
          </w:tcPr>
          <w:p>
            <w:pPr/>
          </w:p>
        </w:tc>
        <w:tc>
          <w:tcPr>
            <w:tcW w:w="1985" w:type="dxa"/>
            <w:vMerge/>
            <w:tcBorders>
              <w:left w:val="single" w:sz="6" w:space="0" w:color="000000"/>
              <w:bottom w:val="single" w:sz="6" w:space="0" w:color="000000"/>
              <w:right w:val="single" w:sz="6" w:space="0" w:color="000000"/>
            </w:tcBorders>
          </w:tcPr>
          <w:p>
            <w:pPr/>
          </w:p>
        </w:tc>
        <w:tc>
          <w:tcPr>
            <w:tcW w:w="1843" w:type="dxa"/>
            <w:vMerge/>
            <w:tcBorders>
              <w:left w:val="single" w:sz="6" w:space="0" w:color="000000"/>
              <w:bottom w:val="single" w:sz="6" w:space="0" w:color="000000"/>
              <w:right w:val="single" w:sz="6" w:space="0" w:color="000000"/>
            </w:tcBorders>
          </w:tcPr>
          <w:p>
            <w:pPr/>
          </w:p>
        </w:tc>
      </w:tr>
      <w:tr>
        <w:trPr>
          <w:trHeight w:val="346"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4,193,028.36</w:t>
            </w:r>
            <w:r>
              <w:rPr>
                <w:rFonts w:ascii="Times New Roman"/>
                <w:sz w:val="18"/>
              </w:rPr>
            </w:r>
          </w:p>
        </w:tc>
        <w:tc>
          <w:tcPr>
            <w:tcW w:w="1985" w:type="dxa"/>
            <w:vMerge w:val="restart"/>
            <w:tcBorders>
              <w:top w:val="single" w:sz="6" w:space="0" w:color="000000"/>
              <w:left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43" w:type="dxa"/>
            <w:vMerge w:val="restart"/>
            <w:tcBorders>
              <w:top w:val="single" w:sz="6" w:space="0" w:color="000000"/>
              <w:left w:val="single" w:sz="6" w:space="0" w:color="000000"/>
              <w:right w:val="single" w:sz="6" w:space="0" w:color="000000"/>
            </w:tcBorders>
          </w:tcPr>
          <w:p>
            <w:pPr>
              <w:pStyle w:val="TableParagraph"/>
              <w:spacing w:line="240" w:lineRule="auto" w:before="60"/>
              <w:ind w:left="880" w:right="-1"/>
              <w:jc w:val="left"/>
              <w:rPr>
                <w:rFonts w:ascii="Times New Roman" w:hAnsi="Times New Roman" w:cs="Times New Roman" w:eastAsia="Times New Roman" w:hint="default"/>
                <w:sz w:val="18"/>
                <w:szCs w:val="18"/>
              </w:rPr>
            </w:pPr>
            <w:r>
              <w:rPr>
                <w:rFonts w:ascii="Times New Roman"/>
                <w:sz w:val="18"/>
              </w:rPr>
              <w:t>4,193,028.36</w:t>
            </w:r>
          </w:p>
        </w:tc>
      </w:tr>
      <w:tr>
        <w:trPr>
          <w:trHeight w:val="348"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093" w:type="dxa"/>
            <w:tcBorders>
              <w:top w:val="single" w:sz="6" w:space="0" w:color="000000"/>
              <w:left w:val="single" w:sz="6" w:space="0" w:color="000000"/>
              <w:bottom w:val="single" w:sz="6" w:space="0" w:color="000000"/>
              <w:right w:val="single" w:sz="6" w:space="0" w:color="000000"/>
            </w:tcBorders>
          </w:tcPr>
          <w:p>
            <w:pPr/>
          </w:p>
        </w:tc>
        <w:tc>
          <w:tcPr>
            <w:tcW w:w="1985" w:type="dxa"/>
            <w:vMerge/>
            <w:tcBorders>
              <w:left w:val="single" w:sz="6" w:space="0" w:color="000000"/>
              <w:bottom w:val="single" w:sz="6" w:space="0" w:color="000000"/>
              <w:right w:val="single" w:sz="6" w:space="0" w:color="000000"/>
            </w:tcBorders>
          </w:tcPr>
          <w:p>
            <w:pPr/>
          </w:p>
        </w:tc>
        <w:tc>
          <w:tcPr>
            <w:tcW w:w="1843" w:type="dxa"/>
            <w:vMerge/>
            <w:tcBorders>
              <w:left w:val="single" w:sz="6" w:space="0" w:color="000000"/>
              <w:bottom w:val="single" w:sz="6" w:space="0" w:color="000000"/>
              <w:right w:val="single" w:sz="6" w:space="0" w:color="000000"/>
            </w:tcBorders>
          </w:tcPr>
          <w:p>
            <w:pPr/>
          </w:p>
        </w:tc>
      </w:tr>
      <w:tr>
        <w:trPr>
          <w:trHeight w:val="348"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18,695,000.00</w:t>
            </w:r>
          </w:p>
        </w:tc>
        <w:tc>
          <w:tcPr>
            <w:tcW w:w="1985" w:type="dxa"/>
            <w:vMerge w:val="restart"/>
            <w:tcBorders>
              <w:top w:val="single" w:sz="6" w:space="0" w:color="000000"/>
              <w:left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843" w:type="dxa"/>
            <w:vMerge w:val="restart"/>
            <w:tcBorders>
              <w:top w:val="single" w:sz="6" w:space="0" w:color="000000"/>
              <w:left w:val="single" w:sz="6" w:space="0" w:color="000000"/>
              <w:right w:val="single" w:sz="6" w:space="0" w:color="000000"/>
            </w:tcBorders>
          </w:tcPr>
          <w:p>
            <w:pPr>
              <w:pStyle w:val="TableParagraph"/>
              <w:spacing w:line="240" w:lineRule="auto" w:before="60"/>
              <w:ind w:left="700" w:right="-1"/>
              <w:jc w:val="left"/>
              <w:rPr>
                <w:rFonts w:ascii="Times New Roman" w:hAnsi="Times New Roman" w:cs="Times New Roman" w:eastAsia="Times New Roman" w:hint="default"/>
                <w:sz w:val="18"/>
                <w:szCs w:val="18"/>
              </w:rPr>
            </w:pPr>
            <w:r>
              <w:rPr>
                <w:rFonts w:ascii="Times New Roman"/>
                <w:sz w:val="18"/>
              </w:rPr>
              <w:t>198,905,946.18</w:t>
            </w:r>
          </w:p>
        </w:tc>
      </w:tr>
      <w:tr>
        <w:trPr>
          <w:trHeight w:val="346"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180,210,946.18</w:t>
            </w:r>
            <w:r>
              <w:rPr>
                <w:rFonts w:ascii="Times New Roman"/>
                <w:sz w:val="18"/>
              </w:rPr>
            </w:r>
          </w:p>
        </w:tc>
        <w:tc>
          <w:tcPr>
            <w:tcW w:w="1985" w:type="dxa"/>
            <w:vMerge/>
            <w:tcBorders>
              <w:left w:val="single" w:sz="6" w:space="0" w:color="000000"/>
              <w:bottom w:val="single" w:sz="6" w:space="0" w:color="000000"/>
              <w:right w:val="single" w:sz="6" w:space="0" w:color="000000"/>
            </w:tcBorders>
          </w:tcPr>
          <w:p>
            <w:pPr/>
          </w:p>
        </w:tc>
        <w:tc>
          <w:tcPr>
            <w:tcW w:w="1843" w:type="dxa"/>
            <w:vMerge/>
            <w:tcBorders>
              <w:left w:val="single" w:sz="6" w:space="0" w:color="000000"/>
              <w:bottom w:val="single" w:sz="6" w:space="0" w:color="000000"/>
              <w:right w:val="single" w:sz="6" w:space="0" w:color="000000"/>
            </w:tcBorders>
          </w:tcPr>
          <w:p>
            <w:pPr/>
          </w:p>
        </w:tc>
      </w:tr>
      <w:tr>
        <w:trPr>
          <w:trHeight w:val="348"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41,590.83</w:t>
            </w:r>
          </w:p>
        </w:tc>
        <w:tc>
          <w:tcPr>
            <w:tcW w:w="1985" w:type="dxa"/>
            <w:vMerge w:val="restart"/>
            <w:tcBorders>
              <w:top w:val="single" w:sz="6" w:space="0" w:color="000000"/>
              <w:left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43" w:type="dxa"/>
            <w:vMerge w:val="restart"/>
            <w:tcBorders>
              <w:top w:val="single" w:sz="6" w:space="0" w:color="000000"/>
              <w:left w:val="single" w:sz="6" w:space="0" w:color="000000"/>
              <w:right w:val="single" w:sz="6" w:space="0" w:color="000000"/>
            </w:tcBorders>
          </w:tcPr>
          <w:p>
            <w:pPr>
              <w:pStyle w:val="TableParagraph"/>
              <w:spacing w:line="240" w:lineRule="auto" w:before="62"/>
              <w:ind w:left="791" w:right="0"/>
              <w:jc w:val="left"/>
              <w:rPr>
                <w:rFonts w:ascii="Times New Roman" w:hAnsi="Times New Roman" w:cs="Times New Roman" w:eastAsia="Times New Roman" w:hint="default"/>
                <w:sz w:val="18"/>
                <w:szCs w:val="18"/>
              </w:rPr>
            </w:pPr>
            <w:r>
              <w:rPr>
                <w:rFonts w:ascii="Times New Roman"/>
                <w:sz w:val="18"/>
              </w:rPr>
              <w:t>86,210,754.93</w:t>
            </w:r>
          </w:p>
        </w:tc>
      </w:tr>
      <w:tr>
        <w:trPr>
          <w:trHeight w:val="346"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093" w:type="dxa"/>
            <w:tcBorders>
              <w:top w:val="single" w:sz="6" w:space="0" w:color="000000"/>
              <w:left w:val="single" w:sz="6" w:space="0" w:color="000000"/>
              <w:bottom w:val="single" w:sz="6" w:space="0" w:color="000000"/>
              <w:right w:val="single" w:sz="6" w:space="0" w:color="000000"/>
            </w:tcBorders>
          </w:tcPr>
          <w:p>
            <w:pPr/>
          </w:p>
        </w:tc>
        <w:tc>
          <w:tcPr>
            <w:tcW w:w="1985" w:type="dxa"/>
            <w:vMerge/>
            <w:tcBorders>
              <w:left w:val="single" w:sz="6" w:space="0" w:color="000000"/>
              <w:right w:val="single" w:sz="6" w:space="0" w:color="000000"/>
            </w:tcBorders>
          </w:tcPr>
          <w:p>
            <w:pPr/>
          </w:p>
        </w:tc>
        <w:tc>
          <w:tcPr>
            <w:tcW w:w="1843" w:type="dxa"/>
            <w:vMerge/>
            <w:tcBorders>
              <w:left w:val="single" w:sz="6" w:space="0" w:color="000000"/>
              <w:right w:val="single" w:sz="6" w:space="0" w:color="000000"/>
            </w:tcBorders>
          </w:tcPr>
          <w:p>
            <w:pPr/>
          </w:p>
        </w:tc>
      </w:tr>
      <w:tr>
        <w:trPr>
          <w:trHeight w:val="348"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86,169,164.10</w:t>
            </w:r>
          </w:p>
        </w:tc>
        <w:tc>
          <w:tcPr>
            <w:tcW w:w="1985" w:type="dxa"/>
            <w:vMerge/>
            <w:tcBorders>
              <w:left w:val="single" w:sz="6" w:space="0" w:color="000000"/>
              <w:bottom w:val="single" w:sz="6" w:space="0" w:color="000000"/>
              <w:right w:val="single" w:sz="6" w:space="0" w:color="000000"/>
            </w:tcBorders>
          </w:tcPr>
          <w:p>
            <w:pPr/>
          </w:p>
        </w:tc>
        <w:tc>
          <w:tcPr>
            <w:tcW w:w="1843" w:type="dxa"/>
            <w:vMerge/>
            <w:tcBorders>
              <w:left w:val="single" w:sz="6" w:space="0" w:color="000000"/>
              <w:bottom w:val="single" w:sz="6" w:space="0" w:color="000000"/>
              <w:right w:val="single" w:sz="6" w:space="0" w:color="000000"/>
            </w:tcBorders>
          </w:tcPr>
          <w:p>
            <w:pPr/>
          </w:p>
        </w:tc>
      </w:tr>
      <w:tr>
        <w:trPr>
          <w:trHeight w:val="346" w:hRule="exact"/>
        </w:trPr>
        <w:tc>
          <w:tcPr>
            <w:tcW w:w="2268" w:type="dxa"/>
            <w:vMerge w:val="restart"/>
            <w:tcBorders>
              <w:top w:val="single" w:sz="6" w:space="0" w:color="000000"/>
              <w:left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093" w:type="dxa"/>
            <w:vMerge w:val="restart"/>
            <w:tcBorders>
              <w:top w:val="single" w:sz="6" w:space="0" w:color="000000"/>
              <w:left w:val="single" w:sz="6" w:space="0" w:color="000000"/>
              <w:right w:val="single" w:sz="6" w:space="0" w:color="000000"/>
            </w:tcBorders>
          </w:tcPr>
          <w:p>
            <w:pPr>
              <w:pStyle w:val="TableParagraph"/>
              <w:spacing w:line="240" w:lineRule="auto" w:before="60"/>
              <w:ind w:left="1043" w:right="-2"/>
              <w:jc w:val="left"/>
              <w:rPr>
                <w:rFonts w:ascii="Times New Roman" w:hAnsi="Times New Roman" w:cs="Times New Roman" w:eastAsia="Times New Roman" w:hint="default"/>
                <w:sz w:val="18"/>
                <w:szCs w:val="18"/>
              </w:rPr>
            </w:pPr>
            <w:r>
              <w:rPr>
                <w:rFonts w:ascii="Times New Roman"/>
                <w:sz w:val="18"/>
              </w:rPr>
              <w:t>98,633,288.69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48,533,171.13</w:t>
            </w:r>
          </w:p>
        </w:tc>
      </w:tr>
      <w:tr>
        <w:trPr>
          <w:trHeight w:val="348" w:hRule="exact"/>
        </w:trPr>
        <w:tc>
          <w:tcPr>
            <w:tcW w:w="2268" w:type="dxa"/>
            <w:vMerge/>
            <w:tcBorders>
              <w:left w:val="single" w:sz="6" w:space="0" w:color="000000"/>
              <w:bottom w:val="single" w:sz="6" w:space="0" w:color="000000"/>
              <w:right w:val="single" w:sz="6" w:space="0" w:color="000000"/>
            </w:tcBorders>
          </w:tcPr>
          <w:p>
            <w:pPr/>
          </w:p>
        </w:tc>
        <w:tc>
          <w:tcPr>
            <w:tcW w:w="2093" w:type="dxa"/>
            <w:vMerge/>
            <w:tcBorders>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50,100,117.56</w:t>
            </w:r>
          </w:p>
        </w:tc>
      </w:tr>
      <w:tr>
        <w:trPr>
          <w:trHeight w:val="660"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5"/>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收到其他与经营活动有关的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12,128,395.61</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20"/>
              <w:jc w:val="left"/>
              <w:rPr>
                <w:rFonts w:ascii="宋体" w:hAnsi="宋体" w:cs="宋体" w:eastAsia="宋体" w:hint="default"/>
                <w:sz w:val="18"/>
                <w:szCs w:val="18"/>
              </w:rPr>
            </w:pPr>
            <w:r>
              <w:rPr>
                <w:rFonts w:ascii="宋体" w:hAnsi="宋体" w:cs="宋体" w:eastAsia="宋体" w:hint="default"/>
                <w:spacing w:val="16"/>
                <w:sz w:val="18"/>
                <w:szCs w:val="18"/>
              </w:rPr>
              <w:t>收到其他与经营活动有</w:t>
            </w:r>
            <w:r>
              <w:rPr>
                <w:rFonts w:ascii="宋体" w:hAnsi="宋体" w:cs="宋体" w:eastAsia="宋体" w:hint="default"/>
                <w:spacing w:val="-71"/>
                <w:sz w:val="18"/>
                <w:szCs w:val="18"/>
              </w:rPr>
              <w:t> </w:t>
            </w:r>
            <w:r>
              <w:rPr>
                <w:rFonts w:ascii="宋体" w:hAnsi="宋体" w:cs="宋体" w:eastAsia="宋体" w:hint="default"/>
                <w:sz w:val="18"/>
                <w:szCs w:val="18"/>
              </w:rPr>
              <w:t>关的现金</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14,781,395.61</w:t>
            </w:r>
          </w:p>
        </w:tc>
      </w:tr>
      <w:tr>
        <w:trPr>
          <w:trHeight w:val="658"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5"/>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收到其他与投资活动有关的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18,144,738.64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20"/>
              <w:jc w:val="left"/>
              <w:rPr>
                <w:rFonts w:ascii="宋体" w:hAnsi="宋体" w:cs="宋体" w:eastAsia="宋体" w:hint="default"/>
                <w:sz w:val="18"/>
                <w:szCs w:val="18"/>
              </w:rPr>
            </w:pPr>
            <w:r>
              <w:rPr>
                <w:rFonts w:ascii="宋体" w:hAnsi="宋体" w:cs="宋体" w:eastAsia="宋体" w:hint="default"/>
                <w:spacing w:val="16"/>
                <w:sz w:val="18"/>
                <w:szCs w:val="18"/>
              </w:rPr>
              <w:t>收到其他与投资活动有</w:t>
            </w:r>
            <w:r>
              <w:rPr>
                <w:rFonts w:ascii="宋体" w:hAnsi="宋体" w:cs="宋体" w:eastAsia="宋体" w:hint="default"/>
                <w:spacing w:val="-71"/>
                <w:sz w:val="18"/>
                <w:szCs w:val="18"/>
              </w:rPr>
              <w:t> </w:t>
            </w:r>
            <w:r>
              <w:rPr>
                <w:rFonts w:ascii="宋体" w:hAnsi="宋体" w:cs="宋体" w:eastAsia="宋体" w:hint="default"/>
                <w:sz w:val="18"/>
                <w:szCs w:val="18"/>
              </w:rPr>
              <w:t>关的现金</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15,991,738.64</w:t>
            </w:r>
          </w:p>
        </w:tc>
      </w:tr>
      <w:tr>
        <w:trPr>
          <w:trHeight w:val="660"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5"/>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收到其他与筹资活动有关的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1,500,000.00</w:t>
            </w:r>
            <w:r>
              <w:rPr>
                <w:rFonts w:ascii="Times New Roman"/>
                <w:sz w:val="18"/>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20"/>
              <w:jc w:val="left"/>
              <w:rPr>
                <w:rFonts w:ascii="宋体" w:hAnsi="宋体" w:cs="宋体" w:eastAsia="宋体" w:hint="default"/>
                <w:sz w:val="18"/>
                <w:szCs w:val="18"/>
              </w:rPr>
            </w:pPr>
            <w:r>
              <w:rPr>
                <w:rFonts w:ascii="宋体" w:hAnsi="宋体" w:cs="宋体" w:eastAsia="宋体" w:hint="default"/>
                <w:spacing w:val="16"/>
                <w:sz w:val="18"/>
                <w:szCs w:val="18"/>
              </w:rPr>
              <w:t>收到其他与筹资活动有</w:t>
            </w:r>
            <w:r>
              <w:rPr>
                <w:rFonts w:ascii="宋体" w:hAnsi="宋体" w:cs="宋体" w:eastAsia="宋体" w:hint="default"/>
                <w:spacing w:val="-71"/>
                <w:sz w:val="18"/>
                <w:szCs w:val="18"/>
              </w:rPr>
              <w:t> </w:t>
            </w:r>
            <w:r>
              <w:rPr>
                <w:rFonts w:ascii="宋体" w:hAnsi="宋体" w:cs="宋体" w:eastAsia="宋体" w:hint="default"/>
                <w:sz w:val="18"/>
                <w:szCs w:val="18"/>
              </w:rPr>
              <w:t>关的现金</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r>
          </w:p>
        </w:tc>
      </w:tr>
    </w:tbl>
    <w:p>
      <w:pPr>
        <w:pStyle w:val="BodyText"/>
        <w:spacing w:line="240" w:lineRule="auto" w:before="31"/>
        <w:ind w:right="982"/>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：将实际收到的与资产相关的政府补助</w:t>
      </w:r>
      <w:r>
        <w:rPr>
          <w:rFonts w:ascii="Times New Roman" w:hAnsi="Times New Roman" w:cs="Times New Roman" w:eastAsia="Times New Roman" w:hint="default"/>
        </w:rPr>
        <w:t>2,153,000.00</w:t>
      </w:r>
      <w:r>
        <w:rPr/>
        <w:t>元在现金流量表中的列报由</w:t>
      </w:r>
      <w:r>
        <w:rPr>
          <w:rFonts w:ascii="Times New Roman" w:hAnsi="Times New Roman" w:cs="Times New Roman" w:eastAsia="Times New Roman" w:hint="default"/>
        </w:rPr>
        <w:t>“</w:t>
      </w:r>
      <w:r>
        <w:rPr/>
        <w:t>收到其他与投资活动有关的现金</w:t>
      </w:r>
      <w:r>
        <w:rPr>
          <w:rFonts w:ascii="Times New Roman" w:hAnsi="Times New Roman" w:cs="Times New Roman" w:eastAsia="Times New Roman" w:hint="default"/>
        </w:rPr>
        <w:t>”</w:t>
      </w:r>
      <w:r>
        <w:rPr/>
        <w:t>调整为</w:t>
      </w:r>
    </w:p>
    <w:p>
      <w:pPr>
        <w:spacing w:after="0" w:line="240" w:lineRule="auto"/>
        <w:jc w:val="left"/>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300" w:lineRule="auto"/>
        <w:ind w:right="1125"/>
        <w:jc w:val="left"/>
      </w:pPr>
      <w:r>
        <w:rPr>
          <w:rFonts w:ascii="Times New Roman" w:hAnsi="Times New Roman" w:cs="Times New Roman" w:eastAsia="Times New Roman" w:hint="default"/>
          <w:spacing w:val="-1"/>
        </w:rPr>
        <w:t>“</w:t>
      </w:r>
      <w:r>
        <w:rPr>
          <w:spacing w:val="-1"/>
        </w:rPr>
        <w:t>收到其他与经营活动有关的现金</w:t>
      </w:r>
      <w:r>
        <w:rPr>
          <w:rFonts w:ascii="Times New Roman" w:hAnsi="Times New Roman" w:cs="Times New Roman" w:eastAsia="Times New Roman" w:hint="default"/>
          <w:spacing w:val="-1"/>
        </w:rPr>
        <w:t>”</w:t>
      </w:r>
      <w:r>
        <w:rPr>
          <w:spacing w:val="-1"/>
        </w:rPr>
        <w:t>。将实际收到的与上市融资相关的政府补助</w:t>
      </w:r>
      <w:r>
        <w:rPr>
          <w:rFonts w:ascii="Times New Roman" w:hAnsi="Times New Roman" w:cs="Times New Roman" w:eastAsia="Times New Roman" w:hint="default"/>
          <w:spacing w:val="-1"/>
        </w:rPr>
        <w:t>500,000.00</w:t>
      </w:r>
      <w:r>
        <w:rPr>
          <w:spacing w:val="-1"/>
        </w:rPr>
        <w:t>元在现金流量表中的列报由</w:t>
      </w:r>
      <w:r>
        <w:rPr>
          <w:rFonts w:ascii="Times New Roman" w:hAnsi="Times New Roman" w:cs="Times New Roman" w:eastAsia="Times New Roman" w:hint="default"/>
          <w:spacing w:val="-1"/>
        </w:rPr>
        <w:t>“</w:t>
      </w:r>
      <w:r>
        <w:rPr>
          <w:spacing w:val="-1"/>
        </w:rPr>
        <w:t>收到其</w:t>
      </w:r>
      <w:r>
        <w:rPr>
          <w:spacing w:val="-86"/>
        </w:rPr>
        <w:t> </w:t>
      </w:r>
      <w:r>
        <w:rPr/>
        <w:t>他与筹资活动有关的现金</w:t>
      </w:r>
      <w:r>
        <w:rPr>
          <w:rFonts w:ascii="Times New Roman" w:hAnsi="Times New Roman" w:cs="Times New Roman" w:eastAsia="Times New Roman" w:hint="default"/>
        </w:rPr>
        <w:t>”</w:t>
      </w:r>
      <w:r>
        <w:rPr/>
        <w:t>调整为</w:t>
      </w:r>
      <w:r>
        <w:rPr>
          <w:rFonts w:ascii="Times New Roman" w:hAnsi="Times New Roman" w:cs="Times New Roman" w:eastAsia="Times New Roman" w:hint="default"/>
        </w:rPr>
        <w:t>“</w:t>
      </w:r>
      <w:r>
        <w:rPr/>
        <w:t>收到其他与经营活动有关的现金</w:t>
      </w:r>
      <w:r>
        <w:rPr>
          <w:rFonts w:ascii="Times New Roman" w:hAnsi="Times New Roman" w:cs="Times New Roman" w:eastAsia="Times New Roman" w:hint="default"/>
        </w:rPr>
        <w:t>”</w:t>
      </w:r>
      <w:r>
        <w:rPr/>
        <w:t>。</w:t>
      </w:r>
    </w:p>
    <w:p>
      <w:pPr>
        <w:pStyle w:val="BodyText"/>
        <w:spacing w:line="300" w:lineRule="auto" w:before="13"/>
        <w:ind w:right="1133" w:firstLine="288"/>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财政部于</w:t>
      </w:r>
      <w:r>
        <w:rPr>
          <w:rFonts w:ascii="Times New Roman" w:hAnsi="Times New Roman" w:cs="Times New Roman" w:eastAsia="Times New Roman" w:hint="default"/>
        </w:rPr>
        <w:t>2017</w:t>
      </w:r>
      <w:r>
        <w:rPr/>
        <w:t>年度颁布了《企业会计准则解释第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关于权益法下投资净损失的会计处理》《企业会计准则解释 </w:t>
      </w:r>
      <w:r>
        <w:rPr>
          <w:spacing w:val="-2"/>
        </w:rPr>
        <w:t>第</w:t>
      </w:r>
      <w:r>
        <w:rPr>
          <w:rFonts w:ascii="Times New Roman" w:hAnsi="Times New Roman" w:cs="Times New Roman" w:eastAsia="Times New Roman" w:hint="default"/>
          <w:spacing w:val="-2"/>
        </w:rPr>
        <w:t>10</w:t>
      </w:r>
      <w:r>
        <w:rPr>
          <w:spacing w:val="-2"/>
        </w:rPr>
        <w:t>号</w:t>
      </w:r>
      <w:r>
        <w:rPr>
          <w:rFonts w:ascii="Times New Roman" w:hAnsi="Times New Roman" w:cs="Times New Roman" w:eastAsia="Times New Roman" w:hint="default"/>
          <w:spacing w:val="-2"/>
        </w:rPr>
        <w:t>——</w:t>
      </w:r>
      <w:r>
        <w:rPr>
          <w:spacing w:val="-2"/>
        </w:rPr>
        <w:t>关于以使用固定资产产生的收入为基础的折旧方法》《企业会计准则解释第</w:t>
      </w:r>
      <w:r>
        <w:rPr>
          <w:rFonts w:ascii="Times New Roman" w:hAnsi="Times New Roman" w:cs="Times New Roman" w:eastAsia="Times New Roman" w:hint="default"/>
          <w:spacing w:val="-2"/>
        </w:rPr>
        <w:t>11</w:t>
      </w:r>
      <w:r>
        <w:rPr>
          <w:spacing w:val="-2"/>
        </w:rPr>
        <w:t>号</w:t>
      </w:r>
      <w:r>
        <w:rPr>
          <w:rFonts w:ascii="Times New Roman" w:hAnsi="Times New Roman" w:cs="Times New Roman" w:eastAsia="Times New Roman" w:hint="default"/>
          <w:spacing w:val="-2"/>
        </w:rPr>
        <w:t>——</w:t>
      </w:r>
      <w:r>
        <w:rPr>
          <w:spacing w:val="-2"/>
        </w:rPr>
        <w:t>关于以使用无形资产产生的</w:t>
      </w:r>
      <w:r>
        <w:rPr>
          <w:spacing w:val="-62"/>
        </w:rPr>
        <w:t> </w:t>
      </w:r>
      <w:r>
        <w:rPr>
          <w:spacing w:val="-2"/>
        </w:rPr>
        <w:t>收入为基础的摊销方法》及《企业会计准则解释第</w:t>
      </w:r>
      <w:r>
        <w:rPr>
          <w:rFonts w:ascii="Times New Roman" w:hAnsi="Times New Roman" w:cs="Times New Roman" w:eastAsia="Times New Roman" w:hint="default"/>
          <w:spacing w:val="-2"/>
        </w:rPr>
        <w:t>12</w:t>
      </w:r>
      <w:r>
        <w:rPr>
          <w:spacing w:val="-2"/>
        </w:rPr>
        <w:t>号</w:t>
      </w:r>
      <w:r>
        <w:rPr>
          <w:rFonts w:ascii="Times New Roman" w:hAnsi="Times New Roman" w:cs="Times New Roman" w:eastAsia="Times New Roman" w:hint="default"/>
          <w:spacing w:val="-2"/>
        </w:rPr>
        <w:t>——</w:t>
      </w:r>
      <w:r>
        <w:rPr>
          <w:spacing w:val="-2"/>
        </w:rPr>
        <w:t>关于关键管理人员服务的提供方与接受方是否为关联方》。公司</w:t>
      </w:r>
      <w:r>
        <w:rPr>
          <w:spacing w:val="-65"/>
        </w:rPr>
        <w:t> </w:t>
      </w:r>
      <w:r>
        <w:rPr>
          <w:spacing w:val="-65"/>
        </w:rPr>
      </w:r>
      <w:r>
        <w:rPr/>
        <w:t>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日起执行上述企业会计准则解释，执行上述解释对公司期初财务数据无影响。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3"/>
        <w:ind w:right="982"/>
        <w:jc w:val="left"/>
        <w:rPr>
          <w:b w:val="0"/>
          <w:bCs w:val="0"/>
        </w:rPr>
      </w:pPr>
      <w:bookmarkStart w:name="（2）重要会计估计变更" w:id="218"/>
      <w:bookmarkEnd w:id="218"/>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spacing w:line="544" w:lineRule="auto" w:before="0"/>
        <w:ind w:left="152" w:right="93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bookmarkStart w:name="34、其他" w:id="219"/>
      <w:bookmarkEnd w:id="219"/>
      <w:r>
        <w:rPr>
          <w:rFonts w:ascii="宋体" w:hAnsi="宋体" w:cs="宋体" w:eastAsia="宋体" w:hint="default"/>
          <w:sz w:val="18"/>
          <w:szCs w:val="18"/>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Heading2"/>
        <w:spacing w:line="240" w:lineRule="auto"/>
        <w:ind w:right="982"/>
        <w:jc w:val="left"/>
        <w:rPr>
          <w:b w:val="0"/>
          <w:bCs w:val="0"/>
        </w:rPr>
      </w:pPr>
      <w:bookmarkStart w:name="六、税项" w:id="220"/>
      <w:bookmarkEnd w:id="220"/>
      <w:r>
        <w:rPr>
          <w:b w:val="0"/>
          <w:bCs w:val="0"/>
        </w:rPr>
      </w:r>
      <w:r>
        <w:rPr/>
        <w:t>六、税项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2"/>
        <w:jc w:val="left"/>
        <w:rPr>
          <w:b w:val="0"/>
          <w:bCs w:val="0"/>
        </w:rPr>
      </w:pPr>
      <w:bookmarkStart w:name="1、主要税种及税率" w:id="221"/>
      <w:bookmarkEnd w:id="221"/>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1"/>
          <w:szCs w:val="21"/>
        </w:rPr>
      </w:pPr>
    </w:p>
    <w:p>
      <w:pPr>
        <w:pStyle w:val="BodyText"/>
        <w:spacing w:line="240" w:lineRule="auto"/>
        <w:ind w:left="0" w:right="1145"/>
        <w:jc w:val="right"/>
      </w:pPr>
      <w:r>
        <w:rPr/>
        <w:pict>
          <v:shape style="position:absolute;margin-left:56.400002pt;margin-top:-36.36927pt;width:479.2pt;height:203.65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3190" w:type="dxa"/>
                        <w:tcBorders>
                          <w:top w:val="single" w:sz="4" w:space="0" w:color="000000"/>
                          <w:left w:val="single" w:sz="4" w:space="0" w:color="000000"/>
                          <w:bottom w:val="nil" w:sz="6" w:space="0" w:color="auto"/>
                          <w:right w:val="single" w:sz="4" w:space="0" w:color="000000"/>
                        </w:tcBorders>
                        <w:shd w:val="clear" w:color="auto" w:fill="D4D4D4"/>
                      </w:tcPr>
                      <w:p>
                        <w:pPr/>
                      </w:p>
                    </w:tc>
                    <w:tc>
                      <w:tcPr>
                        <w:tcW w:w="3190" w:type="dxa"/>
                        <w:vMerge w:val="restart"/>
                        <w:tcBorders>
                          <w:top w:val="single" w:sz="4" w:space="0" w:color="000000"/>
                          <w:left w:val="single" w:sz="9"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7" w:right="0"/>
                          <w:jc w:val="left"/>
                          <w:rPr>
                            <w:rFonts w:ascii="宋体" w:hAnsi="宋体" w:cs="宋体" w:eastAsia="宋体" w:hint="default"/>
                            <w:sz w:val="18"/>
                            <w:szCs w:val="18"/>
                          </w:rPr>
                        </w:pPr>
                        <w:r>
                          <w:rPr>
                            <w:rFonts w:ascii="宋体" w:hAnsi="宋体" w:cs="宋体" w:eastAsia="宋体" w:hint="default"/>
                            <w:sz w:val="18"/>
                            <w:szCs w:val="18"/>
                          </w:rPr>
                          <w:t>销售货物或提供应税劳务</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105"/>
                          <w:jc w:val="both"/>
                          <w:rPr>
                            <w:rFonts w:ascii="宋体" w:hAnsi="宋体" w:cs="宋体" w:eastAsia="宋体" w:hint="default"/>
                            <w:sz w:val="18"/>
                            <w:szCs w:val="18"/>
                          </w:rPr>
                        </w:pPr>
                        <w:r>
                          <w:rPr>
                            <w:rFonts w:ascii="宋体" w:hAnsi="宋体" w:cs="宋体" w:eastAsia="宋体" w:hint="default"/>
                            <w:sz w:val="18"/>
                            <w:szCs w:val="18"/>
                          </w:rPr>
                          <w:t>普通货物和软件产品销售按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计税、设备安装服务按</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计税 维保服务按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计税。</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4D4D4"/>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90" w:type="dxa"/>
                        <w:tcBorders>
                          <w:top w:val="nil" w:sz="6" w:space="0" w:color="auto"/>
                          <w:left w:val="single" w:sz="4" w:space="0" w:color="000000"/>
                          <w:bottom w:val="single" w:sz="4" w:space="0" w:color="000000"/>
                          <w:right w:val="single" w:sz="4" w:space="0" w:color="000000"/>
                        </w:tcBorders>
                        <w:shd w:val="clear" w:color="auto" w:fill="D4D4D4"/>
                      </w:tcPr>
                      <w:p>
                        <w:pPr/>
                      </w:p>
                    </w:tc>
                    <w:tc>
                      <w:tcPr>
                        <w:tcW w:w="3190" w:type="dxa"/>
                        <w:vMerge/>
                        <w:tcBorders>
                          <w:left w:val="single" w:sz="9" w:space="0" w:color="D4D4D4"/>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的税率计缴</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的税率计缴</w:t>
                        </w:r>
                      </w:p>
                    </w:tc>
                  </w:tr>
                  <w:tr>
                    <w:trPr>
                      <w:trHeight w:val="1027"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34"/>
                          <w:jc w:val="both"/>
                          <w:rPr>
                            <w:rFonts w:ascii="宋体" w:hAnsi="宋体" w:cs="宋体" w:eastAsia="宋体" w:hint="default"/>
                            <w:sz w:val="18"/>
                            <w:szCs w:val="18"/>
                          </w:rPr>
                        </w:pPr>
                        <w:r>
                          <w:rPr>
                            <w:rFonts w:ascii="宋体" w:hAnsi="宋体" w:cs="宋体" w:eastAsia="宋体" w:hint="default"/>
                            <w:sz w:val="18"/>
                            <w:szCs w:val="18"/>
                          </w:rPr>
                          <w:t>从价计征的，按房产原值一次减除</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后余值的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计缴；从租计征的，按租 金收入的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宋体" w:hAnsi="宋体" w:cs="宋体" w:eastAsia="宋体" w:hint="default"/>
                            <w:sz w:val="18"/>
                            <w:szCs w:val="18"/>
                          </w:rPr>
                          <w:t>的税率计缴</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的税率计缴</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的税率计缴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ind w:right="982"/>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本公司、伟创自动化、广东伟创、天辰智能、同方佰宜</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除上述以外的其他纳税主体</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bookmarkStart w:name="2、税收优惠" w:id="222"/>
      <w:bookmarkEnd w:id="222"/>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2"/>
        <w:rPr>
          <w:rFonts w:ascii="宋体" w:hAnsi="宋体" w:cs="宋体" w:eastAsia="宋体" w:hint="default"/>
          <w:b/>
          <w:bCs/>
          <w:sz w:val="26"/>
          <w:szCs w:val="26"/>
        </w:rPr>
      </w:pPr>
    </w:p>
    <w:p>
      <w:pPr>
        <w:pStyle w:val="BodyText"/>
        <w:spacing w:line="300" w:lineRule="auto" w:before="0"/>
        <w:ind w:left="512" w:right="1124"/>
        <w:jc w:val="left"/>
      </w:pPr>
      <w:r>
        <w:rPr>
          <w:rFonts w:ascii="Times New Roman" w:hAnsi="Times New Roman" w:cs="Times New Roman" w:eastAsia="Times New Roman" w:hint="default"/>
        </w:rPr>
        <w:t>1.</w:t>
      </w:r>
      <w:r>
        <w:rPr/>
        <w:t>增值税 根据《财政部、国家税务总局关于软件产品增值税政策的通知》（财税〔</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100</w:t>
      </w:r>
      <w:r>
        <w:rPr/>
        <w:t>号）第一条规定，一般纳税人软件</w:t>
      </w:r>
    </w:p>
    <w:p>
      <w:pPr>
        <w:spacing w:after="0" w:line="300" w:lineRule="auto"/>
        <w:jc w:val="left"/>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300" w:lineRule="auto"/>
        <w:ind w:right="1044"/>
        <w:jc w:val="left"/>
      </w:pPr>
      <w:r>
        <w:rPr/>
        <w:t>企业销售其自行开发生产的软件产品，按</w:t>
      </w:r>
      <w:r>
        <w:rPr>
          <w:rFonts w:ascii="Times New Roman" w:hAnsi="Times New Roman" w:cs="Times New Roman" w:eastAsia="Times New Roman" w:hint="default"/>
        </w:rPr>
        <w:t>17%</w:t>
      </w:r>
      <w:r>
        <w:rPr/>
        <w:t>税率征收增值税后，对其增值税实际税负超过</w:t>
      </w:r>
      <w:r>
        <w:rPr>
          <w:rFonts w:ascii="Times New Roman" w:hAnsi="Times New Roman" w:cs="Times New Roman" w:eastAsia="Times New Roman" w:hint="default"/>
        </w:rPr>
        <w:t>3%</w:t>
      </w:r>
      <w:r>
        <w:rPr/>
        <w:t>的部分实行即征即退政策。</w:t>
      </w:r>
      <w:r>
        <w:rPr>
          <w:spacing w:val="-37"/>
        </w:rPr>
        <w:t> </w:t>
      </w:r>
      <w:r>
        <w:rPr>
          <w:spacing w:val="-37"/>
        </w:rPr>
      </w:r>
      <w:r>
        <w:rPr/>
        <w:t>五洋停车公司销售</w:t>
      </w:r>
      <w:r>
        <w:rPr>
          <w:rFonts w:ascii="Times New Roman" w:hAnsi="Times New Roman" w:cs="Times New Roman" w:eastAsia="Times New Roman" w:hint="default"/>
        </w:rPr>
        <w:t>“</w:t>
      </w:r>
      <w:r>
        <w:rPr/>
        <w:t>五洋液压卷带装置控制软件</w:t>
      </w:r>
      <w:r>
        <w:rPr>
          <w:spacing w:val="-24"/>
        </w:rPr>
        <w:t> </w:t>
      </w:r>
      <w:r>
        <w:rPr>
          <w:rFonts w:ascii="Times New Roman" w:hAnsi="Times New Roman" w:cs="Times New Roman" w:eastAsia="Times New Roman" w:hint="default"/>
        </w:rPr>
        <w:t>V1.0”</w:t>
      </w:r>
      <w:r>
        <w:rPr/>
        <w:t>、</w:t>
      </w:r>
      <w:r>
        <w:rPr>
          <w:rFonts w:ascii="Times New Roman" w:hAnsi="Times New Roman" w:cs="Times New Roman" w:eastAsia="Times New Roman" w:hint="default"/>
        </w:rPr>
        <w:t>“</w:t>
      </w:r>
      <w:r>
        <w:rPr/>
        <w:t>五洋液压拉紧装置控制软件</w:t>
      </w:r>
      <w:r>
        <w:rPr>
          <w:rFonts w:ascii="Times New Roman" w:hAnsi="Times New Roman" w:cs="Times New Roman" w:eastAsia="Times New Roman" w:hint="default"/>
        </w:rPr>
        <w:t>V1.0”</w:t>
      </w:r>
      <w:r>
        <w:rPr/>
        <w:t>、</w:t>
      </w:r>
      <w:r>
        <w:rPr>
          <w:rFonts w:ascii="Times New Roman" w:hAnsi="Times New Roman" w:cs="Times New Roman" w:eastAsia="Times New Roman" w:hint="default"/>
        </w:rPr>
        <w:t>“</w:t>
      </w:r>
      <w:r>
        <w:rPr/>
        <w:t>五洋张紧绞车控制软件</w:t>
      </w:r>
      <w:r>
        <w:rPr>
          <w:rFonts w:ascii="Times New Roman" w:hAnsi="Times New Roman" w:cs="Times New Roman" w:eastAsia="Times New Roman" w:hint="default"/>
        </w:rPr>
        <w:t>V1.0”</w:t>
      </w:r>
      <w:r>
        <w:rPr/>
        <w:t>、 </w:t>
      </w:r>
      <w:r>
        <w:rPr>
          <w:rFonts w:ascii="Times New Roman" w:hAnsi="Times New Roman" w:cs="Times New Roman" w:eastAsia="Times New Roman" w:hint="default"/>
        </w:rPr>
        <w:t>“</w:t>
      </w:r>
      <w:r>
        <w:rPr/>
        <w:t>五洋盘式制动器控制软件</w:t>
      </w:r>
      <w:r>
        <w:rPr>
          <w:rFonts w:ascii="Times New Roman" w:hAnsi="Times New Roman" w:cs="Times New Roman" w:eastAsia="Times New Roman" w:hint="default"/>
        </w:rPr>
        <w:t>V1.0” </w:t>
      </w:r>
      <w:r>
        <w:rPr/>
        <w:t>软件与伟创自动化公司销售</w:t>
      </w:r>
      <w:r>
        <w:rPr>
          <w:rFonts w:ascii="Times New Roman" w:hAnsi="Times New Roman" w:cs="Times New Roman" w:eastAsia="Times New Roman" w:hint="default"/>
        </w:rPr>
        <w:t>“</w:t>
      </w:r>
      <w:r>
        <w:rPr/>
        <w:t>伟创车库控制系统</w:t>
      </w:r>
      <w:r>
        <w:rPr>
          <w:rFonts w:ascii="Times New Roman" w:hAnsi="Times New Roman" w:cs="Times New Roman" w:eastAsia="Times New Roman" w:hint="default"/>
        </w:rPr>
        <w:t>”</w:t>
      </w:r>
      <w:r>
        <w:rPr/>
        <w:t>软件享受前述超税负部分增值税即征即退</w:t>
      </w:r>
      <w:r>
        <w:rPr>
          <w:spacing w:val="-49"/>
        </w:rPr>
        <w:t> </w:t>
      </w:r>
      <w:r>
        <w:rPr>
          <w:spacing w:val="-49"/>
        </w:rPr>
      </w:r>
      <w:r>
        <w:rPr/>
        <w:t>的税收优惠。</w:t>
      </w:r>
    </w:p>
    <w:p>
      <w:pPr>
        <w:pStyle w:val="BodyText"/>
        <w:spacing w:line="240" w:lineRule="auto" w:before="31"/>
        <w:ind w:left="512" w:right="982"/>
        <w:jc w:val="left"/>
      </w:pPr>
      <w:r>
        <w:rPr>
          <w:rFonts w:ascii="Times New Roman" w:hAnsi="Times New Roman" w:cs="Times New Roman" w:eastAsia="Times New Roman" w:hint="default"/>
        </w:rPr>
        <w:t>2.</w:t>
      </w:r>
      <w:r>
        <w:rPr/>
        <w:t>企业所得税</w:t>
      </w:r>
    </w:p>
    <w:p>
      <w:pPr>
        <w:pStyle w:val="BodyText"/>
        <w:spacing w:line="300" w:lineRule="auto" w:before="62"/>
        <w:ind w:right="1135" w:firstLine="36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17</w:t>
      </w:r>
      <w:r>
        <w:rPr/>
        <w:t>日，公司获得江苏省科学技术厅、江苏省财政厅、江苏省国家税务局和江苏省地方税务局颁发的编 号为</w:t>
      </w:r>
      <w:r>
        <w:rPr>
          <w:rFonts w:ascii="Times New Roman" w:hAnsi="Times New Roman" w:cs="Times New Roman" w:eastAsia="Times New Roman" w:hint="default"/>
        </w:rPr>
        <w:t>GR201732000009</w:t>
      </w:r>
      <w:r>
        <w:rPr/>
        <w:t>的高新技术企业证书，按税法规定</w:t>
      </w:r>
      <w:r>
        <w:rPr>
          <w:rFonts w:ascii="Times New Roman" w:hAnsi="Times New Roman" w:cs="Times New Roman" w:eastAsia="Times New Roman" w:hint="default"/>
        </w:rPr>
        <w:t>2017-2019</w:t>
      </w:r>
      <w:r>
        <w:rPr/>
        <w:t>年度减按</w:t>
      </w:r>
      <w:r>
        <w:rPr>
          <w:rFonts w:ascii="Times New Roman" w:hAnsi="Times New Roman" w:cs="Times New Roman" w:eastAsia="Times New Roman" w:hint="default"/>
        </w:rPr>
        <w:t>15%</w:t>
      </w:r>
      <w:r>
        <w:rPr/>
        <w:t>的税率计缴企业所得税。</w:t>
      </w:r>
    </w:p>
    <w:p>
      <w:pPr>
        <w:pStyle w:val="BodyText"/>
        <w:spacing w:line="300" w:lineRule="auto" w:before="13"/>
        <w:ind w:right="1124" w:firstLine="36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t>日，伟创自动化公司获得深圳市科技创新委员会、深圳市财政委员会、国家税务总局深圳市税务局 颁发的编号为</w:t>
      </w:r>
      <w:r>
        <w:rPr>
          <w:rFonts w:ascii="Times New Roman" w:hAnsi="Times New Roman" w:cs="Times New Roman" w:eastAsia="Times New Roman" w:hint="default"/>
        </w:rPr>
        <w:t>GR201844201346</w:t>
      </w:r>
      <w:r>
        <w:rPr/>
        <w:t>的高新技术企业证书，按税法规定</w:t>
      </w:r>
      <w:r>
        <w:rPr>
          <w:spacing w:val="-28"/>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-2020</w:t>
      </w:r>
      <w:r>
        <w:rPr/>
        <w:t>年减按</w:t>
      </w:r>
      <w:r>
        <w:rPr>
          <w:rFonts w:ascii="Times New Roman" w:hAnsi="Times New Roman" w:cs="Times New Roman" w:eastAsia="Times New Roman" w:hint="default"/>
        </w:rPr>
        <w:t>15%</w:t>
      </w:r>
      <w:r>
        <w:rPr/>
        <w:t>的税率计缴企业所得税。</w:t>
      </w:r>
    </w:p>
    <w:p>
      <w:pPr>
        <w:pStyle w:val="BodyText"/>
        <w:spacing w:line="300" w:lineRule="auto" w:before="13"/>
        <w:ind w:left="153" w:right="1123" w:firstLine="36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日，广东伟创公司获得广东省科学技术厅、广东省财政厅、国家税务总局广东省税务局颁发的编号 为</w:t>
      </w:r>
      <w:r>
        <w:rPr>
          <w:rFonts w:ascii="Times New Roman" w:hAnsi="Times New Roman" w:cs="Times New Roman" w:eastAsia="Times New Roman" w:hint="default"/>
        </w:rPr>
        <w:t>GR201844002512</w:t>
      </w:r>
      <w:r>
        <w:rPr/>
        <w:t>的高新技术企业证书，按税法规定</w:t>
      </w:r>
      <w:r>
        <w:rPr>
          <w:spacing w:val="-29"/>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-2020</w:t>
      </w:r>
      <w:r>
        <w:rPr/>
        <w:t>年减按</w:t>
      </w:r>
      <w:r>
        <w:rPr>
          <w:rFonts w:ascii="Times New Roman" w:hAnsi="Times New Roman" w:cs="Times New Roman" w:eastAsia="Times New Roman" w:hint="default"/>
        </w:rPr>
        <w:t>15%</w:t>
      </w:r>
      <w:r>
        <w:rPr/>
        <w:t>的税率计缴企业所得税。</w:t>
      </w:r>
    </w:p>
    <w:p>
      <w:pPr>
        <w:pStyle w:val="BodyText"/>
        <w:spacing w:line="300" w:lineRule="auto" w:before="13"/>
        <w:ind w:left="153" w:right="1123" w:firstLine="360"/>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日，天辰智能公司获得山东省科学技术厅、山东省财政厅、国家税务总局山东省税务局颁发的编号 为</w:t>
      </w:r>
      <w:r>
        <w:rPr>
          <w:rFonts w:ascii="Times New Roman" w:hAnsi="Times New Roman" w:cs="Times New Roman" w:eastAsia="Times New Roman" w:hint="default"/>
        </w:rPr>
        <w:t>GR201837002435</w:t>
      </w:r>
      <w:r>
        <w:rPr/>
        <w:t>的高新技术企业证书，按税法规定</w:t>
      </w:r>
      <w:r>
        <w:rPr>
          <w:spacing w:val="-29"/>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-2020</w:t>
      </w:r>
      <w:r>
        <w:rPr/>
        <w:t>年减按</w:t>
      </w:r>
      <w:r>
        <w:rPr>
          <w:rFonts w:ascii="Times New Roman" w:hAnsi="Times New Roman" w:cs="Times New Roman" w:eastAsia="Times New Roman" w:hint="default"/>
        </w:rPr>
        <w:t>15%</w:t>
      </w:r>
      <w:r>
        <w:rPr/>
        <w:t>的税率计缴企业所得税。</w:t>
      </w:r>
    </w:p>
    <w:p>
      <w:pPr>
        <w:pStyle w:val="BodyText"/>
        <w:spacing w:line="300" w:lineRule="auto" w:before="13"/>
        <w:ind w:left="153" w:right="1126" w:firstLine="357"/>
        <w:jc w:val="left"/>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日，同方佰宜公司获得北京市科学技术委员会、北京市财政局、国家税务总局北京市税务局颁发的 编号为</w:t>
      </w:r>
      <w:r>
        <w:rPr>
          <w:rFonts w:ascii="Times New Roman" w:hAnsi="Times New Roman" w:cs="Times New Roman" w:eastAsia="Times New Roman" w:hint="default"/>
        </w:rPr>
        <w:t>GR201811009014</w:t>
      </w:r>
      <w:r>
        <w:rPr/>
        <w:t>的高新技术企业证书，按税法规定</w:t>
      </w:r>
      <w:r>
        <w:rPr>
          <w:spacing w:val="-29"/>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-2020</w:t>
      </w:r>
      <w:r>
        <w:rPr/>
        <w:t>年减按</w:t>
      </w:r>
      <w:r>
        <w:rPr>
          <w:rFonts w:ascii="Times New Roman" w:hAnsi="Times New Roman" w:cs="Times New Roman" w:eastAsia="Times New Roman" w:hint="default"/>
        </w:rPr>
        <w:t>15%</w:t>
      </w:r>
      <w:r>
        <w:rPr/>
        <w:t>的税率计缴企业所得税。</w:t>
      </w:r>
    </w:p>
    <w:p>
      <w:pPr>
        <w:pStyle w:val="BodyText"/>
        <w:spacing w:line="300" w:lineRule="auto" w:before="13"/>
        <w:ind w:right="1054"/>
        <w:jc w:val="left"/>
      </w:pPr>
      <w:r>
        <w:rPr/>
        <w:t>（</w:t>
      </w:r>
      <w:r>
        <w:rPr>
          <w:rFonts w:ascii="Times New Roman" w:hAnsi="Times New Roman" w:cs="Times New Roman" w:eastAsia="Times New Roman" w:hint="default"/>
        </w:rPr>
        <w:t>6</w:t>
      </w:r>
      <w:r>
        <w:rPr/>
        <w:t>）根据《财政部</w:t>
      </w:r>
      <w:r>
        <w:rPr>
          <w:spacing w:val="-20"/>
        </w:rPr>
        <w:t> </w:t>
      </w:r>
      <w:r>
        <w:rPr/>
        <w:t>税务总局关于进一步扩大小型微利企业所得税优惠政策范围的通知》（财税〔</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77</w:t>
      </w:r>
      <w:r>
        <w:rPr/>
        <w:t>号）相关规定， 沈阳恒信公司享受小型微利企业税收优惠政策，其所得减按</w:t>
      </w:r>
      <w:r>
        <w:rPr>
          <w:rFonts w:ascii="Times New Roman" w:hAnsi="Times New Roman" w:cs="Times New Roman" w:eastAsia="Times New Roman" w:hint="default"/>
        </w:rPr>
        <w:t>50%</w:t>
      </w:r>
      <w:r>
        <w:rPr/>
        <w:t>计入应纳税所得额，按</w:t>
      </w:r>
      <w:r>
        <w:rPr>
          <w:rFonts w:ascii="Times New Roman" w:hAnsi="Times New Roman" w:cs="Times New Roman" w:eastAsia="Times New Roman" w:hint="default"/>
        </w:rPr>
        <w:t>20%</w:t>
      </w:r>
      <w:r>
        <w:rPr/>
        <w:t>的税率计缴企业所得税。</w:t>
      </w:r>
    </w:p>
    <w:p>
      <w:pPr>
        <w:spacing w:line="240" w:lineRule="auto" w:before="5"/>
        <w:rPr>
          <w:rFonts w:ascii="宋体" w:hAnsi="宋体" w:cs="宋体" w:eastAsia="宋体" w:hint="default"/>
          <w:sz w:val="22"/>
          <w:szCs w:val="22"/>
        </w:rPr>
      </w:pPr>
    </w:p>
    <w:p>
      <w:pPr>
        <w:spacing w:line="487" w:lineRule="auto" w:before="0"/>
        <w:ind w:left="152" w:right="7863" w:firstLine="0"/>
        <w:jc w:val="left"/>
        <w:rPr>
          <w:rFonts w:ascii="宋体" w:hAnsi="宋体" w:cs="宋体" w:eastAsia="宋体" w:hint="default"/>
          <w:sz w:val="21"/>
          <w:szCs w:val="21"/>
        </w:rPr>
      </w:pPr>
      <w:bookmarkStart w:name="3、其他" w:id="223"/>
      <w:bookmarkEnd w:id="22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七、合并财务报表项目注释" w:id="224"/>
      <w:bookmarkEnd w:id="224"/>
      <w:r>
        <w:rPr>
          <w:rFonts w:ascii="宋体" w:hAnsi="宋体" w:cs="宋体" w:eastAsia="宋体" w:hint="default"/>
          <w:b/>
          <w:bCs/>
          <w:w w:val="100"/>
          <w:sz w:val="21"/>
          <w:szCs w:val="21"/>
        </w:rPr>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bookmarkStart w:name="1、货币资金" w:id="225"/>
      <w:bookmarkEnd w:id="22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5"/>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155,352.84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137,281.81</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62,612,156.68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158,004,903.43</w:t>
            </w:r>
            <w:r>
              <w:rPr>
                <w:rFonts w:ascii="Times New Roman"/>
                <w:sz w:val="18"/>
              </w:rPr>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44,978,534.99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17,272,684.67</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107,746,044.51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175,414,869.91</w:t>
            </w:r>
            <w:r>
              <w:rPr>
                <w:rFonts w:ascii="Times New Roman"/>
                <w:sz w:val="18"/>
              </w:rPr>
            </w:r>
          </w:p>
        </w:tc>
      </w:tr>
    </w:tbl>
    <w:p>
      <w:pPr>
        <w:pStyle w:val="BodyText"/>
        <w:spacing w:line="357" w:lineRule="auto" w:before="49"/>
        <w:ind w:left="368" w:right="982" w:hanging="216"/>
        <w:jc w:val="left"/>
      </w:pPr>
      <w:r>
        <w:rPr/>
        <w:t>其他说明 </w:t>
      </w:r>
      <w:r>
        <w:rPr>
          <w:spacing w:val="-1"/>
        </w:rPr>
        <w:t>期末银行存款中</w:t>
      </w:r>
      <w:r>
        <w:rPr>
          <w:rFonts w:ascii="Times New Roman" w:hAnsi="Times New Roman" w:cs="Times New Roman" w:eastAsia="Times New Roman" w:hint="default"/>
          <w:spacing w:val="-1"/>
        </w:rPr>
        <w:t>2,173,008.18</w:t>
      </w:r>
      <w:r>
        <w:rPr>
          <w:spacing w:val="-1"/>
        </w:rPr>
        <w:t>元系财政预算购买设备专用款；其他货币资金中有保函保证金</w:t>
      </w:r>
      <w:r>
        <w:rPr>
          <w:rFonts w:ascii="Times New Roman" w:hAnsi="Times New Roman" w:cs="Times New Roman" w:eastAsia="Times New Roman" w:hint="default"/>
          <w:spacing w:val="-1"/>
        </w:rPr>
        <w:t>4,141,851.66</w:t>
      </w:r>
      <w:r>
        <w:rPr>
          <w:spacing w:val="-1"/>
        </w:rPr>
        <w:t>元，银行承兑汇票</w:t>
      </w:r>
    </w:p>
    <w:p>
      <w:pPr>
        <w:pStyle w:val="BodyText"/>
        <w:spacing w:line="214" w:lineRule="exact" w:before="0"/>
        <w:ind w:right="982"/>
        <w:jc w:val="left"/>
      </w:pPr>
      <w:r>
        <w:rPr/>
        <w:t>保证金</w:t>
      </w:r>
      <w:r>
        <w:rPr>
          <w:rFonts w:ascii="Times New Roman" w:hAnsi="Times New Roman" w:cs="Times New Roman" w:eastAsia="Times New Roman" w:hint="default"/>
        </w:rPr>
        <w:t>25,636,683.33</w:t>
      </w:r>
      <w:r>
        <w:rPr/>
        <w:t>元，产业基金托管专项资金</w:t>
      </w:r>
      <w:r>
        <w:rPr>
          <w:rFonts w:ascii="Times New Roman" w:hAnsi="Times New Roman" w:cs="Times New Roman" w:eastAsia="Times New Roman" w:hint="default"/>
        </w:rPr>
        <w:t>15,200,000.00</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5"/>
          <w:szCs w:val="25"/>
        </w:rPr>
      </w:pPr>
    </w:p>
    <w:p>
      <w:pPr>
        <w:pStyle w:val="Heading3"/>
        <w:spacing w:line="240" w:lineRule="auto"/>
        <w:ind w:right="982"/>
        <w:jc w:val="left"/>
        <w:rPr>
          <w:b w:val="0"/>
          <w:bCs w:val="0"/>
        </w:rPr>
      </w:pPr>
      <w:bookmarkStart w:name="2、以公允价值计量且其变动计入当期损益的金融资产" w:id="226"/>
      <w:bookmarkEnd w:id="226"/>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982"/>
        <w:jc w:val="left"/>
      </w:pPr>
      <w:r>
        <w:rPr/>
        <w:t>其他说明：</w:t>
      </w:r>
    </w:p>
    <w:p>
      <w:pPr>
        <w:spacing w:after="0" w:line="240" w:lineRule="auto"/>
        <w:jc w:val="left"/>
        <w:sectPr>
          <w:footerReference w:type="default" r:id="rId16"/>
          <w:pgSz w:w="11910" w:h="16840"/>
          <w:pgMar w:footer="982" w:header="745" w:top="1060" w:bottom="1180" w:left="980" w:right="0"/>
          <w:pgNumType w:start="11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bookmarkStart w:name="3、衍生金融资产" w:id="227"/>
      <w:bookmarkEnd w:id="227"/>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bookmarkStart w:name="4、应收票据及应收账款" w:id="228"/>
      <w:bookmarkEnd w:id="228"/>
      <w:r>
        <w:rPr>
          <w:b w:val="0"/>
          <w:bCs w:val="0"/>
        </w:rPr>
      </w:r>
      <w:r>
        <w:rPr>
          <w:rFonts w:ascii="Times New Roman" w:hAnsi="Times New Roman" w:cs="Times New Roman" w:eastAsia="Times New Roman" w:hint="default"/>
        </w:rPr>
        <w:t>4</w:t>
      </w:r>
      <w:r>
        <w:rPr/>
        <w:t>、应收票据及应收账款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55,610,191.47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58,988,771.37</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631,391,344.65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499,877,239.79</w:t>
            </w:r>
            <w:r>
              <w:rPr>
                <w:rFonts w:ascii="Times New Roman"/>
                <w:sz w:val="18"/>
              </w:rPr>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687,001,536.12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558,866,011.16</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bookmarkStart w:name="（1）应收票据" w:id="229"/>
      <w:bookmarkEnd w:id="229"/>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982"/>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40,553,813.38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41,664,698.19</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15,056,378.09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17,324,073.18</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55,610,191.47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58,988,771.37</w:t>
            </w:r>
          </w:p>
        </w:tc>
      </w:tr>
    </w:tbl>
    <w:p>
      <w:pPr>
        <w:pStyle w:val="BodyText"/>
        <w:spacing w:line="240" w:lineRule="auto" w:before="49"/>
        <w:ind w:right="982"/>
        <w:jc w:val="left"/>
      </w:pPr>
      <w:r>
        <w:rPr>
          <w:rFonts w:ascii="Times New Roman" w:hAnsi="Times New Roman" w:cs="Times New Roman" w:eastAsia="Times New Roman" w:hint="default"/>
        </w:rPr>
        <w:t>2)</w:t>
      </w:r>
      <w:r>
        <w:rPr/>
        <w:t>期末公司已质押的应收票据</w:t>
      </w:r>
    </w:p>
    <w:p>
      <w:pPr>
        <w:pStyle w:val="BodyText"/>
        <w:spacing w:line="240" w:lineRule="auto" w:before="101"/>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0"/>
        <w:gridCol w:w="4796"/>
      </w:tblGrid>
      <w:tr>
        <w:trPr>
          <w:trHeight w:val="402"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3,163,531.55</w:t>
            </w:r>
            <w:r>
              <w:rPr>
                <w:rFonts w:ascii="Times New Roman"/>
                <w:sz w:val="18"/>
              </w:rPr>
            </w:r>
          </w:p>
        </w:tc>
      </w:tr>
      <w:tr>
        <w:trPr>
          <w:trHeight w:val="403"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3,163,531.55</w:t>
            </w:r>
            <w:r>
              <w:rPr>
                <w:rFonts w:ascii="Times New Roman"/>
                <w:sz w:val="18"/>
              </w:rPr>
            </w:r>
          </w:p>
        </w:tc>
      </w:tr>
    </w:tbl>
    <w:p>
      <w:pPr>
        <w:pStyle w:val="BodyText"/>
        <w:spacing w:line="240" w:lineRule="auto" w:before="49"/>
        <w:ind w:right="982"/>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1"/>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8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73,005,170.12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12,531,477.34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85,536,647.46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2"/>
        <w:jc w:val="left"/>
      </w:pPr>
      <w:r>
        <w:rPr>
          <w:rFonts w:ascii="Times New Roman" w:hAnsi="Times New Roman" w:cs="Times New Roman" w:eastAsia="Times New Roman" w:hint="default"/>
        </w:rPr>
        <w:t>4)</w:t>
      </w:r>
      <w:r>
        <w:rPr/>
        <w:t>期末公司因出票人未履约而将其转应收账款的票据</w:t>
      </w:r>
    </w:p>
    <w:p>
      <w:pPr>
        <w:pStyle w:val="BodyText"/>
        <w:spacing w:line="240" w:lineRule="auto" w:before="101"/>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0"/>
        <w:gridCol w:w="4796"/>
      </w:tblGrid>
      <w:tr>
        <w:trPr>
          <w:trHeight w:val="401"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8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3"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239,200.00</w:t>
            </w:r>
          </w:p>
        </w:tc>
      </w:tr>
      <w:tr>
        <w:trPr>
          <w:trHeight w:val="401"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239,200.00</w:t>
            </w:r>
          </w:p>
        </w:tc>
      </w:tr>
    </w:tbl>
    <w:p>
      <w:pPr>
        <w:pStyle w:val="BodyText"/>
        <w:spacing w:line="240" w:lineRule="auto" w:before="49"/>
        <w:ind w:right="982"/>
        <w:jc w:val="left"/>
      </w:pPr>
      <w:r>
        <w:rPr/>
        <w:t>其他说明</w:t>
      </w:r>
    </w:p>
    <w:p>
      <w:pPr>
        <w:spacing w:after="0" w:line="240" w:lineRule="auto"/>
        <w:jc w:val="left"/>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316" w:lineRule="auto"/>
        <w:ind w:right="1130" w:firstLine="360"/>
        <w:jc w:val="both"/>
      </w:pPr>
      <w:r>
        <w:rPr>
          <w:spacing w:val="-2"/>
        </w:rPr>
        <w:t>银行承兑汇票的承兑人是商业银行，由于商业银行具有较高的信用，银行承兑汇票到期不获支付的可能性较低，故本公</w:t>
      </w:r>
      <w:r>
        <w:rPr/>
        <w:t> </w:t>
      </w:r>
      <w:r>
        <w:rPr>
          <w:spacing w:val="-2"/>
        </w:rPr>
        <w:t>司将已背书或贴现的银行承兑汇票予以终止确认。但如果该等票据到期不获支付，依据《票据法》之规定，公司仍将对持票</w:t>
      </w:r>
      <w:r>
        <w:rPr>
          <w:spacing w:val="-67"/>
        </w:rPr>
        <w:t> </w:t>
      </w:r>
      <w:r>
        <w:rPr>
          <w:spacing w:val="-67"/>
        </w:rPr>
      </w:r>
      <w:r>
        <w:rPr/>
        <w:t>人承担连带责任。</w:t>
      </w:r>
    </w:p>
    <w:p>
      <w:pPr>
        <w:pStyle w:val="BodyText"/>
        <w:spacing w:line="316" w:lineRule="auto" w:before="18"/>
        <w:ind w:right="1123" w:firstLine="288"/>
        <w:jc w:val="both"/>
      </w:pPr>
      <w:r>
        <w:rPr/>
        <w:t>商业承兑汇票的承兑人为桂林桂加房地产有限公司、陕西煤业物资有限责任公司榆林分公司、万科企业股份有限公司、 </w:t>
      </w:r>
      <w:r>
        <w:rPr>
          <w:spacing w:val="-2"/>
        </w:rPr>
        <w:t>南京京御幸福房地产开发有限公司、万宁南山融创实业有限公司、南京世茂房地产开发有限公司、牡丹江雅商建材贸易有限</w:t>
      </w:r>
      <w:r>
        <w:rPr>
          <w:spacing w:val="-63"/>
        </w:rPr>
        <w:t> </w:t>
      </w:r>
      <w:r>
        <w:rPr>
          <w:spacing w:val="-63"/>
        </w:rPr>
      </w:r>
      <w:r>
        <w:rPr>
          <w:spacing w:val="-2"/>
        </w:rPr>
        <w:t>公司、南宁市万科朗润房地产有限公司、陕西陕煤韩城矿业有限公司、南京海峡城开发建设有限公司、东莞市城邦房地产开</w:t>
      </w:r>
      <w:r>
        <w:rPr>
          <w:spacing w:val="-65"/>
        </w:rPr>
        <w:t> </w:t>
      </w:r>
      <w:r>
        <w:rPr>
          <w:spacing w:val="-65"/>
        </w:rPr>
      </w:r>
      <w:r>
        <w:rPr>
          <w:spacing w:val="-2"/>
        </w:rPr>
        <w:t>发有限公司、开滦（集团）有限责任公司物资分公司，承兑人具有较好的信用，故本公司将已背书的商业承兑汇票予以终止</w:t>
      </w:r>
      <w:r>
        <w:rPr>
          <w:spacing w:val="-65"/>
        </w:rPr>
        <w:t> </w:t>
      </w:r>
      <w:r>
        <w:rPr>
          <w:spacing w:val="-65"/>
        </w:rPr>
      </w:r>
      <w:r>
        <w:rPr/>
        <w:t>确认。但如果该等票据到期不获支付，依据《票据法》之规定，公司仍将对持票人承担连带责任。</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6"/>
          <w:szCs w:val="16"/>
        </w:rPr>
      </w:pPr>
    </w:p>
    <w:p>
      <w:pPr>
        <w:pStyle w:val="Heading3"/>
        <w:spacing w:line="240" w:lineRule="auto"/>
        <w:ind w:right="982"/>
        <w:jc w:val="left"/>
        <w:rPr>
          <w:b w:val="0"/>
          <w:bCs w:val="0"/>
        </w:rPr>
      </w:pPr>
      <w:bookmarkStart w:name="（2）应收账款" w:id="230"/>
      <w:bookmarkEnd w:id="230"/>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982"/>
        <w:jc w:val="left"/>
      </w:pPr>
      <w:r>
        <w:rPr>
          <w:rFonts w:ascii="Times New Roman" w:hAnsi="Times New Roman" w:cs="Times New Roman" w:eastAsia="Times New Roman" w:hint="default"/>
        </w:rPr>
        <w:t>1)</w:t>
      </w:r>
      <w:r>
        <w:rPr/>
        <w:t>应收账款分类披露</w:t>
      </w:r>
    </w:p>
    <w:p>
      <w:pPr>
        <w:pStyle w:val="BodyText"/>
        <w:spacing w:line="240" w:lineRule="auto" w:before="101"/>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5"/>
        <w:gridCol w:w="761"/>
        <w:gridCol w:w="814"/>
        <w:gridCol w:w="934"/>
        <w:gridCol w:w="931"/>
      </w:tblGrid>
      <w:tr>
        <w:trPr>
          <w:trHeight w:val="402" w:hRule="exact"/>
        </w:trPr>
        <w:tc>
          <w:tcPr>
            <w:tcW w:w="1612" w:type="dxa"/>
            <w:vMerge w:val="restart"/>
            <w:tcBorders>
              <w:top w:val="single" w:sz="4" w:space="0" w:color="000000"/>
              <w:left w:val="single" w:sz="4" w:space="0" w:color="000000"/>
              <w:right w:val="single" w:sz="4" w:space="0" w:color="000000"/>
            </w:tcBorders>
            <w:shd w:val="clear" w:color="auto" w:fill="D4D4D4"/>
          </w:tcPr>
          <w:p>
            <w:pPr/>
          </w:p>
        </w:tc>
        <w:tc>
          <w:tcPr>
            <w:tcW w:w="384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12" w:type="dxa"/>
            <w:vMerge/>
            <w:tcBorders>
              <w:left w:val="single" w:sz="4" w:space="0" w:color="000000"/>
              <w:bottom w:val="nil" w:sz="6" w:space="0" w:color="auto"/>
              <w:right w:val="single" w:sz="4" w:space="0" w:color="000000"/>
            </w:tcBorders>
            <w:shd w:val="clear" w:color="auto" w:fill="D4D4D4"/>
          </w:tcPr>
          <w:p>
            <w:pPr/>
          </w:p>
        </w:tc>
        <w:tc>
          <w:tcPr>
            <w:tcW w:w="153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4D4D4"/>
          </w:tcPr>
          <w:p>
            <w:pPr/>
          </w:p>
        </w:tc>
        <w:tc>
          <w:tcPr>
            <w:tcW w:w="14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4D4D4"/>
          </w:tcPr>
          <w:p>
            <w:pPr/>
          </w:p>
        </w:tc>
        <w:tc>
          <w:tcPr>
            <w:tcW w:w="1526" w:type="dxa"/>
            <w:gridSpan w:val="2"/>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1416" w:type="dxa"/>
            <w:gridSpan w:val="2"/>
            <w:vMerge/>
            <w:tcBorders>
              <w:left w:val="single" w:sz="4" w:space="0" w:color="000000"/>
              <w:bottom w:val="single" w:sz="4" w:space="0" w:color="000000"/>
              <w:right w:val="single" w:sz="4" w:space="0" w:color="000000"/>
            </w:tcBorders>
            <w:shd w:val="clear" w:color="auto" w:fill="D4D4D4"/>
          </w:tcPr>
          <w:p>
            <w:pPr/>
          </w:p>
        </w:tc>
        <w:tc>
          <w:tcPr>
            <w:tcW w:w="1747" w:type="dxa"/>
            <w:gridSpan w:val="2"/>
            <w:vMerge/>
            <w:tcBorders>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4D4D4"/>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87"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4D4D4"/>
          </w:tcPr>
          <w:p>
            <w:pPr/>
          </w:p>
        </w:tc>
        <w:tc>
          <w:tcPr>
            <w:tcW w:w="761"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4D4D4"/>
          </w:tcPr>
          <w:p>
            <w:pPr/>
          </w:p>
        </w:tc>
        <w:tc>
          <w:tcPr>
            <w:tcW w:w="774"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65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199" w:hRule="exact"/>
        </w:trPr>
        <w:tc>
          <w:tcPr>
            <w:tcW w:w="1612" w:type="dxa"/>
            <w:vMerge/>
            <w:tcBorders>
              <w:left w:val="single" w:sz="4" w:space="0" w:color="000000"/>
              <w:right w:val="single" w:sz="4" w:space="0" w:color="000000"/>
            </w:tcBorders>
            <w:shd w:val="clear" w:color="auto" w:fill="D4D4D4"/>
          </w:tcPr>
          <w:p>
            <w:pPr/>
          </w:p>
        </w:tc>
        <w:tc>
          <w:tcPr>
            <w:tcW w:w="774"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right w:val="single" w:sz="4" w:space="0" w:color="000000"/>
            </w:tcBorders>
            <w:shd w:val="clear" w:color="auto" w:fill="D4D4D4"/>
          </w:tcPr>
          <w:p>
            <w:pPr/>
          </w:p>
        </w:tc>
        <w:tc>
          <w:tcPr>
            <w:tcW w:w="787" w:type="dxa"/>
            <w:vMerge w:val="restart"/>
            <w:tcBorders>
              <w:top w:val="nil" w:sz="6" w:space="0" w:color="auto"/>
              <w:left w:val="single" w:sz="4" w:space="0" w:color="000000"/>
              <w:right w:val="single" w:sz="4" w:space="0" w:color="000000"/>
            </w:tcBorders>
            <w:shd w:val="clear" w:color="auto" w:fill="D4D4D4"/>
          </w:tcPr>
          <w:p>
            <w:pPr/>
          </w:p>
        </w:tc>
        <w:tc>
          <w:tcPr>
            <w:tcW w:w="655"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c>
          <w:tcPr>
            <w:tcW w:w="934" w:type="dxa"/>
            <w:vMerge/>
            <w:tcBorders>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4D4D4"/>
          </w:tcPr>
          <w:p>
            <w:pPr/>
          </w:p>
        </w:tc>
        <w:tc>
          <w:tcPr>
            <w:tcW w:w="774"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2"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740,664,</w:t>
            </w:r>
          </w:p>
          <w:p>
            <w:pPr>
              <w:pStyle w:val="TableParagraph"/>
              <w:spacing w:line="240" w:lineRule="auto" w:before="102"/>
              <w:ind w:left="215" w:right="0"/>
              <w:jc w:val="center"/>
              <w:rPr>
                <w:rFonts w:ascii="Times New Roman" w:hAnsi="Times New Roman" w:cs="Times New Roman" w:eastAsia="Times New Roman" w:hint="default"/>
                <w:sz w:val="18"/>
                <w:szCs w:val="18"/>
              </w:rPr>
            </w:pPr>
            <w:r>
              <w:rPr>
                <w:rFonts w:ascii="Times New Roman"/>
                <w:sz w:val="18"/>
              </w:rPr>
              <w:t>951.94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99.52%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109,273,</w:t>
            </w:r>
          </w:p>
          <w:p>
            <w:pPr>
              <w:pStyle w:val="TableParagraph"/>
              <w:spacing w:line="240" w:lineRule="auto" w:before="102"/>
              <w:ind w:left="211" w:right="0"/>
              <w:jc w:val="center"/>
              <w:rPr>
                <w:rFonts w:ascii="Times New Roman" w:hAnsi="Times New Roman" w:cs="Times New Roman" w:eastAsia="Times New Roman" w:hint="default"/>
                <w:sz w:val="18"/>
                <w:szCs w:val="18"/>
              </w:rPr>
            </w:pPr>
            <w:r>
              <w:rPr>
                <w:rFonts w:ascii="Times New Roman"/>
                <w:sz w:val="18"/>
              </w:rPr>
              <w:t>607.29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61" w:right="0"/>
              <w:jc w:val="center"/>
              <w:rPr>
                <w:rFonts w:ascii="Times New Roman" w:hAnsi="Times New Roman" w:cs="Times New Roman" w:eastAsia="Times New Roman" w:hint="default"/>
                <w:sz w:val="18"/>
                <w:szCs w:val="18"/>
              </w:rPr>
            </w:pPr>
            <w:r>
              <w:rPr>
                <w:rFonts w:ascii="Times New Roman"/>
                <w:sz w:val="18"/>
              </w:rPr>
              <w:t>14.75%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631,391,3</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44.65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592,674</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,921.66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99.40%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92,797,68</w:t>
            </w:r>
          </w:p>
          <w:p>
            <w:pPr>
              <w:pStyle w:val="TableParagraph"/>
              <w:spacing w:line="240" w:lineRule="auto" w:before="102"/>
              <w:ind w:left="467" w:right="0"/>
              <w:jc w:val="left"/>
              <w:rPr>
                <w:rFonts w:ascii="Times New Roman" w:hAnsi="Times New Roman" w:cs="Times New Roman" w:eastAsia="Times New Roman" w:hint="default"/>
                <w:sz w:val="18"/>
                <w:szCs w:val="18"/>
              </w:rPr>
            </w:pPr>
            <w:r>
              <w:rPr>
                <w:rFonts w:ascii="Times New Roman"/>
                <w:sz w:val="18"/>
              </w:rPr>
              <w:t>1.87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15.66%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499,877,23</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9.79</w:t>
            </w: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4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3,555,46</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1.00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0.48%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3,555,46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1.00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3,555,4</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61.00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0.60%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3,555,461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5" w:right="0"/>
              <w:jc w:val="left"/>
              <w:rPr>
                <w:rFonts w:ascii="Times New Roman" w:hAnsi="Times New Roman" w:cs="Times New Roman" w:eastAsia="Times New Roman" w:hint="default"/>
                <w:sz w:val="18"/>
                <w:szCs w:val="18"/>
              </w:rPr>
            </w:pPr>
            <w:r>
              <w:rPr>
                <w:rFonts w:ascii="Times New Roman"/>
                <w:sz w:val="18"/>
              </w:rPr>
              <w:t>0.00</w:t>
            </w:r>
          </w:p>
        </w:tc>
      </w:tr>
      <w:tr>
        <w:trPr>
          <w:trHeight w:val="163" w:hRule="exact"/>
        </w:trPr>
        <w:tc>
          <w:tcPr>
            <w:tcW w:w="1612" w:type="dxa"/>
            <w:tcBorders>
              <w:top w:val="single" w:sz="4" w:space="0" w:color="000000"/>
              <w:left w:val="single" w:sz="4" w:space="0" w:color="000000"/>
              <w:bottom w:val="nil" w:sz="6" w:space="0" w:color="auto"/>
              <w:right w:val="single" w:sz="4" w:space="0" w:color="000000"/>
            </w:tcBorders>
            <w:shd w:val="clear" w:color="auto" w:fill="D4D4D4"/>
          </w:tcPr>
          <w:p>
            <w:pPr/>
          </w:p>
        </w:tc>
        <w:tc>
          <w:tcPr>
            <w:tcW w:w="774" w:type="dxa"/>
            <w:vMerge w:val="restart"/>
            <w:tcBorders>
              <w:top w:val="single" w:sz="4" w:space="0" w:color="000000"/>
              <w:left w:val="single" w:sz="9" w:space="0" w:color="D4D4D4"/>
              <w:right w:val="single" w:sz="4" w:space="0" w:color="000000"/>
            </w:tcBorders>
          </w:tcPr>
          <w:p>
            <w:pPr>
              <w:pStyle w:val="TableParagraph"/>
              <w:spacing w:line="240" w:lineRule="auto" w:before="93"/>
              <w:ind w:left="87" w:right="0"/>
              <w:jc w:val="center"/>
              <w:rPr>
                <w:rFonts w:ascii="Times New Roman" w:hAnsi="Times New Roman" w:cs="Times New Roman" w:eastAsia="Times New Roman" w:hint="default"/>
                <w:sz w:val="18"/>
                <w:szCs w:val="18"/>
              </w:rPr>
            </w:pPr>
            <w:r>
              <w:rPr>
                <w:rFonts w:ascii="Times New Roman"/>
                <w:sz w:val="18"/>
              </w:rPr>
              <w:t>744,220,</w:t>
            </w:r>
          </w:p>
          <w:p>
            <w:pPr>
              <w:pStyle w:val="TableParagraph"/>
              <w:spacing w:line="240" w:lineRule="auto" w:before="102"/>
              <w:ind w:left="220" w:right="0"/>
              <w:jc w:val="center"/>
              <w:rPr>
                <w:rFonts w:ascii="Times New Roman" w:hAnsi="Times New Roman" w:cs="Times New Roman" w:eastAsia="Times New Roman" w:hint="default"/>
                <w:sz w:val="18"/>
                <w:szCs w:val="18"/>
              </w:rPr>
            </w:pPr>
            <w:r>
              <w:rPr>
                <w:rFonts w:ascii="Times New Roman"/>
                <w:sz w:val="18"/>
              </w:rPr>
              <w:t>412.94</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3"/>
              <w:ind w:left="84" w:right="0"/>
              <w:jc w:val="center"/>
              <w:rPr>
                <w:rFonts w:ascii="Times New Roman" w:hAnsi="Times New Roman" w:cs="Times New Roman" w:eastAsia="Times New Roman" w:hint="default"/>
                <w:sz w:val="18"/>
                <w:szCs w:val="18"/>
              </w:rPr>
            </w:pPr>
            <w:r>
              <w:rPr>
                <w:rFonts w:ascii="Times New Roman"/>
                <w:sz w:val="18"/>
              </w:rPr>
              <w:t>112,829,</w:t>
            </w:r>
          </w:p>
          <w:p>
            <w:pPr>
              <w:pStyle w:val="TableParagraph"/>
              <w:spacing w:line="240" w:lineRule="auto" w:before="102"/>
              <w:ind w:left="211" w:right="0"/>
              <w:jc w:val="center"/>
              <w:rPr>
                <w:rFonts w:ascii="Times New Roman" w:hAnsi="Times New Roman" w:cs="Times New Roman" w:eastAsia="Times New Roman" w:hint="default"/>
                <w:sz w:val="18"/>
                <w:szCs w:val="18"/>
              </w:rPr>
            </w:pPr>
            <w:r>
              <w:rPr>
                <w:rFonts w:ascii="Times New Roman"/>
                <w:sz w:val="18"/>
              </w:rPr>
              <w:t>068.29</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15.16%</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631,391,3</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44.65</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596,230</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,382.66</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96,353,14</w:t>
            </w:r>
          </w:p>
          <w:p>
            <w:pPr>
              <w:pStyle w:val="TableParagraph"/>
              <w:spacing w:line="240" w:lineRule="auto" w:before="102"/>
              <w:ind w:left="467" w:right="0"/>
              <w:jc w:val="left"/>
              <w:rPr>
                <w:rFonts w:ascii="Times New Roman" w:hAnsi="Times New Roman" w:cs="Times New Roman" w:eastAsia="Times New Roman" w:hint="default"/>
                <w:sz w:val="18"/>
                <w:szCs w:val="18"/>
              </w:rPr>
            </w:pPr>
            <w:r>
              <w:rPr>
                <w:rFonts w:ascii="Times New Roman"/>
                <w:sz w:val="18"/>
              </w:rPr>
              <w:t>2.87</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16.16%</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499,877,23</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9.79</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4D4D4"/>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4D4D4"/>
          </w:tcPr>
          <w:p>
            <w:pPr/>
          </w:p>
        </w:tc>
        <w:tc>
          <w:tcPr>
            <w:tcW w:w="774" w:type="dxa"/>
            <w:vMerge/>
            <w:tcBorders>
              <w:left w:val="single" w:sz="9" w:space="0" w:color="D4D4D4"/>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4293" w:space="4534"/>
            <w:col w:w="2103"/>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4D4D4"/>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502,650,297.86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25,132,514.89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502,650,297.86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25,132,514.89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118,457,485.68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11,845,748.57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64,905,701.11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25,962,280.44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0"/>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24,021,341.56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19,217,073.25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17,570,677.95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14,056,542.36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13,059,447.78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13,059,447.78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740,664,951.94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109,273,607.29</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14.75%</w:t>
            </w:r>
          </w:p>
        </w:tc>
      </w:tr>
    </w:tbl>
    <w:p>
      <w:pPr>
        <w:pStyle w:val="BodyText"/>
        <w:spacing w:line="357" w:lineRule="auto" w:before="49"/>
        <w:ind w:right="8594"/>
        <w:jc w:val="left"/>
      </w:pPr>
      <w:r>
        <w:rPr/>
        <w:t>确定该组合依据的说明： 根据应收账款账龄确定组合</w:t>
      </w:r>
    </w:p>
    <w:p>
      <w:pPr>
        <w:pStyle w:val="BodyText"/>
        <w:spacing w:line="240" w:lineRule="auto" w:before="29"/>
        <w:ind w:right="982"/>
        <w:jc w:val="left"/>
      </w:pPr>
      <w:r>
        <w:rPr/>
        <w:t>组合中，采用余额百分比法计提坏账准备的应收账款：</w:t>
      </w:r>
    </w:p>
    <w:p>
      <w:pPr>
        <w:pStyle w:val="BodyText"/>
        <w:spacing w:line="338" w:lineRule="auto" w:before="117"/>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line="240" w:lineRule="auto" w:before="9"/>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1704"/>
        <w:gridCol w:w="1704"/>
        <w:gridCol w:w="1704"/>
        <w:gridCol w:w="1517"/>
        <w:gridCol w:w="1894"/>
      </w:tblGrid>
      <w:tr>
        <w:trPr>
          <w:trHeight w:val="348"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8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8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8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5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18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578"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658"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5"/>
              <w:jc w:val="left"/>
              <w:rPr>
                <w:rFonts w:ascii="宋体" w:hAnsi="宋体" w:cs="宋体" w:eastAsia="宋体" w:hint="default"/>
                <w:sz w:val="18"/>
                <w:szCs w:val="18"/>
              </w:rPr>
            </w:pPr>
            <w:r>
              <w:rPr>
                <w:rFonts w:ascii="宋体" w:hAnsi="宋体" w:cs="宋体" w:eastAsia="宋体" w:hint="default"/>
                <w:spacing w:val="7"/>
                <w:sz w:val="18"/>
                <w:szCs w:val="18"/>
              </w:rPr>
              <w:t>广州市合富投资有限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1,651,836.00</w:t>
            </w:r>
            <w:r>
              <w:rPr>
                <w:rFonts w:ascii="Times New Roman"/>
                <w:sz w:val="18"/>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1,651,836.00</w:t>
            </w:r>
            <w:r>
              <w:rPr>
                <w:rFonts w:ascii="Times New Roman"/>
                <w:sz w:val="18"/>
              </w:rPr>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c>
          <w:tcPr>
            <w:tcW w:w="18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7"/>
              <w:jc w:val="right"/>
              <w:rPr>
                <w:rFonts w:ascii="宋体" w:hAnsi="宋体" w:cs="宋体" w:eastAsia="宋体" w:hint="default"/>
                <w:sz w:val="18"/>
                <w:szCs w:val="18"/>
              </w:rPr>
            </w:pPr>
            <w:r>
              <w:rPr>
                <w:rFonts w:ascii="宋体" w:hAnsi="宋体" w:cs="宋体" w:eastAsia="宋体" w:hint="default"/>
                <w:sz w:val="18"/>
                <w:szCs w:val="18"/>
              </w:rPr>
              <w:t>已诉，预计无法收回</w:t>
            </w:r>
          </w:p>
        </w:tc>
      </w:tr>
      <w:tr>
        <w:trPr>
          <w:trHeight w:val="660"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5"/>
              <w:jc w:val="left"/>
              <w:rPr>
                <w:rFonts w:ascii="宋体" w:hAnsi="宋体" w:cs="宋体" w:eastAsia="宋体" w:hint="default"/>
                <w:sz w:val="18"/>
                <w:szCs w:val="18"/>
              </w:rPr>
            </w:pPr>
            <w:r>
              <w:rPr>
                <w:rFonts w:ascii="宋体" w:hAnsi="宋体" w:cs="宋体" w:eastAsia="宋体" w:hint="default"/>
                <w:spacing w:val="7"/>
                <w:sz w:val="18"/>
                <w:szCs w:val="18"/>
              </w:rPr>
              <w:t>惠州仲恺创业广场发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展有限公司</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1,903,625.00</w:t>
            </w:r>
            <w:r>
              <w:rPr>
                <w:rFonts w:ascii="Times New Roman"/>
                <w:sz w:val="18"/>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1,903,625.00</w:t>
            </w:r>
            <w:r>
              <w:rPr>
                <w:rFonts w:ascii="Times New Roman"/>
                <w:sz w:val="18"/>
              </w:rPr>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c>
          <w:tcPr>
            <w:tcW w:w="18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7"/>
              <w:jc w:val="right"/>
              <w:rPr>
                <w:rFonts w:ascii="宋体" w:hAnsi="宋体" w:cs="宋体" w:eastAsia="宋体" w:hint="default"/>
                <w:sz w:val="18"/>
                <w:szCs w:val="18"/>
              </w:rPr>
            </w:pPr>
            <w:r>
              <w:rPr>
                <w:rFonts w:ascii="宋体" w:hAnsi="宋体" w:cs="宋体" w:eastAsia="宋体" w:hint="default"/>
                <w:sz w:val="18"/>
                <w:szCs w:val="18"/>
              </w:rPr>
              <w:t>已诉，预计无法收回</w:t>
            </w:r>
          </w:p>
        </w:tc>
      </w:tr>
      <w:tr>
        <w:trPr>
          <w:trHeight w:val="348"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84"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3,555,461.00</w:t>
            </w:r>
            <w:r>
              <w:rPr>
                <w:rFonts w:ascii="Times New Roman"/>
                <w:sz w:val="18"/>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3,555,461.00</w:t>
            </w:r>
            <w:r>
              <w:rPr>
                <w:rFonts w:ascii="Times New Roman"/>
                <w:sz w:val="18"/>
              </w:rPr>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c>
          <w:tcPr>
            <w:tcW w:w="1894" w:type="dxa"/>
            <w:tcBorders>
              <w:top w:val="single" w:sz="6" w:space="0" w:color="000000"/>
              <w:left w:val="single" w:sz="6" w:space="0" w:color="000000"/>
              <w:bottom w:val="single" w:sz="6"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745" w:footer="982" w:top="1060" w:bottom="1180" w:left="980" w:right="0"/>
        </w:sectPr>
      </w:pPr>
    </w:p>
    <w:p>
      <w:pPr>
        <w:pStyle w:val="BodyText"/>
        <w:spacing w:line="240" w:lineRule="auto"/>
        <w:ind w:right="-12"/>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1"/>
        <w:ind w:right="-12"/>
        <w:jc w:val="left"/>
      </w:pPr>
      <w:r>
        <w:rPr/>
        <w:t>本期计提坏账准备金额</w:t>
      </w:r>
      <w:r>
        <w:rPr>
          <w:spacing w:val="-49"/>
        </w:rPr>
        <w:t> </w:t>
      </w:r>
      <w:r>
        <w:rPr>
          <w:rFonts w:ascii="Times New Roman" w:hAnsi="Times New Roman" w:cs="Times New Roman" w:eastAsia="Times New Roman" w:hint="default"/>
        </w:rPr>
        <w:t>16,852,048.61</w:t>
      </w:r>
      <w:r>
        <w:rPr>
          <w:rFonts w:ascii="Times New Roman" w:hAnsi="Times New Roman" w:cs="Times New Roman" w:eastAsia="Times New Roman" w:hint="default"/>
          <w:spacing w:val="-3"/>
        </w:rPr>
        <w:t> </w:t>
      </w:r>
      <w:r>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6139" w:space="2688"/>
            <w:col w:w="2103"/>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49"/>
        <w:ind w:right="982"/>
        <w:jc w:val="left"/>
      </w:pPr>
      <w:r>
        <w:rPr>
          <w:rFonts w:ascii="Times New Roman" w:hAnsi="Times New Roman" w:cs="Times New Roman" w:eastAsia="Times New Roman" w:hint="default"/>
        </w:rPr>
        <w:t>3)</w:t>
      </w:r>
      <w:r>
        <w:rPr/>
        <w:t>本期实际核销的应收账款情况</w:t>
      </w:r>
    </w:p>
    <w:p>
      <w:pPr>
        <w:pStyle w:val="BodyText"/>
        <w:spacing w:line="240" w:lineRule="auto" w:before="101"/>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376,123.19</w:t>
            </w:r>
          </w:p>
        </w:tc>
      </w:tr>
    </w:tbl>
    <w:p>
      <w:pPr>
        <w:pStyle w:val="BodyText"/>
        <w:spacing w:line="240" w:lineRule="auto" w:before="49"/>
        <w:ind w:right="982"/>
        <w:jc w:val="left"/>
      </w:pPr>
      <w:r>
        <w:rPr/>
        <w:t>其中重要的应收账款核销情况：</w:t>
      </w:r>
    </w:p>
    <w:p>
      <w:pPr>
        <w:pStyle w:val="BodyText"/>
        <w:spacing w:line="240" w:lineRule="auto" w:before="117"/>
        <w:ind w:left="0" w:right="1133"/>
        <w:jc w:val="right"/>
      </w:pPr>
      <w:r>
        <w:rPr/>
        <w:pict>
          <v:group style="position:absolute;margin-left:136.800003pt;margin-top:66.461723pt;width:79.2pt;height:27.9pt;mso-position-horizontal-relative:page;mso-position-vertical-relative:paragraph;z-index:-1051936" coordorigin="2736,1329" coordsize="1584,558">
            <v:group style="position:absolute;left:2747;top:1340;width:2;height:392" coordorigin="2747,1340" coordsize="2,392">
              <v:shape style="position:absolute;left:2747;top:1340;width:2;height:392" coordorigin="2747,1340" coordsize="0,392" path="m2747,1340l2747,1731e" filled="false" stroked="true" strokeweight="1.08pt" strokecolor="#ffffff">
                <v:path arrowok="t"/>
              </v:shape>
            </v:group>
            <v:group style="position:absolute;left:2736;top:1731;width:1584;height:156" coordorigin="2736,1731" coordsize="1584,156">
              <v:shape style="position:absolute;left:2736;top:1731;width:1584;height:156" coordorigin="2736,1731" coordsize="1584,156" path="m2736,1887l4320,1887,4320,1731,2736,1731,2736,1887xe" filled="true" fillcolor="#ffffff" stroked="false">
                <v:path arrowok="t"/>
                <v:fill type="solid"/>
              </v:shape>
            </v:group>
            <v:group style="position:absolute;left:2758;top:1340;width:1539;height:392" coordorigin="2758,1340" coordsize="1539,392">
              <v:shape style="position:absolute;left:2758;top:1340;width:1539;height:392" coordorigin="2758,1340" coordsize="1539,392" path="m2758,1731l4296,1731,4296,1340,2758,1340,2758,1731xe" filled="true" fillcolor="#ffffff" stroked="false">
                <v:path arrowok="t"/>
                <v:fill type="solid"/>
              </v:shape>
            </v:group>
            <w10:wrap type="none"/>
          </v:group>
        </w:pict>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2"/>
              <w:jc w:val="righ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西门子财务租赁有 限公司（陕西昊威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196" w:lineRule="exact"/>
              <w:ind w:left="23" w:right="0"/>
              <w:jc w:val="left"/>
              <w:rPr>
                <w:rFonts w:ascii="宋体" w:hAnsi="宋体" w:cs="宋体" w:eastAsia="宋体" w:hint="default"/>
                <w:sz w:val="18"/>
                <w:szCs w:val="18"/>
              </w:rPr>
            </w:pPr>
            <w:r>
              <w:rPr>
                <w:rFonts w:ascii="宋体" w:hAnsi="宋体" w:cs="宋体" w:eastAsia="宋体" w:hint="default"/>
                <w:sz w:val="18"/>
                <w:szCs w:val="18"/>
              </w:rPr>
              <w:t>货款</w:t>
            </w:r>
          </w:p>
          <w:p>
            <w:pPr>
              <w:pStyle w:val="TableParagraph"/>
              <w:spacing w:line="196" w:lineRule="exact"/>
              <w:ind w:left="-133" w:right="0"/>
              <w:jc w:val="left"/>
              <w:rPr>
                <w:rFonts w:ascii="宋体" w:hAnsi="宋体" w:cs="宋体" w:eastAsia="宋体" w:hint="default"/>
                <w:sz w:val="18"/>
                <w:szCs w:val="18"/>
              </w:rPr>
            </w:pPr>
            <w:r>
              <w:rPr>
                <w:rFonts w:ascii="宋体" w:hAnsi="宋体" w:cs="宋体" w:eastAsia="宋体"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143,200.00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0"/>
              <w:jc w:val="right"/>
              <w:rPr>
                <w:rFonts w:ascii="宋体" w:hAnsi="宋体" w:cs="宋体" w:eastAsia="宋体" w:hint="default"/>
                <w:sz w:val="18"/>
                <w:szCs w:val="18"/>
              </w:rPr>
            </w:pPr>
            <w:r>
              <w:rPr>
                <w:rFonts w:ascii="宋体" w:hAnsi="宋体" w:cs="宋体" w:eastAsia="宋体" w:hint="default"/>
                <w:sz w:val="18"/>
                <w:szCs w:val="18"/>
              </w:rPr>
              <w:t>账款没法收回</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天津鑫路桥建设工 程有限公司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13,725.00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0"/>
              <w:jc w:val="right"/>
              <w:rPr>
                <w:rFonts w:ascii="宋体" w:hAnsi="宋体" w:cs="宋体" w:eastAsia="宋体" w:hint="default"/>
                <w:sz w:val="18"/>
                <w:szCs w:val="18"/>
              </w:rPr>
            </w:pPr>
            <w:r>
              <w:rPr>
                <w:rFonts w:ascii="宋体" w:hAnsi="宋体" w:cs="宋体" w:eastAsia="宋体" w:hint="default"/>
                <w:sz w:val="18"/>
                <w:szCs w:val="18"/>
              </w:rPr>
              <w:t>账款没法收回</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淮矿现代物流有限 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196,198.19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0"/>
              <w:jc w:val="right"/>
              <w:rPr>
                <w:rFonts w:ascii="宋体" w:hAnsi="宋体" w:cs="宋体" w:eastAsia="宋体" w:hint="default"/>
                <w:sz w:val="18"/>
                <w:szCs w:val="18"/>
              </w:rPr>
            </w:pPr>
            <w:r>
              <w:rPr>
                <w:rFonts w:ascii="宋体" w:hAnsi="宋体" w:cs="宋体" w:eastAsia="宋体" w:hint="default"/>
                <w:sz w:val="18"/>
                <w:szCs w:val="18"/>
              </w:rPr>
              <w:t>账款没法收回</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both"/>
              <w:rPr>
                <w:rFonts w:ascii="宋体" w:hAnsi="宋体" w:cs="宋体" w:eastAsia="宋体" w:hint="default"/>
                <w:sz w:val="18"/>
                <w:szCs w:val="18"/>
              </w:rPr>
            </w:pPr>
            <w:r>
              <w:rPr>
                <w:rFonts w:ascii="宋体" w:hAnsi="宋体" w:cs="宋体" w:eastAsia="宋体" w:hint="default"/>
                <w:sz w:val="18"/>
                <w:szCs w:val="18"/>
              </w:rPr>
              <w:t>内蒙古泰升实业集 团有限公司鄂托克 旗泰源煤矿</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账款没法收回</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山西天正电力设备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账款没法收回</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376,123.19</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48" w:lineRule="auto" w:before="49"/>
        <w:ind w:right="6824"/>
        <w:jc w:val="left"/>
      </w:pPr>
      <w:r>
        <w:rPr/>
        <w:t>应收账款核销说明： </w:t>
      </w:r>
      <w:r>
        <w:rPr>
          <w:rFonts w:ascii="Times New Roman" w:hAnsi="Times New Roman" w:cs="Times New Roman" w:eastAsia="Times New Roman" w:hint="default"/>
        </w:rPr>
        <w:t>4)</w:t>
      </w:r>
      <w:r>
        <w:rPr/>
        <w:t>按欠款方归集的期末余额前五名的应收账款情况 公司是否需要遵守特殊行业的披露要求</w:t>
      </w:r>
    </w:p>
    <w:p>
      <w:pPr>
        <w:pStyle w:val="BodyText"/>
        <w:spacing w:line="240" w:lineRule="auto" w:before="34"/>
        <w:ind w:right="982"/>
        <w:jc w:val="left"/>
      </w:pPr>
      <w:r>
        <w:rPr/>
        <w:t>否</w:t>
      </w:r>
    </w:p>
    <w:p>
      <w:pPr>
        <w:spacing w:line="240" w:lineRule="auto" w:before="4"/>
        <w:rPr>
          <w:rFonts w:ascii="宋体" w:hAnsi="宋体" w:cs="宋体" w:eastAsia="宋体" w:hint="default"/>
          <w:sz w:val="8"/>
          <w:szCs w:val="8"/>
        </w:rPr>
      </w:pPr>
    </w:p>
    <w:tbl>
      <w:tblPr>
        <w:tblW w:w="0" w:type="auto"/>
        <w:jc w:val="left"/>
        <w:tblInd w:w="143" w:type="dxa"/>
        <w:tblLayout w:type="fixed"/>
        <w:tblCellMar>
          <w:top w:w="0" w:type="dxa"/>
          <w:left w:w="0" w:type="dxa"/>
          <w:bottom w:w="0" w:type="dxa"/>
          <w:right w:w="0" w:type="dxa"/>
        </w:tblCellMar>
        <w:tblLook w:val="01E0"/>
      </w:tblPr>
      <w:tblGrid>
        <w:gridCol w:w="1570"/>
        <w:gridCol w:w="1843"/>
        <w:gridCol w:w="2551"/>
        <w:gridCol w:w="1702"/>
      </w:tblGrid>
      <w:tr>
        <w:trPr>
          <w:trHeight w:val="353" w:hRule="exact"/>
        </w:trPr>
        <w:tc>
          <w:tcPr>
            <w:tcW w:w="1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55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5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2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占应收账款余额的比例</w:t>
            </w:r>
            <w:r>
              <w:rPr>
                <w:rFonts w:ascii="Times New Roman" w:hAnsi="Times New Roman" w:cs="Times New Roman" w:eastAsia="Times New Roman" w:hint="default"/>
                <w:sz w:val="18"/>
                <w:szCs w:val="18"/>
              </w:rPr>
              <w:t>(%)</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48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0" w:hRule="exact"/>
        </w:trPr>
        <w:tc>
          <w:tcPr>
            <w:tcW w:w="1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42,558,799.15</w:t>
            </w:r>
          </w:p>
        </w:tc>
        <w:tc>
          <w:tcPr>
            <w:tcW w:w="25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5.72</w:t>
            </w:r>
            <w:r>
              <w:rPr>
                <w:rFonts w:ascii="Times New Roman"/>
                <w:sz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2,127,939.96</w:t>
            </w:r>
            <w:r>
              <w:rPr>
                <w:rFonts w:ascii="Times New Roman"/>
                <w:sz w:val="18"/>
              </w:rPr>
            </w:r>
          </w:p>
        </w:tc>
      </w:tr>
      <w:tr>
        <w:trPr>
          <w:trHeight w:val="353" w:hRule="exact"/>
        </w:trPr>
        <w:tc>
          <w:tcPr>
            <w:tcW w:w="1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19,185,760.00</w:t>
            </w:r>
          </w:p>
        </w:tc>
        <w:tc>
          <w:tcPr>
            <w:tcW w:w="25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2.58</w:t>
            </w:r>
            <w:r>
              <w:rPr>
                <w:rFonts w:ascii="Times New Roman"/>
                <w:sz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2,034,256.00</w:t>
            </w:r>
            <w:r>
              <w:rPr>
                <w:rFonts w:ascii="Times New Roman"/>
                <w:sz w:val="18"/>
              </w:rPr>
            </w:r>
          </w:p>
        </w:tc>
      </w:tr>
      <w:tr>
        <w:trPr>
          <w:trHeight w:val="353" w:hRule="exact"/>
        </w:trPr>
        <w:tc>
          <w:tcPr>
            <w:tcW w:w="1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14,353,700.00</w:t>
            </w:r>
          </w:p>
        </w:tc>
        <w:tc>
          <w:tcPr>
            <w:tcW w:w="25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1.93</w:t>
            </w:r>
            <w:r>
              <w:rPr>
                <w:rFonts w:ascii="Times New Roman"/>
                <w:sz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717,685.00</w:t>
            </w:r>
          </w:p>
        </w:tc>
      </w:tr>
      <w:tr>
        <w:trPr>
          <w:trHeight w:val="350" w:hRule="exact"/>
        </w:trPr>
        <w:tc>
          <w:tcPr>
            <w:tcW w:w="1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12,148,500.83</w:t>
            </w:r>
          </w:p>
        </w:tc>
        <w:tc>
          <w:tcPr>
            <w:tcW w:w="25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1.63</w:t>
            </w:r>
            <w:r>
              <w:rPr>
                <w:rFonts w:ascii="Times New Roman"/>
                <w:sz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931,635.55</w:t>
            </w:r>
          </w:p>
        </w:tc>
      </w:tr>
      <w:tr>
        <w:trPr>
          <w:trHeight w:val="353" w:hRule="exact"/>
        </w:trPr>
        <w:tc>
          <w:tcPr>
            <w:tcW w:w="1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11,517,430.00</w:t>
            </w:r>
          </w:p>
        </w:tc>
        <w:tc>
          <w:tcPr>
            <w:tcW w:w="25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1.55</w:t>
            </w:r>
            <w:r>
              <w:rPr>
                <w:rFonts w:ascii="Times New Roman"/>
                <w:sz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575,871.50</w:t>
            </w:r>
          </w:p>
        </w:tc>
      </w:tr>
      <w:tr>
        <w:trPr>
          <w:trHeight w:val="353" w:hRule="exact"/>
        </w:trPr>
        <w:tc>
          <w:tcPr>
            <w:tcW w:w="1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99,764,189.98</w:t>
            </w:r>
          </w:p>
        </w:tc>
        <w:tc>
          <w:tcPr>
            <w:tcW w:w="25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13.41</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6,387,388.01</w:t>
            </w:r>
            <w:r>
              <w:rPr>
                <w:rFonts w:ascii="Times New Roman"/>
                <w:sz w:val="18"/>
              </w:rPr>
            </w:r>
          </w:p>
        </w:tc>
      </w:tr>
    </w:tbl>
    <w:p>
      <w:pPr>
        <w:pStyle w:val="BodyText"/>
        <w:spacing w:line="240" w:lineRule="auto" w:before="49"/>
        <w:ind w:right="982"/>
        <w:jc w:val="left"/>
      </w:pPr>
      <w:r>
        <w:rPr>
          <w:rFonts w:ascii="Times New Roman" w:hAnsi="Times New Roman" w:cs="Times New Roman" w:eastAsia="Times New Roman" w:hint="default"/>
        </w:rPr>
        <w:t>5)</w:t>
      </w:r>
      <w:r>
        <w:rPr/>
        <w:t>因金融资产转移而终止确认的应收账款</w:t>
      </w:r>
    </w:p>
    <w:p>
      <w:pPr>
        <w:pStyle w:val="BodyText"/>
        <w:spacing w:line="340" w:lineRule="auto" w:before="101"/>
        <w:ind w:right="6824"/>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w:t>
      </w:r>
    </w:p>
    <w:p>
      <w:pPr>
        <w:pStyle w:val="BodyText"/>
        <w:spacing w:line="314" w:lineRule="auto" w:before="41"/>
        <w:ind w:right="1034" w:firstLine="288"/>
        <w:jc w:val="left"/>
      </w:pPr>
      <w:r>
        <w:rPr/>
        <w:t>根据子公司伟创自动化公司与中国银行股份有限公司深圳福田支行（以下简称中行深圳福田支行）签订的《授信额度协 议》，伟创自动化公司与中行深圳福田支行签署了该《授信额度协议》项下的《应收账款质押合同》，约定在授信期间内， </w:t>
      </w:r>
      <w:r>
        <w:rPr>
          <w:spacing w:val="-2"/>
        </w:rPr>
        <w:t>将伟创自动化公司对外销售货物及提供服务所产生的应收账款（万科集团及其关联公司的应收账款除外）质押给中行深圳福</w:t>
      </w:r>
      <w:r>
        <w:rPr>
          <w:spacing w:val="-64"/>
        </w:rPr>
        <w:t> </w:t>
      </w:r>
      <w:r>
        <w:rPr>
          <w:spacing w:val="-64"/>
        </w:rPr>
      </w:r>
      <w:r>
        <w:rPr/>
        <w:t>田支行，截止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日，伟创自动化公司质押给中行深圳福田支行的应收账款余额为</w:t>
      </w:r>
      <w:r>
        <w:rPr>
          <w:rFonts w:ascii="Times New Roman" w:hAnsi="Times New Roman" w:cs="Times New Roman" w:eastAsia="Times New Roman" w:hint="default"/>
        </w:rPr>
        <w:t>452,777,293.99</w:t>
      </w:r>
      <w:r>
        <w:rPr/>
        <w:t>元。具体该质押 项下的融资情况详见本财务报告第十一节十四、承诺及或有事项。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6"/>
          <w:szCs w:val="16"/>
        </w:rPr>
      </w:pPr>
    </w:p>
    <w:p>
      <w:pPr>
        <w:pStyle w:val="Heading3"/>
        <w:spacing w:line="240" w:lineRule="auto"/>
        <w:ind w:right="982"/>
        <w:jc w:val="left"/>
        <w:rPr>
          <w:b w:val="0"/>
          <w:bCs w:val="0"/>
        </w:rPr>
      </w:pPr>
      <w:bookmarkStart w:name="5、预付款项" w:id="231"/>
      <w:bookmarkEnd w:id="231"/>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bookmarkStart w:name="（1）预付款项按账龄列示" w:id="232"/>
      <w:bookmarkEnd w:id="232"/>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1"/>
        <w:gridCol w:w="1927"/>
        <w:gridCol w:w="1913"/>
        <w:gridCol w:w="1915"/>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4D4D4"/>
          </w:tcPr>
          <w:p>
            <w:pPr/>
          </w:p>
        </w:tc>
        <w:tc>
          <w:tcPr>
            <w:tcW w:w="384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0" w:type="dxa"/>
            <w:gridSpan w:val="2"/>
            <w:vMerge/>
            <w:tcBorders>
              <w:left w:val="single" w:sz="4" w:space="0" w:color="000000"/>
              <w:bottom w:val="single" w:sz="4" w:space="0" w:color="000000"/>
              <w:right w:val="single" w:sz="4" w:space="0" w:color="000000"/>
            </w:tcBorders>
            <w:shd w:val="clear" w:color="auto" w:fill="D4D4D4"/>
          </w:tcPr>
          <w:p>
            <w:pPr/>
          </w:p>
        </w:tc>
        <w:tc>
          <w:tcPr>
            <w:tcW w:w="3830" w:type="dxa"/>
            <w:gridSpan w:val="2"/>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4D4D4"/>
          </w:tcPr>
          <w:p>
            <w:pPr/>
          </w:p>
        </w:tc>
        <w:tc>
          <w:tcPr>
            <w:tcW w:w="192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4" w:hRule="exact"/>
        </w:trPr>
        <w:tc>
          <w:tcPr>
            <w:tcW w:w="1901" w:type="dxa"/>
            <w:tcBorders>
              <w:top w:val="nil" w:sz="6" w:space="0" w:color="auto"/>
              <w:left w:val="single" w:sz="4" w:space="0" w:color="000000"/>
              <w:bottom w:val="single" w:sz="4" w:space="0" w:color="000000"/>
              <w:right w:val="single" w:sz="4" w:space="0" w:color="000000"/>
            </w:tcBorders>
            <w:shd w:val="clear" w:color="auto" w:fill="D4D4D4"/>
          </w:tcPr>
          <w:p>
            <w:pPr/>
          </w:p>
        </w:tc>
        <w:tc>
          <w:tcPr>
            <w:tcW w:w="1927"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33,127,595.93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80.70%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22,779,695.55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86.92%</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5,482,552.77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13.35%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248,092.26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0.95%</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12,444.63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195,362.51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0.75%</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2,429,884.32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2,982,173.61</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11.38%</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915"/>
        <w:gridCol w:w="1915"/>
        <w:gridCol w:w="1913"/>
        <w:gridCol w:w="1915"/>
        <w:gridCol w:w="1915"/>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41,052,477.65</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26,205,323.93</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2"/>
        <w:jc w:val="left"/>
      </w:pPr>
      <w:r>
        <w:rPr/>
        <w:t>账龄超过</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
        <w:rPr>
          <w:rFonts w:ascii="宋体" w:hAnsi="宋体" w:cs="宋体" w:eastAsia="宋体" w:hint="default"/>
          <w:sz w:val="7"/>
          <w:szCs w:val="7"/>
        </w:rPr>
      </w:pPr>
    </w:p>
    <w:tbl>
      <w:tblPr>
        <w:tblW w:w="0" w:type="auto"/>
        <w:jc w:val="left"/>
        <w:tblInd w:w="143" w:type="dxa"/>
        <w:tblLayout w:type="fixed"/>
        <w:tblCellMar>
          <w:top w:w="0" w:type="dxa"/>
          <w:left w:w="0" w:type="dxa"/>
          <w:bottom w:w="0" w:type="dxa"/>
          <w:right w:w="0" w:type="dxa"/>
        </w:tblCellMar>
        <w:tblLook w:val="01E0"/>
      </w:tblPr>
      <w:tblGrid>
        <w:gridCol w:w="3130"/>
        <w:gridCol w:w="2410"/>
        <w:gridCol w:w="2126"/>
      </w:tblGrid>
      <w:tr>
        <w:trPr>
          <w:trHeight w:val="353" w:hRule="exact"/>
        </w:trPr>
        <w:tc>
          <w:tcPr>
            <w:tcW w:w="31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50" w:hRule="exact"/>
        </w:trPr>
        <w:tc>
          <w:tcPr>
            <w:tcW w:w="31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铜山经济开发区财政局</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2,249,092.00</w:t>
            </w:r>
            <w:r>
              <w:rPr>
                <w:rFonts w:ascii="Times New Roman"/>
                <w:sz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预付土地款，尚未结算</w:t>
            </w:r>
          </w:p>
        </w:tc>
      </w:tr>
      <w:tr>
        <w:trPr>
          <w:trHeight w:val="353" w:hRule="exact"/>
        </w:trPr>
        <w:tc>
          <w:tcPr>
            <w:tcW w:w="31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深圳市引升自动化设备有限公司</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1,125,000.00</w:t>
            </w:r>
            <w:r>
              <w:rPr>
                <w:rFonts w:ascii="Times New Roman"/>
                <w:sz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预付货款，尚未结算</w:t>
            </w:r>
          </w:p>
        </w:tc>
      </w:tr>
      <w:tr>
        <w:trPr>
          <w:trHeight w:val="353" w:hRule="exact"/>
        </w:trPr>
        <w:tc>
          <w:tcPr>
            <w:tcW w:w="31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苏州富士德物流设备有限公司</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849,000.00</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预付货款，尚未结算</w:t>
            </w:r>
          </w:p>
        </w:tc>
      </w:tr>
      <w:tr>
        <w:trPr>
          <w:trHeight w:val="350" w:hRule="exact"/>
        </w:trPr>
        <w:tc>
          <w:tcPr>
            <w:tcW w:w="31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上海诺力智能科技有限公司</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780,395.00</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预付货款，尚未结算</w:t>
            </w:r>
          </w:p>
        </w:tc>
      </w:tr>
      <w:tr>
        <w:trPr>
          <w:trHeight w:val="353" w:hRule="exact"/>
        </w:trPr>
        <w:tc>
          <w:tcPr>
            <w:tcW w:w="31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5,003,487.00</w:t>
            </w:r>
            <w:r>
              <w:rPr>
                <w:rFonts w:ascii="Times New Roman"/>
                <w:sz w:val="18"/>
              </w:rPr>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预付货款，尚未结算</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982"/>
        <w:jc w:val="left"/>
        <w:rPr>
          <w:b w:val="0"/>
          <w:bCs w:val="0"/>
        </w:rPr>
      </w:pPr>
      <w:bookmarkStart w:name="（2）按预付对象归集的期末余额前五名的预付款情况" w:id="233"/>
      <w:bookmarkEnd w:id="233"/>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3" w:type="dxa"/>
        <w:tblLayout w:type="fixed"/>
        <w:tblCellMar>
          <w:top w:w="0" w:type="dxa"/>
          <w:left w:w="0" w:type="dxa"/>
          <w:bottom w:w="0" w:type="dxa"/>
          <w:right w:w="0" w:type="dxa"/>
        </w:tblCellMar>
        <w:tblLook w:val="01E0"/>
      </w:tblPr>
      <w:tblGrid>
        <w:gridCol w:w="2988"/>
        <w:gridCol w:w="2268"/>
        <w:gridCol w:w="2551"/>
      </w:tblGrid>
      <w:tr>
        <w:trPr>
          <w:trHeight w:val="353" w:hRule="exact"/>
        </w:trPr>
        <w:tc>
          <w:tcPr>
            <w:tcW w:w="2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占预付款项余额的比例</w:t>
            </w:r>
            <w:r>
              <w:rPr>
                <w:rFonts w:ascii="Times New Roman" w:hAnsi="Times New Roman" w:cs="Times New Roman" w:eastAsia="Times New Roman" w:hint="default"/>
                <w:sz w:val="18"/>
                <w:szCs w:val="18"/>
              </w:rPr>
              <w:t>(%)</w:t>
            </w:r>
          </w:p>
        </w:tc>
      </w:tr>
      <w:tr>
        <w:trPr>
          <w:trHeight w:val="350" w:hRule="exact"/>
        </w:trPr>
        <w:tc>
          <w:tcPr>
            <w:tcW w:w="2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日照宝华新材料有限公司</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3,114,676.31</w:t>
            </w:r>
            <w:r>
              <w:rPr>
                <w:rFonts w:ascii="Times New Roman"/>
                <w:sz w:val="18"/>
              </w:rPr>
            </w:r>
          </w:p>
        </w:tc>
        <w:tc>
          <w:tcPr>
            <w:tcW w:w="25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7.59</w:t>
            </w:r>
            <w:r>
              <w:rPr>
                <w:rFonts w:ascii="Times New Roman"/>
                <w:sz w:val="18"/>
              </w:rPr>
            </w:r>
          </w:p>
        </w:tc>
      </w:tr>
      <w:tr>
        <w:trPr>
          <w:trHeight w:val="353" w:hRule="exact"/>
        </w:trPr>
        <w:tc>
          <w:tcPr>
            <w:tcW w:w="2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昆明安特钢结构技术有限公司</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2,738,096.90</w:t>
            </w:r>
            <w:r>
              <w:rPr>
                <w:rFonts w:ascii="Times New Roman"/>
                <w:sz w:val="18"/>
              </w:rPr>
            </w:r>
          </w:p>
        </w:tc>
        <w:tc>
          <w:tcPr>
            <w:tcW w:w="25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6.67</w:t>
            </w:r>
            <w:r>
              <w:rPr>
                <w:rFonts w:ascii="Times New Roman"/>
                <w:sz w:val="18"/>
              </w:rPr>
            </w:r>
          </w:p>
        </w:tc>
      </w:tr>
      <w:tr>
        <w:trPr>
          <w:trHeight w:val="353" w:hRule="exact"/>
        </w:trPr>
        <w:tc>
          <w:tcPr>
            <w:tcW w:w="2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铜山经济开发区财政局</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2,249,092.00</w:t>
            </w:r>
            <w:r>
              <w:rPr>
                <w:rFonts w:ascii="Times New Roman"/>
                <w:sz w:val="18"/>
              </w:rPr>
            </w:r>
          </w:p>
        </w:tc>
        <w:tc>
          <w:tcPr>
            <w:tcW w:w="25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5.48</w:t>
            </w:r>
            <w:r>
              <w:rPr>
                <w:rFonts w:ascii="Times New Roman"/>
                <w:sz w:val="18"/>
              </w:rPr>
            </w:r>
          </w:p>
        </w:tc>
      </w:tr>
      <w:tr>
        <w:trPr>
          <w:trHeight w:val="350" w:hRule="exact"/>
        </w:trPr>
        <w:tc>
          <w:tcPr>
            <w:tcW w:w="2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日照型钢有限公司</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1,671,046.10</w:t>
            </w:r>
            <w:r>
              <w:rPr>
                <w:rFonts w:ascii="Times New Roman"/>
                <w:sz w:val="18"/>
              </w:rPr>
            </w:r>
          </w:p>
        </w:tc>
        <w:tc>
          <w:tcPr>
            <w:tcW w:w="25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4.07</w:t>
            </w:r>
            <w:r>
              <w:rPr>
                <w:rFonts w:ascii="Times New Roman"/>
                <w:sz w:val="18"/>
              </w:rPr>
            </w:r>
          </w:p>
        </w:tc>
      </w:tr>
      <w:tr>
        <w:trPr>
          <w:trHeight w:val="353" w:hRule="exact"/>
        </w:trPr>
        <w:tc>
          <w:tcPr>
            <w:tcW w:w="2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无锡华精钢带有限公司</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1,500,544.27</w:t>
            </w:r>
            <w:r>
              <w:rPr>
                <w:rFonts w:ascii="Times New Roman"/>
                <w:sz w:val="18"/>
              </w:rPr>
            </w:r>
          </w:p>
        </w:tc>
        <w:tc>
          <w:tcPr>
            <w:tcW w:w="25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3.66</w:t>
            </w:r>
            <w:r>
              <w:rPr>
                <w:rFonts w:ascii="Times New Roman"/>
                <w:sz w:val="18"/>
              </w:rPr>
            </w:r>
          </w:p>
        </w:tc>
      </w:tr>
      <w:tr>
        <w:trPr>
          <w:trHeight w:val="353" w:hRule="exact"/>
        </w:trPr>
        <w:tc>
          <w:tcPr>
            <w:tcW w:w="2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11,273,455.58</w:t>
            </w:r>
          </w:p>
        </w:tc>
        <w:tc>
          <w:tcPr>
            <w:tcW w:w="25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27.47</w:t>
            </w:r>
          </w:p>
        </w:tc>
      </w:tr>
    </w:tbl>
    <w:p>
      <w:pPr>
        <w:spacing w:line="240" w:lineRule="auto" w:before="2"/>
        <w:rPr>
          <w:rFonts w:ascii="宋体" w:hAnsi="宋体" w:cs="宋体" w:eastAsia="宋体" w:hint="default"/>
          <w:b/>
          <w:bCs/>
          <w:sz w:val="24"/>
          <w:szCs w:val="24"/>
        </w:rPr>
      </w:pPr>
    </w:p>
    <w:p>
      <w:pPr>
        <w:pStyle w:val="BodyText"/>
        <w:spacing w:line="240" w:lineRule="auto"/>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bookmarkStart w:name="6、其他应收款" w:id="234"/>
      <w:bookmarkEnd w:id="234"/>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45,796,303.04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29,436,843.49</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45,796,303.04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29,436,843.49</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bookmarkStart w:name="（1）应收利息" w:id="235"/>
      <w:bookmarkEnd w:id="235"/>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982"/>
        <w:jc w:val="left"/>
      </w:pPr>
      <w:r>
        <w:rPr>
          <w:rFonts w:ascii="Times New Roman" w:hAnsi="Times New Roman" w:cs="Times New Roman" w:eastAsia="Times New Roman" w:hint="default"/>
        </w:rPr>
        <w:t>1)</w:t>
      </w:r>
      <w:r>
        <w:rPr/>
        <w:t>应收利息分类</w:t>
      </w:r>
    </w:p>
    <w:p>
      <w:pPr>
        <w:pStyle w:val="BodyText"/>
        <w:spacing w:line="240" w:lineRule="auto" w:before="103"/>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融资租赁利息</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2"/>
        <w:jc w:val="left"/>
      </w:pPr>
      <w:r>
        <w:rPr>
          <w:rFonts w:ascii="Times New Roman" w:hAnsi="Times New Roman" w:cs="Times New Roman" w:eastAsia="Times New Roman" w:hint="default"/>
        </w:rPr>
        <w:t>2)</w:t>
      </w:r>
      <w:r>
        <w:rPr/>
        <w:t>重要逾期利息</w:t>
      </w:r>
    </w:p>
    <w:p>
      <w:pPr>
        <w:pStyle w:val="BodyText"/>
        <w:spacing w:line="240" w:lineRule="auto" w:before="103"/>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3"/>
        <w:gridCol w:w="1915"/>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after="0" w:line="314" w:lineRule="auto"/>
        <w:jc w:val="left"/>
        <w:rPr>
          <w:rFonts w:ascii="宋体" w:hAnsi="宋体" w:cs="宋体" w:eastAsia="宋体" w:hint="default"/>
          <w:sz w:val="18"/>
          <w:szCs w:val="18"/>
        </w:rPr>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bookmarkStart w:name="（2）应收股利" w:id="236"/>
      <w:bookmarkEnd w:id="236"/>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982"/>
        <w:jc w:val="left"/>
      </w:pPr>
      <w:r>
        <w:rPr>
          <w:rFonts w:ascii="Times New Roman" w:hAnsi="Times New Roman" w:cs="Times New Roman" w:eastAsia="Times New Roman" w:hint="default"/>
        </w:rPr>
        <w:t>1)</w:t>
      </w:r>
      <w:r>
        <w:rPr/>
        <w:t>应收股利</w:t>
      </w:r>
    </w:p>
    <w:p>
      <w:pPr>
        <w:pStyle w:val="BodyText"/>
        <w:spacing w:line="240" w:lineRule="auto" w:before="101"/>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982"/>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1"/>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3"/>
        <w:gridCol w:w="1915"/>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bookmarkStart w:name="（3）其他应收款" w:id="237"/>
      <w:bookmarkEnd w:id="237"/>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982"/>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4"/>
        <w:gridCol w:w="763"/>
        <w:gridCol w:w="761"/>
        <w:gridCol w:w="763"/>
        <w:gridCol w:w="763"/>
        <w:gridCol w:w="787"/>
        <w:gridCol w:w="655"/>
        <w:gridCol w:w="761"/>
        <w:gridCol w:w="814"/>
        <w:gridCol w:w="934"/>
        <w:gridCol w:w="931"/>
      </w:tblGrid>
      <w:tr>
        <w:trPr>
          <w:trHeight w:val="396" w:hRule="exact"/>
        </w:trPr>
        <w:tc>
          <w:tcPr>
            <w:tcW w:w="1634" w:type="dxa"/>
            <w:vMerge w:val="restart"/>
            <w:tcBorders>
              <w:top w:val="single" w:sz="4" w:space="0" w:color="000000"/>
              <w:left w:val="single" w:sz="4" w:space="0" w:color="000000"/>
              <w:right w:val="single" w:sz="4" w:space="0" w:color="000000"/>
            </w:tcBorders>
            <w:shd w:val="clear" w:color="auto" w:fill="D4D4D4"/>
          </w:tcPr>
          <w:p>
            <w:pPr/>
          </w:p>
        </w:tc>
        <w:tc>
          <w:tcPr>
            <w:tcW w:w="383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4" w:type="dxa"/>
            <w:vMerge/>
            <w:tcBorders>
              <w:left w:val="single" w:sz="4" w:space="0" w:color="000000"/>
              <w:bottom w:val="nil" w:sz="6" w:space="0" w:color="auto"/>
              <w:right w:val="single" w:sz="4" w:space="0" w:color="000000"/>
            </w:tcBorders>
            <w:shd w:val="clear" w:color="auto" w:fill="D4D4D4"/>
          </w:tcPr>
          <w:p>
            <w:pPr/>
          </w:p>
        </w:tc>
        <w:tc>
          <w:tcPr>
            <w:tcW w:w="152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4D4D4"/>
          </w:tcPr>
          <w:p>
            <w:pPr/>
          </w:p>
        </w:tc>
        <w:tc>
          <w:tcPr>
            <w:tcW w:w="14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
        </w:tc>
      </w:tr>
      <w:tr>
        <w:trPr>
          <w:trHeight w:val="242" w:hRule="exact"/>
        </w:trPr>
        <w:tc>
          <w:tcPr>
            <w:tcW w:w="163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24" w:type="dxa"/>
            <w:gridSpan w:val="2"/>
            <w:vMerge/>
            <w:tcBorders>
              <w:left w:val="single" w:sz="4" w:space="0" w:color="000000"/>
              <w:bottom w:val="single" w:sz="4" w:space="0" w:color="000000"/>
              <w:right w:val="single" w:sz="4" w:space="0" w:color="000000"/>
            </w:tcBorders>
            <w:shd w:val="clear" w:color="auto" w:fill="D4D4D4"/>
          </w:tcPr>
          <w:p>
            <w:pPr/>
          </w:p>
        </w:tc>
        <w:tc>
          <w:tcPr>
            <w:tcW w:w="1526" w:type="dxa"/>
            <w:gridSpan w:val="2"/>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1416" w:type="dxa"/>
            <w:gridSpan w:val="2"/>
            <w:vMerge/>
            <w:tcBorders>
              <w:left w:val="single" w:sz="4" w:space="0" w:color="000000"/>
              <w:bottom w:val="single" w:sz="4" w:space="0" w:color="000000"/>
              <w:right w:val="single" w:sz="4" w:space="0" w:color="000000"/>
            </w:tcBorders>
            <w:shd w:val="clear" w:color="auto" w:fill="D4D4D4"/>
          </w:tcPr>
          <w:p>
            <w:pPr/>
          </w:p>
        </w:tc>
        <w:tc>
          <w:tcPr>
            <w:tcW w:w="1747" w:type="dxa"/>
            <w:gridSpan w:val="2"/>
            <w:vMerge/>
            <w:tcBorders>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158" w:hRule="exact"/>
        </w:trPr>
        <w:tc>
          <w:tcPr>
            <w:tcW w:w="1634" w:type="dxa"/>
            <w:vMerge/>
            <w:tcBorders>
              <w:left w:val="single" w:sz="4" w:space="0" w:color="000000"/>
              <w:bottom w:val="single" w:sz="4" w:space="0" w:color="FFFFFF"/>
              <w:right w:val="single" w:sz="4" w:space="0" w:color="000000"/>
            </w:tcBorders>
            <w:shd w:val="clear" w:color="auto" w:fill="D4D4D4"/>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87"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4D4D4"/>
          </w:tcPr>
          <w:p>
            <w:pPr/>
          </w:p>
        </w:tc>
        <w:tc>
          <w:tcPr>
            <w:tcW w:w="761"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34" w:type="dxa"/>
            <w:vMerge w:val="restart"/>
            <w:tcBorders>
              <w:top w:val="single" w:sz="4" w:space="0" w:color="FFFFFF"/>
              <w:left w:val="single" w:sz="4" w:space="0" w:color="000000"/>
              <w:right w:val="single" w:sz="4" w:space="0" w:color="000000"/>
            </w:tcBorders>
            <w:shd w:val="clear" w:color="auto" w:fill="D4D4D4"/>
          </w:tcPr>
          <w:p>
            <w:pPr/>
          </w:p>
        </w:tc>
        <w:tc>
          <w:tcPr>
            <w:tcW w:w="763"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65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634" w:type="dxa"/>
            <w:vMerge/>
            <w:tcBorders>
              <w:left w:val="single" w:sz="4" w:space="0" w:color="000000"/>
              <w:right w:val="single" w:sz="4" w:space="0" w:color="000000"/>
            </w:tcBorders>
            <w:shd w:val="clear" w:color="auto" w:fill="D4D4D4"/>
          </w:tcPr>
          <w:p>
            <w:pPr/>
          </w:p>
        </w:tc>
        <w:tc>
          <w:tcPr>
            <w:tcW w:w="763"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right w:val="single" w:sz="4" w:space="0" w:color="000000"/>
            </w:tcBorders>
            <w:shd w:val="clear" w:color="auto" w:fill="D4D4D4"/>
          </w:tcPr>
          <w:p>
            <w:pPr/>
          </w:p>
        </w:tc>
        <w:tc>
          <w:tcPr>
            <w:tcW w:w="787" w:type="dxa"/>
            <w:vMerge w:val="restart"/>
            <w:tcBorders>
              <w:top w:val="nil" w:sz="6" w:space="0" w:color="auto"/>
              <w:left w:val="single" w:sz="4" w:space="0" w:color="000000"/>
              <w:right w:val="single" w:sz="4" w:space="0" w:color="000000"/>
            </w:tcBorders>
            <w:shd w:val="clear" w:color="auto" w:fill="D4D4D4"/>
          </w:tcPr>
          <w:p>
            <w:pPr/>
          </w:p>
        </w:tc>
        <w:tc>
          <w:tcPr>
            <w:tcW w:w="655"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c>
          <w:tcPr>
            <w:tcW w:w="934" w:type="dxa"/>
            <w:vMerge/>
            <w:tcBorders>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634" w:type="dxa"/>
            <w:vMerge/>
            <w:tcBorders>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53,350,2</w:t>
            </w:r>
          </w:p>
          <w:p>
            <w:pPr>
              <w:pStyle w:val="TableParagraph"/>
              <w:spacing w:line="240" w:lineRule="auto" w:before="105"/>
              <w:ind w:left="315" w:right="0"/>
              <w:jc w:val="left"/>
              <w:rPr>
                <w:rFonts w:ascii="Times New Roman" w:hAnsi="Times New Roman" w:cs="Times New Roman" w:eastAsia="Times New Roman" w:hint="default"/>
                <w:sz w:val="18"/>
                <w:szCs w:val="18"/>
              </w:rPr>
            </w:pPr>
            <w:r>
              <w:rPr>
                <w:rFonts w:ascii="Times New Roman"/>
                <w:sz w:val="18"/>
              </w:rPr>
              <w:t>94.40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7,553,99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1.36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14.16%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45,796,30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3.04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33,641,</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600.15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4,204,756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12.50%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29,436,843.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49</w:t>
            </w:r>
          </w:p>
        </w:tc>
      </w:tr>
      <w:tr>
        <w:trPr>
          <w:trHeight w:val="161" w:hRule="exact"/>
        </w:trPr>
        <w:tc>
          <w:tcPr>
            <w:tcW w:w="1634" w:type="dxa"/>
            <w:tcBorders>
              <w:top w:val="single" w:sz="4" w:space="0" w:color="000000"/>
              <w:left w:val="single" w:sz="4" w:space="0" w:color="000000"/>
              <w:bottom w:val="nil" w:sz="6" w:space="0" w:color="auto"/>
              <w:right w:val="single" w:sz="4" w:space="0" w:color="000000"/>
            </w:tcBorders>
            <w:shd w:val="clear" w:color="auto" w:fill="D4D4D4"/>
          </w:tcPr>
          <w:p>
            <w:pPr/>
          </w:p>
        </w:tc>
        <w:tc>
          <w:tcPr>
            <w:tcW w:w="763" w:type="dxa"/>
            <w:vMerge w:val="restart"/>
            <w:tcBorders>
              <w:top w:val="single" w:sz="4" w:space="0" w:color="000000"/>
              <w:left w:val="single" w:sz="9" w:space="0" w:color="D4D4D4"/>
              <w:right w:val="single" w:sz="4" w:space="0" w:color="000000"/>
            </w:tcBorders>
          </w:tcPr>
          <w:p>
            <w:pPr>
              <w:pStyle w:val="TableParagraph"/>
              <w:spacing w:line="240" w:lineRule="auto" w:before="91"/>
              <w:ind w:left="94" w:right="0"/>
              <w:jc w:val="left"/>
              <w:rPr>
                <w:rFonts w:ascii="Times New Roman" w:hAnsi="Times New Roman" w:cs="Times New Roman" w:eastAsia="Times New Roman" w:hint="default"/>
                <w:sz w:val="18"/>
                <w:szCs w:val="18"/>
              </w:rPr>
            </w:pPr>
            <w:r>
              <w:rPr>
                <w:rFonts w:ascii="Times New Roman"/>
                <w:sz w:val="18"/>
              </w:rPr>
              <w:t>53,350,2</w:t>
            </w:r>
          </w:p>
          <w:p>
            <w:pPr>
              <w:pStyle w:val="TableParagraph"/>
              <w:spacing w:line="240" w:lineRule="auto" w:before="105"/>
              <w:ind w:left="320" w:right="0"/>
              <w:jc w:val="left"/>
              <w:rPr>
                <w:rFonts w:ascii="Times New Roman" w:hAnsi="Times New Roman" w:cs="Times New Roman" w:eastAsia="Times New Roman" w:hint="default"/>
                <w:sz w:val="18"/>
                <w:szCs w:val="18"/>
              </w:rPr>
            </w:pPr>
            <w:r>
              <w:rPr>
                <w:rFonts w:ascii="Times New Roman"/>
                <w:sz w:val="18"/>
              </w:rPr>
              <w:t>94.40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7,553,99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1.36</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14.16%</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45,796,30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3.04</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33,641,</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600.15</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4,204,756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.66</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12.50%</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29,436,843.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49</w:t>
            </w:r>
          </w:p>
        </w:tc>
      </w:tr>
      <w:tr>
        <w:trPr>
          <w:trHeight w:val="391" w:hRule="exact"/>
        </w:trPr>
        <w:tc>
          <w:tcPr>
            <w:tcW w:w="163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4D4D4"/>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34"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vMerge/>
            <w:tcBorders>
              <w:left w:val="single" w:sz="9" w:space="0" w:color="D4D4D4"/>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0"/>
        </w:sectPr>
      </w:pPr>
    </w:p>
    <w:p>
      <w:pPr>
        <w:pStyle w:val="BodyText"/>
        <w:spacing w:line="240" w:lineRule="auto" w:before="49"/>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4473" w:space="4354"/>
            <w:col w:w="2103"/>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0"/>
        <w:gridCol w:w="2393"/>
        <w:gridCol w:w="2393"/>
        <w:gridCol w:w="2393"/>
      </w:tblGrid>
      <w:tr>
        <w:trPr>
          <w:trHeight w:val="402" w:hRule="exact"/>
        </w:trPr>
        <w:tc>
          <w:tcPr>
            <w:tcW w:w="239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0" w:type="dxa"/>
            <w:vMerge/>
            <w:tcBorders>
              <w:left w:val="single" w:sz="4" w:space="0" w:color="000000"/>
              <w:bottom w:val="single" w:sz="4" w:space="0" w:color="000000"/>
              <w:right w:val="single" w:sz="4" w:space="0" w:color="000000"/>
            </w:tcBorders>
            <w:shd w:val="clear" w:color="auto" w:fill="D4D4D4"/>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37,019,832.43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1,850,991.64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37,019,832.43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1,850,991.64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5,687,875.84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568,787.58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8,738,158.43</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3,495,263.37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89"/>
        <w:gridCol w:w="2393"/>
        <w:gridCol w:w="2393"/>
        <w:gridCol w:w="2393"/>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1,166,665.80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933,332.64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160,728.85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128,583.08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577,033.05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577,033.05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53,350,294.40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7,553,991.36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14.16%</w:t>
            </w:r>
          </w:p>
        </w:tc>
      </w:tr>
    </w:tbl>
    <w:p>
      <w:pPr>
        <w:pStyle w:val="BodyText"/>
        <w:spacing w:line="357" w:lineRule="auto" w:before="49"/>
        <w:ind w:right="8774"/>
        <w:jc w:val="left"/>
      </w:pPr>
      <w:r>
        <w:rPr/>
        <w:t>确定该组合依据的说明： 根据其他应收款账龄确定</w:t>
      </w:r>
    </w:p>
    <w:p>
      <w:pPr>
        <w:spacing w:line="240" w:lineRule="auto" w:before="9"/>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745" w:footer="982" w:top="1060" w:bottom="1180" w:left="980" w:right="0"/>
        </w:sectPr>
      </w:pPr>
    </w:p>
    <w:p>
      <w:pPr>
        <w:pStyle w:val="BodyText"/>
        <w:spacing w:line="240" w:lineRule="auto"/>
        <w:ind w:right="-13"/>
        <w:jc w:val="left"/>
      </w:pPr>
      <w:r>
        <w:rPr/>
        <w:t>组合中，采用余额百分比法计提坏账准备的其他应收款：</w:t>
      </w:r>
    </w:p>
    <w:p>
      <w:pPr>
        <w:pStyle w:val="BodyText"/>
        <w:spacing w:line="338" w:lineRule="auto" w:before="117"/>
        <w:ind w:right="173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3"/>
        <w:ind w:right="-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3"/>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1"/>
        <w:ind w:right="-13"/>
        <w:jc w:val="left"/>
      </w:pPr>
      <w:r>
        <w:rPr/>
        <w:t>本期计提坏账准备金额</w:t>
      </w:r>
      <w:r>
        <w:rPr>
          <w:spacing w:val="-48"/>
        </w:rPr>
        <w:t> </w:t>
      </w:r>
      <w:r>
        <w:rPr>
          <w:rFonts w:ascii="Times New Roman" w:hAnsi="Times New Roman" w:cs="Times New Roman" w:eastAsia="Times New Roman" w:hint="default"/>
        </w:rPr>
        <w:t>3,427,328.97</w:t>
      </w:r>
      <w:r>
        <w:rPr>
          <w:rFonts w:ascii="Times New Roman" w:hAnsi="Times New Roman" w:cs="Times New Roman" w:eastAsia="Times New Roman" w:hint="default"/>
          <w:spacing w:val="-2"/>
        </w:rPr>
        <w:t>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4"/>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6050" w:space="2777"/>
            <w:col w:w="2103"/>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959"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49"/>
        <w:ind w:right="982"/>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1"/>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3" w:hRule="exact"/>
        </w:trPr>
        <w:tc>
          <w:tcPr>
            <w:tcW w:w="4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982"/>
        <w:jc w:val="left"/>
      </w:pPr>
      <w:r>
        <w:rPr/>
        <w:t>其中重要的其他应收款核销情况：</w:t>
      </w:r>
    </w:p>
    <w:p>
      <w:pPr>
        <w:pStyle w:val="BodyText"/>
        <w:spacing w:line="240" w:lineRule="auto" w:before="115"/>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4"/>
        <w:gridCol w:w="1596"/>
        <w:gridCol w:w="1594"/>
        <w:gridCol w:w="1594"/>
        <w:gridCol w:w="1585"/>
      </w:tblGrid>
      <w:tr>
        <w:trPr>
          <w:trHeight w:val="713"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23" w:right="6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type w:val="continuous"/>
          <w:pgSz w:w="11910" w:h="16840"/>
          <w:pgMar w:top="1060" w:bottom="1180" w:left="980" w:right="0"/>
        </w:sectPr>
      </w:pPr>
    </w:p>
    <w:p>
      <w:pPr>
        <w:pStyle w:val="BodyText"/>
        <w:spacing w:line="240" w:lineRule="auto" w:before="49"/>
        <w:ind w:right="-18"/>
        <w:jc w:val="left"/>
      </w:pPr>
      <w:r>
        <w:rPr/>
        <w:t>其他应收款核销说明：</w:t>
      </w:r>
    </w:p>
    <w:p>
      <w:pPr>
        <w:pStyle w:val="BodyText"/>
        <w:spacing w:line="240" w:lineRule="auto" w:before="117"/>
        <w:ind w:right="-18"/>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2825" w:space="6003"/>
            <w:col w:w="2102"/>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33,379,788.88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27,136,949.39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职工借款、备用金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14,483,697.03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6,049,337.94</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钢结构合作开发保证金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474,608.96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291,136.00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612,199.53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164,176.82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53,350,294.40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33,641,600.15</w:t>
            </w:r>
          </w:p>
        </w:tc>
      </w:tr>
    </w:tbl>
    <w:p>
      <w:pPr>
        <w:pStyle w:val="BodyText"/>
        <w:spacing w:line="240" w:lineRule="auto" w:before="49"/>
        <w:ind w:right="982"/>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1"/>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4"/>
        <w:gridCol w:w="1596"/>
        <w:gridCol w:w="1594"/>
        <w:gridCol w:w="1594"/>
        <w:gridCol w:w="1596"/>
      </w:tblGrid>
      <w:tr>
        <w:trPr>
          <w:trHeight w:val="713"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1"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昆明安特钢结构技 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钢结构合作开发保 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4,400,000.00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8.25%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220,000.00</w:t>
            </w:r>
          </w:p>
        </w:tc>
      </w:tr>
      <w:tr>
        <w:trPr>
          <w:trHeight w:val="102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9"/>
              <w:jc w:val="both"/>
              <w:rPr>
                <w:rFonts w:ascii="宋体" w:hAnsi="宋体" w:cs="宋体" w:eastAsia="宋体" w:hint="default"/>
                <w:sz w:val="18"/>
                <w:szCs w:val="18"/>
              </w:rPr>
            </w:pPr>
            <w:r>
              <w:rPr>
                <w:rFonts w:ascii="宋体" w:hAnsi="宋体" w:cs="宋体" w:eastAsia="宋体" w:hint="default"/>
                <w:sz w:val="18"/>
                <w:szCs w:val="18"/>
              </w:rPr>
              <w:t>广州市番禺信息技 术投资发展有限公 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2,693,495.00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134,674.75</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10"/>
                <w:sz w:val="18"/>
                <w:szCs w:val="18"/>
              </w:rPr>
              <w:t>高创（苏州）电子有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2,150,000.00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107,500.00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9"/>
              <w:jc w:val="left"/>
              <w:rPr>
                <w:rFonts w:ascii="宋体" w:hAnsi="宋体" w:cs="宋体" w:eastAsia="宋体" w:hint="default"/>
                <w:sz w:val="18"/>
                <w:szCs w:val="18"/>
              </w:rPr>
            </w:pPr>
            <w:r>
              <w:rPr>
                <w:rFonts w:ascii="宋体" w:hAnsi="宋体" w:cs="宋体" w:eastAsia="宋体" w:hint="default"/>
                <w:sz w:val="18"/>
                <w:szCs w:val="18"/>
              </w:rPr>
              <w:t>宜良建设管理有限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1,601,500.00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640,600.00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禹城市国土资源局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12,344,995.00</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23.14%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1,702,774.75</w:t>
            </w:r>
            <w:r>
              <w:rPr>
                <w:rFonts w:ascii="Times New Roman"/>
                <w:sz w:val="18"/>
              </w:rPr>
            </w:r>
          </w:p>
        </w:tc>
      </w:tr>
    </w:tbl>
    <w:p>
      <w:pPr>
        <w:pStyle w:val="BodyText"/>
        <w:spacing w:line="240" w:lineRule="auto" w:before="49"/>
        <w:ind w:right="982"/>
        <w:jc w:val="left"/>
      </w:pPr>
      <w:r>
        <w:rPr>
          <w:rFonts w:ascii="Times New Roman" w:hAnsi="Times New Roman" w:cs="Times New Roman" w:eastAsia="Times New Roman" w:hint="default"/>
        </w:rPr>
        <w:t>6)</w:t>
      </w:r>
      <w:r>
        <w:rPr/>
        <w:t>涉及政府补助的应收款项</w:t>
      </w:r>
    </w:p>
    <w:p>
      <w:pPr>
        <w:pStyle w:val="BodyText"/>
        <w:spacing w:line="240" w:lineRule="auto" w:before="101"/>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5"/>
        <w:gridCol w:w="1913"/>
        <w:gridCol w:w="1918"/>
      </w:tblGrid>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83"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49"/>
        <w:ind w:right="982"/>
        <w:jc w:val="left"/>
      </w:pPr>
      <w:r>
        <w:rPr>
          <w:rFonts w:ascii="Times New Roman" w:hAnsi="Times New Roman" w:cs="Times New Roman" w:eastAsia="Times New Roman" w:hint="default"/>
        </w:rPr>
        <w:t>7)</w:t>
      </w:r>
      <w:r>
        <w:rPr/>
        <w:t>因金融资产转移而终止确认的其他应收款</w:t>
      </w:r>
    </w:p>
    <w:p>
      <w:pPr>
        <w:pStyle w:val="BodyText"/>
        <w:spacing w:line="340" w:lineRule="auto" w:before="101"/>
        <w:ind w:right="6644"/>
        <w:jc w:val="left"/>
      </w:pPr>
      <w:r>
        <w:rPr>
          <w:rFonts w:ascii="Times New Roman" w:hAnsi="Times New Roman" w:cs="Times New Roman" w:eastAsia="Times New Roman" w:hint="default"/>
        </w:rPr>
        <w:t>8)</w:t>
      </w:r>
      <w:r>
        <w:rPr/>
        <w:t>转移其他应收款且继续涉入形成的资产、负债金额</w:t>
      </w:r>
      <w:r>
        <w:rPr>
          <w:w w:val="99"/>
        </w:rPr>
        <w:t> </w:t>
      </w:r>
      <w:r>
        <w:rPr/>
        <w:t>其他说明：</w:t>
      </w:r>
    </w:p>
    <w:p>
      <w:pPr>
        <w:spacing w:line="240" w:lineRule="auto" w:before="3"/>
        <w:rPr>
          <w:rFonts w:ascii="宋体" w:hAnsi="宋体" w:cs="宋体" w:eastAsia="宋体" w:hint="default"/>
          <w:sz w:val="21"/>
          <w:szCs w:val="21"/>
        </w:rPr>
      </w:pPr>
    </w:p>
    <w:p>
      <w:pPr>
        <w:pStyle w:val="Heading3"/>
        <w:spacing w:line="240" w:lineRule="auto"/>
        <w:ind w:right="982"/>
        <w:jc w:val="left"/>
        <w:rPr>
          <w:b w:val="0"/>
          <w:bCs w:val="0"/>
        </w:rPr>
      </w:pPr>
      <w:bookmarkStart w:name="7、存货" w:id="238"/>
      <w:bookmarkEnd w:id="238"/>
      <w:r>
        <w:rPr>
          <w:b w:val="0"/>
          <w:bCs w:val="0"/>
        </w:rPr>
      </w:r>
      <w:r>
        <w:rPr>
          <w:rFonts w:ascii="Times New Roman" w:hAnsi="Times New Roman" w:cs="Times New Roman" w:eastAsia="Times New Roman" w:hint="default"/>
        </w:rPr>
        <w:t>7</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60" w:lineRule="auto" w:before="0"/>
        <w:ind w:right="7514"/>
        <w:jc w:val="left"/>
      </w:pPr>
      <w:r>
        <w:rPr/>
        <w:t>公司是否需要遵守房地产行业的披露要求 否</w:t>
      </w:r>
    </w:p>
    <w:p>
      <w:pPr>
        <w:spacing w:line="240" w:lineRule="auto" w:before="4"/>
        <w:rPr>
          <w:rFonts w:ascii="宋体" w:hAnsi="宋体" w:cs="宋体" w:eastAsia="宋体" w:hint="default"/>
          <w:sz w:val="20"/>
          <w:szCs w:val="20"/>
        </w:rPr>
      </w:pPr>
    </w:p>
    <w:p>
      <w:pPr>
        <w:pStyle w:val="Heading3"/>
        <w:spacing w:line="240" w:lineRule="auto"/>
        <w:ind w:right="982"/>
        <w:jc w:val="left"/>
        <w:rPr>
          <w:b w:val="0"/>
          <w:bCs w:val="0"/>
        </w:rPr>
      </w:pPr>
      <w:bookmarkStart w:name="（1）存货分类" w:id="239"/>
      <w:bookmarkEnd w:id="239"/>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5"/>
        <w:gridCol w:w="1379"/>
        <w:gridCol w:w="1368"/>
        <w:gridCol w:w="1366"/>
        <w:gridCol w:w="1368"/>
        <w:gridCol w:w="1366"/>
        <w:gridCol w:w="1368"/>
      </w:tblGrid>
      <w:tr>
        <w:trPr>
          <w:trHeight w:val="206" w:hRule="exact"/>
        </w:trPr>
        <w:tc>
          <w:tcPr>
            <w:tcW w:w="1345" w:type="dxa"/>
            <w:tcBorders>
              <w:top w:val="single" w:sz="4" w:space="0" w:color="000000"/>
              <w:left w:val="single" w:sz="4" w:space="0" w:color="000000"/>
              <w:bottom w:val="nil" w:sz="6" w:space="0" w:color="auto"/>
              <w:right w:val="single" w:sz="4" w:space="0" w:color="000000"/>
            </w:tcBorders>
            <w:shd w:val="clear" w:color="auto" w:fill="D4D4D4"/>
          </w:tcPr>
          <w:p>
            <w:pPr/>
          </w:p>
        </w:tc>
        <w:tc>
          <w:tcPr>
            <w:tcW w:w="411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2" w:type="dxa"/>
            <w:gridSpan w:val="3"/>
            <w:vMerge/>
            <w:tcBorders>
              <w:left w:val="single" w:sz="4" w:space="0" w:color="000000"/>
              <w:bottom w:val="single" w:sz="4" w:space="0" w:color="000000"/>
              <w:right w:val="single" w:sz="4" w:space="0" w:color="000000"/>
            </w:tcBorders>
            <w:shd w:val="clear" w:color="auto" w:fill="D4D4D4"/>
          </w:tcPr>
          <w:p>
            <w:pPr/>
          </w:p>
        </w:tc>
        <w:tc>
          <w:tcPr>
            <w:tcW w:w="4102" w:type="dxa"/>
            <w:gridSpan w:val="3"/>
            <w:vMerge/>
            <w:tcBorders>
              <w:left w:val="single" w:sz="4" w:space="0" w:color="000000"/>
              <w:bottom w:val="single" w:sz="4" w:space="0" w:color="000000"/>
              <w:right w:val="single" w:sz="4" w:space="0" w:color="000000"/>
            </w:tcBorders>
            <w:shd w:val="clear" w:color="auto" w:fill="D4D4D4"/>
          </w:tcPr>
          <w:p>
            <w:pPr/>
          </w:p>
        </w:tc>
      </w:tr>
      <w:tr>
        <w:trPr>
          <w:trHeight w:val="199" w:hRule="exact"/>
        </w:trPr>
        <w:tc>
          <w:tcPr>
            <w:tcW w:w="1345" w:type="dxa"/>
            <w:vMerge/>
            <w:tcBorders>
              <w:left w:val="single" w:sz="4" w:space="0" w:color="000000"/>
              <w:bottom w:val="nil" w:sz="6" w:space="0" w:color="auto"/>
              <w:right w:val="single" w:sz="4" w:space="0" w:color="000000"/>
            </w:tcBorders>
            <w:shd w:val="clear" w:color="auto" w:fill="D4D4D4"/>
          </w:tcPr>
          <w:p>
            <w:pPr/>
          </w:p>
        </w:tc>
        <w:tc>
          <w:tcPr>
            <w:tcW w:w="137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5" w:type="dxa"/>
            <w:tcBorders>
              <w:top w:val="nil" w:sz="6" w:space="0" w:color="auto"/>
              <w:left w:val="single" w:sz="4" w:space="0" w:color="000000"/>
              <w:bottom w:val="single" w:sz="4" w:space="0" w:color="000000"/>
              <w:right w:val="single" w:sz="4" w:space="0" w:color="000000"/>
            </w:tcBorders>
            <w:shd w:val="clear" w:color="auto" w:fill="D4D4D4"/>
          </w:tcPr>
          <w:p>
            <w:pPr/>
          </w:p>
        </w:tc>
        <w:tc>
          <w:tcPr>
            <w:tcW w:w="1379"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70,981,900.04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70,981,900.04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50,087,379.01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50,087,379.01</w:t>
            </w:r>
          </w:p>
        </w:tc>
      </w:tr>
      <w:tr>
        <w:trPr>
          <w:trHeight w:val="401"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184,968,566.49</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184,968,566.49</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139,125,505.77</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139,125,505.77</w:t>
            </w:r>
            <w:r>
              <w:rPr>
                <w:rFonts w:ascii="Times New Roman"/>
                <w:sz w:val="18"/>
              </w:rPr>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46,851,799.02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46,851,799.02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21,524,490.58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21,524,490.58</w:t>
            </w:r>
          </w:p>
        </w:tc>
      </w:tr>
      <w:tr>
        <w:trPr>
          <w:trHeight w:val="401"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302,802,265.55</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302,802,265.55</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210,737,375.36</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210,737,375.36</w:t>
            </w:r>
            <w:r>
              <w:rPr>
                <w:rFonts w:ascii="Times New Roman"/>
                <w:sz w:val="18"/>
              </w:rPr>
            </w:r>
          </w:p>
        </w:tc>
      </w:tr>
    </w:tbl>
    <w:p>
      <w:pPr>
        <w:pStyle w:val="BodyText"/>
        <w:spacing w:line="340" w:lineRule="auto" w:before="49"/>
        <w:ind w:right="2477"/>
        <w:jc w:val="left"/>
      </w:pPr>
      <w:r>
        <w:rPr/>
        <w:t>公司是否需遵守《深圳证券交易所行业信息披露指引第</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40" w:lineRule="auto" w:before="39"/>
        <w:ind w:right="1577"/>
        <w:jc w:val="left"/>
      </w:pPr>
      <w:r>
        <w:rPr/>
        <w:t>公司是否需遵守《深圳证券交易所创业板行业信息披露指引第</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1"/>
        <w:ind w:right="1757"/>
        <w:jc w:val="left"/>
      </w:pPr>
      <w:r>
        <w:rPr/>
        <w:t>公司是否需遵守《深圳证券交易所创业板行业信息披露指引第</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spacing w:after="0" w:line="338" w:lineRule="auto"/>
        <w:jc w:val="left"/>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340" w:lineRule="auto"/>
        <w:ind w:right="2753"/>
        <w:jc w:val="left"/>
      </w:pPr>
      <w:r>
        <w:rPr/>
        <w:t>公司需遵守《深圳证券交易所行业信息披露指引第</w:t>
      </w:r>
      <w:r>
        <w:rPr>
          <w:spacing w:val="-47"/>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3"/>
        <w:rPr>
          <w:rFonts w:ascii="宋体" w:hAnsi="宋体" w:cs="宋体" w:eastAsia="宋体" w:hint="default"/>
          <w:sz w:val="21"/>
          <w:szCs w:val="21"/>
        </w:rPr>
      </w:pPr>
    </w:p>
    <w:p>
      <w:pPr>
        <w:pStyle w:val="Heading3"/>
        <w:spacing w:line="240" w:lineRule="auto"/>
        <w:ind w:right="982"/>
        <w:jc w:val="left"/>
        <w:rPr>
          <w:b w:val="0"/>
          <w:bCs w:val="0"/>
        </w:rPr>
      </w:pPr>
      <w:bookmarkStart w:name="（2）存货跌价准备" w:id="240"/>
      <w:bookmarkEnd w:id="240"/>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4D4D4"/>
          </w:tcPr>
          <w:p>
            <w:pP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bookmarkStart w:name="（3）存货期末余额含有借款费用资本化金额的说明" w:id="241"/>
      <w:bookmarkEnd w:id="241"/>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bookmarkStart w:name="（4）期末建造合同形成的已完工未结算资产情况" w:id="242"/>
      <w:bookmarkEnd w:id="242"/>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74"/>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bookmarkStart w:name="8、持有待售资产" w:id="243"/>
      <w:bookmarkEnd w:id="243"/>
      <w:r>
        <w:rPr>
          <w:b w:val="0"/>
          <w:bCs w:val="0"/>
        </w:rPr>
      </w:r>
      <w:r>
        <w:rPr>
          <w:rFonts w:ascii="Times New Roman" w:hAnsi="Times New Roman" w:cs="Times New Roman" w:eastAsia="Times New Roman" w:hint="default"/>
        </w:rPr>
        <w:t>8</w:t>
      </w:r>
      <w:r>
        <w:rPr/>
        <w:t>、持有待售资产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5"/>
        <w:gridCol w:w="1913"/>
        <w:gridCol w:w="1918"/>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bookmarkStart w:name="9、一年内到期的非流动资产" w:id="244"/>
      <w:bookmarkEnd w:id="244"/>
      <w:r>
        <w:rPr>
          <w:b w:val="0"/>
          <w:bCs w:val="0"/>
        </w:rPr>
      </w:r>
      <w:r>
        <w:rPr>
          <w:rFonts w:ascii="Times New Roman" w:hAnsi="Times New Roman" w:cs="Times New Roman" w:eastAsia="Times New Roman" w:hint="default"/>
        </w:rPr>
        <w:t>9</w:t>
      </w:r>
      <w:r>
        <w:rPr/>
        <w:t>、一年内到期的非流动资产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长期应收款（一年内到期）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37,907,564.98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37,907,564.98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bookmarkStart w:name="10、其他流动资产" w:id="245"/>
      <w:bookmarkEnd w:id="245"/>
      <w:r>
        <w:rPr>
          <w:b w:val="0"/>
          <w:bCs w:val="0"/>
        </w:rPr>
      </w:r>
      <w:r>
        <w:rPr>
          <w:rFonts w:ascii="Times New Roman" w:hAnsi="Times New Roman" w:cs="Times New Roman" w:eastAsia="Times New Roman" w:hint="default"/>
        </w:rPr>
        <w:t>10</w:t>
      </w:r>
      <w:r>
        <w:rPr/>
        <w:t>、其他流动资产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95,000,000.00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1,140,183.16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1,195,041.19</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留抵扣增值税进项税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3,591,467.72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3,405,152.49</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待摊房屋租赁费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18,579.32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68,050,230.20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99,600,193.68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bookmarkStart w:name="11、可供出售金融资产" w:id="246"/>
      <w:bookmarkEnd w:id="246"/>
      <w:r>
        <w:rPr>
          <w:b w:val="0"/>
          <w:bCs w:val="0"/>
        </w:rPr>
      </w:r>
      <w:r>
        <w:rPr>
          <w:rFonts w:ascii="Times New Roman" w:hAnsi="Times New Roman" w:cs="Times New Roman" w:eastAsia="Times New Roman" w:hint="default"/>
        </w:rPr>
        <w:t>11</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bookmarkStart w:name="（1）可供出售金融资产情况" w:id="247"/>
      <w:bookmarkEnd w:id="247"/>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8"/>
        <w:gridCol w:w="1195"/>
        <w:gridCol w:w="1198"/>
        <w:gridCol w:w="1195"/>
        <w:gridCol w:w="1248"/>
        <w:gridCol w:w="1368"/>
        <w:gridCol w:w="1368"/>
      </w:tblGrid>
      <w:tr>
        <w:trPr>
          <w:trHeight w:val="401" w:hRule="exact"/>
        </w:trPr>
        <w:tc>
          <w:tcPr>
            <w:tcW w:w="19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8"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4"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98" w:type="dxa"/>
            <w:vMerge/>
            <w:tcBorders>
              <w:left w:val="single" w:sz="4" w:space="0" w:color="000000"/>
              <w:bottom w:val="single" w:sz="4" w:space="0" w:color="000000"/>
              <w:right w:val="single" w:sz="4" w:space="0" w:color="000000"/>
            </w:tcBorders>
            <w:shd w:val="clear" w:color="auto" w:fill="D4D4D4"/>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bookmarkStart w:name="（2）期末按公允价值计量的可供出售金融资产" w:id="248"/>
      <w:bookmarkEnd w:id="248"/>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4"/>
        <w:gridCol w:w="1914"/>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bookmarkStart w:name="（3）期末按成本计量的可供出售金融资产" w:id="249"/>
      <w:bookmarkEnd w:id="249"/>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69"/>
        <w:gridCol w:w="871"/>
        <w:gridCol w:w="869"/>
        <w:gridCol w:w="871"/>
        <w:gridCol w:w="869"/>
        <w:gridCol w:w="871"/>
        <w:gridCol w:w="869"/>
        <w:gridCol w:w="871"/>
        <w:gridCol w:w="869"/>
        <w:gridCol w:w="871"/>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4" w:right="65"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4D4D4"/>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60"/>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60"/>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60"/>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60"/>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60"/>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60"/>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60"/>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60"/>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4D4D4"/>
          </w:tcPr>
          <w:p>
            <w:pPr/>
          </w:p>
        </w:tc>
        <w:tc>
          <w:tcPr>
            <w:tcW w:w="871" w:type="dxa"/>
            <w:vMerge/>
            <w:tcBorders>
              <w:left w:val="single" w:sz="4" w:space="0" w:color="000000"/>
              <w:bottom w:val="single" w:sz="4" w:space="0" w:color="000000"/>
              <w:right w:val="single" w:sz="4" w:space="0" w:color="000000"/>
            </w:tcBorders>
            <w:shd w:val="clear" w:color="auto" w:fill="D4D4D4"/>
          </w:tcPr>
          <w:p>
            <w:pPr/>
          </w:p>
        </w:tc>
      </w:tr>
    </w:tbl>
    <w:p>
      <w:pPr>
        <w:spacing w:line="240" w:lineRule="auto" w:before="4"/>
        <w:rPr>
          <w:rFonts w:ascii="宋体" w:hAnsi="宋体" w:cs="宋体" w:eastAsia="宋体" w:hint="default"/>
          <w:sz w:val="19"/>
          <w:szCs w:val="19"/>
        </w:rPr>
      </w:pPr>
    </w:p>
    <w:p>
      <w:pPr>
        <w:pStyle w:val="Heading3"/>
        <w:spacing w:line="240" w:lineRule="auto" w:before="36"/>
        <w:ind w:right="982"/>
        <w:jc w:val="left"/>
        <w:rPr>
          <w:b w:val="0"/>
          <w:bCs w:val="0"/>
        </w:rPr>
      </w:pPr>
      <w:bookmarkStart w:name="（4）报告期内可供出售金融资产减值的变动情况" w:id="250"/>
      <w:bookmarkEnd w:id="250"/>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4"/>
        <w:gridCol w:w="1914"/>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bookmarkStart w:name="（5）可供出售权益工具期末公允价值严重下跌或非暂时性下跌但未计提减值准备的相关说" w:id="251"/>
      <w:bookmarkEnd w:id="251"/>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09" w:right="47"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bookmarkStart w:name="12、持有至到期投资" w:id="252"/>
      <w:bookmarkEnd w:id="252"/>
      <w:r>
        <w:rPr>
          <w:b w:val="0"/>
          <w:bCs w:val="0"/>
        </w:rPr>
      </w:r>
      <w:r>
        <w:rPr>
          <w:rFonts w:ascii="Times New Roman" w:hAnsi="Times New Roman" w:cs="Times New Roman" w:eastAsia="Times New Roman" w:hint="default"/>
        </w:rPr>
        <w:t>12</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bookmarkStart w:name="（1）持有至到期投资情况" w:id="253"/>
      <w:bookmarkEnd w:id="253"/>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57"/>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1"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footerReference w:type="default" r:id="rId17"/>
          <w:pgSz w:w="11910" w:h="16840"/>
          <w:pgMar w:footer="982" w:header="745" w:top="1060" w:bottom="1180" w:left="980" w:right="0"/>
          <w:pgNumType w:start="12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bookmarkStart w:name="（2）期末重要的持有至到期投资" w:id="254"/>
      <w:bookmarkEnd w:id="254"/>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bookmarkStart w:name="（3）本期重分类的持有至到期投资" w:id="255"/>
      <w:bookmarkEnd w:id="255"/>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bookmarkStart w:name="13、长期应收款" w:id="256"/>
      <w:bookmarkEnd w:id="256"/>
      <w:r>
        <w:rPr>
          <w:b w:val="0"/>
          <w:bCs w:val="0"/>
        </w:rPr>
      </w:r>
      <w:r>
        <w:rPr>
          <w:rFonts w:ascii="Times New Roman" w:hAnsi="Times New Roman" w:cs="Times New Roman" w:eastAsia="Times New Roman" w:hint="default"/>
        </w:rPr>
        <w:t>13</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bookmarkStart w:name="（1）长期应收款情况" w:id="257"/>
      <w:bookmarkEnd w:id="257"/>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80"/>
        <w:gridCol w:w="1178"/>
        <w:gridCol w:w="1166"/>
        <w:gridCol w:w="1166"/>
        <w:gridCol w:w="1169"/>
        <w:gridCol w:w="1166"/>
        <w:gridCol w:w="1166"/>
        <w:gridCol w:w="1164"/>
      </w:tblGrid>
      <w:tr>
        <w:trPr>
          <w:trHeight w:val="206" w:hRule="exact"/>
        </w:trPr>
        <w:tc>
          <w:tcPr>
            <w:tcW w:w="1380" w:type="dxa"/>
            <w:tcBorders>
              <w:top w:val="single" w:sz="4" w:space="0" w:color="000000"/>
              <w:left w:val="single" w:sz="4" w:space="0" w:color="000000"/>
              <w:bottom w:val="nil" w:sz="6" w:space="0" w:color="auto"/>
              <w:right w:val="single" w:sz="4" w:space="0" w:color="000000"/>
            </w:tcBorders>
            <w:shd w:val="clear" w:color="auto" w:fill="D4D4D4"/>
          </w:tcPr>
          <w:p>
            <w:pPr/>
          </w:p>
        </w:tc>
        <w:tc>
          <w:tcPr>
            <w:tcW w:w="3511"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2" w:hRule="exact"/>
        </w:trPr>
        <w:tc>
          <w:tcPr>
            <w:tcW w:w="138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11" w:type="dxa"/>
            <w:gridSpan w:val="3"/>
            <w:vMerge/>
            <w:tcBorders>
              <w:left w:val="single" w:sz="4" w:space="0" w:color="000000"/>
              <w:bottom w:val="single" w:sz="4" w:space="0" w:color="000000"/>
              <w:right w:val="single" w:sz="4" w:space="0" w:color="000000"/>
            </w:tcBorders>
            <w:shd w:val="clear" w:color="auto" w:fill="D4D4D4"/>
          </w:tcPr>
          <w:p>
            <w:pPr/>
          </w:p>
        </w:tc>
        <w:tc>
          <w:tcPr>
            <w:tcW w:w="3502" w:type="dxa"/>
            <w:gridSpan w:val="3"/>
            <w:vMerge/>
            <w:tcBorders>
              <w:left w:val="single" w:sz="4" w:space="0" w:color="000000"/>
              <w:bottom w:val="single" w:sz="4" w:space="0" w:color="000000"/>
              <w:right w:val="single" w:sz="4" w:space="0" w:color="000000"/>
            </w:tcBorders>
            <w:shd w:val="clear" w:color="auto" w:fill="D4D4D4"/>
          </w:tcPr>
          <w:p>
            <w:pPr/>
          </w:p>
        </w:tc>
        <w:tc>
          <w:tcPr>
            <w:tcW w:w="116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199" w:hRule="exact"/>
        </w:trPr>
        <w:tc>
          <w:tcPr>
            <w:tcW w:w="1380" w:type="dxa"/>
            <w:vMerge/>
            <w:tcBorders>
              <w:left w:val="single" w:sz="4" w:space="0" w:color="000000"/>
              <w:bottom w:val="nil" w:sz="6" w:space="0" w:color="auto"/>
              <w:right w:val="single" w:sz="4" w:space="0" w:color="000000"/>
            </w:tcBorders>
            <w:shd w:val="clear" w:color="auto" w:fill="D4D4D4"/>
          </w:tcPr>
          <w:p>
            <w:pPr/>
          </w:p>
        </w:tc>
        <w:tc>
          <w:tcPr>
            <w:tcW w:w="117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nil" w:sz="6" w:space="0" w:color="auto"/>
              <w:right w:val="single" w:sz="4" w:space="0" w:color="000000"/>
            </w:tcBorders>
            <w:shd w:val="clear" w:color="auto" w:fill="D4D4D4"/>
          </w:tcPr>
          <w:p>
            <w:pPr/>
          </w:p>
        </w:tc>
      </w:tr>
      <w:tr>
        <w:trPr>
          <w:trHeight w:val="206" w:hRule="exact"/>
        </w:trPr>
        <w:tc>
          <w:tcPr>
            <w:tcW w:w="1380" w:type="dxa"/>
            <w:tcBorders>
              <w:top w:val="nil" w:sz="6" w:space="0" w:color="auto"/>
              <w:left w:val="single" w:sz="4" w:space="0" w:color="000000"/>
              <w:bottom w:val="single" w:sz="4" w:space="0" w:color="000000"/>
              <w:right w:val="single" w:sz="4" w:space="0" w:color="000000"/>
            </w:tcBorders>
            <w:shd w:val="clear" w:color="auto" w:fill="D4D4D4"/>
          </w:tcPr>
          <w:p>
            <w:pPr/>
          </w:p>
        </w:tc>
        <w:tc>
          <w:tcPr>
            <w:tcW w:w="1178" w:type="dxa"/>
            <w:vMerge/>
            <w:tcBorders>
              <w:left w:val="single" w:sz="4" w:space="0" w:color="000000"/>
              <w:bottom w:val="single" w:sz="4" w:space="0" w:color="000000"/>
              <w:right w:val="single" w:sz="4" w:space="0" w:color="000000"/>
            </w:tcBorders>
            <w:shd w:val="clear" w:color="auto" w:fill="D4D4D4"/>
          </w:tcPr>
          <w:p>
            <w:pPr/>
          </w:p>
        </w:tc>
        <w:tc>
          <w:tcPr>
            <w:tcW w:w="1166" w:type="dxa"/>
            <w:vMerge/>
            <w:tcBorders>
              <w:left w:val="single" w:sz="4" w:space="0" w:color="000000"/>
              <w:bottom w:val="single" w:sz="4" w:space="0" w:color="000000"/>
              <w:right w:val="single" w:sz="4" w:space="0" w:color="000000"/>
            </w:tcBorders>
            <w:shd w:val="clear" w:color="auto" w:fill="D4D4D4"/>
          </w:tcPr>
          <w:p>
            <w:pPr/>
          </w:p>
        </w:tc>
        <w:tc>
          <w:tcPr>
            <w:tcW w:w="1166" w:type="dxa"/>
            <w:vMerge/>
            <w:tcBorders>
              <w:left w:val="single" w:sz="4" w:space="0" w:color="000000"/>
              <w:bottom w:val="single" w:sz="4" w:space="0" w:color="000000"/>
              <w:right w:val="single" w:sz="4" w:space="0" w:color="000000"/>
            </w:tcBorders>
            <w:shd w:val="clear" w:color="auto" w:fill="D4D4D4"/>
          </w:tcPr>
          <w:p>
            <w:pPr/>
          </w:p>
        </w:tc>
        <w:tc>
          <w:tcPr>
            <w:tcW w:w="1169" w:type="dxa"/>
            <w:vMerge/>
            <w:tcBorders>
              <w:left w:val="single" w:sz="4" w:space="0" w:color="000000"/>
              <w:bottom w:val="single" w:sz="4" w:space="0" w:color="000000"/>
              <w:right w:val="single" w:sz="4" w:space="0" w:color="000000"/>
            </w:tcBorders>
            <w:shd w:val="clear" w:color="auto" w:fill="D4D4D4"/>
          </w:tcPr>
          <w:p>
            <w:pPr/>
          </w:p>
        </w:tc>
        <w:tc>
          <w:tcPr>
            <w:tcW w:w="1166" w:type="dxa"/>
            <w:vMerge/>
            <w:tcBorders>
              <w:left w:val="single" w:sz="4" w:space="0" w:color="000000"/>
              <w:bottom w:val="single" w:sz="4" w:space="0" w:color="000000"/>
              <w:right w:val="single" w:sz="4" w:space="0" w:color="000000"/>
            </w:tcBorders>
            <w:shd w:val="clear" w:color="auto" w:fill="D4D4D4"/>
          </w:tcPr>
          <w:p>
            <w:pPr/>
          </w:p>
        </w:tc>
        <w:tc>
          <w:tcPr>
            <w:tcW w:w="1166" w:type="dxa"/>
            <w:vMerge/>
            <w:tcBorders>
              <w:left w:val="single" w:sz="4" w:space="0" w:color="000000"/>
              <w:bottom w:val="single" w:sz="4" w:space="0" w:color="000000"/>
              <w:right w:val="single" w:sz="4" w:space="0" w:color="000000"/>
            </w:tcBorders>
            <w:shd w:val="clear" w:color="auto" w:fill="D4D4D4"/>
          </w:tcPr>
          <w:p>
            <w:pPr/>
          </w:p>
        </w:tc>
        <w:tc>
          <w:tcPr>
            <w:tcW w:w="1164"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3" w:hRule="exact"/>
        </w:trPr>
        <w:tc>
          <w:tcPr>
            <w:tcW w:w="13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17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9,528,974.99</w:t>
            </w:r>
            <w:r>
              <w:rPr>
                <w:rFonts w:ascii="Times New Roman"/>
                <w:sz w:val="18"/>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136,636.42</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9,392,338.57</w:t>
            </w:r>
            <w:r>
              <w:rPr>
                <w:rFonts w:ascii="Times New Roman"/>
                <w:sz w:val="18"/>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25,429,538.26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200,341.92</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25,229,196.34</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其中：未实 现融资收益</w:t>
            </w:r>
          </w:p>
        </w:tc>
        <w:tc>
          <w:tcPr>
            <w:tcW w:w="117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2,638,357.28</w:t>
            </w:r>
            <w:r>
              <w:rPr>
                <w:rFonts w:ascii="Times New Roman"/>
                <w:sz w:val="18"/>
              </w:rPr>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2,638,357.28</w:t>
            </w:r>
            <w:r>
              <w:rPr>
                <w:rFonts w:ascii="Times New Roman"/>
                <w:sz w:val="18"/>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1,541,883.56</w:t>
            </w:r>
            <w:r>
              <w:rPr>
                <w:rFonts w:ascii="Times New Roman"/>
                <w:sz w:val="18"/>
              </w:rPr>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1,541,883.56</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10.08%-14.01</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13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9,528,974.99</w:t>
            </w:r>
            <w:r>
              <w:rPr>
                <w:rFonts w:ascii="Times New Roman"/>
                <w:sz w:val="18"/>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136,636.42</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9,392,338.57</w:t>
            </w:r>
            <w:r>
              <w:rPr>
                <w:rFonts w:ascii="Times New Roman"/>
                <w:sz w:val="18"/>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25,429,538.26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200,341.92</w:t>
            </w:r>
          </w:p>
        </w:tc>
        <w:tc>
          <w:tcPr>
            <w:tcW w:w="1166"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25,229,196.34</w:t>
            </w:r>
          </w:p>
        </w:tc>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bookmarkStart w:name="（2）因金融资产转移而终止确认的长期应收款" w:id="258"/>
      <w:bookmarkEnd w:id="258"/>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bookmarkStart w:name="（3）转移长期应收款且继续涉入形成的资产、负债金额" w:id="259"/>
      <w:bookmarkEnd w:id="259"/>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bookmarkStart w:name="14、长期股权投资" w:id="260"/>
      <w:bookmarkEnd w:id="260"/>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799"/>
        <w:gridCol w:w="797"/>
        <w:gridCol w:w="799"/>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2" w:right="31"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2"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福建比硕 停车运营 股份有限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7,506,212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-1,032,62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0.51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6,473,592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10"/>
              <w:ind w:left="38" w:right="0"/>
              <w:jc w:val="left"/>
              <w:rPr>
                <w:rFonts w:ascii="Times New Roman" w:hAnsi="Times New Roman" w:cs="Times New Roman" w:eastAsia="Times New Roman" w:hint="default"/>
                <w:sz w:val="18"/>
                <w:szCs w:val="18"/>
              </w:rPr>
            </w:pPr>
            <w:r>
              <w:rPr>
                <w:rFonts w:ascii="Times New Roman"/>
                <w:sz w:val="18"/>
              </w:rPr>
              <w:t>7,506,212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6" w:right="0"/>
              <w:jc w:val="left"/>
              <w:rPr>
                <w:rFonts w:ascii="Times New Roman" w:hAnsi="Times New Roman" w:cs="Times New Roman" w:eastAsia="Times New Roman" w:hint="default"/>
                <w:sz w:val="18"/>
                <w:szCs w:val="18"/>
              </w:rPr>
            </w:pPr>
            <w:r>
              <w:rPr>
                <w:rFonts w:ascii="Times New Roman"/>
                <w:sz w:val="18"/>
              </w:rPr>
              <w:t>-1,032,62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6,473,592</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799"/>
        <w:gridCol w:w="797"/>
        <w:gridCol w:w="799"/>
        <w:gridCol w:w="797"/>
        <w:gridCol w:w="799"/>
        <w:gridCol w:w="797"/>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.67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0.51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7,506,212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-1,032,62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0.51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6,473,592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.16</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bookmarkStart w:name="15、投资性房地产" w:id="261"/>
      <w:bookmarkEnd w:id="261"/>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bookmarkStart w:name="（1）采用成本计量模式的投资性房地产" w:id="262"/>
      <w:bookmarkEnd w:id="262"/>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bookmarkStart w:name="（2）采用公允价值计量模式的投资性房地产" w:id="263"/>
      <w:bookmarkEnd w:id="263"/>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bookmarkStart w:name="（3）未办妥产权证书的投资性房地产情况" w:id="264"/>
      <w:bookmarkEnd w:id="264"/>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0"/>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bookmarkStart w:name="16、固定资产" w:id="265"/>
      <w:bookmarkEnd w:id="265"/>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2"/>
        <w:gridCol w:w="3198"/>
        <w:gridCol w:w="3187"/>
      </w:tblGrid>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200,769,175.74</w:t>
            </w:r>
            <w:r>
              <w:rPr>
                <w:rFonts w:ascii="Times New Roman"/>
                <w:sz w:val="18"/>
              </w:rPr>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208,091,414.79</w:t>
            </w:r>
            <w:r>
              <w:rPr>
                <w:rFonts w:ascii="Times New Roman"/>
                <w:sz w:val="18"/>
              </w:rPr>
            </w:r>
          </w:p>
        </w:tc>
      </w:tr>
      <w:tr>
        <w:trPr>
          <w:trHeight w:val="401" w:hRule="exact"/>
        </w:trPr>
        <w:tc>
          <w:tcPr>
            <w:tcW w:w="3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200,769,175.74</w:t>
            </w:r>
            <w:r>
              <w:rPr>
                <w:rFonts w:ascii="Times New Roman"/>
                <w:sz w:val="18"/>
              </w:rPr>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208,091,414.79</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bookmarkStart w:name="（1）固定资产情况" w:id="266"/>
      <w:bookmarkEnd w:id="266"/>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4"/>
        <w:gridCol w:w="1596"/>
        <w:gridCol w:w="1594"/>
        <w:gridCol w:w="1594"/>
        <w:gridCol w:w="1594"/>
      </w:tblGrid>
      <w:tr>
        <w:trPr>
          <w:trHeight w:val="402"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226,306,987.19</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10,572,264.16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47,232,299.56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17,801,068.78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301,912,619.69</w:t>
            </w:r>
            <w:r>
              <w:rPr>
                <w:rFonts w:ascii="Times New Roman"/>
                <w:sz w:val="18"/>
              </w:rPr>
            </w: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3,258,995.63</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2,121,821.14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6,512,329.23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3,947,643.66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15,840,789.66</w:t>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3,258,995.63</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1,319,821.14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3,947,643.66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8,526,460.43</w:t>
            </w:r>
            <w:r>
              <w:rPr>
                <w:rFonts w:ascii="Times New Roman"/>
                <w:sz w:val="18"/>
              </w:rPr>
            </w:r>
          </w:p>
        </w:tc>
      </w:tr>
      <w:tr>
        <w:trPr>
          <w:trHeight w:val="713"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6,512,329.23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7,314,329.23</w:t>
            </w:r>
            <w:r>
              <w:rPr>
                <w:rFonts w:ascii="Times New Roman"/>
                <w:sz w:val="18"/>
              </w:rPr>
            </w:r>
          </w:p>
        </w:tc>
      </w:tr>
      <w:tr>
        <w:trPr>
          <w:trHeight w:val="715"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3,753,824.60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131,152.35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316,193.14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2,139,823.50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6,340,993.59</w:t>
            </w:r>
            <w:r>
              <w:rPr>
                <w:rFonts w:ascii="Times New Roman"/>
                <w:sz w:val="18"/>
              </w:rPr>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3,753,824.60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131,152.35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316,193.14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2,139,823.50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6,340,993.59</w:t>
            </w:r>
            <w:r>
              <w:rPr>
                <w:rFonts w:ascii="Times New Roman"/>
                <w:sz w:val="18"/>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225,812,158.22</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12,562,932.95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53,428,435.65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19,608,888.94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311,412,415.76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53,367,628.19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5,573,286.46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21,362,609.61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13,517,680.64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93,821,204.90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11,603,602.05</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1,349,136.32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4,897,606.15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1,664,139.56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19,514,484.08</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11,603,602.05</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1,349,136.32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4,897,606.15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1,664,139.56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19,514,484.08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391,327.30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73,109.28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191,231.29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2,036,781.09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2,692,448.96</w:t>
            </w:r>
            <w:r>
              <w:rPr>
                <w:rFonts w:ascii="Times New Roman"/>
                <w:sz w:val="18"/>
              </w:rPr>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391,327.30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73,109.28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191,231.29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2,036,781.09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2,692,448.96</w:t>
            </w:r>
            <w:r>
              <w:rPr>
                <w:rFonts w:ascii="Times New Roman"/>
                <w:sz w:val="18"/>
              </w:rPr>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64,579,902.94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6,849,313.50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26,068,984.47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13,145,039.11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110,643,240.02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161,232,255.28</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5,713,619.45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27,359,451.18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6,463,849.83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200,769,175.74</w:t>
            </w:r>
            <w:r>
              <w:rPr>
                <w:rFonts w:ascii="Times New Roman"/>
                <w:sz w:val="18"/>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172,939,359.00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4,998,977.70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25,869,689.95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4,283,388.14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208,091,414.79</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bookmarkStart w:name="（2）暂时闲置的固定资产情况" w:id="267"/>
      <w:bookmarkEnd w:id="267"/>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6"/>
        <w:gridCol w:w="1594"/>
        <w:gridCol w:w="1596"/>
        <w:gridCol w:w="1594"/>
        <w:gridCol w:w="1583"/>
      </w:tblGrid>
      <w:tr>
        <w:trPr>
          <w:trHeight w:val="402"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bookmarkStart w:name="（3）通过融资租赁租入的固定资产情况" w:id="268"/>
      <w:bookmarkEnd w:id="268"/>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bookmarkStart w:name="（4）通过经营租赁租出的固定资产" w:id="269"/>
      <w:bookmarkEnd w:id="269"/>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1"/>
        <w:gridCol w:w="4788"/>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1,500,723.84</w:t>
            </w:r>
            <w:r>
              <w:rPr>
                <w:rFonts w:ascii="Times New Roman"/>
                <w:sz w:val="18"/>
              </w:rPr>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1,500,723.84</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bookmarkStart w:name="（5）未办妥产权证书的固定资产情况" w:id="270"/>
      <w:bookmarkEnd w:id="270"/>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15,640,808.86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尚在办理中</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15,640,808.86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bookmarkStart w:name="（6）固定资产清理" w:id="271"/>
      <w:bookmarkEnd w:id="271"/>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bookmarkStart w:name="17、在建工程" w:id="272"/>
      <w:bookmarkEnd w:id="272"/>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72"/>
        <w:gridCol w:w="3826"/>
        <w:gridCol w:w="3859"/>
      </w:tblGrid>
      <w:tr>
        <w:trPr>
          <w:trHeight w:val="403"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52,277,662.89</w:t>
            </w:r>
          </w:p>
        </w:tc>
        <w:tc>
          <w:tcPr>
            <w:tcW w:w="3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4,193,028.36</w:t>
            </w:r>
            <w:r>
              <w:rPr>
                <w:rFonts w:ascii="Times New Roman"/>
                <w:sz w:val="18"/>
              </w:rPr>
            </w:r>
          </w:p>
        </w:tc>
      </w:tr>
      <w:tr>
        <w:trPr>
          <w:trHeight w:val="403" w:hRule="exact"/>
        </w:trPr>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52,277,662.89</w:t>
            </w:r>
          </w:p>
        </w:tc>
        <w:tc>
          <w:tcPr>
            <w:tcW w:w="3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4,193,028.36</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bookmarkStart w:name="（1）在建工程情况" w:id="273"/>
      <w:bookmarkEnd w:id="273"/>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5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1"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包家花园停车场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9,622,452.74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9,622,452.74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2,104,027.42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2,104,027.42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伟创华鑫公司新 厂房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29,124,405.99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29,124,405.99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1,924,043.68</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1,924,043.68</w:t>
            </w:r>
            <w:r>
              <w:rPr>
                <w:rFonts w:ascii="Times New Roman"/>
                <w:sz w:val="18"/>
              </w:rPr>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徐州五洋科技配 套工程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5,771,340.00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5,771,340.00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待安装设备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7,759,464.16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7,759,464.16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164,957.26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164,957.26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52,277,662.89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52,277,662.89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4,193,028.36</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4,193,028.36</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bookmarkStart w:name="（2）重要在建工程项目本期变动情况" w:id="274"/>
      <w:bookmarkEnd w:id="274"/>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9" w:hRule="exact"/>
        </w:trPr>
        <w:tc>
          <w:tcPr>
            <w:tcW w:w="7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1"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包家花 园停车 场项目</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2,104,02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7.42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7,518,42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5.32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9,622,45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2.74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伟创华 鑫公司 新厂房</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1,924,04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3.68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27,200,3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62.31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29,124,4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05.99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徐州五 洋科技 配套工 程</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5,771,34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5,771,34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待安装 设备</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164,957.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14,908,8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36.13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7,314,32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9.23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7,759,46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4.16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4,193,02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8.36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55,398,9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63.76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7,314,32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9.23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52,277,6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62.89</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bookmarkStart w:name="（3）本期计提在建工程减值准备情况" w:id="275"/>
      <w:bookmarkEnd w:id="275"/>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bookmarkStart w:name="（4）工程物资" w:id="276"/>
      <w:bookmarkEnd w:id="276"/>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0"/>
        <w:gridCol w:w="3854"/>
        <w:gridCol w:w="3571"/>
      </w:tblGrid>
      <w:tr>
        <w:trPr>
          <w:trHeight w:val="403" w:hRule="exact"/>
        </w:trPr>
        <w:tc>
          <w:tcPr>
            <w:tcW w:w="21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30"/>
        <w:gridCol w:w="1330"/>
        <w:gridCol w:w="1327"/>
        <w:gridCol w:w="1198"/>
        <w:gridCol w:w="1195"/>
        <w:gridCol w:w="1195"/>
        <w:gridCol w:w="1193"/>
      </w:tblGrid>
      <w:tr>
        <w:trPr>
          <w:trHeight w:val="402" w:hRule="exact"/>
        </w:trPr>
        <w:tc>
          <w:tcPr>
            <w:tcW w:w="213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50"/>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bookmarkStart w:name="18、生产性生物资产" w:id="277"/>
      <w:bookmarkEnd w:id="277"/>
      <w:r>
        <w:rPr>
          <w:b w:val="0"/>
          <w:bCs w:val="0"/>
        </w:rPr>
      </w:r>
      <w:r>
        <w:rPr>
          <w:rFonts w:ascii="Times New Roman" w:hAnsi="Times New Roman" w:cs="Times New Roman" w:eastAsia="Times New Roman" w:hint="default"/>
        </w:rPr>
        <w:t>18</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bookmarkStart w:name="（1）采用成本计量模式的生产性生物资产" w:id="278"/>
      <w:bookmarkEnd w:id="278"/>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bookmarkStart w:name="（2）采用公允价值计量模式的生产性生物资产" w:id="279"/>
      <w:bookmarkEnd w:id="279"/>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bookmarkStart w:name="19、油气资产" w:id="280"/>
      <w:bookmarkEnd w:id="280"/>
      <w:r>
        <w:rPr>
          <w:b w:val="0"/>
          <w:bCs w:val="0"/>
        </w:rPr>
      </w:r>
      <w:r>
        <w:rPr>
          <w:rFonts w:ascii="Times New Roman" w:hAnsi="Times New Roman" w:cs="Times New Roman" w:eastAsia="Times New Roman" w:hint="default"/>
        </w:rPr>
        <w:t>19</w:t>
      </w:r>
      <w:r>
        <w:rPr/>
        <w:t>、油气资产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bookmarkStart w:name="20、无形资产" w:id="281"/>
      <w:bookmarkEnd w:id="281"/>
      <w:r>
        <w:rPr>
          <w:b w:val="0"/>
          <w:bCs w:val="0"/>
        </w:rPr>
      </w:r>
      <w:r>
        <w:rPr>
          <w:rFonts w:ascii="Times New Roman" w:hAnsi="Times New Roman" w:cs="Times New Roman" w:eastAsia="Times New Roman" w:hint="default"/>
        </w:rPr>
        <w:t>20</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bookmarkStart w:name="（1）无形资产情况" w:id="282"/>
      <w:bookmarkEnd w:id="282"/>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before="0"/>
        <w:ind w:right="1757"/>
        <w:jc w:val="left"/>
      </w:pPr>
      <w:r>
        <w:rPr/>
        <w:t>公司是否需遵守《深圳证券交易所创业板行业信息披露指引第</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240" w:lineRule="auto" w:before="43"/>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4"/>
        <w:gridCol w:w="1596"/>
        <w:gridCol w:w="1594"/>
        <w:gridCol w:w="1594"/>
        <w:gridCol w:w="1594"/>
      </w:tblGrid>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5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13" w:space="0" w:color="D4D4D4"/>
              <w:bottom w:val="single" w:sz="4" w:space="0" w:color="000000"/>
              <w:right w:val="single" w:sz="4" w:space="0" w:color="000000"/>
            </w:tcBorders>
            <w:shd w:val="clear" w:color="auto" w:fill="E1FFFF"/>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特许经营权</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4" w:type="dxa"/>
            <w:tcBorders>
              <w:top w:val="single" w:sz="4" w:space="0" w:color="000000"/>
              <w:left w:val="single" w:sz="10" w:space="0" w:color="D4D4D4"/>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80,795,076.26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9" w:right="0"/>
              <w:jc w:val="left"/>
              <w:rPr>
                <w:rFonts w:ascii="Times New Roman" w:hAnsi="Times New Roman" w:cs="Times New Roman" w:eastAsia="Times New Roman" w:hint="default"/>
                <w:sz w:val="18"/>
                <w:szCs w:val="18"/>
              </w:rPr>
            </w:pPr>
            <w:r>
              <w:rPr>
                <w:rFonts w:ascii="Times New Roman"/>
                <w:sz w:val="18"/>
              </w:rPr>
              <w:t>23,211,118.64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945,843.90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31,506,256.00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136,458,294.80</w:t>
            </w:r>
            <w:r>
              <w:rPr>
                <w:rFonts w:ascii="Times New Roman"/>
                <w:sz w:val="18"/>
              </w:rPr>
            </w: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1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604" w:type="dxa"/>
            <w:tcBorders>
              <w:top w:val="single" w:sz="4" w:space="0" w:color="000000"/>
              <w:left w:val="single" w:sz="10" w:space="0" w:color="D4D4D4"/>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4" w:type="dxa"/>
            <w:tcBorders>
              <w:top w:val="single" w:sz="4" w:space="0" w:color="000000"/>
              <w:left w:val="single" w:sz="10" w:space="0" w:color="D4D4D4"/>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 发</w:t>
            </w:r>
          </w:p>
        </w:tc>
        <w:tc>
          <w:tcPr>
            <w:tcW w:w="1604" w:type="dxa"/>
            <w:tcBorders>
              <w:top w:val="single" w:sz="4" w:space="0" w:color="000000"/>
              <w:left w:val="single" w:sz="10" w:space="0" w:color="D4D4D4"/>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12" w:right="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 并增加</w:t>
            </w:r>
          </w:p>
        </w:tc>
        <w:tc>
          <w:tcPr>
            <w:tcW w:w="1604" w:type="dxa"/>
            <w:tcBorders>
              <w:top w:val="single" w:sz="4" w:space="0" w:color="000000"/>
              <w:left w:val="single" w:sz="10" w:space="0" w:color="D4D4D4"/>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60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6,006,256.00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6,006,256.00</w:t>
            </w:r>
            <w:r>
              <w:rPr>
                <w:rFonts w:ascii="Times New Roman"/>
                <w:sz w:val="18"/>
              </w:rPr>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6,006,256.00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6,006,256.00</w:t>
            </w:r>
            <w:r>
              <w:rPr>
                <w:rFonts w:ascii="Times New Roman"/>
                <w:sz w:val="18"/>
              </w:rPr>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60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80,795,076.26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9" w:right="0"/>
              <w:jc w:val="left"/>
              <w:rPr>
                <w:rFonts w:ascii="Times New Roman" w:hAnsi="Times New Roman" w:cs="Times New Roman" w:eastAsia="Times New Roman" w:hint="default"/>
                <w:sz w:val="18"/>
                <w:szCs w:val="18"/>
              </w:rPr>
            </w:pPr>
            <w:r>
              <w:rPr>
                <w:rFonts w:ascii="Times New Roman"/>
                <w:sz w:val="18"/>
              </w:rPr>
              <w:t>23,211,118.64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945,843.90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130,452,038.80</w:t>
            </w:r>
            <w:r>
              <w:rPr>
                <w:rFonts w:ascii="Times New Roman"/>
                <w:sz w:val="18"/>
              </w:rPr>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7,455,242.43</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6,862,762.53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391,383.91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4,109,673.60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18,819,062.47</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1,735,497.45</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2,179,774.82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159,168.84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708,333.32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4,782,774.43</w:t>
            </w:r>
            <w:r>
              <w:rPr>
                <w:rFonts w:ascii="Times New Roman"/>
                <w:sz w:val="18"/>
              </w:rPr>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1,735,497.45</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2,179,774.82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159,168.84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708,333.32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4,782,774.43</w:t>
            </w:r>
            <w:r>
              <w:rPr>
                <w:rFonts w:ascii="Times New Roman"/>
                <w:sz w:val="18"/>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4,109,673.60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4,109,673.60</w:t>
            </w:r>
            <w:r>
              <w:rPr>
                <w:rFonts w:ascii="Times New Roman"/>
                <w:sz w:val="18"/>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4,109,673.60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4,109,673.60</w:t>
            </w:r>
            <w:r>
              <w:rPr>
                <w:rFonts w:ascii="Times New Roman"/>
                <w:sz w:val="18"/>
              </w:rPr>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9,190,739.88</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9,042,537.35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550,552.75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708,333.32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19,492,163.30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1,896,582.40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1,896,582.40</w:t>
            </w:r>
            <w:r>
              <w:rPr>
                <w:rFonts w:ascii="Times New Roman"/>
                <w:sz w:val="18"/>
              </w:rPr>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1,896,582.40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1,896,582.40</w:t>
            </w:r>
            <w:r>
              <w:rPr>
                <w:rFonts w:ascii="Times New Roman"/>
                <w:sz w:val="18"/>
              </w:rPr>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1,896,582.40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1,896,582.40</w:t>
            </w:r>
            <w:r>
              <w:rPr>
                <w:rFonts w:ascii="Times New Roman"/>
                <w:sz w:val="18"/>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71,604,336.38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14,168,581.29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395,291.15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24,791,666.68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110,959,875.50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73,339,833.83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16,348,356.11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554,459.99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115,742,649.93</w:t>
            </w:r>
          </w:p>
        </w:tc>
      </w:tr>
    </w:tbl>
    <w:p>
      <w:pPr>
        <w:pStyle w:val="BodyText"/>
        <w:spacing w:line="240" w:lineRule="auto" w:before="49"/>
        <w:ind w:right="982"/>
        <w:jc w:val="left"/>
      </w:pPr>
      <w:r>
        <w:rPr/>
        <w:t>本期末通过公司内部研发形成的无形资产占无形资产余额的比例。</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bookmarkStart w:name="（2）未办妥产权证书的土地使用权情况" w:id="283"/>
      <w:bookmarkEnd w:id="283"/>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bookmarkStart w:name="21、开发支出" w:id="284"/>
      <w:bookmarkEnd w:id="284"/>
      <w:r>
        <w:rPr>
          <w:b w:val="0"/>
          <w:bCs w:val="0"/>
        </w:rPr>
      </w:r>
      <w:r>
        <w:rPr>
          <w:rFonts w:ascii="Times New Roman" w:hAnsi="Times New Roman" w:cs="Times New Roman" w:eastAsia="Times New Roman" w:hint="default"/>
        </w:rPr>
        <w:t>21</w:t>
      </w:r>
      <w:r>
        <w:rPr/>
        <w:t>、开发支出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after="0" w:line="240" w:lineRule="auto"/>
        <w:jc w:val="right"/>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3190"/>
        <w:gridCol w:w="3187"/>
        <w:gridCol w:w="1063"/>
      </w:tblGrid>
      <w:tr>
        <w:trPr>
          <w:trHeight w:val="402" w:hRule="exact"/>
        </w:trPr>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0"/>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bookmarkStart w:name="22、商誉" w:id="285"/>
      <w:bookmarkEnd w:id="285"/>
      <w:r>
        <w:rPr>
          <w:b w:val="0"/>
          <w:bCs w:val="0"/>
        </w:rPr>
      </w:r>
      <w:r>
        <w:rPr>
          <w:rFonts w:ascii="Times New Roman" w:hAnsi="Times New Roman" w:cs="Times New Roman" w:eastAsia="Times New Roman" w:hint="default"/>
        </w:rPr>
        <w:t>22</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bookmarkStart w:name="（1）商誉账面原值" w:id="286"/>
      <w:bookmarkEnd w:id="286"/>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8"/>
        <w:gridCol w:w="1366"/>
      </w:tblGrid>
      <w:tr>
        <w:trPr>
          <w:trHeight w:val="1027"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伟创自动化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334,964,694.37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334,964,694.37</w:t>
            </w:r>
            <w:r>
              <w:rPr>
                <w:rFonts w:ascii="Times New Roman"/>
                <w:sz w:val="18"/>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华逸奇</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13,425,367.55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13,425,367.55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天辰智能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167,156,998.87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167,156,998.87</w:t>
            </w:r>
            <w:r>
              <w:rPr>
                <w:rFonts w:ascii="Times New Roman"/>
                <w:sz w:val="18"/>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515,547,060.79</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515,547,060.79</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bookmarkStart w:name="（2）商誉减值准备" w:id="287"/>
      <w:bookmarkEnd w:id="287"/>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8"/>
        <w:gridCol w:w="1366"/>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华逸奇</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13,425,367.55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13,425,367.55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13,425,367.55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13,425,367.55</w:t>
            </w:r>
          </w:p>
        </w:tc>
      </w:tr>
    </w:tbl>
    <w:p>
      <w:pPr>
        <w:pStyle w:val="BodyText"/>
        <w:spacing w:line="357" w:lineRule="auto" w:before="49"/>
        <w:ind w:right="7514"/>
        <w:jc w:val="left"/>
      </w:pPr>
      <w:r>
        <w:rPr/>
        <w:t>商誉所在资产组或资产组组合的相关信息 伟创自动化公司</w:t>
      </w:r>
      <w:r>
        <w:rPr>
          <w:color w:val="303030"/>
        </w:rPr>
        <w:t>商誉所在资产组相关信息</w:t>
      </w:r>
      <w:r>
        <w:rPr/>
      </w:r>
    </w:p>
    <w:tbl>
      <w:tblPr>
        <w:tblW w:w="0" w:type="auto"/>
        <w:jc w:val="left"/>
        <w:tblInd w:w="143" w:type="dxa"/>
        <w:tblLayout w:type="fixed"/>
        <w:tblCellMar>
          <w:top w:w="0" w:type="dxa"/>
          <w:left w:w="0" w:type="dxa"/>
          <w:bottom w:w="0" w:type="dxa"/>
          <w:right w:w="0" w:type="dxa"/>
        </w:tblCellMar>
        <w:tblLook w:val="01E0"/>
      </w:tblPr>
      <w:tblGrid>
        <w:gridCol w:w="4428"/>
        <w:gridCol w:w="4078"/>
      </w:tblGrid>
      <w:tr>
        <w:trPr>
          <w:trHeight w:val="353" w:hRule="exact"/>
        </w:trPr>
        <w:tc>
          <w:tcPr>
            <w:tcW w:w="4428"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left="2" w:right="0"/>
              <w:jc w:val="left"/>
              <w:rPr>
                <w:rFonts w:ascii="宋体" w:hAnsi="宋体" w:cs="宋体" w:eastAsia="宋体" w:hint="default"/>
                <w:sz w:val="18"/>
                <w:szCs w:val="18"/>
              </w:rPr>
            </w:pPr>
            <w:r>
              <w:rPr>
                <w:rFonts w:ascii="宋体" w:hAnsi="宋体" w:cs="宋体" w:eastAsia="宋体" w:hint="default"/>
                <w:color w:val="303030"/>
                <w:sz w:val="18"/>
                <w:szCs w:val="18"/>
              </w:rPr>
              <w:t>资产组的构成</w:t>
            </w:r>
            <w:r>
              <w:rPr>
                <w:rFonts w:ascii="宋体" w:hAnsi="宋体" w:cs="宋体" w:eastAsia="宋体" w:hint="default"/>
                <w:sz w:val="18"/>
                <w:szCs w:val="18"/>
              </w:rPr>
            </w:r>
          </w:p>
        </w:tc>
        <w:tc>
          <w:tcPr>
            <w:tcW w:w="4078"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left="230" w:right="0"/>
              <w:jc w:val="left"/>
              <w:rPr>
                <w:rFonts w:ascii="宋体" w:hAnsi="宋体" w:cs="宋体" w:eastAsia="宋体" w:hint="default"/>
                <w:sz w:val="18"/>
                <w:szCs w:val="18"/>
              </w:rPr>
            </w:pPr>
            <w:r>
              <w:rPr>
                <w:rFonts w:ascii="宋体" w:hAnsi="宋体" w:cs="宋体" w:eastAsia="宋体" w:hint="default"/>
                <w:sz w:val="18"/>
                <w:szCs w:val="18"/>
              </w:rPr>
              <w:t>固定资产、无形资产、在建工程等可辨认资产</w:t>
            </w:r>
          </w:p>
        </w:tc>
      </w:tr>
      <w:tr>
        <w:trPr>
          <w:trHeight w:val="350" w:hRule="exact"/>
        </w:trPr>
        <w:tc>
          <w:tcPr>
            <w:tcW w:w="4428"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left="2" w:right="0"/>
              <w:jc w:val="left"/>
              <w:rPr>
                <w:rFonts w:ascii="宋体" w:hAnsi="宋体" w:cs="宋体" w:eastAsia="宋体" w:hint="default"/>
                <w:sz w:val="18"/>
                <w:szCs w:val="18"/>
              </w:rPr>
            </w:pPr>
            <w:r>
              <w:rPr>
                <w:rFonts w:ascii="宋体" w:hAnsi="宋体" w:cs="宋体" w:eastAsia="宋体" w:hint="default"/>
                <w:sz w:val="18"/>
                <w:szCs w:val="18"/>
              </w:rPr>
              <w:t>资产组的账面价值</w:t>
            </w:r>
          </w:p>
        </w:tc>
        <w:tc>
          <w:tcPr>
            <w:tcW w:w="4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3"/>
              <w:jc w:val="right"/>
              <w:rPr>
                <w:rFonts w:ascii="Times New Roman" w:hAnsi="Times New Roman" w:cs="Times New Roman" w:eastAsia="Times New Roman" w:hint="default"/>
                <w:sz w:val="18"/>
                <w:szCs w:val="18"/>
              </w:rPr>
            </w:pPr>
            <w:r>
              <w:rPr>
                <w:rFonts w:ascii="Times New Roman"/>
                <w:spacing w:val="-1"/>
                <w:sz w:val="18"/>
              </w:rPr>
              <w:t>185,298,572.59</w:t>
            </w:r>
            <w:r>
              <w:rPr>
                <w:rFonts w:ascii="Times New Roman"/>
                <w:sz w:val="18"/>
              </w:rPr>
            </w:r>
          </w:p>
        </w:tc>
      </w:tr>
      <w:tr>
        <w:trPr>
          <w:trHeight w:val="353" w:hRule="exact"/>
        </w:trPr>
        <w:tc>
          <w:tcPr>
            <w:tcW w:w="44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分摊至本资产组的商誉账面价值</w:t>
            </w:r>
          </w:p>
        </w:tc>
        <w:tc>
          <w:tcPr>
            <w:tcW w:w="4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3"/>
              <w:jc w:val="right"/>
              <w:rPr>
                <w:rFonts w:ascii="Times New Roman" w:hAnsi="Times New Roman" w:cs="Times New Roman" w:eastAsia="Times New Roman" w:hint="default"/>
                <w:sz w:val="18"/>
                <w:szCs w:val="18"/>
              </w:rPr>
            </w:pPr>
            <w:r>
              <w:rPr>
                <w:rFonts w:ascii="Times New Roman"/>
                <w:spacing w:val="-1"/>
                <w:sz w:val="18"/>
              </w:rPr>
              <w:t>334,964,694.37</w:t>
            </w:r>
            <w:r>
              <w:rPr>
                <w:rFonts w:ascii="Times New Roman"/>
                <w:sz w:val="18"/>
              </w:rPr>
            </w:r>
          </w:p>
        </w:tc>
      </w:tr>
      <w:tr>
        <w:trPr>
          <w:trHeight w:val="353" w:hRule="exact"/>
        </w:trPr>
        <w:tc>
          <w:tcPr>
            <w:tcW w:w="4428"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left="2" w:right="0"/>
              <w:jc w:val="left"/>
              <w:rPr>
                <w:rFonts w:ascii="宋体" w:hAnsi="宋体" w:cs="宋体" w:eastAsia="宋体" w:hint="default"/>
                <w:sz w:val="18"/>
                <w:szCs w:val="18"/>
              </w:rPr>
            </w:pPr>
            <w:r>
              <w:rPr>
                <w:rFonts w:ascii="宋体" w:hAnsi="宋体" w:cs="宋体" w:eastAsia="宋体" w:hint="default"/>
                <w:sz w:val="18"/>
                <w:szCs w:val="18"/>
              </w:rPr>
              <w:t>包含商誉的资产组的账面价值</w:t>
            </w:r>
          </w:p>
        </w:tc>
        <w:tc>
          <w:tcPr>
            <w:tcW w:w="4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3"/>
              <w:jc w:val="right"/>
              <w:rPr>
                <w:rFonts w:ascii="Times New Roman" w:hAnsi="Times New Roman" w:cs="Times New Roman" w:eastAsia="Times New Roman" w:hint="default"/>
                <w:sz w:val="18"/>
                <w:szCs w:val="18"/>
              </w:rPr>
            </w:pPr>
            <w:r>
              <w:rPr>
                <w:rFonts w:ascii="Times New Roman"/>
                <w:spacing w:val="-1"/>
                <w:sz w:val="18"/>
              </w:rPr>
              <w:t>520,263,266.96</w:t>
            </w:r>
            <w:r>
              <w:rPr>
                <w:rFonts w:ascii="Times New Roman"/>
                <w:sz w:val="18"/>
              </w:rPr>
            </w:r>
          </w:p>
        </w:tc>
      </w:tr>
      <w:tr>
        <w:trPr>
          <w:trHeight w:val="665" w:hRule="exact"/>
        </w:trPr>
        <w:tc>
          <w:tcPr>
            <w:tcW w:w="442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ind w:left="2" w:right="84"/>
              <w:jc w:val="left"/>
              <w:rPr>
                <w:rFonts w:ascii="宋体" w:hAnsi="宋体" w:cs="宋体" w:eastAsia="宋体" w:hint="default"/>
                <w:sz w:val="18"/>
                <w:szCs w:val="18"/>
              </w:rPr>
            </w:pPr>
            <w:r>
              <w:rPr>
                <w:rFonts w:ascii="宋体" w:hAnsi="宋体" w:cs="宋体" w:eastAsia="宋体" w:hint="default"/>
                <w:sz w:val="18"/>
                <w:szCs w:val="18"/>
              </w:rPr>
              <w:t>资产组是否与购买日、以前年度商誉减值测试时所确定 的资产组一致</w:t>
            </w:r>
          </w:p>
        </w:tc>
        <w:tc>
          <w:tcPr>
            <w:tcW w:w="4078"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1"/>
              <w:jc w:val="righ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7"/>
        <w:rPr>
          <w:rFonts w:ascii="宋体" w:hAnsi="宋体" w:cs="宋体" w:eastAsia="宋体" w:hint="default"/>
          <w:sz w:val="19"/>
          <w:szCs w:val="19"/>
        </w:rPr>
      </w:pPr>
    </w:p>
    <w:p>
      <w:pPr>
        <w:pStyle w:val="BodyText"/>
        <w:spacing w:line="240" w:lineRule="auto"/>
        <w:ind w:right="982"/>
        <w:jc w:val="left"/>
      </w:pPr>
      <w:r>
        <w:rPr/>
        <w:t>天辰智能公司</w:t>
      </w:r>
      <w:r>
        <w:rPr>
          <w:color w:val="303030"/>
        </w:rPr>
        <w:t>商誉所在资产组相关信息</w:t>
      </w:r>
      <w:r>
        <w:rPr/>
      </w:r>
    </w:p>
    <w:p>
      <w:pPr>
        <w:spacing w:line="240" w:lineRule="auto" w:before="3"/>
        <w:rPr>
          <w:rFonts w:ascii="宋体" w:hAnsi="宋体" w:cs="宋体" w:eastAsia="宋体" w:hint="default"/>
          <w:sz w:val="5"/>
          <w:szCs w:val="5"/>
        </w:rPr>
      </w:pPr>
    </w:p>
    <w:tbl>
      <w:tblPr>
        <w:tblW w:w="0" w:type="auto"/>
        <w:jc w:val="left"/>
        <w:tblInd w:w="143" w:type="dxa"/>
        <w:tblLayout w:type="fixed"/>
        <w:tblCellMar>
          <w:top w:w="0" w:type="dxa"/>
          <w:left w:w="0" w:type="dxa"/>
          <w:bottom w:w="0" w:type="dxa"/>
          <w:right w:w="0" w:type="dxa"/>
        </w:tblCellMar>
        <w:tblLook w:val="01E0"/>
      </w:tblPr>
      <w:tblGrid>
        <w:gridCol w:w="4428"/>
        <w:gridCol w:w="4078"/>
      </w:tblGrid>
      <w:tr>
        <w:trPr>
          <w:trHeight w:val="350" w:hRule="exact"/>
        </w:trPr>
        <w:tc>
          <w:tcPr>
            <w:tcW w:w="44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color w:val="303030"/>
                <w:sz w:val="18"/>
                <w:szCs w:val="18"/>
              </w:rPr>
              <w:t>资产组的构成</w:t>
            </w:r>
            <w:r>
              <w:rPr>
                <w:rFonts w:ascii="宋体" w:hAnsi="宋体" w:cs="宋体" w:eastAsia="宋体" w:hint="default"/>
                <w:sz w:val="18"/>
                <w:szCs w:val="18"/>
              </w:rPr>
            </w:r>
          </w:p>
        </w:tc>
        <w:tc>
          <w:tcPr>
            <w:tcW w:w="4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679" w:right="0"/>
              <w:jc w:val="left"/>
              <w:rPr>
                <w:rFonts w:ascii="宋体" w:hAnsi="宋体" w:cs="宋体" w:eastAsia="宋体" w:hint="default"/>
                <w:sz w:val="18"/>
                <w:szCs w:val="18"/>
              </w:rPr>
            </w:pPr>
            <w:r>
              <w:rPr>
                <w:rFonts w:ascii="宋体" w:hAnsi="宋体" w:cs="宋体" w:eastAsia="宋体" w:hint="default"/>
                <w:sz w:val="18"/>
                <w:szCs w:val="18"/>
              </w:rPr>
              <w:t>固定资产、无形资产等可辨认资产</w:t>
            </w:r>
          </w:p>
        </w:tc>
      </w:tr>
      <w:tr>
        <w:trPr>
          <w:trHeight w:val="353" w:hRule="exact"/>
        </w:trPr>
        <w:tc>
          <w:tcPr>
            <w:tcW w:w="44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资产组的账面价值</w:t>
            </w:r>
          </w:p>
        </w:tc>
        <w:tc>
          <w:tcPr>
            <w:tcW w:w="4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53,177,175.51</w:t>
            </w:r>
          </w:p>
        </w:tc>
      </w:tr>
      <w:tr>
        <w:trPr>
          <w:trHeight w:val="353" w:hRule="exact"/>
        </w:trPr>
        <w:tc>
          <w:tcPr>
            <w:tcW w:w="44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分摊至本资产组的商誉账面价值</w:t>
            </w:r>
          </w:p>
        </w:tc>
        <w:tc>
          <w:tcPr>
            <w:tcW w:w="4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167,156,998.87</w:t>
            </w:r>
            <w:r>
              <w:rPr>
                <w:rFonts w:ascii="Times New Roman"/>
                <w:sz w:val="18"/>
              </w:rPr>
            </w:r>
          </w:p>
        </w:tc>
      </w:tr>
      <w:tr>
        <w:trPr>
          <w:trHeight w:val="350" w:hRule="exact"/>
        </w:trPr>
        <w:tc>
          <w:tcPr>
            <w:tcW w:w="44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包含商誉的资产组的账面价值</w:t>
            </w:r>
          </w:p>
        </w:tc>
        <w:tc>
          <w:tcPr>
            <w:tcW w:w="4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220,334,174.38</w:t>
            </w:r>
            <w:r>
              <w:rPr>
                <w:rFonts w:ascii="Times New Roman"/>
                <w:sz w:val="18"/>
              </w:rPr>
            </w:r>
          </w:p>
        </w:tc>
      </w:tr>
      <w:tr>
        <w:trPr>
          <w:trHeight w:val="665" w:hRule="exact"/>
        </w:trPr>
        <w:tc>
          <w:tcPr>
            <w:tcW w:w="442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left="2" w:right="84"/>
              <w:jc w:val="left"/>
              <w:rPr>
                <w:rFonts w:ascii="宋体" w:hAnsi="宋体" w:cs="宋体" w:eastAsia="宋体" w:hint="default"/>
                <w:sz w:val="18"/>
                <w:szCs w:val="18"/>
              </w:rPr>
            </w:pPr>
            <w:r>
              <w:rPr>
                <w:rFonts w:ascii="宋体" w:hAnsi="宋体" w:cs="宋体" w:eastAsia="宋体" w:hint="default"/>
                <w:sz w:val="18"/>
                <w:szCs w:val="18"/>
              </w:rPr>
              <w:t>资产组是否与购买日、以前年度商誉减值测试时所确定 的资产组一致</w:t>
            </w:r>
          </w:p>
        </w:tc>
        <w:tc>
          <w:tcPr>
            <w:tcW w:w="4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right"/>
        <w:rPr>
          <w:rFonts w:ascii="宋体" w:hAnsi="宋体" w:cs="宋体" w:eastAsia="宋体" w:hint="default"/>
          <w:sz w:val="18"/>
          <w:szCs w:val="18"/>
        </w:rPr>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316" w:lineRule="auto"/>
        <w:ind w:right="982"/>
        <w:jc w:val="left"/>
      </w:pPr>
      <w:r>
        <w:rPr>
          <w:spacing w:val="-2"/>
        </w:rPr>
        <w:t>说明商誉减值测试过程、关键参数（如预计未来现金流量现值时的预测期增长率、稳定期增长率、利润率、折现率、预测期</w:t>
      </w:r>
      <w:r>
        <w:rPr>
          <w:spacing w:val="-70"/>
        </w:rPr>
        <w:t> </w:t>
      </w:r>
      <w:r>
        <w:rPr>
          <w:spacing w:val="-70"/>
        </w:rPr>
      </w:r>
      <w:r>
        <w:rPr/>
        <w:t>等）及商誉减值损失的确认方法：</w:t>
      </w:r>
    </w:p>
    <w:p>
      <w:pPr>
        <w:pStyle w:val="BodyText"/>
        <w:spacing w:line="240" w:lineRule="auto" w:before="59"/>
        <w:ind w:left="440" w:right="982"/>
        <w:jc w:val="left"/>
      </w:pPr>
      <w:r>
        <w:rPr/>
        <w:t>伟创自动化公司</w:t>
      </w:r>
    </w:p>
    <w:p>
      <w:pPr>
        <w:pStyle w:val="BodyText"/>
        <w:spacing w:line="300" w:lineRule="auto" w:before="76"/>
        <w:ind w:right="982" w:firstLine="360"/>
        <w:jc w:val="left"/>
      </w:pPr>
      <w:r>
        <w:rPr/>
        <w:t>商誉的可收回金额按照预计未来现金流量的现值计算，以伟创自动化公司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-2023</w:t>
      </w:r>
      <w:r>
        <w:rPr/>
        <w:t>年度的现金流量预测为基础，现 金流量预测使用的折现率</w:t>
      </w:r>
      <w:r>
        <w:rPr>
          <w:rFonts w:ascii="Times New Roman" w:hAnsi="Times New Roman" w:cs="Times New Roman" w:eastAsia="Times New Roman" w:hint="default"/>
        </w:rPr>
        <w:t>12.53%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11.79%</w:t>
      </w:r>
      <w:r>
        <w:rPr/>
        <w:t>），预测期以后的现金流量按</w:t>
      </w:r>
      <w:r>
        <w:rPr>
          <w:rFonts w:ascii="Times New Roman" w:hAnsi="Times New Roman" w:cs="Times New Roman" w:eastAsia="Times New Roman" w:hint="default"/>
        </w:rPr>
        <w:t>2023</w:t>
      </w:r>
      <w:r>
        <w:rPr/>
        <w:t>年现金流量为基础推断得出。</w:t>
      </w:r>
    </w:p>
    <w:p>
      <w:pPr>
        <w:pStyle w:val="BodyText"/>
        <w:spacing w:line="316" w:lineRule="auto" w:before="13"/>
        <w:ind w:left="440" w:right="982" w:firstLine="72"/>
        <w:jc w:val="left"/>
      </w:pPr>
      <w:r>
        <w:rPr/>
        <w:t>减值测试中采用的其他关键数据包括：产品预计售价、销量、生产成本及其他相关费用。 </w:t>
      </w:r>
      <w:r>
        <w:rPr>
          <w:spacing w:val="-1"/>
        </w:rPr>
        <w:t>公司根据历史经验及对市场发展的预测确定上述关键数据。公司采用的折现率是反映当前市场货币时间价值和相关资产</w:t>
      </w:r>
    </w:p>
    <w:p>
      <w:pPr>
        <w:pStyle w:val="BodyText"/>
        <w:spacing w:line="316" w:lineRule="auto" w:before="18"/>
        <w:ind w:left="512" w:right="982" w:hanging="360"/>
        <w:jc w:val="left"/>
      </w:pPr>
      <w:r>
        <w:rPr/>
        <w:t>组特定风险的税前利率。 根据公司聘请的中联资产评估集团有限公司出具的《评估报告》（中联评报字</w:t>
      </w:r>
      <w:r>
        <w:rPr>
          <w:rFonts w:ascii="Times New Roman" w:hAnsi="Times New Roman" w:cs="Times New Roman" w:eastAsia="Times New Roman" w:hint="default"/>
        </w:rPr>
        <w:t>[2019]</w:t>
      </w:r>
      <w:r>
        <w:rPr/>
        <w:t>第</w:t>
      </w:r>
      <w:r>
        <w:rPr>
          <w:rFonts w:ascii="Times New Roman" w:hAnsi="Times New Roman" w:cs="Times New Roman" w:eastAsia="Times New Roman" w:hint="default"/>
        </w:rPr>
        <w:t>536</w:t>
      </w:r>
      <w:r>
        <w:rPr/>
        <w:t>号），包含商誉的资产组未</w:t>
      </w:r>
    </w:p>
    <w:p>
      <w:pPr>
        <w:pStyle w:val="BodyText"/>
        <w:spacing w:line="300" w:lineRule="auto" w:before="0"/>
        <w:ind w:left="440" w:right="3734" w:hanging="288"/>
        <w:jc w:val="left"/>
      </w:pPr>
      <w:r>
        <w:rPr/>
        <w:t>来现金流量现值为</w:t>
      </w:r>
      <w:r>
        <w:rPr>
          <w:rFonts w:ascii="Times New Roman" w:hAnsi="Times New Roman" w:cs="Times New Roman" w:eastAsia="Times New Roman" w:hint="default"/>
        </w:rPr>
        <w:t>52,826.48</w:t>
      </w:r>
      <w:r>
        <w:rPr/>
        <w:t>万元，高于账面价值</w:t>
      </w:r>
      <w:r>
        <w:rPr>
          <w:rFonts w:ascii="Times New Roman" w:hAnsi="Times New Roman" w:cs="Times New Roman" w:eastAsia="Times New Roman" w:hint="default"/>
        </w:rPr>
        <w:t>52,026.33</w:t>
      </w:r>
      <w:r>
        <w:rPr/>
        <w:t>万元，商誉并未出现减值损失。 天辰智能公司</w:t>
      </w:r>
    </w:p>
    <w:p>
      <w:pPr>
        <w:pStyle w:val="BodyText"/>
        <w:spacing w:line="300" w:lineRule="auto" w:before="31"/>
        <w:ind w:right="982" w:firstLine="360"/>
        <w:jc w:val="left"/>
      </w:pPr>
      <w:r>
        <w:rPr/>
        <w:t>商誉的可收回金额按照预计未来现金流量的现值计算，以天辰智能公司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-2023</w:t>
      </w:r>
      <w:r>
        <w:rPr/>
        <w:t>年度的现金流量预测为基础，现金 流量预测使用的折现率</w:t>
      </w:r>
      <w:r>
        <w:rPr>
          <w:rFonts w:ascii="Times New Roman" w:hAnsi="Times New Roman" w:cs="Times New Roman" w:eastAsia="Times New Roman" w:hint="default"/>
        </w:rPr>
        <w:t>12.84%</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12.45%</w:t>
      </w:r>
      <w:r>
        <w:rPr/>
        <w:t>），预测期以后的现金流量按</w:t>
      </w:r>
      <w:r>
        <w:rPr>
          <w:rFonts w:ascii="Times New Roman" w:hAnsi="Times New Roman" w:cs="Times New Roman" w:eastAsia="Times New Roman" w:hint="default"/>
        </w:rPr>
        <w:t>2023</w:t>
      </w:r>
      <w:r>
        <w:rPr/>
        <w:t>年现金流量为基础推断得出。</w:t>
      </w:r>
    </w:p>
    <w:p>
      <w:pPr>
        <w:pStyle w:val="BodyText"/>
        <w:spacing w:line="316" w:lineRule="auto" w:before="13"/>
        <w:ind w:left="440" w:right="982" w:firstLine="72"/>
        <w:jc w:val="left"/>
      </w:pPr>
      <w:r>
        <w:rPr/>
        <w:t>减值测试中采用的其他关键数据包括：产品预计售价、销量、生产成本及其他相关费用。 </w:t>
      </w:r>
      <w:r>
        <w:rPr>
          <w:spacing w:val="-1"/>
        </w:rPr>
        <w:t>公司根据历史经验及对市场发展的预测确定上述关键数据。公司采用的折现率是反映当前市场货币时间价值和相关资产</w:t>
      </w:r>
    </w:p>
    <w:p>
      <w:pPr>
        <w:pStyle w:val="BodyText"/>
        <w:spacing w:line="316" w:lineRule="auto" w:before="18"/>
        <w:ind w:left="512" w:right="982" w:hanging="360"/>
        <w:jc w:val="left"/>
      </w:pPr>
      <w:r>
        <w:rPr/>
        <w:t>组特定风险的税前利率。 根据公司聘请的中联资产评估集团有限公司出具的《评估报告》（中联评报字</w:t>
      </w:r>
      <w:r>
        <w:rPr>
          <w:rFonts w:ascii="Times New Roman" w:hAnsi="Times New Roman" w:cs="Times New Roman" w:eastAsia="Times New Roman" w:hint="default"/>
        </w:rPr>
        <w:t>[2019]</w:t>
      </w:r>
      <w:r>
        <w:rPr/>
        <w:t>第</w:t>
      </w:r>
      <w:r>
        <w:rPr>
          <w:rFonts w:ascii="Times New Roman" w:hAnsi="Times New Roman" w:cs="Times New Roman" w:eastAsia="Times New Roman" w:hint="default"/>
        </w:rPr>
        <w:t>535</w:t>
      </w:r>
      <w:r>
        <w:rPr/>
        <w:t>号），包含商誉的资产组未</w:t>
      </w:r>
    </w:p>
    <w:p>
      <w:pPr>
        <w:pStyle w:val="BodyText"/>
        <w:spacing w:line="340" w:lineRule="auto" w:before="0"/>
        <w:ind w:right="3734"/>
        <w:jc w:val="left"/>
      </w:pPr>
      <w:r>
        <w:rPr/>
        <w:t>来现金流量现值为</w:t>
      </w:r>
      <w:r>
        <w:rPr>
          <w:rFonts w:ascii="Times New Roman" w:hAnsi="Times New Roman" w:cs="Times New Roman" w:eastAsia="Times New Roman" w:hint="default"/>
        </w:rPr>
        <w:t>31,163.08</w:t>
      </w:r>
      <w:r>
        <w:rPr/>
        <w:t>万元，高于账面价值</w:t>
      </w:r>
      <w:r>
        <w:rPr>
          <w:rFonts w:ascii="Times New Roman" w:hAnsi="Times New Roman" w:cs="Times New Roman" w:eastAsia="Times New Roman" w:hint="default"/>
        </w:rPr>
        <w:t>22,033.42</w:t>
      </w:r>
      <w:r>
        <w:rPr/>
        <w:t>万元，商誉并未出现减值损失。 商誉减值测试的影响</w:t>
      </w:r>
    </w:p>
    <w:p>
      <w:pPr>
        <w:pStyle w:val="BodyText"/>
        <w:spacing w:line="240" w:lineRule="auto" w:before="3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1"/>
        <w:ind w:right="982"/>
        <w:jc w:val="left"/>
        <w:rPr>
          <w:b w:val="0"/>
          <w:bCs w:val="0"/>
        </w:rPr>
      </w:pPr>
      <w:bookmarkStart w:name="23、长期待摊费用" w:id="288"/>
      <w:bookmarkEnd w:id="288"/>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6"/>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土地租赁费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827,722.68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3,000,000.00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480,858.14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3,346,864.54</w:t>
            </w:r>
            <w:r>
              <w:rPr>
                <w:rFonts w:ascii="Times New Roman"/>
                <w:sz w:val="18"/>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1,442,264.46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816,455.91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625,808.55</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停车场工程支出</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2,675,055.15</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268,793.46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2,406,261.69</w:t>
            </w:r>
            <w:r>
              <w:rPr>
                <w:rFonts w:ascii="Times New Roman"/>
                <w:sz w:val="18"/>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2,269,987.14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5,675,055.15</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1,566,107.51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6,378,934.78</w:t>
            </w:r>
            <w:r>
              <w:rPr>
                <w:rFonts w:ascii="Times New Roman"/>
                <w:sz w:val="18"/>
              </w:rPr>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bookmarkStart w:name="24、递延所得税资产/递延所得税负债" w:id="289"/>
      <w:bookmarkEnd w:id="289"/>
      <w:r>
        <w:rPr>
          <w:b w:val="0"/>
          <w:bCs w:val="0"/>
        </w:rPr>
      </w: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bookmarkStart w:name="（1）未经抵销的递延所得税资产" w:id="290"/>
      <w:bookmarkEnd w:id="290"/>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1"/>
        <w:gridCol w:w="1927"/>
        <w:gridCol w:w="1915"/>
        <w:gridCol w:w="1913"/>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4D4D4"/>
          </w:tcPr>
          <w:p>
            <w:pPr/>
          </w:p>
        </w:tc>
        <w:tc>
          <w:tcPr>
            <w:tcW w:w="3842"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4D4D4"/>
          </w:tcPr>
          <w:p>
            <w:pPr/>
          </w:p>
        </w:tc>
        <w:tc>
          <w:tcPr>
            <w:tcW w:w="3828" w:type="dxa"/>
            <w:gridSpan w:val="2"/>
            <w:vMerge/>
            <w:tcBorders>
              <w:left w:val="single" w:sz="4" w:space="0" w:color="000000"/>
              <w:bottom w:val="single" w:sz="4" w:space="0" w:color="000000"/>
              <w:right w:val="single" w:sz="4" w:space="0" w:color="000000"/>
            </w:tcBorders>
            <w:shd w:val="clear" w:color="auto" w:fill="D4D4D4"/>
          </w:tcPr>
          <w:p>
            <w:pPr/>
          </w:p>
        </w:tc>
      </w:tr>
      <w:tr>
        <w:trPr>
          <w:trHeight w:val="199" w:hRule="exact"/>
        </w:trPr>
        <w:tc>
          <w:tcPr>
            <w:tcW w:w="1901" w:type="dxa"/>
            <w:vMerge/>
            <w:tcBorders>
              <w:left w:val="single" w:sz="4" w:space="0" w:color="000000"/>
              <w:bottom w:val="nil" w:sz="6" w:space="0" w:color="auto"/>
              <w:right w:val="single" w:sz="4" w:space="0" w:color="000000"/>
            </w:tcBorders>
            <w:shd w:val="clear" w:color="auto" w:fill="D4D4D4"/>
          </w:tcPr>
          <w:p>
            <w:pPr/>
          </w:p>
        </w:tc>
        <w:tc>
          <w:tcPr>
            <w:tcW w:w="192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4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4D4D4"/>
          </w:tcPr>
          <w:p>
            <w:pPr/>
          </w:p>
        </w:tc>
        <w:tc>
          <w:tcPr>
            <w:tcW w:w="1927"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117,378,145.68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17,769,769.38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95,348,330.93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14,576,188.69</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3,166,652.06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474,997.81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509,976.35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76,496.45</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13,504,757.58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2,025,713.64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1,966,666.67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295,000.00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134,049,555.32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20,270,480.83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97,824,973.95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14,947,685.14</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bookmarkStart w:name="（2）未经抵销的递延所得税负债" w:id="291"/>
      <w:bookmarkEnd w:id="291"/>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bookmarkStart w:name="（3）以抵销后净额列示的递延所得税资产或负债" w:id="292"/>
      <w:bookmarkEnd w:id="292"/>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25"/>
        <w:gridCol w:w="1904"/>
        <w:gridCol w:w="1914"/>
        <w:gridCol w:w="1914"/>
        <w:gridCol w:w="1902"/>
      </w:tblGrid>
      <w:tr>
        <w:trPr>
          <w:trHeight w:val="161" w:hRule="exact"/>
        </w:trPr>
        <w:tc>
          <w:tcPr>
            <w:tcW w:w="1925" w:type="dxa"/>
            <w:tcBorders>
              <w:top w:val="single" w:sz="4" w:space="0" w:color="000000"/>
              <w:left w:val="single" w:sz="4" w:space="0" w:color="000000"/>
              <w:bottom w:val="nil" w:sz="6" w:space="0" w:color="auto"/>
              <w:right w:val="single" w:sz="4" w:space="0" w:color="000000"/>
            </w:tcBorders>
            <w:shd w:val="clear" w:color="auto" w:fill="D4D4D4"/>
          </w:tcPr>
          <w:p>
            <w:pPr/>
          </w:p>
        </w:tc>
        <w:tc>
          <w:tcPr>
            <w:tcW w:w="190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400" w:right="53"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320"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412" w:right="49"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2"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320" w:right="38"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4" w:hRule="exact"/>
        </w:trPr>
        <w:tc>
          <w:tcPr>
            <w:tcW w:w="192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1904" w:type="dxa"/>
            <w:vMerge/>
            <w:tcBorders>
              <w:left w:val="single" w:sz="4" w:space="0" w:color="000000"/>
              <w:right w:val="single" w:sz="4" w:space="0" w:color="000000"/>
            </w:tcBorders>
            <w:shd w:val="clear" w:color="auto" w:fill="D4D4D4"/>
          </w:tcPr>
          <w:p>
            <w:pPr/>
          </w:p>
        </w:tc>
        <w:tc>
          <w:tcPr>
            <w:tcW w:w="1914" w:type="dxa"/>
            <w:vMerge/>
            <w:tcBorders>
              <w:left w:val="single" w:sz="4" w:space="0" w:color="000000"/>
              <w:right w:val="single" w:sz="4" w:space="0" w:color="000000"/>
            </w:tcBorders>
            <w:shd w:val="clear" w:color="auto" w:fill="D4D4D4"/>
          </w:tcPr>
          <w:p>
            <w:pPr/>
          </w:p>
        </w:tc>
        <w:tc>
          <w:tcPr>
            <w:tcW w:w="1914" w:type="dxa"/>
            <w:vMerge/>
            <w:tcBorders>
              <w:left w:val="single" w:sz="4" w:space="0" w:color="000000"/>
              <w:right w:val="single" w:sz="4" w:space="0" w:color="000000"/>
            </w:tcBorders>
            <w:shd w:val="clear" w:color="auto" w:fill="D4D4D4"/>
          </w:tcPr>
          <w:p>
            <w:pPr/>
          </w:p>
        </w:tc>
        <w:tc>
          <w:tcPr>
            <w:tcW w:w="1902" w:type="dxa"/>
            <w:vMerge/>
            <w:tcBorders>
              <w:left w:val="single" w:sz="4" w:space="0" w:color="000000"/>
              <w:right w:val="single" w:sz="4" w:space="0" w:color="000000"/>
            </w:tcBorders>
            <w:shd w:val="clear" w:color="auto" w:fill="D4D4D4"/>
          </w:tcPr>
          <w:p>
            <w:pPr/>
          </w:p>
        </w:tc>
      </w:tr>
      <w:tr>
        <w:trPr>
          <w:trHeight w:val="161" w:hRule="exact"/>
        </w:trPr>
        <w:tc>
          <w:tcPr>
            <w:tcW w:w="1925" w:type="dxa"/>
            <w:tcBorders>
              <w:top w:val="nil" w:sz="6" w:space="0" w:color="auto"/>
              <w:left w:val="single" w:sz="4" w:space="0" w:color="000000"/>
              <w:bottom w:val="single" w:sz="4" w:space="0" w:color="000000"/>
              <w:right w:val="single" w:sz="4" w:space="0" w:color="000000"/>
            </w:tcBorders>
            <w:shd w:val="clear" w:color="auto" w:fill="D4D4D4"/>
          </w:tcPr>
          <w:p>
            <w:pPr/>
          </w:p>
        </w:tc>
        <w:tc>
          <w:tcPr>
            <w:tcW w:w="1904" w:type="dxa"/>
            <w:vMerge/>
            <w:tcBorders>
              <w:left w:val="single" w:sz="4" w:space="0" w:color="000000"/>
              <w:bottom w:val="single" w:sz="4" w:space="0" w:color="000000"/>
              <w:right w:val="single" w:sz="4" w:space="0" w:color="000000"/>
            </w:tcBorders>
            <w:shd w:val="clear" w:color="auto" w:fill="D4D4D4"/>
          </w:tcPr>
          <w:p>
            <w:pPr/>
          </w:p>
        </w:tc>
        <w:tc>
          <w:tcPr>
            <w:tcW w:w="1914" w:type="dxa"/>
            <w:vMerge/>
            <w:tcBorders>
              <w:left w:val="single" w:sz="4" w:space="0" w:color="000000"/>
              <w:bottom w:val="single" w:sz="4" w:space="0" w:color="000000"/>
              <w:right w:val="single" w:sz="4" w:space="0" w:color="000000"/>
            </w:tcBorders>
            <w:shd w:val="clear" w:color="auto" w:fill="D4D4D4"/>
          </w:tcPr>
          <w:p>
            <w:pPr/>
          </w:p>
        </w:tc>
        <w:tc>
          <w:tcPr>
            <w:tcW w:w="1914" w:type="dxa"/>
            <w:vMerge/>
            <w:tcBorders>
              <w:left w:val="single" w:sz="4" w:space="0" w:color="000000"/>
              <w:bottom w:val="single" w:sz="4" w:space="0" w:color="000000"/>
              <w:right w:val="single" w:sz="4" w:space="0" w:color="000000"/>
            </w:tcBorders>
            <w:shd w:val="clear" w:color="auto" w:fill="D4D4D4"/>
          </w:tcPr>
          <w:p>
            <w:pPr/>
          </w:p>
        </w:tc>
        <w:tc>
          <w:tcPr>
            <w:tcW w:w="1902"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9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4" w:type="dxa"/>
            <w:tcBorders>
              <w:top w:val="single" w:sz="4" w:space="0" w:color="000000"/>
              <w:left w:val="single" w:sz="13" w:space="0" w:color="D4D4D4"/>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20,270,480.83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14,947,685.14</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bookmarkStart w:name="（4）未确认递延所得税资产明细" w:id="293"/>
      <w:bookmarkEnd w:id="293"/>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4,316,896.05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6,321,703.84</w:t>
            </w:r>
            <w:r>
              <w:rPr>
                <w:rFonts w:ascii="Times New Roman"/>
                <w:sz w:val="18"/>
              </w:rPr>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30,468,230.16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22,297,502.68</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34,785,126.21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28,619,206.52</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bookmarkStart w:name="（5）未确认递延所得税资产的可抵扣亏损将于以下年度到期" w:id="294"/>
      <w:bookmarkEnd w:id="294"/>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195,083.15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1,945,865.83</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2,751,739.73</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4,348,391.87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4,843,827.20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2,610,291.90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1,932,260.19</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7,536,946.51</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12,574,592.41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14,026,734.05</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30,468,230.16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22,297,502.68</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bookmarkStart w:name="25、其他非流动资产" w:id="295"/>
      <w:bookmarkEnd w:id="295"/>
      <w:r>
        <w:rPr>
          <w:b w:val="0"/>
          <w:bCs w:val="0"/>
        </w:rPr>
      </w:r>
      <w:r>
        <w:rPr>
          <w:rFonts w:ascii="Times New Roman" w:hAnsi="Times New Roman" w:cs="Times New Roman" w:eastAsia="Times New Roman" w:hint="default"/>
        </w:rPr>
        <w:t>25</w:t>
      </w:r>
      <w:r>
        <w:rPr/>
        <w:t>、其他非流动资产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after="0" w:line="240" w:lineRule="auto"/>
        <w:jc w:val="right"/>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3,631,620.81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6,000,000.00</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3,631,620.81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w:t>
            </w:r>
            <w:r>
              <w:rPr>
                <w:rFonts w:ascii="Times New Roman"/>
                <w:sz w:val="18"/>
              </w:rPr>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bookmarkStart w:name="26、短期借款" w:id="296"/>
      <w:bookmarkEnd w:id="296"/>
      <w:r>
        <w:rPr>
          <w:b w:val="0"/>
          <w:bCs w:val="0"/>
        </w:rPr>
      </w:r>
      <w:r>
        <w:rPr>
          <w:rFonts w:ascii="Times New Roman" w:hAnsi="Times New Roman" w:cs="Times New Roman" w:eastAsia="Times New Roman" w:hint="default"/>
        </w:rPr>
        <w:t>26</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bookmarkStart w:name="（1）短期借款分类" w:id="297"/>
      <w:bookmarkEnd w:id="297"/>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抵押兼保证借款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30,200,000.00</w:t>
            </w:r>
          </w:p>
        </w:tc>
      </w:tr>
    </w:tbl>
    <w:p>
      <w:pPr>
        <w:pStyle w:val="BodyText"/>
        <w:spacing w:line="240" w:lineRule="auto" w:before="49"/>
        <w:ind w:right="982"/>
        <w:jc w:val="left"/>
      </w:pPr>
      <w:r>
        <w:rPr/>
        <w:t>短期借款分类的说明：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bookmarkStart w:name="（2）已逾期未偿还的短期借款情况" w:id="298"/>
      <w:bookmarkEnd w:id="298"/>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982"/>
        <w:jc w:val="left"/>
      </w:pPr>
      <w:r>
        <w:rPr/>
        <w:t>本期末已逾期未偿还的短期借款总额为元，其中重要的已逾期未偿还的短期借款情况如下：</w:t>
      </w:r>
    </w:p>
    <w:p>
      <w:pPr>
        <w:pStyle w:val="BodyText"/>
        <w:spacing w:line="240" w:lineRule="auto" w:before="11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bookmarkStart w:name="27、以公允价值计量且其变动计入当期损益的金融负债" w:id="299"/>
      <w:bookmarkEnd w:id="299"/>
      <w:r>
        <w:rPr>
          <w:b w:val="0"/>
          <w:bCs w:val="0"/>
        </w:rPr>
      </w:r>
      <w:r>
        <w:rPr>
          <w:rFonts w:ascii="Times New Roman" w:hAnsi="Times New Roman" w:cs="Times New Roman" w:eastAsia="Times New Roman" w:hint="default"/>
        </w:rPr>
        <w:t>27</w:t>
      </w:r>
      <w:r>
        <w:rPr/>
        <w:t>、以公允价值计量且其变动计入当期损益的金融负债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bookmarkStart w:name="28、衍生金融负债" w:id="300"/>
      <w:bookmarkEnd w:id="300"/>
      <w:r>
        <w:rPr>
          <w:b w:val="0"/>
          <w:bCs w:val="0"/>
        </w:rPr>
      </w:r>
      <w:r>
        <w:rPr>
          <w:rFonts w:ascii="Times New Roman" w:hAnsi="Times New Roman" w:cs="Times New Roman" w:eastAsia="Times New Roman" w:hint="default"/>
        </w:rPr>
        <w:t>28</w:t>
      </w:r>
      <w:r>
        <w:rPr/>
        <w:t>、衍生金融负债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bookmarkStart w:name="29、应付票据及应付账款" w:id="301"/>
      <w:bookmarkEnd w:id="301"/>
      <w:r>
        <w:rPr>
          <w:b w:val="0"/>
          <w:bCs w:val="0"/>
        </w:rPr>
      </w:r>
      <w:r>
        <w:rPr>
          <w:rFonts w:ascii="Times New Roman" w:hAnsi="Times New Roman" w:cs="Times New Roman" w:eastAsia="Times New Roman" w:hint="default"/>
        </w:rPr>
        <w:t>29</w:t>
      </w:r>
      <w:r>
        <w:rPr/>
        <w:t>、应付票据及应付账款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45,469,050.00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18,695,000.00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200,682,158.35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180,210,946.18</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246,151,208.35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198,905,946.18</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bookmarkStart w:name="（1）应付票据分类列示" w:id="302"/>
      <w:bookmarkEnd w:id="302"/>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45,469,050.00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18,695,000.00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45,469,050.00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18,695,000.00</w:t>
            </w:r>
          </w:p>
        </w:tc>
      </w:tr>
    </w:tbl>
    <w:p>
      <w:pPr>
        <w:pStyle w:val="BodyText"/>
        <w:spacing w:line="240" w:lineRule="auto" w:before="49"/>
        <w:ind w:right="982"/>
        <w:jc w:val="left"/>
      </w:pPr>
      <w:r>
        <w:rPr/>
        <w:t>本期末已到期未支付的应付票据总额为元。</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bookmarkStart w:name="（2）应付账款列示" w:id="303"/>
      <w:bookmarkEnd w:id="303"/>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应付工程款、设备款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2,067,509.05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1,465,485.85</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材料采购款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198,614,649.30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178,745,460.33</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200,682,158.35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180,210,946.18</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bookmarkStart w:name="（3）账龄超过1年的重要应付账款" w:id="304"/>
      <w:bookmarkEnd w:id="304"/>
      <w:r>
        <w:rPr>
          <w:b w:val="0"/>
          <w:bCs w:val="0"/>
        </w:rPr>
      </w:r>
      <w:r>
        <w:rPr/>
        <w:t>（</w:t>
      </w:r>
      <w:r>
        <w:rPr>
          <w:rFonts w:ascii="Times New Roman" w:hAnsi="Times New Roman" w:cs="Times New Roman" w:eastAsia="Times New Roman" w:hint="default"/>
        </w:rPr>
        <w:t>3</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bookmarkStart w:name="30、预收款项" w:id="305"/>
      <w:bookmarkEnd w:id="305"/>
      <w:r>
        <w:rPr>
          <w:b w:val="0"/>
          <w:bCs w:val="0"/>
        </w:rPr>
      </w:r>
      <w:r>
        <w:rPr>
          <w:rFonts w:ascii="Times New Roman" w:hAnsi="Times New Roman" w:cs="Times New Roman" w:eastAsia="Times New Roman" w:hint="default"/>
        </w:rPr>
        <w:t>30</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bookmarkStart w:name="（1）预收款项列示" w:id="306"/>
      <w:bookmarkEnd w:id="306"/>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146,480,149.20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148,925,795.85</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146,480,149.20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148,925,795.85</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bookmarkStart w:name="（2）账龄超过1年的重要预收款项" w:id="307"/>
      <w:bookmarkEnd w:id="307"/>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深圳市创新投资集团有限公司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9,663,820.00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建溢（贵州）机器人有限公司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8,938,690.00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深圳市今天国际物流技术股份有限公司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2,567,760.00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同方工业有限公司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2,357,547.07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惠州国墅园地产有限公司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1,588,500.00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pacing w:val="-1"/>
                <w:sz w:val="18"/>
              </w:rPr>
              <w:t>25,116,317.07</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bookmarkStart w:name="（3）期末建造合同形成的已结算未完工项目情况" w:id="308"/>
      <w:bookmarkEnd w:id="308"/>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7"/>
        <w:gridCol w:w="4790"/>
      </w:tblGrid>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bookmarkStart w:name="31、应付职工薪酬" w:id="309"/>
      <w:bookmarkEnd w:id="309"/>
      <w:r>
        <w:rPr>
          <w:b w:val="0"/>
          <w:bCs w:val="0"/>
        </w:rPr>
      </w:r>
      <w:r>
        <w:rPr>
          <w:rFonts w:ascii="Times New Roman" w:hAnsi="Times New Roman" w:cs="Times New Roman" w:eastAsia="Times New Roman" w:hint="default"/>
        </w:rPr>
        <w:t>31</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bookmarkStart w:name="（1）应付职工薪酬列示" w:id="310"/>
      <w:bookmarkEnd w:id="310"/>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FFFFFF"/>
            </w:tcBorders>
            <w:shd w:val="clear" w:color="auto" w:fill="D4D4D4"/>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FFFFFF"/>
              <w:bottom w:val="single" w:sz="4" w:space="0" w:color="000000"/>
              <w:right w:val="single" w:sz="4" w:space="0" w:color="000000"/>
            </w:tcBorders>
            <w:shd w:val="clear" w:color="auto" w:fill="D4D4D4"/>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7" w:type="dxa"/>
            <w:tcBorders>
              <w:top w:val="single" w:sz="4" w:space="0" w:color="000000"/>
              <w:left w:val="single" w:sz="13" w:space="0" w:color="D4D4D4"/>
              <w:bottom w:val="single" w:sz="4" w:space="0" w:color="000000"/>
              <w:right w:val="single" w:sz="4" w:space="0" w:color="FFFFF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15,773,648.42</w:t>
            </w:r>
          </w:p>
        </w:tc>
        <w:tc>
          <w:tcPr>
            <w:tcW w:w="191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135,906,794.11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136,395,807.68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15,284,634.85</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12" w:right="1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7" w:type="dxa"/>
            <w:tcBorders>
              <w:top w:val="single" w:sz="4" w:space="0" w:color="000000"/>
              <w:left w:val="single" w:sz="13" w:space="0" w:color="D4D4D4"/>
              <w:bottom w:val="single" w:sz="4" w:space="0" w:color="000000"/>
              <w:right w:val="single" w:sz="4" w:space="0" w:color="FFFFF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4,003.88</w:t>
            </w:r>
          </w:p>
        </w:tc>
        <w:tc>
          <w:tcPr>
            <w:tcW w:w="191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11,333,503.81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11,332,074.98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5,432.71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4D4D4"/>
              <w:bottom w:val="single" w:sz="4" w:space="0" w:color="000000"/>
              <w:right w:val="single" w:sz="4" w:space="0" w:color="FFFFF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15,777,652.30</w:t>
            </w:r>
          </w:p>
        </w:tc>
        <w:tc>
          <w:tcPr>
            <w:tcW w:w="191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147,240,297.92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147,727,882.66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15,290,067.56</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bookmarkStart w:name="（2）短期薪酬列示" w:id="311"/>
      <w:bookmarkEnd w:id="311"/>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13,845,414.16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122,783,822.24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123,034,901.09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13,594,335.31</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7"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5,323,721.01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5,323,721.01</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1,252.37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3,729,781.10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3,728,694.06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2,339.41</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其中：医疗保险费</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1,020.81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3,108,640.38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3,107,432.92</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2,228.27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工伤保险费</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157.09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327,168.38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327,214.33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w w:val="95"/>
                <w:sz w:val="18"/>
              </w:rPr>
              <w:t>111.14</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生育保险费</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74.47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293,972.34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294,046.81</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86,544.00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3,051,812.42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3,041,961.73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96,394.69</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1,840,437.89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931,657.23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1,180,529.68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1,591,565.44</w:t>
            </w:r>
            <w:r>
              <w:rPr>
                <w:rFonts w:ascii="Times New Roman"/>
                <w:sz w:val="18"/>
              </w:rPr>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其他（残疾人保证金）</w:t>
            </w:r>
          </w:p>
        </w:tc>
        <w:tc>
          <w:tcPr>
            <w:tcW w:w="1927"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86,000.11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86,000.11</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15,773,648.42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135,906,794.11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136,395,807.68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15,284,634.85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bookmarkStart w:name="（3）设定提存计划列示" w:id="312"/>
      <w:bookmarkEnd w:id="312"/>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3,812.50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10,925,935.03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10,924,453.94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5,293.59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191.38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407,568.78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407,621.04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139.12</w:t>
            </w:r>
            <w:r>
              <w:rPr>
                <w:rFonts w:ascii="Times New Roman"/>
                <w:sz w:val="18"/>
              </w:rPr>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4,003.88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11,333,503.81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11,332,074.98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5,432.71</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bookmarkStart w:name="32、应交税费" w:id="313"/>
      <w:bookmarkEnd w:id="313"/>
      <w:r>
        <w:rPr>
          <w:b w:val="0"/>
          <w:bCs w:val="0"/>
        </w:rPr>
      </w:r>
      <w:r>
        <w:rPr>
          <w:rFonts w:ascii="Times New Roman" w:hAnsi="Times New Roman" w:cs="Times New Roman" w:eastAsia="Times New Roman" w:hint="default"/>
        </w:rPr>
        <w:t>32</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22,391,480.46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10,706,119.93</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20,093,119.47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16,647,864.92</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301,752.06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749,937.59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504,711.84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336,316.41</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528,812.67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575,197.21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436,592.26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526,020.40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340,512.60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224,130.51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310,291.18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205,186.30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172,401.08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116,703.03</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19,656.11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17,046.09</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水资源税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4,206.00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环境保护税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45,107,735.73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30,104,522.39</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bookmarkStart w:name="33、其他应付款" w:id="314"/>
      <w:bookmarkEnd w:id="314"/>
      <w:r>
        <w:rPr>
          <w:b w:val="0"/>
          <w:bCs w:val="0"/>
        </w:rPr>
      </w:r>
      <w:r>
        <w:rPr>
          <w:rFonts w:ascii="Times New Roman" w:hAnsi="Times New Roman" w:cs="Times New Roman" w:eastAsia="Times New Roman" w:hint="default"/>
        </w:rPr>
        <w:t>33</w:t>
      </w:r>
      <w:r>
        <w:rPr/>
        <w:t>、其他应付款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76,584.16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41,590.83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107,864,011.34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86,169,164.10</w:t>
            </w:r>
            <w:r>
              <w:rPr>
                <w:rFonts w:ascii="Times New Roman"/>
                <w:sz w:val="18"/>
              </w:rPr>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107,940,595.50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86,210,754.93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bookmarkStart w:name="（1）应付利息" w:id="315"/>
      <w:bookmarkEnd w:id="315"/>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76,584.16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41,590.83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76,584.16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41,590.83</w:t>
            </w:r>
          </w:p>
        </w:tc>
      </w:tr>
    </w:tbl>
    <w:p>
      <w:pPr>
        <w:pStyle w:val="BodyText"/>
        <w:spacing w:line="240" w:lineRule="auto" w:before="49"/>
        <w:ind w:right="982"/>
        <w:jc w:val="left"/>
      </w:pPr>
      <w:r>
        <w:rPr/>
        <w:t>重要的已逾期未支付的利息情况：</w:t>
      </w:r>
    </w:p>
    <w:p>
      <w:pPr>
        <w:pStyle w:val="BodyText"/>
        <w:spacing w:line="240" w:lineRule="auto" w:before="115"/>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0"/>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bookmarkStart w:name="（2）应付股利" w:id="316"/>
      <w:bookmarkEnd w:id="316"/>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982"/>
        <w:jc w:val="left"/>
      </w:pPr>
      <w:r>
        <w:rPr/>
        <w:t>其他说明，包括重要的超过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bookmarkStart w:name="（3）其他应付款" w:id="317"/>
      <w:bookmarkEnd w:id="317"/>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982"/>
        <w:jc w:val="left"/>
      </w:pPr>
      <w:r>
        <w:rPr>
          <w:rFonts w:ascii="Times New Roman" w:hAnsi="Times New Roman" w:cs="Times New Roman" w:eastAsia="Times New Roman" w:hint="default"/>
        </w:rPr>
        <w:t>1)</w:t>
      </w:r>
      <w:r>
        <w:rPr/>
        <w:t>按款项性质列示其他应付款</w:t>
      </w:r>
    </w:p>
    <w:p>
      <w:pPr>
        <w:pStyle w:val="BodyText"/>
        <w:spacing w:line="240" w:lineRule="auto" w:before="103"/>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暂借款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76,461,435.58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40,026,913.55</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代收应付股权转让个税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15,991,738.64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5,009,330.00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9,022,222.00</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应付股权转让款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56,351.64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应计未付市场推广费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10,516,528.49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9,777,016.74</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应付代垫款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11,534,599.19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9,655,997.87</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4,342,118.08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1,638,923.66</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107,864,011.34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86,169,164.10</w:t>
            </w:r>
            <w:r>
              <w:rPr>
                <w:rFonts w:ascii="Times New Roman"/>
                <w:sz w:val="18"/>
              </w:rPr>
            </w:r>
          </w:p>
        </w:tc>
      </w:tr>
    </w:tbl>
    <w:p>
      <w:pPr>
        <w:pStyle w:val="BodyText"/>
        <w:spacing w:line="240" w:lineRule="auto" w:before="49"/>
        <w:ind w:right="982"/>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年的重要其他应付款</w:t>
      </w:r>
    </w:p>
    <w:p>
      <w:pPr>
        <w:pStyle w:val="BodyText"/>
        <w:spacing w:line="240" w:lineRule="auto" w:before="103"/>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bookmarkStart w:name="34、持有待售负债" w:id="318"/>
      <w:bookmarkEnd w:id="318"/>
      <w:r>
        <w:rPr>
          <w:b w:val="0"/>
          <w:bCs w:val="0"/>
        </w:rPr>
      </w:r>
      <w:r>
        <w:rPr>
          <w:rFonts w:ascii="Times New Roman" w:hAnsi="Times New Roman" w:cs="Times New Roman" w:eastAsia="Times New Roman" w:hint="default"/>
        </w:rPr>
        <w:t>34</w:t>
      </w:r>
      <w:r>
        <w:rPr/>
        <w:t>、持有待售负债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after="0" w:line="240" w:lineRule="auto"/>
        <w:jc w:val="right"/>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bookmarkStart w:name="35、一年内到期的非流动负债" w:id="319"/>
      <w:bookmarkEnd w:id="319"/>
      <w:r>
        <w:rPr>
          <w:b w:val="0"/>
          <w:bCs w:val="0"/>
        </w:rPr>
      </w:r>
      <w:r>
        <w:rPr>
          <w:rFonts w:ascii="Times New Roman" w:hAnsi="Times New Roman" w:cs="Times New Roman" w:eastAsia="Times New Roman" w:hint="default"/>
        </w:rPr>
        <w:t>35</w:t>
      </w:r>
      <w:r>
        <w:rPr/>
        <w:t>、一年内到期的非流动负债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bookmarkStart w:name="36、其他流动负债" w:id="320"/>
      <w:bookmarkEnd w:id="320"/>
      <w:r>
        <w:rPr>
          <w:b w:val="0"/>
          <w:bCs w:val="0"/>
        </w:rPr>
      </w:r>
      <w:r>
        <w:rPr>
          <w:rFonts w:ascii="Times New Roman" w:hAnsi="Times New Roman" w:cs="Times New Roman" w:eastAsia="Times New Roman" w:hint="default"/>
        </w:rPr>
        <w:t>36</w:t>
      </w:r>
      <w:r>
        <w:rPr/>
        <w:t>、其他流动负债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982"/>
        <w:jc w:val="left"/>
      </w:pPr>
      <w:r>
        <w:rPr/>
        <w:t>短期应付债券的增减变动：</w:t>
      </w:r>
    </w:p>
    <w:p>
      <w:pPr>
        <w:pStyle w:val="BodyText"/>
        <w:spacing w:line="240" w:lineRule="auto" w:before="115"/>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9"/>
        <w:gridCol w:w="797"/>
        <w:gridCol w:w="799"/>
        <w:gridCol w:w="797"/>
        <w:gridCol w:w="799"/>
        <w:gridCol w:w="797"/>
        <w:gridCol w:w="799"/>
        <w:gridCol w:w="798"/>
        <w:gridCol w:w="798"/>
        <w:gridCol w:w="797"/>
      </w:tblGrid>
      <w:tr>
        <w:trPr>
          <w:trHeight w:val="713" w:hRule="exact"/>
        </w:trPr>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4" w:right="31"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04"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bookmarkStart w:name="37、长期借款" w:id="321"/>
      <w:bookmarkEnd w:id="321"/>
      <w:r>
        <w:rPr>
          <w:b w:val="0"/>
          <w:bCs w:val="0"/>
        </w:rPr>
      </w:r>
      <w:r>
        <w:rPr>
          <w:rFonts w:ascii="Times New Roman" w:hAnsi="Times New Roman" w:cs="Times New Roman" w:eastAsia="Times New Roman" w:hint="default"/>
        </w:rPr>
        <w:t>37</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bookmarkStart w:name="（1）长期借款分类" w:id="322"/>
      <w:bookmarkEnd w:id="322"/>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60" w:lineRule="auto" w:before="49"/>
        <w:ind w:right="8594"/>
        <w:jc w:val="left"/>
      </w:pPr>
      <w:r>
        <w:rPr/>
        <w:t>长期借款分类的说明： 其他说明，包括利率区间：</w:t>
      </w:r>
    </w:p>
    <w:p>
      <w:pPr>
        <w:spacing w:line="240" w:lineRule="auto" w:before="2"/>
        <w:rPr>
          <w:rFonts w:ascii="宋体" w:hAnsi="宋体" w:cs="宋体" w:eastAsia="宋体" w:hint="default"/>
          <w:sz w:val="20"/>
          <w:szCs w:val="20"/>
        </w:rPr>
      </w:pPr>
    </w:p>
    <w:p>
      <w:pPr>
        <w:pStyle w:val="Heading3"/>
        <w:spacing w:line="240" w:lineRule="auto"/>
        <w:ind w:right="982"/>
        <w:jc w:val="left"/>
        <w:rPr>
          <w:b w:val="0"/>
          <w:bCs w:val="0"/>
        </w:rPr>
      </w:pPr>
      <w:bookmarkStart w:name="38、应付债券" w:id="323"/>
      <w:bookmarkEnd w:id="323"/>
      <w:r>
        <w:rPr>
          <w:b w:val="0"/>
          <w:bCs w:val="0"/>
        </w:rPr>
      </w:r>
      <w:r>
        <w:rPr>
          <w:rFonts w:ascii="Times New Roman" w:hAnsi="Times New Roman" w:cs="Times New Roman" w:eastAsia="Times New Roman" w:hint="default"/>
        </w:rPr>
        <w:t>38</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bookmarkStart w:name="（1）应付债券" w:id="324"/>
      <w:bookmarkEnd w:id="324"/>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bookmarkStart w:name="（2）应付债券的增减变动（不包括划分为金融负债的优先股、永续债等其他金融工具）" w:id="325"/>
      <w:bookmarkEnd w:id="325"/>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after="0" w:line="240" w:lineRule="auto"/>
        <w:jc w:val="right"/>
        <w:sectPr>
          <w:pgSz w:w="11910" w:h="16840"/>
          <w:pgMar w:header="745"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bookmarkStart w:name="（3）可转换公司债券的转股条件、转股时间说明" w:id="326"/>
      <w:bookmarkEnd w:id="326"/>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bookmarkStart w:name="（4）划分为金融负债的其他金融工具说明" w:id="327"/>
      <w:bookmarkEnd w:id="327"/>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2" w:top="1060" w:bottom="1180" w:left="980" w:right="0"/>
        </w:sectPr>
      </w:pPr>
    </w:p>
    <w:p>
      <w:pPr>
        <w:pStyle w:val="BodyText"/>
        <w:spacing w:line="360" w:lineRule="auto"/>
        <w:ind w:right="-20"/>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4653" w:space="4174"/>
            <w:col w:w="2103"/>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6"/>
        <w:gridCol w:w="1063"/>
        <w:gridCol w:w="1063"/>
        <w:gridCol w:w="1063"/>
        <w:gridCol w:w="1063"/>
        <w:gridCol w:w="1061"/>
        <w:gridCol w:w="1063"/>
        <w:gridCol w:w="1061"/>
      </w:tblGrid>
      <w:tr>
        <w:trPr>
          <w:trHeight w:val="403" w:hRule="exact"/>
        </w:trPr>
        <w:tc>
          <w:tcPr>
            <w:tcW w:w="106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4"/>
              <w:ind w:left="166"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1" w:hRule="exact"/>
        </w:trPr>
        <w:tc>
          <w:tcPr>
            <w:tcW w:w="1064" w:type="dxa"/>
            <w:vMerge/>
            <w:tcBorders>
              <w:left w:val="single" w:sz="4" w:space="0" w:color="000000"/>
              <w:bottom w:val="single" w:sz="4" w:space="0" w:color="000000"/>
              <w:right w:val="single" w:sz="4" w:space="0" w:color="000000"/>
            </w:tcBorders>
            <w:shd w:val="clear" w:color="auto" w:fill="D4D4D4"/>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49"/>
        <w:ind w:right="7514"/>
        <w:jc w:val="left"/>
      </w:pPr>
      <w:r>
        <w:rPr/>
        <w:t>其他金融工具划分为金融负债的依据说明 其他说明</w:t>
      </w:r>
    </w:p>
    <w:p>
      <w:pPr>
        <w:spacing w:line="240" w:lineRule="auto" w:before="2"/>
        <w:rPr>
          <w:rFonts w:ascii="宋体" w:hAnsi="宋体" w:cs="宋体" w:eastAsia="宋体" w:hint="default"/>
          <w:sz w:val="20"/>
          <w:szCs w:val="20"/>
        </w:rPr>
      </w:pPr>
    </w:p>
    <w:p>
      <w:pPr>
        <w:pStyle w:val="Heading3"/>
        <w:spacing w:line="240" w:lineRule="auto"/>
        <w:ind w:right="982"/>
        <w:jc w:val="left"/>
        <w:rPr>
          <w:b w:val="0"/>
          <w:bCs w:val="0"/>
        </w:rPr>
      </w:pPr>
      <w:bookmarkStart w:name="39、长期应付款" w:id="328"/>
      <w:bookmarkEnd w:id="328"/>
      <w:r>
        <w:rPr>
          <w:b w:val="0"/>
          <w:bCs w:val="0"/>
        </w:rPr>
      </w:r>
      <w:r>
        <w:rPr>
          <w:rFonts w:ascii="Times New Roman" w:hAnsi="Times New Roman" w:cs="Times New Roman" w:eastAsia="Times New Roman" w:hint="default"/>
        </w:rPr>
        <w:t>39</w:t>
      </w:r>
      <w:r>
        <w:rPr/>
        <w:t>、长期应付款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bookmarkStart w:name="（1）按款项性质列示长期应付款" w:id="329"/>
      <w:bookmarkEnd w:id="329"/>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bookmarkStart w:name="（2）专项应付款" w:id="330"/>
      <w:bookmarkEnd w:id="330"/>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6"/>
        <w:gridCol w:w="1594"/>
        <w:gridCol w:w="1596"/>
        <w:gridCol w:w="1594"/>
        <w:gridCol w:w="1583"/>
      </w:tblGrid>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bookmarkStart w:name="40、长期应付职工薪酬" w:id="331"/>
      <w:bookmarkEnd w:id="331"/>
      <w:r>
        <w:rPr>
          <w:b w:val="0"/>
          <w:bCs w:val="0"/>
        </w:rPr>
      </w:r>
      <w:r>
        <w:rPr>
          <w:rFonts w:ascii="Times New Roman" w:hAnsi="Times New Roman" w:cs="Times New Roman" w:eastAsia="Times New Roman" w:hint="default"/>
        </w:rPr>
        <w:t>40</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bookmarkStart w:name="（1）长期应付职工薪酬表" w:id="332"/>
      <w:bookmarkEnd w:id="332"/>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bookmarkStart w:name="（2）设定受益计划变动情况" w:id="333"/>
      <w:bookmarkEnd w:id="333"/>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982"/>
        <w:jc w:val="left"/>
      </w:pPr>
      <w:r>
        <w:rPr/>
        <w:t>设定受益计划义务现值：</w:t>
      </w:r>
    </w:p>
    <w:p>
      <w:pPr>
        <w:pStyle w:val="BodyText"/>
        <w:spacing w:line="240" w:lineRule="auto" w:before="11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type w:val="continuous"/>
          <w:pgSz w:w="11910" w:h="16840"/>
          <w:pgMar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ind w:right="982"/>
        <w:jc w:val="left"/>
      </w:pPr>
      <w:r>
        <w:rPr/>
        <w:t>计划资产：</w:t>
      </w:r>
    </w:p>
    <w:p>
      <w:pPr>
        <w:pStyle w:val="BodyText"/>
        <w:spacing w:line="240" w:lineRule="auto" w:before="11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982"/>
        <w:jc w:val="left"/>
      </w:pPr>
      <w:r>
        <w:rPr/>
        <w:t>设定受益计划净负债（净资产）</w:t>
      </w:r>
    </w:p>
    <w:p>
      <w:pPr>
        <w:pStyle w:val="BodyText"/>
        <w:spacing w:line="240" w:lineRule="auto" w:before="115"/>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0"/>
        <w:ind w:right="3554"/>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bookmarkStart w:name="41、预计负债" w:id="334"/>
      <w:bookmarkEnd w:id="334"/>
      <w:r>
        <w:rPr>
          <w:b w:val="0"/>
          <w:bCs w:val="0"/>
        </w:rPr>
      </w:r>
      <w:r>
        <w:rPr>
          <w:rFonts w:ascii="Times New Roman" w:hAnsi="Times New Roman" w:cs="Times New Roman" w:eastAsia="Times New Roman" w:hint="default"/>
        </w:rPr>
        <w:t>41</w:t>
      </w:r>
      <w:r>
        <w:rPr/>
        <w:t>、预计负债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5"/>
        <w:gridCol w:w="2406"/>
        <w:gridCol w:w="2393"/>
        <w:gridCol w:w="2393"/>
      </w:tblGrid>
      <w:tr>
        <w:trPr>
          <w:trHeight w:val="401"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240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1,766,739.06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一审败诉</w:t>
            </w:r>
          </w:p>
        </w:tc>
      </w:tr>
      <w:tr>
        <w:trPr>
          <w:trHeight w:val="403"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1,766,739.06</w:t>
            </w:r>
            <w:r>
              <w:rPr>
                <w:rFonts w:ascii="Times New Roman"/>
                <w:sz w:val="18"/>
              </w:rPr>
            </w:r>
          </w:p>
        </w:tc>
        <w:tc>
          <w:tcPr>
            <w:tcW w:w="2393" w:type="dxa"/>
            <w:tcBorders>
              <w:top w:val="single" w:sz="4" w:space="0" w:color="000000"/>
              <w:left w:val="single" w:sz="4" w:space="0" w:color="000000"/>
              <w:bottom w:val="single" w:sz="4" w:space="0" w:color="000000"/>
              <w:right w:val="single" w:sz="13" w:space="0" w:color="D4D4D4"/>
            </w:tcBorders>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1577"/>
        <w:jc w:val="left"/>
      </w:pPr>
      <w:r>
        <w:rPr/>
        <w:t>其他说明，包括重要预计负债的相关重要假设、估计说明： 详见</w:t>
      </w:r>
      <w:r>
        <w:rPr>
          <w:rFonts w:ascii="Times New Roman" w:hAnsi="Times New Roman" w:cs="Times New Roman" w:eastAsia="Times New Roman" w:hint="default"/>
        </w:rPr>
        <w:t>2018</w:t>
      </w:r>
      <w:r>
        <w:rPr/>
        <w:t>年度报告第十一节财务报告十四、承诺及或有事项</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4"/>
          <w:szCs w:val="24"/>
        </w:rPr>
      </w:pPr>
    </w:p>
    <w:p>
      <w:pPr>
        <w:pStyle w:val="Heading3"/>
        <w:spacing w:line="240" w:lineRule="auto"/>
        <w:ind w:right="982"/>
        <w:jc w:val="left"/>
        <w:rPr>
          <w:b w:val="0"/>
          <w:bCs w:val="0"/>
        </w:rPr>
      </w:pPr>
      <w:bookmarkStart w:name="42、递延收益" w:id="335"/>
      <w:bookmarkEnd w:id="335"/>
      <w:r>
        <w:rPr>
          <w:b w:val="0"/>
          <w:bCs w:val="0"/>
        </w:rPr>
      </w:r>
      <w:r>
        <w:rPr>
          <w:rFonts w:ascii="Times New Roman" w:hAnsi="Times New Roman" w:cs="Times New Roman" w:eastAsia="Times New Roman" w:hint="default"/>
        </w:rPr>
        <w:t>42</w:t>
      </w:r>
      <w:r>
        <w:rPr/>
        <w:t>、递延收益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8,341,441.38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16,046,500.00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9,606,027.05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14,781,914.33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8,341,441.38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16,046,500.00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9,606,027.05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14,781,914.33</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2"/>
        <w:jc w:val="left"/>
      </w:pPr>
      <w:r>
        <w:rPr/>
        <w:t>涉及政府补助的项目：</w:t>
      </w:r>
    </w:p>
    <w:p>
      <w:pPr>
        <w:pStyle w:val="BodyText"/>
        <w:spacing w:line="240" w:lineRule="auto" w:before="115"/>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3"/>
        <w:gridCol w:w="1066"/>
        <w:gridCol w:w="1063"/>
        <w:gridCol w:w="1063"/>
        <w:gridCol w:w="1061"/>
        <w:gridCol w:w="1063"/>
        <w:gridCol w:w="1063"/>
        <w:gridCol w:w="1063"/>
        <w:gridCol w:w="1063"/>
      </w:tblGrid>
      <w:tr>
        <w:trPr>
          <w:trHeight w:val="1025" w:hRule="exact"/>
        </w:trPr>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2"/>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其他变动</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51"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both"/>
              <w:rPr>
                <w:rFonts w:ascii="Times New Roman" w:hAnsi="Times New Roman" w:cs="Times New Roman" w:eastAsia="Times New Roman" w:hint="default"/>
                <w:sz w:val="18"/>
                <w:szCs w:val="18"/>
              </w:rPr>
            </w:pPr>
            <w:r>
              <w:rPr>
                <w:rFonts w:ascii="宋体" w:hAnsi="宋体" w:cs="宋体" w:eastAsia="宋体" w:hint="default"/>
                <w:sz w:val="18"/>
                <w:szCs w:val="18"/>
              </w:rPr>
              <w:t>自动化输送 及仓储成套 设备研发及 产业化项目 补助</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1,640,000.00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3" w:right="0"/>
              <w:jc w:val="center"/>
              <w:rPr>
                <w:rFonts w:ascii="Times New Roman" w:hAnsi="Times New Roman" w:cs="Times New Roman" w:eastAsia="Times New Roman" w:hint="default"/>
                <w:sz w:val="18"/>
                <w:szCs w:val="18"/>
              </w:rPr>
            </w:pPr>
            <w:r>
              <w:rPr>
                <w:rFonts w:ascii="Times New Roman"/>
                <w:sz w:val="18"/>
              </w:rPr>
              <w:t>-410,000.00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-2,050,000.00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86"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both"/>
              <w:rPr>
                <w:rFonts w:ascii="宋体" w:hAnsi="宋体" w:cs="宋体" w:eastAsia="宋体" w:hint="default"/>
                <w:sz w:val="18"/>
                <w:szCs w:val="18"/>
              </w:rPr>
            </w:pPr>
            <w:r>
              <w:rPr>
                <w:rFonts w:ascii="宋体" w:hAnsi="宋体" w:cs="宋体" w:eastAsia="宋体" w:hint="default"/>
                <w:sz w:val="18"/>
                <w:szCs w:val="18"/>
              </w:rPr>
              <w:t>智能立体停 车库系统的 应用示范项</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65" w:right="0"/>
              <w:jc w:val="center"/>
              <w:rPr>
                <w:rFonts w:ascii="Times New Roman" w:hAnsi="Times New Roman" w:cs="Times New Roman" w:eastAsia="Times New Roman" w:hint="default"/>
                <w:sz w:val="18"/>
                <w:szCs w:val="18"/>
              </w:rPr>
            </w:pPr>
            <w:r>
              <w:rPr>
                <w:rFonts w:ascii="Times New Roman"/>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69" w:right="0"/>
              <w:jc w:val="center"/>
              <w:rPr>
                <w:rFonts w:ascii="Times New Roman" w:hAnsi="Times New Roman" w:cs="Times New Roman" w:eastAsia="Times New Roman" w:hint="default"/>
                <w:sz w:val="18"/>
                <w:szCs w:val="18"/>
              </w:rPr>
            </w:pPr>
            <w:r>
              <w:rPr>
                <w:rFonts w:ascii="Times New Roman"/>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3"/>
        <w:gridCol w:w="1066"/>
        <w:gridCol w:w="1063"/>
        <w:gridCol w:w="1063"/>
        <w:gridCol w:w="1061"/>
        <w:gridCol w:w="1063"/>
        <w:gridCol w:w="1063"/>
        <w:gridCol w:w="1063"/>
        <w:gridCol w:w="1063"/>
      </w:tblGrid>
      <w:tr>
        <w:trPr>
          <w:trHeight w:val="362"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目补助</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工业机器人 智能私服驱 控一体化集 成装置关键 技术研究及 应用</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立体停车设 </w:t>
            </w:r>
            <w:r>
              <w:rPr>
                <w:rFonts w:ascii="宋体" w:hAnsi="宋体" w:cs="宋体" w:eastAsia="宋体" w:hint="default"/>
                <w:spacing w:val="-12"/>
                <w:sz w:val="18"/>
                <w:szCs w:val="18"/>
              </w:rPr>
              <w:t>备生产线（一</w:t>
            </w:r>
            <w:r>
              <w:rPr>
                <w:rFonts w:ascii="宋体" w:hAnsi="宋体" w:cs="宋体" w:eastAsia="宋体" w:hint="default"/>
                <w:sz w:val="18"/>
                <w:szCs w:val="18"/>
              </w:rPr>
              <w:t> </w:t>
            </w:r>
            <w:r>
              <w:rPr>
                <w:rFonts w:ascii="宋体" w:hAnsi="宋体" w:cs="宋体" w:eastAsia="宋体" w:hint="default"/>
                <w:spacing w:val="-12"/>
                <w:sz w:val="18"/>
                <w:szCs w:val="18"/>
              </w:rPr>
              <w:t>期）项目补助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1,134,774.71</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153,000.00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310,617.96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977,156.75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1"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both"/>
              <w:rPr>
                <w:rFonts w:ascii="宋体" w:hAnsi="宋体" w:cs="宋体" w:eastAsia="宋体" w:hint="default"/>
                <w:sz w:val="18"/>
                <w:szCs w:val="18"/>
              </w:rPr>
            </w:pPr>
            <w:r>
              <w:rPr>
                <w:rFonts w:ascii="宋体" w:hAnsi="宋体" w:cs="宋体" w:eastAsia="宋体" w:hint="default"/>
                <w:sz w:val="18"/>
                <w:szCs w:val="18"/>
              </w:rPr>
              <w:t>面向智慧矿 山的带式输 送机智能装 备及安全技 术研发与产 业化</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1,966,666.67</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4,000,000.00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5,066,666.67</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both"/>
              <w:rPr>
                <w:rFonts w:ascii="宋体" w:hAnsi="宋体" w:cs="宋体" w:eastAsia="宋体" w:hint="default"/>
                <w:sz w:val="18"/>
                <w:szCs w:val="18"/>
              </w:rPr>
            </w:pPr>
            <w:r>
              <w:rPr>
                <w:rFonts w:ascii="宋体" w:hAnsi="宋体" w:cs="宋体" w:eastAsia="宋体" w:hint="default"/>
                <w:sz w:val="18"/>
                <w:szCs w:val="18"/>
              </w:rPr>
              <w:t>天辰智能公 司土地出让 金返还</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11,893,500.0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3,455,409.09</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8,438,090.91</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8,341,441.38</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16,046,500.0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7,556,027.05</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-2,050,000.00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14,781,914.3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2"/>
        <w:jc w:val="left"/>
      </w:pPr>
      <w:r>
        <w:rPr/>
        <w:t>其他说明：</w:t>
      </w:r>
    </w:p>
    <w:p>
      <w:pPr>
        <w:pStyle w:val="BodyText"/>
        <w:spacing w:line="240" w:lineRule="auto" w:before="117"/>
        <w:ind w:left="0" w:right="1133"/>
        <w:jc w:val="right"/>
      </w:pPr>
      <w:r>
        <w:rPr>
          <w:rFonts w:ascii="Times New Roman" w:hAnsi="Times New Roman" w:cs="Times New Roman" w:eastAsia="Times New Roman" w:hint="default"/>
        </w:rPr>
        <w:t>2015</w:t>
      </w:r>
      <w:r>
        <w:rPr/>
        <w:t>年子公司伟创自动化公司申报《自动化输送及仓储成套设备研发及产业化》项目，并获得</w:t>
      </w:r>
      <w:r>
        <w:rPr>
          <w:rFonts w:ascii="Times New Roman" w:hAnsi="Times New Roman" w:cs="Times New Roman" w:eastAsia="Times New Roman" w:hint="default"/>
        </w:rPr>
        <w:t>205</w:t>
      </w:r>
      <w:r>
        <w:rPr/>
        <w:t>万政府补助。</w:t>
      </w:r>
      <w:r>
        <w:rPr>
          <w:rFonts w:ascii="Times New Roman" w:hAnsi="Times New Roman" w:cs="Times New Roman" w:eastAsia="Times New Roman" w:hint="default"/>
        </w:rPr>
        <w:t>2018</w:t>
      </w:r>
      <w:r>
        <w:rPr/>
        <w:t>年</w:t>
      </w:r>
    </w:p>
    <w:p>
      <w:pPr>
        <w:pStyle w:val="BodyText"/>
        <w:spacing w:line="240" w:lineRule="auto" w:before="62"/>
        <w:ind w:right="982"/>
        <w:jc w:val="left"/>
      </w:pPr>
      <w:r>
        <w:rPr>
          <w:rFonts w:ascii="Times New Roman" w:hAnsi="Times New Roman" w:cs="Times New Roman" w:eastAsia="Times New Roman" w:hint="default"/>
        </w:rPr>
        <w:t>10</w:t>
      </w:r>
      <w:r>
        <w:rPr/>
        <w:t>月，深圳市发展和改革委员会收回原先拨入的政府补助</w:t>
      </w:r>
      <w:r>
        <w:rPr>
          <w:rFonts w:ascii="Times New Roman" w:hAnsi="Times New Roman" w:cs="Times New Roman" w:eastAsia="Times New Roman" w:hint="default"/>
        </w:rPr>
        <w:t>205</w:t>
      </w:r>
      <w:r>
        <w:rPr/>
        <w:t>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9"/>
          <w:szCs w:val="19"/>
        </w:rPr>
      </w:pPr>
    </w:p>
    <w:p>
      <w:pPr>
        <w:pStyle w:val="Heading3"/>
        <w:spacing w:line="240" w:lineRule="auto"/>
        <w:ind w:right="982"/>
        <w:jc w:val="left"/>
        <w:rPr>
          <w:b w:val="0"/>
          <w:bCs w:val="0"/>
        </w:rPr>
      </w:pPr>
      <w:bookmarkStart w:name="43、其他非流动负债" w:id="336"/>
      <w:bookmarkEnd w:id="336"/>
      <w:r>
        <w:rPr>
          <w:b w:val="0"/>
          <w:bCs w:val="0"/>
        </w:rPr>
      </w:r>
      <w:r>
        <w:rPr>
          <w:rFonts w:ascii="Times New Roman" w:hAnsi="Times New Roman" w:cs="Times New Roman" w:eastAsia="Times New Roman" w:hint="default"/>
        </w:rPr>
        <w:t>43</w:t>
      </w:r>
      <w:r>
        <w:rPr/>
        <w:t>、其他非流动负债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bookmarkStart w:name="44、股本" w:id="337"/>
      <w:bookmarkEnd w:id="337"/>
      <w:r>
        <w:rPr>
          <w:b w:val="0"/>
          <w:bCs w:val="0"/>
        </w:rPr>
      </w:r>
      <w:r>
        <w:rPr>
          <w:rFonts w:ascii="Times New Roman" w:hAnsi="Times New Roman" w:cs="Times New Roman" w:eastAsia="Times New Roman" w:hint="default"/>
        </w:rPr>
        <w:t>44</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3"/>
        <w:gridCol w:w="1210"/>
        <w:gridCol w:w="1183"/>
        <w:gridCol w:w="1195"/>
        <w:gridCol w:w="1198"/>
        <w:gridCol w:w="1195"/>
        <w:gridCol w:w="1184"/>
        <w:gridCol w:w="1208"/>
      </w:tblGrid>
      <w:tr>
        <w:trPr>
          <w:trHeight w:val="204" w:hRule="exact"/>
        </w:trPr>
        <w:tc>
          <w:tcPr>
            <w:tcW w:w="1183" w:type="dxa"/>
            <w:tcBorders>
              <w:top w:val="single" w:sz="4" w:space="0" w:color="000000"/>
              <w:left w:val="single" w:sz="4" w:space="0" w:color="000000"/>
              <w:bottom w:val="nil" w:sz="6" w:space="0" w:color="auto"/>
              <w:right w:val="single" w:sz="4" w:space="0" w:color="000000"/>
            </w:tcBorders>
            <w:shd w:val="clear" w:color="auto" w:fill="D4D4D4"/>
          </w:tcPr>
          <w:p>
            <w:pPr/>
          </w:p>
        </w:tc>
        <w:tc>
          <w:tcPr>
            <w:tcW w:w="1210" w:type="dxa"/>
            <w:tcBorders>
              <w:top w:val="single" w:sz="4" w:space="0" w:color="000000"/>
              <w:left w:val="single" w:sz="4" w:space="0" w:color="000000"/>
              <w:bottom w:val="nil" w:sz="6" w:space="0" w:color="auto"/>
              <w:right w:val="single" w:sz="4" w:space="0" w:color="000000"/>
            </w:tcBorders>
            <w:shd w:val="clear" w:color="auto" w:fill="D4D4D4"/>
          </w:tcPr>
          <w:p>
            <w:pPr/>
          </w:p>
        </w:tc>
        <w:tc>
          <w:tcPr>
            <w:tcW w:w="5956" w:type="dxa"/>
            <w:gridSpan w:val="5"/>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2" w:hRule="exact"/>
        </w:trPr>
        <w:tc>
          <w:tcPr>
            <w:tcW w:w="1183" w:type="dxa"/>
            <w:vMerge w:val="restart"/>
            <w:tcBorders>
              <w:top w:val="nil" w:sz="6" w:space="0" w:color="auto"/>
              <w:left w:val="single" w:sz="4" w:space="0" w:color="000000"/>
              <w:right w:val="single" w:sz="4" w:space="0" w:color="000000"/>
            </w:tcBorders>
            <w:shd w:val="clear" w:color="auto" w:fill="D4D4D4"/>
          </w:tcPr>
          <w:p>
            <w:pPr/>
          </w:p>
        </w:tc>
        <w:tc>
          <w:tcPr>
            <w:tcW w:w="121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6" w:type="dxa"/>
            <w:gridSpan w:val="5"/>
            <w:vMerge/>
            <w:tcBorders>
              <w:left w:val="single" w:sz="4" w:space="0" w:color="000000"/>
              <w:bottom w:val="single" w:sz="4" w:space="0" w:color="000000"/>
              <w:right w:val="single" w:sz="4" w:space="0" w:color="000000"/>
            </w:tcBorders>
            <w:shd w:val="clear" w:color="auto" w:fill="D4D4D4"/>
          </w:tcPr>
          <w:p>
            <w:pPr/>
          </w:p>
        </w:tc>
        <w:tc>
          <w:tcPr>
            <w:tcW w:w="120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3" w:type="dxa"/>
            <w:vMerge/>
            <w:tcBorders>
              <w:left w:val="single" w:sz="4" w:space="0" w:color="000000"/>
              <w:bottom w:val="nil" w:sz="6" w:space="0" w:color="auto"/>
              <w:right w:val="single" w:sz="4" w:space="0" w:color="000000"/>
            </w:tcBorders>
            <w:shd w:val="clear" w:color="auto" w:fill="D4D4D4"/>
          </w:tcPr>
          <w:p>
            <w:pPr/>
          </w:p>
        </w:tc>
        <w:tc>
          <w:tcPr>
            <w:tcW w:w="1210" w:type="dxa"/>
            <w:vMerge/>
            <w:tcBorders>
              <w:left w:val="single" w:sz="4" w:space="0" w:color="000000"/>
              <w:bottom w:val="nil" w:sz="6" w:space="0" w:color="auto"/>
              <w:right w:val="single" w:sz="4" w:space="0" w:color="000000"/>
            </w:tcBorders>
            <w:shd w:val="clear" w:color="auto" w:fill="D4D4D4"/>
          </w:tcPr>
          <w:p>
            <w:pPr/>
          </w:p>
        </w:tc>
        <w:tc>
          <w:tcPr>
            <w:tcW w:w="118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4D4D4"/>
          </w:tcPr>
          <w:p>
            <w:pPr/>
          </w:p>
        </w:tc>
      </w:tr>
      <w:tr>
        <w:trPr>
          <w:trHeight w:val="206" w:hRule="exact"/>
        </w:trPr>
        <w:tc>
          <w:tcPr>
            <w:tcW w:w="1183" w:type="dxa"/>
            <w:tcBorders>
              <w:top w:val="nil" w:sz="6" w:space="0" w:color="auto"/>
              <w:left w:val="single" w:sz="4" w:space="0" w:color="000000"/>
              <w:bottom w:val="single" w:sz="4" w:space="0" w:color="000000"/>
              <w:right w:val="single" w:sz="4" w:space="0" w:color="000000"/>
            </w:tcBorders>
            <w:shd w:val="clear" w:color="auto" w:fill="D4D4D4"/>
          </w:tcPr>
          <w:p>
            <w:pPr/>
          </w:p>
        </w:tc>
        <w:tc>
          <w:tcPr>
            <w:tcW w:w="1210" w:type="dxa"/>
            <w:tcBorders>
              <w:top w:val="nil" w:sz="6" w:space="0" w:color="auto"/>
              <w:left w:val="single" w:sz="4" w:space="0" w:color="000000"/>
              <w:bottom w:val="single" w:sz="4" w:space="0" w:color="000000"/>
              <w:right w:val="single" w:sz="4" w:space="0" w:color="000000"/>
            </w:tcBorders>
            <w:shd w:val="clear" w:color="auto" w:fill="D4D4D4"/>
          </w:tcPr>
          <w:p>
            <w:pPr/>
          </w:p>
        </w:tc>
        <w:tc>
          <w:tcPr>
            <w:tcW w:w="1183"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98"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84" w:type="dxa"/>
            <w:vMerge/>
            <w:tcBorders>
              <w:left w:val="single" w:sz="4" w:space="0" w:color="000000"/>
              <w:bottom w:val="single" w:sz="4" w:space="0" w:color="000000"/>
              <w:right w:val="single" w:sz="4" w:space="0" w:color="000000"/>
            </w:tcBorders>
            <w:shd w:val="clear" w:color="auto" w:fill="D4D4D4"/>
          </w:tcPr>
          <w:p>
            <w:pPr/>
          </w:p>
        </w:tc>
        <w:tc>
          <w:tcPr>
            <w:tcW w:w="1208"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1" w:hRule="exact"/>
        </w:trPr>
        <w:tc>
          <w:tcPr>
            <w:tcW w:w="1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10"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511,164,635.00</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204,465,854.00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204,465,854.00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715,630,489.00</w:t>
            </w:r>
          </w:p>
        </w:tc>
      </w:tr>
    </w:tbl>
    <w:p>
      <w:pPr>
        <w:pStyle w:val="BodyText"/>
        <w:spacing w:line="360" w:lineRule="auto" w:before="49"/>
        <w:ind w:left="368" w:right="982" w:hanging="216"/>
        <w:jc w:val="left"/>
      </w:pPr>
      <w:r>
        <w:rPr/>
        <w:t>其他说明： </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24</w:t>
      </w:r>
      <w:r>
        <w:rPr>
          <w:spacing w:val="2"/>
        </w:rPr>
        <w:t>日召开</w:t>
      </w:r>
      <w:r>
        <w:rPr>
          <w:rFonts w:ascii="Times New Roman" w:hAnsi="Times New Roman" w:cs="Times New Roman" w:eastAsia="Times New Roman" w:hint="default"/>
          <w:spacing w:val="2"/>
        </w:rPr>
        <w:t>2017</w:t>
      </w:r>
      <w:r>
        <w:rPr>
          <w:spacing w:val="2"/>
        </w:rPr>
        <w:t>年年度股东大会，审议通过了《关于</w:t>
      </w:r>
      <w:r>
        <w:rPr>
          <w:rFonts w:ascii="Times New Roman" w:hAnsi="Times New Roman" w:cs="Times New Roman" w:eastAsia="Times New Roman" w:hint="default"/>
          <w:spacing w:val="2"/>
        </w:rPr>
        <w:t>2017</w:t>
      </w:r>
      <w:r>
        <w:rPr>
          <w:spacing w:val="2"/>
        </w:rPr>
        <w:t>年度利润分配及资本公积金转增股本预案的议</w:t>
      </w:r>
    </w:p>
    <w:p>
      <w:pPr>
        <w:spacing w:after="0" w:line="360" w:lineRule="auto"/>
        <w:jc w:val="left"/>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ind w:right="982"/>
        <w:jc w:val="left"/>
      </w:pPr>
      <w:r>
        <w:rPr>
          <w:spacing w:val="2"/>
        </w:rPr>
        <w:t>案》。根据该权益分派方案，以公司总股本</w:t>
      </w:r>
      <w:r>
        <w:rPr>
          <w:rFonts w:ascii="Times New Roman" w:hAnsi="Times New Roman" w:cs="Times New Roman" w:eastAsia="Times New Roman" w:hint="default"/>
          <w:spacing w:val="2"/>
        </w:rPr>
        <w:t>511,164,635</w:t>
      </w:r>
      <w:r>
        <w:rPr>
          <w:spacing w:val="2"/>
        </w:rPr>
        <w:t>股为基数，以资本公积向全体股东每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4</w:t>
      </w:r>
      <w:r>
        <w:rPr>
          <w:spacing w:val="2"/>
        </w:rPr>
        <w:t>股，合计转增股本</w:t>
      </w:r>
    </w:p>
    <w:p>
      <w:pPr>
        <w:pStyle w:val="BodyText"/>
        <w:spacing w:line="240" w:lineRule="auto" w:before="62"/>
        <w:ind w:right="982"/>
        <w:jc w:val="left"/>
      </w:pPr>
      <w:r>
        <w:rPr>
          <w:rFonts w:ascii="Times New Roman" w:hAnsi="Times New Roman" w:cs="Times New Roman" w:eastAsia="Times New Roman" w:hint="default"/>
        </w:rPr>
        <w:t>204,465,854</w:t>
      </w:r>
      <w:r>
        <w:rPr/>
        <w:t>股，转增后总股本增加至</w:t>
      </w:r>
      <w:r>
        <w:rPr>
          <w:rFonts w:ascii="Times New Roman" w:hAnsi="Times New Roman" w:cs="Times New Roman" w:eastAsia="Times New Roman" w:hint="default"/>
        </w:rPr>
        <w:t>715,630,489</w:t>
      </w:r>
      <w:r>
        <w:rPr/>
        <w:t>股。</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日，公司办妥上述转增股本的工商变更登记手续。</w:t>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bookmarkStart w:name="45、其他权益工具" w:id="338"/>
      <w:bookmarkEnd w:id="338"/>
      <w:r>
        <w:rPr>
          <w:b w:val="0"/>
          <w:bCs w:val="0"/>
        </w:rPr>
      </w:r>
      <w:r>
        <w:rPr>
          <w:rFonts w:ascii="Times New Roman" w:hAnsi="Times New Roman" w:cs="Times New Roman" w:eastAsia="Times New Roman" w:hint="default"/>
        </w:rPr>
        <w:t>45</w:t>
      </w:r>
      <w:r>
        <w:rPr/>
        <w:t>、其他权益工具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bookmarkStart w:name="（1）期末发行在外的优先股、永续债等其他金融工具基本情况" w:id="339"/>
      <w:bookmarkEnd w:id="339"/>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bookmarkStart w:name="（2）期末发行在外的优先股、永续债等金融工具变动情况表" w:id="340"/>
      <w:bookmarkEnd w:id="340"/>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6"/>
        <w:gridCol w:w="1063"/>
        <w:gridCol w:w="1063"/>
        <w:gridCol w:w="1063"/>
        <w:gridCol w:w="1063"/>
        <w:gridCol w:w="1061"/>
        <w:gridCol w:w="1063"/>
        <w:gridCol w:w="1061"/>
      </w:tblGrid>
      <w:tr>
        <w:trPr>
          <w:trHeight w:val="403" w:hRule="exact"/>
        </w:trPr>
        <w:tc>
          <w:tcPr>
            <w:tcW w:w="106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4"/>
              <w:ind w:left="166"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1" w:hRule="exact"/>
        </w:trPr>
        <w:tc>
          <w:tcPr>
            <w:tcW w:w="1064" w:type="dxa"/>
            <w:vMerge/>
            <w:tcBorders>
              <w:left w:val="single" w:sz="4" w:space="0" w:color="000000"/>
              <w:bottom w:val="single" w:sz="4" w:space="0" w:color="000000"/>
              <w:right w:val="single" w:sz="4" w:space="0" w:color="000000"/>
            </w:tcBorders>
            <w:shd w:val="clear" w:color="auto" w:fill="D4D4D4"/>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49"/>
        <w:ind w:right="4634"/>
        <w:jc w:val="left"/>
      </w:pPr>
      <w:r>
        <w:rPr/>
        <w:t>其他权益工具本期增减变动情况、变动原因说明，以及相关会计处理的依据： 其他说明：</w:t>
      </w:r>
    </w:p>
    <w:p>
      <w:pPr>
        <w:spacing w:line="240" w:lineRule="auto" w:before="2"/>
        <w:rPr>
          <w:rFonts w:ascii="宋体" w:hAnsi="宋体" w:cs="宋体" w:eastAsia="宋体" w:hint="default"/>
          <w:sz w:val="20"/>
          <w:szCs w:val="20"/>
        </w:rPr>
      </w:pPr>
    </w:p>
    <w:p>
      <w:pPr>
        <w:pStyle w:val="Heading3"/>
        <w:spacing w:line="240" w:lineRule="auto"/>
        <w:ind w:right="982"/>
        <w:jc w:val="left"/>
        <w:rPr>
          <w:b w:val="0"/>
          <w:bCs w:val="0"/>
        </w:rPr>
      </w:pPr>
      <w:bookmarkStart w:name="46、资本公积" w:id="341"/>
      <w:bookmarkEnd w:id="341"/>
      <w:r>
        <w:rPr>
          <w:b w:val="0"/>
          <w:bCs w:val="0"/>
        </w:rPr>
      </w:r>
      <w:r>
        <w:rPr>
          <w:rFonts w:ascii="Times New Roman" w:hAnsi="Times New Roman" w:cs="Times New Roman" w:eastAsia="Times New Roman" w:hint="default"/>
        </w:rPr>
        <w:t>46</w:t>
      </w:r>
      <w:r>
        <w:rPr/>
        <w:t>、资本公积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674,347,550.47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204,465,854.00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469,881,696.47</w:t>
            </w:r>
            <w:r>
              <w:rPr>
                <w:rFonts w:ascii="Times New Roman"/>
                <w:sz w:val="18"/>
              </w:rPr>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162,000.00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1,109,147.23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1,271,147.23</w:t>
            </w:r>
            <w:r>
              <w:rPr>
                <w:rFonts w:ascii="Times New Roman"/>
                <w:sz w:val="18"/>
              </w:rPr>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674,509,550.47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1,109,147.23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204,465,854.00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471,152,843.70</w:t>
            </w:r>
            <w:r>
              <w:rPr>
                <w:rFonts w:ascii="Times New Roman"/>
                <w:sz w:val="18"/>
              </w:rPr>
            </w:r>
          </w:p>
        </w:tc>
      </w:tr>
    </w:tbl>
    <w:p>
      <w:pPr>
        <w:pStyle w:val="BodyText"/>
        <w:spacing w:line="240" w:lineRule="auto" w:before="49"/>
        <w:ind w:right="982"/>
        <w:jc w:val="left"/>
      </w:pPr>
      <w:r>
        <w:rPr/>
        <w:t>其他说明，包括本期增减变动情况、变动原因说明：</w:t>
      </w:r>
    </w:p>
    <w:p>
      <w:pPr>
        <w:pStyle w:val="BodyText"/>
        <w:spacing w:line="240" w:lineRule="auto" w:before="115"/>
        <w:ind w:left="512" w:right="982"/>
        <w:jc w:val="left"/>
      </w:pPr>
      <w:r>
        <w:rPr>
          <w:rFonts w:ascii="Times New Roman" w:hAnsi="Times New Roman" w:cs="Times New Roman" w:eastAsia="Times New Roman" w:hint="default"/>
        </w:rPr>
        <w:t>1)</w:t>
      </w:r>
      <w:r>
        <w:rPr/>
        <w:t>本期资本公积</w:t>
      </w:r>
      <w:r>
        <w:rPr>
          <w:rFonts w:ascii="Times New Roman" w:hAnsi="Times New Roman" w:cs="Times New Roman" w:eastAsia="Times New Roman" w:hint="default"/>
        </w:rPr>
        <w:t>-</w:t>
      </w:r>
      <w:r>
        <w:rPr/>
        <w:t>股本溢价减少系转增股本而转出。</w:t>
      </w:r>
    </w:p>
    <w:p>
      <w:pPr>
        <w:pStyle w:val="BodyText"/>
        <w:spacing w:line="300" w:lineRule="auto" w:before="62"/>
        <w:ind w:right="982" w:firstLine="360"/>
        <w:jc w:val="left"/>
      </w:pPr>
      <w:r>
        <w:rPr>
          <w:rFonts w:ascii="Times New Roman" w:hAnsi="Times New Roman" w:cs="Times New Roman" w:eastAsia="Times New Roman" w:hint="default"/>
        </w:rPr>
        <w:t>2)</w:t>
      </w:r>
      <w:r>
        <w:rPr/>
        <w:t>本期资本公积</w:t>
      </w:r>
      <w:r>
        <w:rPr>
          <w:rFonts w:ascii="Times New Roman" w:hAnsi="Times New Roman" w:cs="Times New Roman" w:eastAsia="Times New Roman" w:hint="default"/>
        </w:rPr>
        <w:t>-</w:t>
      </w:r>
      <w:r>
        <w:rPr/>
        <w:t>其他资本公积增加系济南天辰机器集团有限公司向天辰智能公司出借款，按照权益性交易核算利息增</w:t>
      </w:r>
      <w:r>
        <w:rPr>
          <w:spacing w:val="2"/>
          <w:w w:val="99"/>
        </w:rPr>
        <w:t> </w:t>
      </w:r>
      <w:r>
        <w:rPr/>
        <w:t>加的资本公积。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7"/>
          <w:szCs w:val="17"/>
        </w:rPr>
      </w:pPr>
    </w:p>
    <w:p>
      <w:pPr>
        <w:pStyle w:val="Heading3"/>
        <w:spacing w:line="240" w:lineRule="auto"/>
        <w:ind w:right="982"/>
        <w:jc w:val="left"/>
        <w:rPr>
          <w:b w:val="0"/>
          <w:bCs w:val="0"/>
        </w:rPr>
      </w:pPr>
      <w:bookmarkStart w:name="47、库存股" w:id="342"/>
      <w:bookmarkEnd w:id="342"/>
      <w:r>
        <w:rPr>
          <w:b w:val="0"/>
          <w:bCs w:val="0"/>
        </w:rPr>
      </w:r>
      <w:r>
        <w:rPr>
          <w:rFonts w:ascii="Times New Roman" w:hAnsi="Times New Roman" w:cs="Times New Roman" w:eastAsia="Times New Roman" w:hint="default"/>
        </w:rPr>
        <w:t>47</w:t>
      </w:r>
      <w:r>
        <w:rPr/>
        <w:t>、库存股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982"/>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bookmarkStart w:name="48、其他综合收益" w:id="343"/>
      <w:bookmarkEnd w:id="343"/>
      <w:r>
        <w:rPr>
          <w:b w:val="0"/>
          <w:bCs w:val="0"/>
        </w:rPr>
      </w:r>
      <w:r>
        <w:rPr>
          <w:rFonts w:ascii="Times New Roman" w:hAnsi="Times New Roman" w:cs="Times New Roman" w:eastAsia="Times New Roman" w:hint="default"/>
        </w:rPr>
        <w:t>48</w:t>
      </w:r>
      <w:r>
        <w:rPr/>
        <w:t>、其他综合收益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09"/>
        <w:gridCol w:w="1068"/>
        <w:gridCol w:w="936"/>
        <w:gridCol w:w="1152"/>
        <w:gridCol w:w="934"/>
        <w:gridCol w:w="936"/>
        <w:gridCol w:w="936"/>
        <w:gridCol w:w="799"/>
      </w:tblGrid>
      <w:tr>
        <w:trPr>
          <w:trHeight w:val="403" w:hRule="exact"/>
        </w:trPr>
        <w:tc>
          <w:tcPr>
            <w:tcW w:w="280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2809" w:type="dxa"/>
            <w:vMerge/>
            <w:tcBorders>
              <w:left w:val="single" w:sz="4" w:space="0" w:color="000000"/>
              <w:bottom w:val="single" w:sz="4" w:space="0" w:color="000000"/>
              <w:right w:val="single" w:sz="4" w:space="0" w:color="000000"/>
            </w:tcBorders>
            <w:shd w:val="clear" w:color="auto" w:fill="D4D4D4"/>
          </w:tcPr>
          <w:p>
            <w:pPr/>
          </w:p>
        </w:tc>
        <w:tc>
          <w:tcPr>
            <w:tcW w:w="1068" w:type="dxa"/>
            <w:vMerge/>
            <w:tcBorders>
              <w:left w:val="single" w:sz="4" w:space="0" w:color="000000"/>
              <w:bottom w:val="single" w:sz="4" w:space="0" w:color="000000"/>
              <w:right w:val="single" w:sz="4" w:space="0" w:color="000000"/>
            </w:tcBorders>
            <w:shd w:val="clear" w:color="auto" w:fill="D4D4D4"/>
          </w:tcPr>
          <w:p>
            <w:pPr/>
          </w:p>
        </w:tc>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68"/>
              <w:ind w:left="103" w:right="101"/>
              <w:jc w:val="left"/>
              <w:rPr>
                <w:rFonts w:ascii="宋体" w:hAnsi="宋体" w:cs="宋体" w:eastAsia="宋体" w:hint="default"/>
                <w:sz w:val="18"/>
                <w:szCs w:val="18"/>
              </w:rPr>
            </w:pPr>
            <w:r>
              <w:rPr>
                <w:rFonts w:ascii="宋体" w:hAnsi="宋体" w:cs="宋体" w:eastAsia="宋体" w:hint="default"/>
                <w:sz w:val="18"/>
                <w:szCs w:val="18"/>
              </w:rPr>
              <w:t>本期所得 税前发生</w:t>
            </w:r>
          </w:p>
        </w:tc>
        <w:tc>
          <w:tcPr>
            <w:tcW w:w="11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68"/>
              <w:ind w:left="31" w:right="29"/>
              <w:jc w:val="left"/>
              <w:rPr>
                <w:rFonts w:ascii="宋体" w:hAnsi="宋体" w:cs="宋体" w:eastAsia="宋体" w:hint="default"/>
                <w:sz w:val="18"/>
                <w:szCs w:val="18"/>
              </w:rPr>
            </w:pPr>
            <w:r>
              <w:rPr>
                <w:rFonts w:ascii="宋体" w:hAnsi="宋体" w:cs="宋体" w:eastAsia="宋体" w:hint="default"/>
                <w:sz w:val="18"/>
                <w:szCs w:val="18"/>
              </w:rPr>
              <w:t>减：前期计入 其他综合收益</w:t>
            </w:r>
          </w:p>
        </w:tc>
        <w:tc>
          <w:tcPr>
            <w:tcW w:w="9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8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05" w:right="9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68"/>
              <w:ind w:left="105" w:right="98"/>
              <w:jc w:val="left"/>
              <w:rPr>
                <w:rFonts w:ascii="宋体" w:hAnsi="宋体" w:cs="宋体" w:eastAsia="宋体" w:hint="default"/>
                <w:sz w:val="18"/>
                <w:szCs w:val="18"/>
              </w:rPr>
            </w:pPr>
            <w:r>
              <w:rPr>
                <w:rFonts w:ascii="宋体" w:hAnsi="宋体" w:cs="宋体" w:eastAsia="宋体" w:hint="default"/>
                <w:sz w:val="18"/>
                <w:szCs w:val="18"/>
              </w:rPr>
              <w:t>税后归属 于少数股</w:t>
            </w:r>
          </w:p>
        </w:tc>
        <w:tc>
          <w:tcPr>
            <w:tcW w:w="799" w:type="dxa"/>
            <w:vMerge/>
            <w:tcBorders>
              <w:left w:val="single" w:sz="4" w:space="0" w:color="000000"/>
              <w:bottom w:val="single" w:sz="4" w:space="0" w:color="000000"/>
              <w:right w:val="single" w:sz="4" w:space="0" w:color="000000"/>
            </w:tcBorders>
            <w:shd w:val="clear" w:color="auto" w:fill="D4D4D4"/>
          </w:tcPr>
          <w:p>
            <w:pPr/>
          </w:p>
        </w:tc>
      </w:tr>
    </w:tbl>
    <w:p>
      <w:pPr>
        <w:spacing w:after="0"/>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09"/>
        <w:gridCol w:w="1068"/>
        <w:gridCol w:w="936"/>
        <w:gridCol w:w="1152"/>
        <w:gridCol w:w="934"/>
        <w:gridCol w:w="936"/>
        <w:gridCol w:w="936"/>
        <w:gridCol w:w="797"/>
      </w:tblGrid>
      <w:tr>
        <w:trPr>
          <w:trHeight w:val="362" w:hRule="exact"/>
        </w:trPr>
        <w:tc>
          <w:tcPr>
            <w:tcW w:w="280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06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1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31" w:right="0"/>
              <w:jc w:val="left"/>
              <w:rPr>
                <w:rFonts w:ascii="宋体" w:hAnsi="宋体" w:cs="宋体" w:eastAsia="宋体" w:hint="default"/>
                <w:sz w:val="18"/>
                <w:szCs w:val="18"/>
              </w:rPr>
            </w:pPr>
            <w:r>
              <w:rPr>
                <w:rFonts w:ascii="宋体" w:hAnsi="宋体" w:cs="宋体" w:eastAsia="宋体" w:hint="default"/>
                <w:sz w:val="18"/>
                <w:szCs w:val="18"/>
              </w:rPr>
              <w:t>当期转入损益</w:t>
            </w:r>
          </w:p>
        </w:tc>
        <w:tc>
          <w:tcPr>
            <w:tcW w:w="93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东</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
        </w:tc>
      </w:tr>
    </w:tbl>
    <w:p>
      <w:pPr>
        <w:pStyle w:val="BodyText"/>
        <w:spacing w:line="240" w:lineRule="auto" w:before="49"/>
        <w:ind w:right="982"/>
        <w:jc w:val="left"/>
      </w:pPr>
      <w:r>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bookmarkStart w:name="49、专项储备" w:id="344"/>
      <w:bookmarkEnd w:id="344"/>
      <w:r>
        <w:rPr>
          <w:b w:val="0"/>
          <w:bCs w:val="0"/>
        </w:rPr>
      </w:r>
      <w:r>
        <w:rPr>
          <w:rFonts w:ascii="Times New Roman" w:hAnsi="Times New Roman" w:cs="Times New Roman" w:eastAsia="Times New Roman" w:hint="default"/>
        </w:rPr>
        <w:t>49</w:t>
      </w:r>
      <w:r>
        <w:rPr/>
        <w:t>、专项储备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0"/>
        <w:ind w:right="982"/>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bookmarkStart w:name="50、盈余公积" w:id="345"/>
      <w:bookmarkEnd w:id="345"/>
      <w:r>
        <w:rPr>
          <w:b w:val="0"/>
          <w:bCs w:val="0"/>
        </w:rPr>
      </w:r>
      <w:r>
        <w:rPr>
          <w:rFonts w:ascii="Times New Roman" w:hAnsi="Times New Roman" w:cs="Times New Roman" w:eastAsia="Times New Roman" w:hint="default"/>
        </w:rPr>
        <w:t>50</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15,311,849.84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1,694,983.84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17,006,833.68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15,311,849.84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1,694,983.84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17,006,833.68</w:t>
            </w:r>
          </w:p>
        </w:tc>
      </w:tr>
    </w:tbl>
    <w:p>
      <w:pPr>
        <w:pStyle w:val="BodyText"/>
        <w:spacing w:line="357" w:lineRule="auto" w:before="49"/>
        <w:ind w:left="368" w:right="2303" w:hanging="216"/>
        <w:jc w:val="left"/>
      </w:pPr>
      <w:r>
        <w:rPr/>
        <w:t>盈余公积说明，包括本期增减变动情况、变动原因说明： 本期盈余公积增加数系根据公司</w:t>
      </w:r>
      <w:r>
        <w:rPr>
          <w:rFonts w:ascii="Times New Roman" w:hAnsi="Times New Roman" w:cs="Times New Roman" w:eastAsia="Times New Roman" w:hint="default"/>
        </w:rPr>
        <w:t>2018</w:t>
      </w:r>
      <w:r>
        <w:rPr/>
        <w:t>年度实现净利润</w:t>
      </w:r>
      <w:r>
        <w:rPr>
          <w:rFonts w:ascii="Times New Roman" w:hAnsi="Times New Roman" w:cs="Times New Roman" w:eastAsia="Times New Roman" w:hint="default"/>
        </w:rPr>
        <w:t>(</w:t>
      </w:r>
      <w:r>
        <w:rPr/>
        <w:t>母公司</w:t>
      </w:r>
      <w:r>
        <w:rPr>
          <w:rFonts w:ascii="Times New Roman" w:hAnsi="Times New Roman" w:cs="Times New Roman" w:eastAsia="Times New Roman" w:hint="default"/>
        </w:rPr>
        <w:t>)</w:t>
      </w:r>
      <w:r>
        <w:rPr/>
        <w:t>的</w:t>
      </w:r>
      <w:r>
        <w:rPr>
          <w:rFonts w:ascii="Times New Roman" w:hAnsi="Times New Roman" w:cs="Times New Roman" w:eastAsia="Times New Roman" w:hint="default"/>
        </w:rPr>
        <w:t>10%</w:t>
      </w:r>
      <w:r>
        <w:rPr/>
        <w:t>计提的法定盈余公积</w:t>
      </w:r>
      <w:r>
        <w:rPr>
          <w:rFonts w:ascii="Times New Roman" w:hAnsi="Times New Roman" w:cs="Times New Roman" w:eastAsia="Times New Roman" w:hint="default"/>
        </w:rPr>
        <w:t>1,694,983.84</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4"/>
          <w:szCs w:val="24"/>
        </w:rPr>
      </w:pPr>
    </w:p>
    <w:p>
      <w:pPr>
        <w:pStyle w:val="Heading3"/>
        <w:spacing w:line="240" w:lineRule="auto"/>
        <w:ind w:right="982"/>
        <w:jc w:val="left"/>
        <w:rPr>
          <w:b w:val="0"/>
          <w:bCs w:val="0"/>
        </w:rPr>
      </w:pPr>
      <w:bookmarkStart w:name="51、未分配利润" w:id="346"/>
      <w:bookmarkEnd w:id="346"/>
      <w:r>
        <w:rPr>
          <w:b w:val="0"/>
          <w:bCs w:val="0"/>
        </w:rPr>
      </w:r>
      <w:r>
        <w:rPr>
          <w:rFonts w:ascii="Times New Roman" w:hAnsi="Times New Roman" w:cs="Times New Roman" w:eastAsia="Times New Roman" w:hint="default"/>
        </w:rPr>
        <w:t>51</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2"/>
        <w:gridCol w:w="2934"/>
        <w:gridCol w:w="2918"/>
      </w:tblGrid>
      <w:tr>
        <w:trPr>
          <w:trHeight w:val="401"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245,888,132.21</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169,411,769.89</w:t>
            </w:r>
          </w:p>
        </w:tc>
      </w:tr>
      <w:tr>
        <w:trPr>
          <w:trHeight w:val="401"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245,888,132.21</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169,411,769.89</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130,995,099.47</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77,566,911.73</w:t>
            </w:r>
            <w:r>
              <w:rPr>
                <w:rFonts w:ascii="Times New Roman"/>
                <w:sz w:val="18"/>
              </w:rPr>
            </w:r>
          </w:p>
        </w:tc>
      </w:tr>
      <w:tr>
        <w:trPr>
          <w:trHeight w:val="401"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1,694,983.84</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1,090,549.41</w:t>
            </w:r>
            <w:r>
              <w:rPr>
                <w:rFonts w:ascii="Times New Roman"/>
                <w:sz w:val="18"/>
              </w:rPr>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应付普通股股利</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30,669,878.10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344,518,369.74</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245,888,132.21</w:t>
            </w:r>
            <w:r>
              <w:rPr>
                <w:rFonts w:ascii="Times New Roman"/>
                <w:sz w:val="18"/>
              </w:rPr>
            </w:r>
          </w:p>
        </w:tc>
      </w:tr>
    </w:tbl>
    <w:p>
      <w:pPr>
        <w:pStyle w:val="BodyText"/>
        <w:spacing w:line="240" w:lineRule="auto" w:before="49"/>
        <w:ind w:right="982"/>
        <w:jc w:val="left"/>
      </w:pPr>
      <w:r>
        <w:rPr/>
        <w:t>调整期初未分配利润明细：</w:t>
      </w:r>
    </w:p>
    <w:p>
      <w:pPr>
        <w:pStyle w:val="BodyText"/>
        <w:spacing w:line="240" w:lineRule="auto" w:before="117"/>
        <w:ind w:right="982"/>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1"/>
        <w:ind w:right="982"/>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3"/>
        <w:ind w:right="982"/>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3"/>
        <w:ind w:right="982"/>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1"/>
        <w:ind w:right="982"/>
        <w:jc w:val="left"/>
      </w:pPr>
      <w:r>
        <w:rPr>
          <w:rFonts w:ascii="Times New Roman" w:hAnsi="Times New Roman" w:cs="Times New Roman" w:eastAsia="Times New Roman" w:hint="default"/>
        </w:rPr>
        <w:t>5)</w:t>
      </w:r>
      <w:r>
        <w:rPr/>
        <w:t>、其他调整合计影响期初未分配利润元。</w:t>
      </w:r>
    </w:p>
    <w:p>
      <w:pPr>
        <w:spacing w:after="0" w:line="240" w:lineRule="auto"/>
        <w:jc w:val="left"/>
        <w:sectPr>
          <w:pgSz w:w="11910" w:h="16840"/>
          <w:pgMar w:header="745"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bookmarkStart w:name="52、营业收入和营业成本" w:id="347"/>
      <w:bookmarkEnd w:id="347"/>
      <w:r>
        <w:rPr>
          <w:b w:val="0"/>
          <w:bCs w:val="0"/>
        </w:rPr>
      </w:r>
      <w:r>
        <w:rPr>
          <w:rFonts w:ascii="Times New Roman" w:hAnsi="Times New Roman" w:cs="Times New Roman" w:eastAsia="Times New Roman" w:hint="default"/>
        </w:rPr>
        <w:t>52</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4D4D4"/>
          </w:tcPr>
          <w:p>
            <w:pPr/>
          </w:p>
        </w:tc>
        <w:tc>
          <w:tcPr>
            <w:tcW w:w="383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4D4D4"/>
          </w:tcPr>
          <w:p>
            <w:pPr/>
          </w:p>
        </w:tc>
        <w:tc>
          <w:tcPr>
            <w:tcW w:w="3828" w:type="dxa"/>
            <w:gridSpan w:val="2"/>
            <w:vMerge/>
            <w:tcBorders>
              <w:left w:val="single" w:sz="4" w:space="0" w:color="000000"/>
              <w:bottom w:val="single" w:sz="4" w:space="0" w:color="000000"/>
              <w:right w:val="single" w:sz="4" w:space="0" w:color="000000"/>
            </w:tcBorders>
            <w:shd w:val="clear" w:color="auto" w:fill="D4D4D4"/>
          </w:tcPr>
          <w:p>
            <w:pPr/>
          </w:p>
        </w:tc>
      </w:tr>
      <w:tr>
        <w:trPr>
          <w:trHeight w:val="199" w:hRule="exact"/>
        </w:trPr>
        <w:tc>
          <w:tcPr>
            <w:tcW w:w="1913" w:type="dxa"/>
            <w:vMerge/>
            <w:tcBorders>
              <w:left w:val="single" w:sz="4" w:space="0" w:color="000000"/>
              <w:bottom w:val="nil" w:sz="6" w:space="0" w:color="auto"/>
              <w:right w:val="single" w:sz="4" w:space="0" w:color="000000"/>
            </w:tcBorders>
            <w:shd w:val="clear" w:color="auto" w:fill="D4D4D4"/>
          </w:tcPr>
          <w:p>
            <w:pP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996,981,628.56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647,970,428.03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750,993,053.24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486,105,884.31</w:t>
            </w:r>
            <w:r>
              <w:rPr>
                <w:rFonts w:ascii="Times New Roman"/>
                <w:sz w:val="18"/>
              </w:rPr>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5,094,788.86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3,391,397.22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3,579,686.39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2,770,957.82</w:t>
            </w:r>
            <w:r>
              <w:rPr>
                <w:rFonts w:ascii="Times New Roman"/>
                <w:sz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1,002,076,417.42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651,361,825.25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754,572,739.63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488,876,842.13</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bookmarkStart w:name="53、税金及附加" w:id="348"/>
      <w:bookmarkEnd w:id="348"/>
      <w:r>
        <w:rPr>
          <w:b w:val="0"/>
          <w:bCs w:val="0"/>
        </w:rPr>
      </w:r>
      <w:r>
        <w:rPr>
          <w:rFonts w:ascii="Times New Roman" w:hAnsi="Times New Roman" w:cs="Times New Roman" w:eastAsia="Times New Roman" w:hint="default"/>
        </w:rPr>
        <w:t>53</w:t>
      </w:r>
      <w:r>
        <w:rPr/>
        <w:t>、税金及附加</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2,670,036.90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2,561,298.54</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1,233,725.83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1,229,649.50</w:t>
            </w:r>
            <w:r>
              <w:rPr>
                <w:rFonts w:ascii="Times New Roman"/>
                <w:sz w:val="18"/>
              </w:rPr>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18,027.00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1,369,554.58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1,435,158.29</w:t>
            </w:r>
            <w:r>
              <w:rPr>
                <w:rFonts w:ascii="Times New Roman"/>
                <w:sz w:val="18"/>
              </w:rPr>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1,704,744.60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2,333,885.56</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4,945.52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8,143.12</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503,956.25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574,752.44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821,660.47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804,800.48</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环境保护税</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25,392.00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8,352,043.15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8,947,687.93</w:t>
            </w:r>
            <w:r>
              <w:rPr>
                <w:rFonts w:ascii="Times New Roman"/>
                <w:sz w:val="18"/>
              </w:rPr>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bookmarkStart w:name="54、销售费用" w:id="349"/>
      <w:bookmarkEnd w:id="349"/>
      <w:r>
        <w:rPr>
          <w:b w:val="0"/>
          <w:bCs w:val="0"/>
        </w:rPr>
      </w:r>
      <w:r>
        <w:rPr>
          <w:rFonts w:ascii="Times New Roman" w:hAnsi="Times New Roman" w:cs="Times New Roman" w:eastAsia="Times New Roman" w:hint="default"/>
        </w:rPr>
        <w:t>54</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工资及附加费用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18,898,350.46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14,477,147.46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6,214,497.84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5,740,595.64</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运输装卸费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9,614,115.80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6,531,104.59</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5,320,132.13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5,452,208.78</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25,554,381.25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14,238,882.47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6,661,659.95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5,143,352.47</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折旧摊销费用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1,242,537.25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860,917.38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2,002,311.76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1,412,763.57</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75,507,986.44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53,856,972.36</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bookmarkStart w:name="55、管理费用" w:id="350"/>
      <w:bookmarkEnd w:id="350"/>
      <w:r>
        <w:rPr>
          <w:b w:val="0"/>
          <w:bCs w:val="0"/>
        </w:rPr>
      </w:r>
      <w:r>
        <w:rPr>
          <w:rFonts w:ascii="Times New Roman" w:hAnsi="Times New Roman" w:cs="Times New Roman" w:eastAsia="Times New Roman" w:hint="default"/>
        </w:rPr>
        <w:t>55</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工资及附加费用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22,055,184.48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18,100,367.25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13,632,616.71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11,009,975.91</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折旧摊销费用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7,988,213.84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6,054,326.03</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4,468,859.74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5,166,405.16</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6,416,600.07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4,991,455.60</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3,236,289.55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1,735,612.12</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1,991,332.70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1,475,029.06</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59,789,097.09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48,533,171.13</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bookmarkStart w:name="56、研发费用" w:id="351"/>
      <w:bookmarkEnd w:id="351"/>
      <w:r>
        <w:rPr>
          <w:b w:val="0"/>
          <w:bCs w:val="0"/>
        </w:rPr>
      </w:r>
      <w:r>
        <w:rPr>
          <w:rFonts w:ascii="Times New Roman" w:hAnsi="Times New Roman" w:cs="Times New Roman" w:eastAsia="Times New Roman" w:hint="default"/>
        </w:rPr>
        <w:t>56</w:t>
      </w:r>
      <w:r>
        <w:rPr/>
        <w:t>、研发费用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人员人工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25,741,474.38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19,136,702.03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折旧费用与长期费用摊销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1,456,512.12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748,876.84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直接投入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30,039,573.55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27,845,380.68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1,996,895.92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2,369,158.01</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59,234,455.97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50,100,117.56</w:t>
            </w:r>
            <w:r>
              <w:rPr>
                <w:rFonts w:ascii="Times New Roman"/>
                <w:sz w:val="18"/>
              </w:rPr>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bookmarkStart w:name="57、财务费用" w:id="352"/>
      <w:bookmarkEnd w:id="352"/>
      <w:r>
        <w:rPr>
          <w:b w:val="0"/>
          <w:bCs w:val="0"/>
        </w:rPr>
      </w:r>
      <w:r>
        <w:rPr>
          <w:rFonts w:ascii="Times New Roman" w:hAnsi="Times New Roman" w:cs="Times New Roman" w:eastAsia="Times New Roman" w:hint="default"/>
        </w:rPr>
        <w:t>57</w:t>
      </w:r>
      <w:r>
        <w:rPr/>
        <w:t>、财务费用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5,418,774.48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1,037,241.14</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-265,652.95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-306,579.03</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0.31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-212,123.28</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631,144.84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296,142.74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5,784,266.68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814,681.57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bookmarkStart w:name="58、资产减值损失" w:id="353"/>
      <w:bookmarkEnd w:id="353"/>
      <w:r>
        <w:rPr>
          <w:b w:val="0"/>
          <w:bCs w:val="0"/>
        </w:rPr>
      </w:r>
      <w:r>
        <w:rPr>
          <w:rFonts w:ascii="Times New Roman" w:hAnsi="Times New Roman" w:cs="Times New Roman" w:eastAsia="Times New Roman" w:hint="default"/>
        </w:rPr>
        <w:t>58</w:t>
      </w:r>
      <w:r>
        <w:rPr/>
        <w:t>、资产减值损失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20,479,224.42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22,021,531.90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203" w:type="dxa"/>
            <w:tcBorders>
              <w:top w:val="single" w:sz="4" w:space="0" w:color="000000"/>
              <w:left w:val="single" w:sz="9" w:space="0" w:color="D4D4D4"/>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1,896,582.40</w:t>
            </w:r>
            <w:r>
              <w:rPr>
                <w:rFonts w:ascii="Times New Roman"/>
                <w:sz w:val="18"/>
              </w:rPr>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3" w:type="dxa"/>
            <w:tcBorders>
              <w:top w:val="single" w:sz="4" w:space="0" w:color="000000"/>
              <w:left w:val="single" w:sz="9" w:space="0" w:color="D4D4D4"/>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6,643,167.55</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20,479,224.42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30,561,281.85</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bookmarkStart w:name="59、其他收益" w:id="354"/>
      <w:bookmarkEnd w:id="354"/>
      <w:r>
        <w:rPr>
          <w:b w:val="0"/>
          <w:bCs w:val="0"/>
        </w:rPr>
      </w:r>
      <w:r>
        <w:rPr>
          <w:rFonts w:ascii="Times New Roman" w:hAnsi="Times New Roman" w:cs="Times New Roman" w:eastAsia="Times New Roman" w:hint="default"/>
        </w:rPr>
        <w:t>59</w:t>
      </w:r>
      <w:r>
        <w:rPr/>
        <w:t>、其他收益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7,556,027.05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795,401.29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13,932,333.98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7,465,526.98</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21,488,361.03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8,260,928.27</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bookmarkStart w:name="60、投资收益" w:id="355"/>
      <w:bookmarkEnd w:id="355"/>
      <w:r>
        <w:rPr>
          <w:b w:val="0"/>
          <w:bCs w:val="0"/>
        </w:rPr>
      </w:r>
      <w:r>
        <w:rPr>
          <w:rFonts w:ascii="Times New Roman" w:hAnsi="Times New Roman" w:cs="Times New Roman" w:eastAsia="Times New Roman" w:hint="default"/>
        </w:rPr>
        <w:t>60</w:t>
      </w:r>
      <w:r>
        <w:rPr/>
        <w:t>、投资收益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1"/>
        <w:gridCol w:w="3190"/>
        <w:gridCol w:w="2918"/>
      </w:tblGrid>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-1,032,620.51</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-1,447,265.16</w:t>
            </w:r>
            <w:r>
              <w:rPr>
                <w:rFonts w:ascii="Times New Roman"/>
                <w:sz w:val="18"/>
              </w:rPr>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5,960.05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3,948,515.59</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7,126,450.43</w:t>
            </w:r>
            <w:r>
              <w:rPr>
                <w:rFonts w:ascii="Times New Roman"/>
                <w:sz w:val="18"/>
              </w:rPr>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2,921,855.13</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5,679,185.27</w:t>
            </w:r>
            <w:r>
              <w:rPr>
                <w:rFonts w:ascii="Times New Roman"/>
                <w:sz w:val="18"/>
              </w:rPr>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bookmarkStart w:name="61、公允价值变动收益" w:id="356"/>
      <w:bookmarkEnd w:id="356"/>
      <w:r>
        <w:rPr>
          <w:b w:val="0"/>
          <w:bCs w:val="0"/>
        </w:rPr>
      </w:r>
      <w:r>
        <w:rPr>
          <w:rFonts w:ascii="Times New Roman" w:hAnsi="Times New Roman" w:cs="Times New Roman" w:eastAsia="Times New Roman" w:hint="default"/>
        </w:rPr>
        <w:t>61</w:t>
      </w:r>
      <w:r>
        <w:rPr/>
        <w:t>、公允价值变动收益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bookmarkStart w:name="62、资产处置收益" w:id="357"/>
      <w:bookmarkEnd w:id="357"/>
      <w:r>
        <w:rPr>
          <w:b w:val="0"/>
          <w:bCs w:val="0"/>
        </w:rPr>
      </w:r>
      <w:r>
        <w:rPr>
          <w:rFonts w:ascii="Times New Roman" w:hAnsi="Times New Roman" w:cs="Times New Roman" w:eastAsia="Times New Roman" w:hint="default"/>
        </w:rPr>
        <w:t>62</w:t>
      </w:r>
      <w:r>
        <w:rPr/>
        <w:t>、资产处置收益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after="0" w:line="240" w:lineRule="auto"/>
        <w:jc w:val="right"/>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630,587.13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73,316.10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630,587.13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73,316.10</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bookmarkStart w:name="63、营业外收入" w:id="358"/>
      <w:bookmarkEnd w:id="358"/>
      <w:r>
        <w:rPr>
          <w:b w:val="0"/>
          <w:bCs w:val="0"/>
        </w:rPr>
      </w:r>
      <w:r>
        <w:rPr>
          <w:rFonts w:ascii="Times New Roman" w:hAnsi="Times New Roman" w:cs="Times New Roman" w:eastAsia="Times New Roman" w:hint="default"/>
        </w:rPr>
        <w:t>63</w:t>
      </w:r>
      <w:r>
        <w:rPr/>
        <w:t>、营业外收入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71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罚没收入</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150,240.00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43,599.00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150,240.00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无需支付款项</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356,684.99</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356,684.99</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198.68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61,812.09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198.68</w:t>
            </w:r>
            <w:r>
              <w:rPr>
                <w:rFonts w:ascii="Times New Roman"/>
                <w:sz w:val="18"/>
              </w:rPr>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507,123.67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105,411.09</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507,123.67</w:t>
            </w:r>
          </w:p>
        </w:tc>
      </w:tr>
    </w:tbl>
    <w:p>
      <w:pPr>
        <w:pStyle w:val="BodyText"/>
        <w:spacing w:line="240" w:lineRule="auto" w:before="49"/>
        <w:ind w:right="982"/>
        <w:jc w:val="left"/>
      </w:pPr>
      <w:r>
        <w:rPr/>
        <w:t>计入当期损益的政府补助：</w:t>
      </w:r>
    </w:p>
    <w:p>
      <w:pPr>
        <w:pStyle w:val="BodyText"/>
        <w:spacing w:line="240" w:lineRule="auto" w:before="115"/>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3"/>
        <w:gridCol w:w="1061"/>
        <w:gridCol w:w="1063"/>
        <w:gridCol w:w="1063"/>
        <w:gridCol w:w="1064"/>
        <w:gridCol w:w="1062"/>
      </w:tblGrid>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436" w:right="77"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75"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bookmarkStart w:name="64、营业外支出" w:id="359"/>
      <w:bookmarkEnd w:id="359"/>
      <w:r>
        <w:rPr>
          <w:b w:val="0"/>
          <w:bCs w:val="0"/>
        </w:rPr>
      </w:r>
      <w:r>
        <w:rPr>
          <w:rFonts w:ascii="Times New Roman" w:hAnsi="Times New Roman" w:cs="Times New Roman" w:eastAsia="Times New Roman" w:hint="default"/>
        </w:rPr>
        <w:t>64</w:t>
      </w:r>
      <w:r>
        <w:rPr/>
        <w:t>、营业外支出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5"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4D4D4"/>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5"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24,999.05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24,999.05</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149,078.83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136,199.05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149,078.83</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其中：固定资产报废损失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149,078.83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136,199.05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149,078.83</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466,516.49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167,467.19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466,516.49</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赔偿支出</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557,991.86</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557,991.86</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预计诉讼赔偿支出</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1,766,739.06</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1,766,739.06</w:t>
            </w:r>
            <w:r>
              <w:rPr>
                <w:rFonts w:ascii="Times New Roman"/>
                <w:sz w:val="18"/>
              </w:rPr>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滞纳金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246,151.71</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246,151.71</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84,028.62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58,188.24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45,617.04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128,797.07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45,617.04</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3,341,122.66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503,651.55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3,257,094.04</w:t>
            </w:r>
            <w:r>
              <w:rPr>
                <w:rFonts w:ascii="Times New Roman"/>
                <w:sz w:val="18"/>
              </w:rPr>
            </w:r>
          </w:p>
        </w:tc>
      </w:tr>
    </w:tbl>
    <w:p>
      <w:pPr>
        <w:pStyle w:val="BodyText"/>
        <w:spacing w:line="240" w:lineRule="auto" w:before="49"/>
        <w:ind w:right="982"/>
        <w:jc w:val="left"/>
      </w:pPr>
      <w:r>
        <w:rPr/>
        <w:t>其他说明：</w:t>
      </w:r>
    </w:p>
    <w:p>
      <w:pPr>
        <w:spacing w:after="0" w:line="240" w:lineRule="auto"/>
        <w:jc w:val="left"/>
        <w:sectPr>
          <w:pgSz w:w="11910" w:h="16840"/>
          <w:pgMar w:header="745"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bookmarkStart w:name="65、所得税费用" w:id="360"/>
      <w:bookmarkEnd w:id="360"/>
      <w:r>
        <w:rPr>
          <w:b w:val="0"/>
          <w:bCs w:val="0"/>
        </w:rPr>
      </w:r>
      <w:r>
        <w:rPr>
          <w:rFonts w:ascii="Times New Roman" w:hAnsi="Times New Roman" w:cs="Times New Roman" w:eastAsia="Times New Roman" w:hint="default"/>
        </w:rPr>
        <w:t>65</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bookmarkStart w:name="（1）所得税费用表" w:id="361"/>
      <w:bookmarkEnd w:id="361"/>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19,814,217.38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17,399,191.51</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-5,322,795.69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-961,730.19</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14,491,421.69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16,437,461.32</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bookmarkStart w:name="（2）会计利润与所得税费用调整过程" w:id="362"/>
      <w:bookmarkEnd w:id="362"/>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6"/>
        <w:gridCol w:w="4801"/>
      </w:tblGrid>
      <w:tr>
        <w:trPr>
          <w:trHeight w:val="403"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143,774,322.72</w:t>
            </w:r>
            <w:r>
              <w:rPr>
                <w:rFonts w:ascii="Times New Roman"/>
                <w:sz w:val="18"/>
              </w:rPr>
            </w:r>
          </w:p>
        </w:tc>
      </w:tr>
      <w:tr>
        <w:trPr>
          <w:trHeight w:val="403"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21,566,148.42</w:t>
            </w:r>
          </w:p>
        </w:tc>
      </w:tr>
      <w:tr>
        <w:trPr>
          <w:trHeight w:val="401"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223,371.62</w:t>
            </w:r>
          </w:p>
        </w:tc>
      </w:tr>
      <w:tr>
        <w:trPr>
          <w:trHeight w:val="403"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-1,944,639.67</w:t>
            </w:r>
            <w:r>
              <w:rPr>
                <w:rFonts w:ascii="Times New Roman"/>
                <w:sz w:val="18"/>
              </w:rPr>
            </w:r>
          </w:p>
        </w:tc>
      </w:tr>
      <w:tr>
        <w:trPr>
          <w:trHeight w:val="401"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154,893.08</w:t>
            </w:r>
          </w:p>
        </w:tc>
      </w:tr>
      <w:tr>
        <w:trPr>
          <w:trHeight w:val="403"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1,495,738.89</w:t>
            </w:r>
            <w:r>
              <w:rPr>
                <w:rFonts w:ascii="Times New Roman"/>
                <w:sz w:val="18"/>
              </w:rPr>
            </w:r>
          </w:p>
        </w:tc>
      </w:tr>
      <w:tr>
        <w:trPr>
          <w:trHeight w:val="401"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-957,833.95</w:t>
            </w:r>
            <w:r>
              <w:rPr>
                <w:rFonts w:ascii="Times New Roman"/>
                <w:sz w:val="18"/>
              </w:rPr>
            </w:r>
          </w:p>
        </w:tc>
      </w:tr>
      <w:tr>
        <w:trPr>
          <w:trHeight w:val="715"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5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3,057,706.71</w:t>
            </w:r>
            <w:r>
              <w:rPr>
                <w:rFonts w:ascii="Times New Roman"/>
                <w:sz w:val="18"/>
              </w:rPr>
            </w:r>
          </w:p>
        </w:tc>
      </w:tr>
      <w:tr>
        <w:trPr>
          <w:trHeight w:val="401" w:hRule="exact"/>
        </w:trPr>
        <w:tc>
          <w:tcPr>
            <w:tcW w:w="4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研发费加计扣除对所得税的影响</w:t>
            </w:r>
          </w:p>
        </w:tc>
        <w:tc>
          <w:tcPr>
            <w:tcW w:w="4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-8,980,389.55</w:t>
            </w:r>
            <w:r>
              <w:rPr>
                <w:rFonts w:ascii="Times New Roman"/>
                <w:sz w:val="18"/>
              </w:rPr>
            </w:r>
          </w:p>
        </w:tc>
      </w:tr>
      <w:tr>
        <w:trPr>
          <w:trHeight w:val="403" w:hRule="exact"/>
        </w:trPr>
        <w:tc>
          <w:tcPr>
            <w:tcW w:w="4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使用前期未确认递延所得税暂时性差异影响</w:t>
            </w:r>
          </w:p>
        </w:tc>
        <w:tc>
          <w:tcPr>
            <w:tcW w:w="4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-123,573.86</w:t>
            </w:r>
            <w:r>
              <w:rPr>
                <w:rFonts w:ascii="Times New Roman"/>
                <w:sz w:val="18"/>
              </w:rPr>
            </w:r>
          </w:p>
        </w:tc>
      </w:tr>
      <w:tr>
        <w:trPr>
          <w:trHeight w:val="401"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14,491,421.69</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bookmarkStart w:name="66、其他综合收益" w:id="363"/>
      <w:bookmarkEnd w:id="363"/>
      <w:r>
        <w:rPr>
          <w:b w:val="0"/>
          <w:bCs w:val="0"/>
        </w:rPr>
      </w:r>
      <w:r>
        <w:rPr>
          <w:rFonts w:ascii="Times New Roman" w:hAnsi="Times New Roman" w:cs="Times New Roman" w:eastAsia="Times New Roman" w:hint="default"/>
        </w:rPr>
        <w:t>66</w:t>
      </w:r>
      <w:r>
        <w:rPr/>
        <w:t>、其他综合收益</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982"/>
        <w:jc w:val="left"/>
      </w:pPr>
      <w:r>
        <w:rPr/>
        <w:t>详见附注。</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bookmarkStart w:name="67、现金流量表项目" w:id="364"/>
      <w:bookmarkEnd w:id="364"/>
      <w:r>
        <w:rPr>
          <w:b w:val="0"/>
          <w:bCs w:val="0"/>
        </w:rPr>
      </w:r>
      <w:r>
        <w:rPr>
          <w:rFonts w:ascii="Times New Roman" w:hAnsi="Times New Roman" w:cs="Times New Roman" w:eastAsia="Times New Roman" w:hint="default"/>
        </w:rPr>
        <w:t>67</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bookmarkStart w:name="（1）收到的其他与经营活动有关的现金" w:id="365"/>
      <w:bookmarkEnd w:id="365"/>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收到政府补助款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26,096,958.85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5,773,088.15</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收到银行存款利息收入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265,652.95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306,579.03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收到的其他及往来款净额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9,497,802.75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8,701,728.43</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35,860,414.55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14,781,395.61</w:t>
            </w:r>
          </w:p>
        </w:tc>
      </w:tr>
    </w:tbl>
    <w:p>
      <w:pPr>
        <w:pStyle w:val="BodyText"/>
        <w:spacing w:line="240" w:lineRule="auto" w:before="49"/>
        <w:ind w:right="982"/>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bookmarkStart w:name="（2）支付的其他与经营活动有关的现金" w:id="366"/>
      <w:bookmarkEnd w:id="366"/>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支付办公、差旅、招待费等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48,501,691.51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39,424,807.62</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市场推广费、运输费等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34,512,263.13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14,968,043.81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16,748,482.61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支付技术开发服务、检验费等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6,449,603.56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3,485,937.62</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支付咨询服务费等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3,176,846.03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5,474,673.48</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支付其他往来款净额及费用等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4,121,660.49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940,537.24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支付退回的政府补助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2,050,000.00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115,560,547.33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64,293,999.77</w:t>
            </w:r>
          </w:p>
        </w:tc>
      </w:tr>
    </w:tbl>
    <w:p>
      <w:pPr>
        <w:pStyle w:val="BodyText"/>
        <w:spacing w:line="240" w:lineRule="auto" w:before="49"/>
        <w:ind w:right="982"/>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bookmarkStart w:name="（3）收到的其他与投资活动有关的现金" w:id="367"/>
      <w:bookmarkEnd w:id="367"/>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1"/>
              <w:jc w:val="left"/>
              <w:rPr>
                <w:rFonts w:ascii="宋体" w:hAnsi="宋体" w:cs="宋体" w:eastAsia="宋体" w:hint="default"/>
                <w:sz w:val="18"/>
                <w:szCs w:val="18"/>
              </w:rPr>
            </w:pPr>
            <w:r>
              <w:rPr>
                <w:rFonts w:ascii="宋体" w:hAnsi="宋体" w:cs="宋体" w:eastAsia="宋体" w:hint="default"/>
                <w:sz w:val="18"/>
                <w:szCs w:val="18"/>
              </w:rPr>
              <w:t>收到天辰原股东股权转让的代交个人所 得税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15,991,738.64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收回理财产品本金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31,700,000.00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31,700,000.00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15,991,738.64</w:t>
            </w:r>
          </w:p>
        </w:tc>
      </w:tr>
    </w:tbl>
    <w:p>
      <w:pPr>
        <w:pStyle w:val="BodyText"/>
        <w:spacing w:line="240" w:lineRule="auto" w:before="49"/>
        <w:ind w:right="982"/>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bookmarkStart w:name="（4）支付的其他与投资活动有关的现金" w:id="368"/>
      <w:bookmarkEnd w:id="368"/>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1"/>
              <w:jc w:val="left"/>
              <w:rPr>
                <w:rFonts w:ascii="宋体" w:hAnsi="宋体" w:cs="宋体" w:eastAsia="宋体" w:hint="default"/>
                <w:sz w:val="18"/>
                <w:szCs w:val="18"/>
              </w:rPr>
            </w:pPr>
            <w:r>
              <w:rPr>
                <w:rFonts w:ascii="宋体" w:hAnsi="宋体" w:cs="宋体" w:eastAsia="宋体" w:hint="default"/>
                <w:sz w:val="18"/>
                <w:szCs w:val="18"/>
              </w:rPr>
              <w:t>支付天辰原股东股权转让的代交个人所 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15,991,738.64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支付的产业基金专用资金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支付购买理财产品净额</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31,191,738.64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14,500,000.00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ind w:right="982"/>
        <w:jc w:val="left"/>
      </w:pPr>
      <w:r>
        <w:rPr/>
        <w:t>支付的其他与投资活动有关的现金说明：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bookmarkStart w:name="（5）收到的其他与筹资活动有关的现金" w:id="369"/>
      <w:bookmarkEnd w:id="369"/>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收到济南天辰机器集团有限公司暂借款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融资性质的票据贴现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9,748,611.12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收到山东天辰地产有限公司暂借款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82,748,611.12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r>
          </w:p>
        </w:tc>
      </w:tr>
    </w:tbl>
    <w:p>
      <w:pPr>
        <w:pStyle w:val="BodyText"/>
        <w:spacing w:line="240" w:lineRule="auto" w:before="49"/>
        <w:ind w:right="982"/>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bookmarkStart w:name="（6）支付的其他与筹资活动有关的现金" w:id="370"/>
      <w:bookmarkEnd w:id="370"/>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1"/>
              <w:jc w:val="left"/>
              <w:rPr>
                <w:rFonts w:ascii="宋体" w:hAnsi="宋体" w:cs="宋体" w:eastAsia="宋体" w:hint="default"/>
                <w:sz w:val="18"/>
                <w:szCs w:val="18"/>
              </w:rPr>
            </w:pPr>
            <w:r>
              <w:rPr>
                <w:rFonts w:ascii="宋体" w:hAnsi="宋体" w:cs="宋体" w:eastAsia="宋体" w:hint="default"/>
                <w:sz w:val="18"/>
                <w:szCs w:val="18"/>
              </w:rPr>
              <w:t>归还山东天辰地产有限公司暂借款及利 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18,637,766.00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1"/>
              <w:jc w:val="left"/>
              <w:rPr>
                <w:rFonts w:ascii="宋体" w:hAnsi="宋体" w:cs="宋体" w:eastAsia="宋体" w:hint="default"/>
                <w:sz w:val="18"/>
                <w:szCs w:val="18"/>
              </w:rPr>
            </w:pPr>
            <w:r>
              <w:rPr>
                <w:rFonts w:ascii="宋体" w:hAnsi="宋体" w:cs="宋体" w:eastAsia="宋体" w:hint="default"/>
                <w:sz w:val="18"/>
                <w:szCs w:val="18"/>
              </w:rPr>
              <w:t>归还山东特利尔营销策划有限公司医药 分公司暂借款及利息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10,574,438.36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归还禹城市财政局暂借款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5,664,110.00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1"/>
              <w:jc w:val="left"/>
              <w:rPr>
                <w:rFonts w:ascii="宋体" w:hAnsi="宋体" w:cs="宋体" w:eastAsia="宋体" w:hint="default"/>
                <w:sz w:val="18"/>
                <w:szCs w:val="18"/>
              </w:rPr>
            </w:pPr>
            <w:r>
              <w:rPr>
                <w:rFonts w:ascii="宋体" w:hAnsi="宋体" w:cs="宋体" w:eastAsia="宋体" w:hint="default"/>
                <w:sz w:val="18"/>
                <w:szCs w:val="18"/>
              </w:rPr>
              <w:t>归还济南天龙机械有限公司暂借款及利 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4,209,157.53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39,085,471.89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2"/>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bookmarkStart w:name="68、现金流量表补充资料" w:id="371"/>
      <w:bookmarkEnd w:id="371"/>
      <w:r>
        <w:rPr>
          <w:b w:val="0"/>
          <w:bCs w:val="0"/>
        </w:rPr>
      </w:r>
      <w:r>
        <w:rPr>
          <w:rFonts w:ascii="Times New Roman" w:hAnsi="Times New Roman" w:cs="Times New Roman" w:eastAsia="Times New Roman" w:hint="default"/>
        </w:rPr>
        <w:t>68</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bookmarkStart w:name="（1）现金流量表补充资料" w:id="372"/>
      <w:bookmarkEnd w:id="372"/>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4"/>
        <w:gridCol w:w="3068"/>
        <w:gridCol w:w="3185"/>
      </w:tblGrid>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129,282,901.03</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70,059,712.96</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20,479,224.42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30,561,281.85</w:t>
            </w:r>
          </w:p>
        </w:tc>
      </w:tr>
      <w:tr>
        <w:trPr>
          <w:trHeight w:val="715"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19,514,484.08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15,692,813.26</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4,782,774.43</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4,481,214.47</w:t>
            </w:r>
            <w:r>
              <w:rPr>
                <w:rFonts w:ascii="Times New Roman"/>
                <w:sz w:val="18"/>
              </w:rPr>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1,566,107.51</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850,775.60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0"/>
        </w:sectPr>
      </w:pPr>
    </w:p>
    <w:p>
      <w:pPr>
        <w:spacing w:line="240" w:lineRule="auto" w:before="6"/>
        <w:rPr>
          <w:rFonts w:ascii="宋体" w:hAnsi="宋体" w:cs="宋体" w:eastAsia="宋体" w:hint="default"/>
          <w:sz w:val="28"/>
          <w:szCs w:val="28"/>
        </w:rPr>
      </w:pPr>
      <w:r>
        <w:rPr/>
        <w:pict>
          <v:group style="position:absolute;margin-left:223.320007pt;margin-top:167.939987pt;width:151.2pt;height:20.65pt;mso-position-horizontal-relative:page;mso-position-vertical-relative:page;z-index:-1051912" coordorigin="4466,3359" coordsize="3024,413">
            <v:group style="position:absolute;left:4477;top:3370;width:2;height:392" coordorigin="4477,3370" coordsize="2,392">
              <v:shape style="position:absolute;left:4477;top:3370;width:2;height:392" coordorigin="4477,3370" coordsize="0,392" path="m4477,3370l4477,3761e" filled="false" stroked="true" strokeweight="1.08pt" strokecolor="#ffffff">
                <v:path arrowok="t"/>
              </v:shape>
            </v:group>
            <v:group style="position:absolute;left:4488;top:3370;width:3003;height:392" coordorigin="4488,3370" coordsize="3003,392">
              <v:shape style="position:absolute;left:4488;top:3370;width:3003;height:392" coordorigin="4488,3370" coordsize="3003,392" path="m4488,3761l7490,3761,7490,3370,4488,3370,4488,3761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4"/>
        <w:gridCol w:w="1054"/>
        <w:gridCol w:w="2015"/>
        <w:gridCol w:w="3185"/>
      </w:tblGrid>
      <w:tr>
        <w:trPr>
          <w:trHeight w:val="71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-630,587.13</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-73,316.10</w:t>
            </w:r>
            <w:r>
              <w:rPr>
                <w:rFonts w:ascii="Times New Roman"/>
                <w:sz w:val="18"/>
              </w:rPr>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149,078.83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136,199.05</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5,418,774.79</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1,037,385.64</w:t>
            </w:r>
            <w:r>
              <w:rPr>
                <w:rFonts w:ascii="Times New Roman"/>
                <w:sz w:val="18"/>
              </w:rPr>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left="2022" w:right="0"/>
              <w:jc w:val="left"/>
              <w:rPr>
                <w:rFonts w:ascii="Times New Roman" w:hAnsi="Times New Roman" w:cs="Times New Roman" w:eastAsia="Times New Roman" w:hint="default"/>
                <w:sz w:val="18"/>
                <w:szCs w:val="18"/>
              </w:rPr>
            </w:pPr>
            <w:r>
              <w:rPr>
                <w:rFonts w:ascii="Times New Roman"/>
                <w:sz w:val="18"/>
              </w:rPr>
              <w:t>-2,921,855.13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-5,679,185.27</w:t>
            </w:r>
            <w:r>
              <w:rPr>
                <w:rFonts w:ascii="Times New Roman"/>
                <w:sz w:val="18"/>
              </w:rPr>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4" w:type="dxa"/>
            <w:tcBorders>
              <w:top w:val="single" w:sz="4" w:space="0" w:color="000000"/>
              <w:left w:val="single" w:sz="10" w:space="0" w:color="D4D4D4"/>
              <w:bottom w:val="single" w:sz="4" w:space="0" w:color="000000"/>
              <w:right w:val="nil" w:sz="6" w:space="0" w:color="auto"/>
            </w:tcBorders>
          </w:tcPr>
          <w:p>
            <w:pPr>
              <w:pStyle w:val="TableParagraph"/>
              <w:spacing w:line="240" w:lineRule="auto" w:before="49"/>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2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80" w:right="0"/>
              <w:jc w:val="left"/>
              <w:rPr>
                <w:rFonts w:ascii="Times New Roman" w:hAnsi="Times New Roman" w:cs="Times New Roman" w:eastAsia="Times New Roman" w:hint="default"/>
                <w:sz w:val="18"/>
                <w:szCs w:val="18"/>
              </w:rPr>
            </w:pPr>
            <w:r>
              <w:rPr>
                <w:rFonts w:ascii="Times New Roman"/>
                <w:sz w:val="18"/>
              </w:rPr>
              <w:t>-5,322,795.69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-961,730.19</w:t>
            </w:r>
            <w:r>
              <w:rPr>
                <w:rFonts w:ascii="Times New Roman"/>
                <w:sz w:val="18"/>
              </w:rPr>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left="1933" w:right="0"/>
              <w:jc w:val="left"/>
              <w:rPr>
                <w:rFonts w:ascii="Times New Roman" w:hAnsi="Times New Roman" w:cs="Times New Roman" w:eastAsia="Times New Roman" w:hint="default"/>
                <w:sz w:val="18"/>
                <w:szCs w:val="18"/>
              </w:rPr>
            </w:pPr>
            <w:r>
              <w:rPr>
                <w:rFonts w:ascii="Times New Roman"/>
                <w:sz w:val="18"/>
              </w:rPr>
              <w:t>-92,064,890.19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-3,193,009.82</w:t>
            </w:r>
            <w:r>
              <w:rPr>
                <w:rFonts w:ascii="Times New Roman"/>
                <w:sz w:val="18"/>
              </w:rPr>
            </w:r>
          </w:p>
        </w:tc>
      </w:tr>
      <w:tr>
        <w:trPr>
          <w:trHeight w:val="71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2" w:right="0"/>
              <w:jc w:val="left"/>
              <w:rPr>
                <w:rFonts w:ascii="Times New Roman" w:hAnsi="Times New Roman" w:cs="Times New Roman" w:eastAsia="Times New Roman" w:hint="default"/>
                <w:sz w:val="18"/>
                <w:szCs w:val="18"/>
              </w:rPr>
            </w:pPr>
            <w:r>
              <w:rPr>
                <w:rFonts w:ascii="Times New Roman"/>
                <w:sz w:val="18"/>
              </w:rPr>
              <w:t>-224,375,994.65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-189,820,660.03</w:t>
            </w:r>
            <w:r>
              <w:rPr>
                <w:rFonts w:ascii="Times New Roman"/>
                <w:sz w:val="18"/>
              </w:rPr>
            </w:r>
          </w:p>
        </w:tc>
      </w:tr>
      <w:tr>
        <w:trPr>
          <w:trHeight w:val="715"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61,917,590.04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30,182,886.08</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33" w:right="0"/>
              <w:jc w:val="left"/>
              <w:rPr>
                <w:rFonts w:ascii="Times New Roman" w:hAnsi="Times New Roman" w:cs="Times New Roman" w:eastAsia="Times New Roman" w:hint="default"/>
                <w:sz w:val="18"/>
                <w:szCs w:val="18"/>
              </w:rPr>
            </w:pPr>
            <w:r>
              <w:rPr>
                <w:rFonts w:ascii="Times New Roman"/>
                <w:sz w:val="18"/>
              </w:rPr>
              <w:t>-82,205,187.66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-46,725,632.50</w:t>
            </w:r>
          </w:p>
        </w:tc>
      </w:tr>
      <w:tr>
        <w:trPr>
          <w:trHeight w:val="162" w:hRule="exact"/>
        </w:trPr>
        <w:tc>
          <w:tcPr>
            <w:tcW w:w="3304" w:type="dxa"/>
            <w:vMerge w:val="restart"/>
            <w:tcBorders>
              <w:top w:val="single" w:sz="4" w:space="0" w:color="000000"/>
              <w:left w:val="single" w:sz="4" w:space="0" w:color="000000"/>
              <w:right w:val="single" w:sz="4" w:space="0" w:color="000000"/>
            </w:tcBorders>
            <w:shd w:val="clear" w:color="auto" w:fill="D4D4D4"/>
          </w:tcPr>
          <w:p>
            <w:pPr>
              <w:pStyle w:val="TableParagraph"/>
              <w:spacing w:line="297" w:lineRule="auto" w:before="50"/>
              <w:ind w:left="12" w:right="12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8"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3185"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1" w:hRule="exact"/>
        </w:trPr>
        <w:tc>
          <w:tcPr>
            <w:tcW w:w="3304" w:type="dxa"/>
            <w:vMerge/>
            <w:tcBorders>
              <w:left w:val="single" w:sz="4" w:space="0" w:color="000000"/>
              <w:right w:val="single" w:sz="4" w:space="0" w:color="000000"/>
            </w:tcBorders>
            <w:shd w:val="clear" w:color="auto" w:fill="D4D4D4"/>
          </w:tcPr>
          <w:p>
            <w:pPr/>
          </w:p>
        </w:tc>
        <w:tc>
          <w:tcPr>
            <w:tcW w:w="3068" w:type="dxa"/>
            <w:gridSpan w:val="2"/>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4" w:type="dxa"/>
            <w:vMerge/>
            <w:tcBorders>
              <w:left w:val="single" w:sz="4" w:space="0" w:color="000000"/>
              <w:bottom w:val="single" w:sz="4" w:space="0" w:color="000000"/>
              <w:right w:val="single" w:sz="4" w:space="0" w:color="000000"/>
            </w:tcBorders>
            <w:shd w:val="clear" w:color="auto" w:fill="D4D4D4"/>
          </w:tcPr>
          <w:p>
            <w:pPr/>
          </w:p>
        </w:tc>
        <w:tc>
          <w:tcPr>
            <w:tcW w:w="3068"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3185"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left="1993" w:right="0"/>
              <w:jc w:val="left"/>
              <w:rPr>
                <w:rFonts w:ascii="Times New Roman" w:hAnsi="Times New Roman" w:cs="Times New Roman" w:eastAsia="Times New Roman" w:hint="default"/>
                <w:sz w:val="18"/>
                <w:szCs w:val="18"/>
              </w:rPr>
            </w:pPr>
            <w:r>
              <w:rPr>
                <w:rFonts w:ascii="Times New Roman"/>
                <w:sz w:val="18"/>
              </w:rPr>
              <w:t>60,594,501.34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158,142,185.24</w:t>
            </w:r>
            <w:r>
              <w:rPr>
                <w:rFonts w:ascii="Times New Roman"/>
                <w:sz w:val="18"/>
              </w:rPr>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158,142,185.24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206,530,283.11</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left="1933" w:right="0"/>
              <w:jc w:val="left"/>
              <w:rPr>
                <w:rFonts w:ascii="Times New Roman" w:hAnsi="Times New Roman" w:cs="Times New Roman" w:eastAsia="Times New Roman" w:hint="default"/>
                <w:sz w:val="18"/>
                <w:szCs w:val="18"/>
              </w:rPr>
            </w:pPr>
            <w:r>
              <w:rPr>
                <w:rFonts w:ascii="Times New Roman"/>
                <w:sz w:val="18"/>
              </w:rPr>
              <w:t>-97,547,683.90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-48,388,097.87</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bookmarkStart w:name="（2）本期支付的取得子公司的现金净额" w:id="373"/>
      <w:bookmarkEnd w:id="373"/>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6"/>
        <w:gridCol w:w="4582"/>
      </w:tblGrid>
      <w:tr>
        <w:trPr>
          <w:trHeight w:val="402" w:hRule="exact"/>
        </w:trPr>
        <w:tc>
          <w:tcPr>
            <w:tcW w:w="498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bookmarkStart w:name="（3）本期收到的处置子公司的现金净额" w:id="374"/>
      <w:bookmarkEnd w:id="374"/>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75"/>
        <w:gridCol w:w="4582"/>
      </w:tblGrid>
      <w:tr>
        <w:trPr>
          <w:trHeight w:val="403" w:hRule="exact"/>
        </w:trPr>
        <w:tc>
          <w:tcPr>
            <w:tcW w:w="497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547,197.59</w:t>
            </w:r>
          </w:p>
        </w:tc>
      </w:tr>
      <w:tr>
        <w:trPr>
          <w:trHeight w:val="402" w:hRule="exact"/>
        </w:trPr>
        <w:tc>
          <w:tcPr>
            <w:tcW w:w="49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北京联合智能</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547,197.59</w:t>
            </w:r>
          </w:p>
        </w:tc>
      </w:tr>
      <w:tr>
        <w:trPr>
          <w:trHeight w:val="403" w:hRule="exact"/>
        </w:trPr>
        <w:tc>
          <w:tcPr>
            <w:tcW w:w="49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424.30</w:t>
            </w:r>
            <w:r>
              <w:rPr>
                <w:rFonts w:ascii="Times New Roman"/>
                <w:sz w:val="18"/>
              </w:rPr>
            </w:r>
          </w:p>
        </w:tc>
      </w:tr>
      <w:tr>
        <w:trPr>
          <w:trHeight w:val="403" w:hRule="exact"/>
        </w:trPr>
        <w:tc>
          <w:tcPr>
            <w:tcW w:w="49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964"/>
        <w:gridCol w:w="4592"/>
      </w:tblGrid>
      <w:tr>
        <w:trPr>
          <w:trHeight w:val="40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北京联合智能</w:t>
            </w: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424.30</w:t>
            </w:r>
            <w:r>
              <w:rPr>
                <w:rFonts w:ascii="Times New Roman"/>
                <w:sz w:val="18"/>
              </w:rPr>
            </w: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9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546,773.29</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bookmarkStart w:name="（4）现金和现金等价物的构成" w:id="375"/>
      <w:bookmarkEnd w:id="375"/>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4"/>
        <w:gridCol w:w="3068"/>
        <w:gridCol w:w="3185"/>
      </w:tblGrid>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60,594,501.34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158,142,185.24</w:t>
            </w:r>
            <w:r>
              <w:rPr>
                <w:rFonts w:ascii="Times New Roman"/>
                <w:sz w:val="18"/>
              </w:rPr>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155,352.84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137,281.81</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可随时用于支付的银行存款</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60,439,148.50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158,004,903.43</w:t>
            </w:r>
            <w:r>
              <w:rPr>
                <w:rFonts w:ascii="Times New Roman"/>
                <w:sz w:val="18"/>
              </w:rPr>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60,594,501.34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158,142,185.24</w:t>
            </w:r>
            <w:r>
              <w:rPr>
                <w:rFonts w:ascii="Times New Roman"/>
                <w:sz w:val="18"/>
              </w:rPr>
            </w:r>
          </w:p>
        </w:tc>
      </w:tr>
    </w:tbl>
    <w:p>
      <w:pPr>
        <w:pStyle w:val="BodyText"/>
        <w:spacing w:line="240" w:lineRule="auto" w:before="49"/>
        <w:ind w:right="982"/>
        <w:jc w:val="left"/>
      </w:pPr>
      <w:r>
        <w:rPr/>
        <w:t>其他说明：</w:t>
      </w:r>
    </w:p>
    <w:p>
      <w:pPr>
        <w:pStyle w:val="BodyText"/>
        <w:spacing w:line="300" w:lineRule="auto" w:before="117"/>
        <w:ind w:right="1128"/>
        <w:jc w:val="both"/>
      </w:pPr>
      <w:r>
        <w:rPr>
          <w:spacing w:val="-2"/>
        </w:rPr>
        <w:t>期初货币资金中，保函保证金</w:t>
      </w:r>
      <w:r>
        <w:rPr>
          <w:rFonts w:ascii="Times New Roman" w:hAnsi="Times New Roman" w:cs="Times New Roman" w:eastAsia="Times New Roman" w:hint="default"/>
          <w:spacing w:val="-2"/>
        </w:rPr>
        <w:t>3,331,184.67</w:t>
      </w:r>
      <w:r>
        <w:rPr>
          <w:spacing w:val="-2"/>
        </w:rPr>
        <w:t>元、银行承兑汇票保证金</w:t>
      </w:r>
      <w:r>
        <w:rPr>
          <w:rFonts w:ascii="Times New Roman" w:hAnsi="Times New Roman" w:cs="Times New Roman" w:eastAsia="Times New Roman" w:hint="default"/>
          <w:spacing w:val="-2"/>
        </w:rPr>
        <w:t>13,941,500.00</w:t>
      </w:r>
      <w:r>
        <w:rPr>
          <w:spacing w:val="-2"/>
        </w:rPr>
        <w:t>元不属于现金及现金等价物。期末货币资金</w:t>
      </w:r>
      <w:r>
        <w:rPr>
          <w:spacing w:val="-49"/>
        </w:rPr>
        <w:t> </w:t>
      </w:r>
      <w:r>
        <w:rPr>
          <w:spacing w:val="-49"/>
        </w:rPr>
      </w:r>
      <w:r>
        <w:rPr/>
        <w:t>中，财政预算购买设备专用款</w:t>
      </w:r>
      <w:r>
        <w:rPr>
          <w:rFonts w:ascii="Times New Roman" w:hAnsi="Times New Roman" w:cs="Times New Roman" w:eastAsia="Times New Roman" w:hint="default"/>
        </w:rPr>
        <w:t>2,173,008.18</w:t>
      </w:r>
      <w:r>
        <w:rPr/>
        <w:t>元，保函保证金</w:t>
      </w:r>
      <w:r>
        <w:rPr>
          <w:rFonts w:ascii="Times New Roman" w:hAnsi="Times New Roman" w:cs="Times New Roman" w:eastAsia="Times New Roman" w:hint="default"/>
        </w:rPr>
        <w:t>4,141,851.66</w:t>
      </w:r>
      <w:r>
        <w:rPr/>
        <w:t>元、银行承兑汇票保证金</w:t>
      </w:r>
      <w:r>
        <w:rPr>
          <w:rFonts w:ascii="Times New Roman" w:hAnsi="Times New Roman" w:cs="Times New Roman" w:eastAsia="Times New Roman" w:hint="default"/>
        </w:rPr>
        <w:t>25,636,683.33</w:t>
      </w:r>
      <w:r>
        <w:rPr/>
        <w:t>元，托管资金</w:t>
      </w:r>
      <w:r>
        <w:rPr>
          <w:spacing w:val="-60"/>
        </w:rPr>
        <w:t> </w:t>
      </w:r>
      <w:r>
        <w:rPr>
          <w:spacing w:val="-60"/>
        </w:rPr>
      </w:r>
      <w:r>
        <w:rPr>
          <w:rFonts w:ascii="Times New Roman" w:hAnsi="Times New Roman" w:cs="Times New Roman" w:eastAsia="Times New Roman" w:hint="default"/>
        </w:rPr>
        <w:t>15,200,000.00</w:t>
      </w:r>
      <w:r>
        <w:rPr/>
        <w:t>元不属于现金及现金等价物。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6"/>
          <w:szCs w:val="16"/>
        </w:rPr>
      </w:pPr>
    </w:p>
    <w:p>
      <w:pPr>
        <w:spacing w:line="544" w:lineRule="auto" w:before="0"/>
        <w:ind w:left="152" w:right="5374" w:firstLine="0"/>
        <w:jc w:val="left"/>
        <w:rPr>
          <w:rFonts w:ascii="宋体" w:hAnsi="宋体" w:cs="宋体" w:eastAsia="宋体" w:hint="default"/>
          <w:sz w:val="21"/>
          <w:szCs w:val="21"/>
        </w:rPr>
      </w:pPr>
      <w:bookmarkStart w:name="69、所有者权益变动表项目注释" w:id="376"/>
      <w:bookmarkEnd w:id="376"/>
      <w:r>
        <w:rPr/>
      </w:r>
      <w:r>
        <w:rPr>
          <w:rFonts w:ascii="Times New Roman" w:hAnsi="Times New Roman" w:cs="Times New Roman" w:eastAsia="Times New Roman" w:hint="default"/>
          <w:b/>
          <w:bCs/>
          <w:sz w:val="21"/>
          <w:szCs w:val="21"/>
        </w:rPr>
        <w:t>69</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0、所有权或使用权受到限制的资产" w:id="377"/>
      <w:bookmarkEnd w:id="377"/>
      <w:r>
        <w:rPr>
          <w:rFonts w:ascii="宋体" w:hAnsi="宋体" w:cs="宋体" w:eastAsia="宋体" w:hint="default"/>
          <w:sz w:val="18"/>
          <w:szCs w:val="18"/>
        </w:rPr>
      </w:r>
      <w:r>
        <w:rPr>
          <w:rFonts w:ascii="Times New Roman" w:hAnsi="Times New Roman" w:cs="Times New Roman" w:eastAsia="Times New Roman" w:hint="default"/>
          <w:b/>
          <w:bCs/>
          <w:sz w:val="21"/>
          <w:szCs w:val="21"/>
        </w:rPr>
        <w:t>70</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49"/>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14"/>
        <w:gridCol w:w="3058"/>
        <w:gridCol w:w="3185"/>
      </w:tblGrid>
      <w:tr>
        <w:trPr>
          <w:trHeight w:val="403" w:hRule="exact"/>
        </w:trPr>
        <w:tc>
          <w:tcPr>
            <w:tcW w:w="33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161" w:hRule="exact"/>
        </w:trPr>
        <w:tc>
          <w:tcPr>
            <w:tcW w:w="3314" w:type="dxa"/>
            <w:tcBorders>
              <w:top w:val="single" w:sz="4" w:space="0" w:color="000000"/>
              <w:left w:val="single" w:sz="4" w:space="0" w:color="000000"/>
              <w:bottom w:val="nil" w:sz="6" w:space="0" w:color="auto"/>
              <w:right w:val="single" w:sz="4" w:space="0" w:color="000000"/>
            </w:tcBorders>
            <w:shd w:val="clear" w:color="auto" w:fill="D4D4D4"/>
          </w:tcPr>
          <w:p>
            <w:pPr/>
          </w:p>
        </w:tc>
        <w:tc>
          <w:tcPr>
            <w:tcW w:w="3058" w:type="dxa"/>
            <w:vMerge w:val="restart"/>
            <w:tcBorders>
              <w:top w:val="single" w:sz="4" w:space="0" w:color="000000"/>
              <w:left w:val="single" w:sz="10"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2" w:right="0"/>
              <w:jc w:val="left"/>
              <w:rPr>
                <w:rFonts w:ascii="Times New Roman" w:hAnsi="Times New Roman" w:cs="Times New Roman" w:eastAsia="Times New Roman" w:hint="default"/>
                <w:sz w:val="18"/>
                <w:szCs w:val="18"/>
              </w:rPr>
            </w:pPr>
            <w:r>
              <w:rPr>
                <w:rFonts w:ascii="Times New Roman"/>
                <w:sz w:val="18"/>
              </w:rPr>
              <w:t>44,978,534.99</w:t>
            </w:r>
          </w:p>
        </w:tc>
        <w:tc>
          <w:tcPr>
            <w:tcW w:w="3185"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保函及银行承兑汇票保证金、产业基金 托管专项资金</w:t>
            </w:r>
          </w:p>
        </w:tc>
      </w:tr>
      <w:tr>
        <w:trPr>
          <w:trHeight w:val="391" w:hRule="exact"/>
        </w:trPr>
        <w:tc>
          <w:tcPr>
            <w:tcW w:w="331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vMerge/>
            <w:tcBorders>
              <w:left w:val="single" w:sz="10" w:space="0" w:color="D4D4D4"/>
              <w:right w:val="single" w:sz="4" w:space="0" w:color="000000"/>
            </w:tcBorders>
          </w:tcPr>
          <w:p>
            <w:pPr/>
          </w:p>
        </w:tc>
        <w:tc>
          <w:tcPr>
            <w:tcW w:w="3185" w:type="dxa"/>
            <w:vMerge/>
            <w:tcBorders>
              <w:left w:val="single" w:sz="4" w:space="0" w:color="000000"/>
              <w:right w:val="single" w:sz="4" w:space="0" w:color="000000"/>
            </w:tcBorders>
          </w:tcPr>
          <w:p>
            <w:pPr/>
          </w:p>
        </w:tc>
      </w:tr>
      <w:tr>
        <w:trPr>
          <w:trHeight w:val="161" w:hRule="exact"/>
        </w:trPr>
        <w:tc>
          <w:tcPr>
            <w:tcW w:w="3314" w:type="dxa"/>
            <w:tcBorders>
              <w:top w:val="nil" w:sz="6" w:space="0" w:color="auto"/>
              <w:left w:val="single" w:sz="4" w:space="0" w:color="000000"/>
              <w:bottom w:val="single" w:sz="4" w:space="0" w:color="000000"/>
              <w:right w:val="single" w:sz="4" w:space="0" w:color="000000"/>
            </w:tcBorders>
            <w:shd w:val="clear" w:color="auto" w:fill="D4D4D4"/>
          </w:tcPr>
          <w:p>
            <w:pPr/>
          </w:p>
        </w:tc>
        <w:tc>
          <w:tcPr>
            <w:tcW w:w="3058" w:type="dxa"/>
            <w:vMerge/>
            <w:tcBorders>
              <w:left w:val="single" w:sz="10" w:space="0" w:color="D4D4D4"/>
              <w:bottom w:val="single" w:sz="4" w:space="0" w:color="000000"/>
              <w:right w:val="single" w:sz="4" w:space="0" w:color="000000"/>
            </w:tcBorders>
          </w:tcPr>
          <w:p>
            <w:pPr/>
          </w:p>
        </w:tc>
        <w:tc>
          <w:tcPr>
            <w:tcW w:w="3185" w:type="dxa"/>
            <w:vMerge/>
            <w:tcBorders>
              <w:left w:val="single" w:sz="4" w:space="0" w:color="000000"/>
              <w:bottom w:val="single" w:sz="4" w:space="0" w:color="000000"/>
              <w:right w:val="single" w:sz="4" w:space="0" w:color="000000"/>
            </w:tcBorders>
          </w:tcPr>
          <w:p>
            <w:pPr/>
          </w:p>
        </w:tc>
      </w:tr>
      <w:tr>
        <w:trPr>
          <w:trHeight w:val="403" w:hRule="exact"/>
        </w:trPr>
        <w:tc>
          <w:tcPr>
            <w:tcW w:w="33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32,257,354.95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借款及银行承兑汇票抵押担保</w:t>
            </w:r>
          </w:p>
        </w:tc>
      </w:tr>
      <w:tr>
        <w:trPr>
          <w:trHeight w:val="401" w:hRule="exact"/>
        </w:trPr>
        <w:tc>
          <w:tcPr>
            <w:tcW w:w="33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13,248,245.57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借款及银行承兑汇票抵押担保</w:t>
            </w:r>
          </w:p>
        </w:tc>
      </w:tr>
      <w:tr>
        <w:trPr>
          <w:trHeight w:val="403" w:hRule="exact"/>
        </w:trPr>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379,545,112.26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保函及银行承兑汇票质押担保</w:t>
            </w:r>
          </w:p>
        </w:tc>
      </w:tr>
      <w:tr>
        <w:trPr>
          <w:trHeight w:val="401" w:hRule="exact"/>
        </w:trPr>
        <w:tc>
          <w:tcPr>
            <w:tcW w:w="33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470,029,247.77</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2"/>
        <w:jc w:val="left"/>
      </w:pPr>
      <w:r>
        <w:rPr/>
        <w:t>其他说明：</w:t>
      </w:r>
    </w:p>
    <w:p>
      <w:pPr>
        <w:spacing w:after="0" w:line="240" w:lineRule="auto"/>
        <w:jc w:val="left"/>
        <w:sectPr>
          <w:pgSz w:w="11910" w:h="16840"/>
          <w:pgMar w:header="745"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bookmarkStart w:name="71、外币货币性项目" w:id="378"/>
      <w:bookmarkEnd w:id="378"/>
      <w:r>
        <w:rPr>
          <w:b w:val="0"/>
          <w:bCs w:val="0"/>
        </w:rPr>
      </w:r>
      <w:r>
        <w:rPr>
          <w:rFonts w:ascii="Times New Roman" w:hAnsi="Times New Roman" w:cs="Times New Roman" w:eastAsia="Times New Roman" w:hint="default"/>
        </w:rPr>
        <w:t>71</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bookmarkStart w:name="（1）外币货币性项目" w:id="379"/>
      <w:bookmarkEnd w:id="379"/>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2292"/>
        <w:gridCol w:w="2390"/>
        <w:gridCol w:w="2390"/>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12" w:space="0" w:color="D4D4D4"/>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194,468.55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6.8632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1,334,676.56</w:t>
            </w:r>
            <w:r>
              <w:rPr>
                <w:rFonts w:ascii="Times New Roman"/>
                <w:sz w:val="18"/>
              </w:rPr>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2" w:type="dxa"/>
            <w:tcBorders>
              <w:top w:val="single" w:sz="4" w:space="0" w:color="000000"/>
              <w:left w:val="single" w:sz="13" w:space="0" w:color="D4D4D4"/>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0.24</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0.8762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0.21</w:t>
            </w:r>
            <w:r>
              <w:rPr>
                <w:rFonts w:ascii="Times New Roman"/>
                <w:sz w:val="18"/>
              </w:rPr>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1"/>
              <w:jc w:val="center"/>
              <w:rPr>
                <w:rFonts w:ascii="宋体" w:hAnsi="宋体" w:cs="宋体" w:eastAsia="宋体" w:hint="default"/>
                <w:sz w:val="18"/>
                <w:szCs w:val="18"/>
              </w:rPr>
            </w:pPr>
            <w:r>
              <w:rPr>
                <w:rFonts w:ascii="宋体" w:hAnsi="宋体" w:cs="宋体" w:eastAsia="宋体" w:hint="default"/>
                <w:sz w:val="18"/>
                <w:szCs w:val="18"/>
              </w:rPr>
              <w:t>日元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0.061887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16,090.62</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12" w:space="0" w:color="D4D4D4"/>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13" w:space="0" w:color="D4D4D4"/>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2" w:type="dxa"/>
            <w:tcBorders>
              <w:top w:val="single" w:sz="4" w:space="0" w:color="000000"/>
              <w:left w:val="single" w:sz="13" w:space="0" w:color="D4D4D4"/>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2" w:type="dxa"/>
            <w:tcBorders>
              <w:top w:val="single" w:sz="4" w:space="0" w:color="000000"/>
              <w:left w:val="single" w:sz="13" w:space="0" w:color="D4D4D4"/>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12" w:space="0" w:color="D4D4D4"/>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13" w:space="0" w:color="D4D4D4"/>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2" w:type="dxa"/>
            <w:tcBorders>
              <w:top w:val="single" w:sz="4" w:space="0" w:color="000000"/>
              <w:left w:val="single" w:sz="13" w:space="0" w:color="D4D4D4"/>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2" w:type="dxa"/>
            <w:tcBorders>
              <w:top w:val="single" w:sz="4" w:space="0" w:color="000000"/>
              <w:left w:val="single" w:sz="13" w:space="0" w:color="D4D4D4"/>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59" w:lineRule="auto" w:before="118"/>
        <w:ind w:right="982"/>
        <w:jc w:val="left"/>
        <w:rPr>
          <w:b w:val="0"/>
          <w:bCs w:val="0"/>
        </w:rPr>
      </w:pPr>
      <w:bookmarkStart w:name="（2）境外经营实体说明，包括对于重要的境外经营实体，应披露其境外主要经营地、记账" w:id="380"/>
      <w:bookmarkEnd w:id="380"/>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3"/>
        <w:rPr>
          <w:rFonts w:ascii="宋体" w:hAnsi="宋体" w:cs="宋体" w:eastAsia="宋体" w:hint="default"/>
          <w:b/>
          <w:bCs/>
          <w:sz w:val="26"/>
          <w:szCs w:val="26"/>
        </w:rPr>
      </w:pPr>
    </w:p>
    <w:p>
      <w:pPr>
        <w:pStyle w:val="BodyText"/>
        <w:spacing w:line="240" w:lineRule="auto" w:before="0"/>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bookmarkStart w:name="72、套期" w:id="381"/>
      <w:bookmarkEnd w:id="381"/>
      <w:r>
        <w:rPr>
          <w:b w:val="0"/>
          <w:bCs w:val="0"/>
        </w:rPr>
      </w:r>
      <w:r>
        <w:rPr>
          <w:rFonts w:ascii="Times New Roman" w:hAnsi="Times New Roman" w:cs="Times New Roman" w:eastAsia="Times New Roman" w:hint="default"/>
        </w:rPr>
        <w:t>72</w:t>
      </w:r>
      <w:r>
        <w:rPr/>
        <w:t>、套期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2"/>
        <w:jc w:val="left"/>
      </w:pPr>
      <w:r>
        <w:rPr/>
        <w:t>按照套期类别披露套期项目及相关套期工具、被套期风险的定性和定量信息：</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bookmarkStart w:name="73、政府补助" w:id="382"/>
      <w:bookmarkEnd w:id="382"/>
      <w:r>
        <w:rPr>
          <w:b w:val="0"/>
          <w:bCs w:val="0"/>
        </w:rPr>
      </w:r>
      <w:r>
        <w:rPr>
          <w:rFonts w:ascii="Times New Roman" w:hAnsi="Times New Roman" w:cs="Times New Roman" w:eastAsia="Times New Roman" w:hint="default"/>
        </w:rPr>
        <w:t>73</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bookmarkStart w:name="（1）政府补助基本情况" w:id="383"/>
      <w:bookmarkEnd w:id="383"/>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自动化输送及仓储成套设备</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87" w:right="0"/>
              <w:jc w:val="left"/>
              <w:rPr>
                <w:rFonts w:ascii="Times New Roman" w:hAnsi="Times New Roman" w:cs="Times New Roman" w:eastAsia="Times New Roman" w:hint="default"/>
                <w:sz w:val="18"/>
                <w:szCs w:val="18"/>
              </w:rPr>
            </w:pPr>
            <w:r>
              <w:rPr>
                <w:rFonts w:ascii="Times New Roman"/>
                <w:sz w:val="18"/>
              </w:rPr>
              <w:t>-410,000.00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362"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研发及产业化项目补助</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智能立体停车库系统的应用 示范项目补助</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r>
              <w:rPr>
                <w:rFonts w:ascii="Times New Roman"/>
                <w:sz w:val="18"/>
              </w:rPr>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1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工业机器人智能私服驱控一 体化集成装置关键技术研究 及应用</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立体停车设备生产线（一期） 项目补助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153,000.00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310,617.96</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both"/>
              <w:rPr>
                <w:rFonts w:ascii="宋体" w:hAnsi="宋体" w:cs="宋体" w:eastAsia="宋体" w:hint="default"/>
                <w:sz w:val="18"/>
                <w:szCs w:val="18"/>
              </w:rPr>
            </w:pPr>
            <w:r>
              <w:rPr>
                <w:rFonts w:ascii="宋体" w:hAnsi="宋体" w:cs="宋体" w:eastAsia="宋体" w:hint="default"/>
                <w:sz w:val="18"/>
                <w:szCs w:val="18"/>
              </w:rPr>
              <w:t>面向智慧矿山的带式输送机 智能装备及安全技术研发与 产业化</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4,000,000.00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天辰智能公司土地出让金返 还</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11,893,500.00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3,455,409.09</w:t>
            </w:r>
            <w:r>
              <w:rPr>
                <w:rFonts w:ascii="Times New Roman"/>
                <w:sz w:val="18"/>
              </w:rPr>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3,855,170.94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3,855,170.94</w:t>
            </w:r>
            <w:r>
              <w:rPr>
                <w:rFonts w:ascii="Times New Roman"/>
                <w:sz w:val="18"/>
              </w:rPr>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科技清溪工程专项资金</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838,915.59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838,915.59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专利专项资金</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99,500.00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99,500.00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科技专项资金</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人才奖励</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1,350,000.00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1,350,000.00</w:t>
            </w:r>
            <w:r>
              <w:rPr>
                <w:rFonts w:ascii="Times New Roman"/>
                <w:sz w:val="18"/>
              </w:rPr>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新三板挂牌奖励</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800,000.00</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49"/>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年福田区产业发展专项 资金总部现代服务制造供应 链专业服务分项第四批补助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500,000.00</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49"/>
              <w:jc w:val="both"/>
              <w:rPr>
                <w:rFonts w:ascii="宋体" w:hAnsi="宋体" w:cs="宋体" w:eastAsia="宋体" w:hint="default"/>
                <w:sz w:val="18"/>
                <w:szCs w:val="18"/>
              </w:rPr>
            </w:pPr>
            <w:r>
              <w:rPr>
                <w:rFonts w:ascii="宋体" w:hAnsi="宋体" w:cs="宋体" w:eastAsia="宋体" w:hint="default"/>
                <w:sz w:val="18"/>
                <w:szCs w:val="18"/>
              </w:rPr>
              <w:t>深圳市科技创新委员会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年企业研究开发资助计划第 二批资助资金</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2,072,000.00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2,072,000.00</w:t>
            </w:r>
            <w:r>
              <w:rPr>
                <w:rFonts w:ascii="Times New Roman"/>
                <w:sz w:val="18"/>
              </w:rPr>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外经贸扶持发展专项资金（扩 大出口规模补贴）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年山东省知识产权示范 企业资助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收禹城市财政局污水防治扶 持资金</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71,936.70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71,936.70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投资建设公共停车场奖励资 金</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173,000.00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173,000.00</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关于下达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年度企业研究 开发费用省级财政奖励资金 的通知</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93,500.00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93,500.00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年度支持现代产业发展 扶持资金</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3,681,300.00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3,681,300.00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其他（失业稳岗等）</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67,010.75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67,010.75</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29,978,833.98</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21,488,361.03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982"/>
        <w:jc w:val="left"/>
        <w:rPr>
          <w:b w:val="0"/>
          <w:bCs w:val="0"/>
        </w:rPr>
      </w:pPr>
      <w:bookmarkStart w:name="（2）政府补助退回情况" w:id="384"/>
      <w:bookmarkEnd w:id="384"/>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1"/>
              <w:jc w:val="left"/>
              <w:rPr>
                <w:rFonts w:ascii="宋体" w:hAnsi="宋体" w:cs="宋体" w:eastAsia="宋体" w:hint="default"/>
                <w:sz w:val="18"/>
                <w:szCs w:val="18"/>
              </w:rPr>
            </w:pPr>
            <w:r>
              <w:rPr>
                <w:rFonts w:ascii="宋体" w:hAnsi="宋体" w:cs="宋体" w:eastAsia="宋体" w:hint="default"/>
                <w:sz w:val="18"/>
                <w:szCs w:val="18"/>
              </w:rPr>
              <w:t>自动化输送及仓储成套设备研发及产业 化项目补助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95"/>
              <w:jc w:val="left"/>
              <w:rPr>
                <w:rFonts w:ascii="宋体" w:hAnsi="宋体" w:cs="宋体" w:eastAsia="宋体" w:hint="default"/>
                <w:sz w:val="18"/>
                <w:szCs w:val="18"/>
              </w:rPr>
            </w:pPr>
            <w:r>
              <w:rPr>
                <w:rFonts w:ascii="宋体" w:hAnsi="宋体" w:cs="宋体" w:eastAsia="宋体" w:hint="default"/>
                <w:sz w:val="18"/>
                <w:szCs w:val="18"/>
              </w:rPr>
              <w:t>深圳市发展和改革委员会收回原先拨入 的政府补助</w:t>
            </w:r>
          </w:p>
        </w:tc>
      </w:tr>
    </w:tbl>
    <w:p>
      <w:pPr>
        <w:pStyle w:val="BodyText"/>
        <w:spacing w:line="240" w:lineRule="auto" w:before="49"/>
        <w:ind w:right="982"/>
        <w:jc w:val="left"/>
      </w:pPr>
      <w:r>
        <w:rPr/>
        <w:t>其他说明：</w:t>
      </w:r>
    </w:p>
    <w:p>
      <w:pPr>
        <w:pStyle w:val="BodyText"/>
        <w:spacing w:line="240" w:lineRule="auto" w:before="117"/>
        <w:ind w:left="0" w:right="1130"/>
        <w:jc w:val="right"/>
        <w:rPr>
          <w:rFonts w:ascii="Times New Roman" w:hAnsi="Times New Roman" w:cs="Times New Roman" w:eastAsia="Times New Roman" w:hint="default"/>
        </w:rPr>
      </w:pPr>
      <w:r>
        <w:rPr>
          <w:rFonts w:ascii="Times New Roman" w:hAnsi="Times New Roman" w:cs="Times New Roman" w:eastAsia="Times New Roman" w:hint="default"/>
          <w:spacing w:val="-1"/>
        </w:rPr>
        <w:t>2015</w:t>
      </w:r>
      <w:r>
        <w:rPr>
          <w:spacing w:val="-1"/>
        </w:rPr>
        <w:t>年子公司伟创自动化公司申报《自动化输送及仓储成套设备研发及产业化》项目，并获得</w:t>
      </w:r>
      <w:r>
        <w:rPr>
          <w:rFonts w:ascii="Times New Roman" w:hAnsi="Times New Roman" w:cs="Times New Roman" w:eastAsia="Times New Roman" w:hint="default"/>
          <w:spacing w:val="-1"/>
        </w:rPr>
        <w:t>205</w:t>
      </w:r>
      <w:r>
        <w:rPr>
          <w:spacing w:val="-1"/>
        </w:rPr>
        <w:t>万政府补助。</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10</w:t>
      </w:r>
      <w:r>
        <w:rPr>
          <w:rFonts w:ascii="Times New Roman" w:hAnsi="Times New Roman" w:cs="Times New Roman" w:eastAsia="Times New Roman" w:hint="default"/>
        </w:rPr>
      </w:r>
    </w:p>
    <w:p>
      <w:pPr>
        <w:pStyle w:val="BodyText"/>
        <w:spacing w:line="240" w:lineRule="auto" w:before="62"/>
        <w:ind w:right="982"/>
        <w:jc w:val="left"/>
      </w:pPr>
      <w:r>
        <w:rPr/>
        <w:t>月，深圳市发展和改革委员会收回原先拨入的政府补助</w:t>
      </w:r>
      <w:r>
        <w:rPr>
          <w:rFonts w:ascii="Times New Roman" w:hAnsi="Times New Roman" w:cs="Times New Roman" w:eastAsia="Times New Roman" w:hint="default"/>
        </w:rPr>
        <w:t>205</w:t>
      </w:r>
      <w:r>
        <w:rPr/>
        <w:t>万。</w:t>
      </w:r>
    </w:p>
    <w:p>
      <w:pPr>
        <w:spacing w:line="240" w:lineRule="auto" w:before="2"/>
        <w:rPr>
          <w:rFonts w:ascii="宋体" w:hAnsi="宋体" w:cs="宋体" w:eastAsia="宋体" w:hint="default"/>
          <w:sz w:val="26"/>
          <w:szCs w:val="26"/>
        </w:rPr>
      </w:pPr>
    </w:p>
    <w:p>
      <w:pPr>
        <w:spacing w:line="487" w:lineRule="auto" w:before="0"/>
        <w:ind w:left="152" w:right="8330" w:firstLine="0"/>
        <w:jc w:val="left"/>
        <w:rPr>
          <w:rFonts w:ascii="宋体" w:hAnsi="宋体" w:cs="宋体" w:eastAsia="宋体" w:hint="default"/>
          <w:sz w:val="21"/>
          <w:szCs w:val="21"/>
        </w:rPr>
      </w:pPr>
      <w:bookmarkStart w:name="74、其他" w:id="385"/>
      <w:bookmarkEnd w:id="385"/>
      <w:r>
        <w:rPr/>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八、合并范围的变更" w:id="386"/>
      <w:bookmarkEnd w:id="386"/>
      <w:r>
        <w:rPr>
          <w:rFonts w:ascii="宋体" w:hAnsi="宋体" w:cs="宋体" w:eastAsia="宋体" w:hint="default"/>
          <w:b/>
          <w:bCs/>
          <w:w w:val="100"/>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87"/>
      <w:bookmarkEnd w:id="38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1"/>
        <w:ind w:right="982"/>
        <w:jc w:val="left"/>
        <w:rPr>
          <w:b w:val="0"/>
          <w:bCs w:val="0"/>
        </w:rPr>
      </w:pPr>
      <w:bookmarkStart w:name="（1）本期发生的非同一控制下企业合并" w:id="388"/>
      <w:bookmarkEnd w:id="388"/>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3"/>
        <w:gridCol w:w="1063"/>
        <w:gridCol w:w="1066"/>
        <w:gridCol w:w="1061"/>
        <w:gridCol w:w="1063"/>
        <w:gridCol w:w="1061"/>
      </w:tblGrid>
      <w:tr>
        <w:trPr>
          <w:trHeight w:val="1026" w:hRule="exact"/>
        </w:trPr>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5"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76"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bookmarkStart w:name="（2）合并成本及商誉" w:id="389"/>
      <w:bookmarkEnd w:id="389"/>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3;top:14;width:2;height:392" coordorigin="23,14" coordsize="2,392">
              <v:shape style="position:absolute;left:23;top:14;width:2;height:392" coordorigin="23,14" coordsize="0,392" path="m23,14l23,406e" filled="false" stroked="true" strokeweight="1.08pt" strokecolor="#d4d4d4">
                <v:path arrowok="t"/>
              </v:shape>
            </v:group>
            <v:group style="position:absolute;left:4774;top:14;width:2;height:392" coordorigin="4774,14" coordsize="2,392">
              <v:shape style="position:absolute;left:4774;top:14;width:2;height:392" coordorigin="4774,14" coordsize="0,392" path="m4774,14l4774,406e" filled="false" stroked="true" strokeweight="1.2pt" strokecolor="#d4d4d4">
                <v:path arrowok="t"/>
              </v:shape>
            </v:group>
            <v:group style="position:absolute;left:34;top:14;width:4728;height:392" coordorigin="34,14" coordsize="4728,392">
              <v:shape style="position:absolute;left:34;top:14;width:4728;height:392" coordorigin="34,14" coordsize="4728,392" path="m34,406l4762,406,4762,14,34,14,34,406xe" filled="true" fillcolor="#d4d4d4" stroked="false">
                <v:path arrowok="t"/>
                <v:fill type="solid"/>
              </v:shape>
            </v:group>
            <v:group style="position:absolute;left:4806;top:14;width:2;height:392" coordorigin="4806,14" coordsize="2,392">
              <v:shape style="position:absolute;left:4806;top:14;width:2;height:392" coordorigin="4806,14" coordsize="0,392" path="m4806,14l4806,406e" filled="false" stroked="true" strokeweight="1.08pt" strokecolor="#e1ffff">
                <v:path arrowok="t"/>
              </v:shape>
            </v:group>
            <v:group style="position:absolute;left:9557;top:14;width:2;height:392" coordorigin="9557,14" coordsize="2,392">
              <v:shape style="position:absolute;left:9557;top:14;width:2;height:392" coordorigin="9557,14" coordsize="0,392" path="m9557,14l9557,406e" filled="false" stroked="true" strokeweight="1.2pt" strokecolor="#e1ffff">
                <v:path arrowok="t"/>
              </v:shape>
            </v:group>
            <v:group style="position:absolute;left:4817;top:14;width:4728;height:392" coordorigin="4817,14" coordsize="4728,392">
              <v:shape style="position:absolute;left:4817;top:14;width:4728;height:392" coordorigin="4817,14" coordsize="4728,392" path="m4817,406l9545,406,9545,14,4817,14,4817,406xe" filled="true" fillcolor="#e1ffff" stroked="false">
                <v:path arrowok="t"/>
                <v:fill type="solid"/>
              </v:shape>
            </v:group>
            <v:group style="position:absolute;left:10;top:10;width:4774;height:2" coordorigin="10,10" coordsize="4774,2">
              <v:shape style="position:absolute;left:10;top:10;width:4774;height:2" coordorigin="10,10" coordsize="4774,0" path="m10,10l4783,10e" filled="false" stroked="true" strokeweight=".481pt" strokecolor="#000000">
                <v:path arrowok="t"/>
              </v:shape>
            </v:group>
            <v:group style="position:absolute;left:4793;top:10;width:4776;height:2" coordorigin="4793,10" coordsize="4776,2">
              <v:shape style="position:absolute;left:4793;top:10;width:4776;height:2" coordorigin="4793,10" coordsize="4776,0" path="m4793,10l9569,10e" filled="false" stroked="true" strokeweight=".481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4;height:2" coordorigin="10,413" coordsize="4774,2">
              <v:shape style="position:absolute;left:10;top:413;width:4774;height:2" coordorigin="10,413" coordsize="4774,0" path="m10,413l4783,413e" filled="false" stroked="true" strokeweight=".481pt" strokecolor="#000000">
                <v:path arrowok="t"/>
              </v:shape>
            </v:group>
            <v:group style="position:absolute;left:4788;top:5;width:2;height:413" coordorigin="4788,5" coordsize="2,413">
              <v:shape style="position:absolute;left:4788;top:5;width:2;height:413" coordorigin="4788,5" coordsize="0,413" path="m4788,5l4788,418e" filled="false" stroked="true" strokeweight=".48pt" strokecolor="#000000">
                <v:path arrowok="t"/>
              </v:shape>
            </v:group>
            <v:group style="position:absolute;left:4793;top:413;width:4776;height:2" coordorigin="4793,413" coordsize="4776,2">
              <v:shape style="position:absolute;left:4793;top:413;width:4776;height:2" coordorigin="4793,413" coordsize="4776,0" path="m4793,413l9569,413e" filled="false" stroked="true" strokeweight=".481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shape style="position:absolute;left:6;top:10;width:4784;height:404"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57" w:lineRule="auto"/>
        <w:ind w:right="6074"/>
        <w:jc w:val="left"/>
      </w:pPr>
      <w:r>
        <w:rPr/>
        <w:t>合并成本公允价值的确定方法、或有对价及其变动的说明： 大额商誉形成的主要原因：</w:t>
      </w:r>
    </w:p>
    <w:p>
      <w:pPr>
        <w:pStyle w:val="BodyText"/>
        <w:spacing w:line="240" w:lineRule="auto" w:before="2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bookmarkStart w:name="（3）被购买方于购买日可辨认资产、负债" w:id="390"/>
      <w:bookmarkEnd w:id="390"/>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79"/>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380" w:type="dxa"/>
            <w:gridSpan w:val="2"/>
            <w:tcBorders>
              <w:top w:val="single" w:sz="4" w:space="0" w:color="000000"/>
              <w:left w:val="single" w:sz="10" w:space="0" w:color="D4D4D4"/>
              <w:bottom w:val="single" w:sz="4" w:space="0" w:color="000000"/>
              <w:right w:val="single" w:sz="4" w:space="0" w:color="000000"/>
            </w:tcBorders>
            <w:shd w:val="clear" w:color="auto" w:fill="E1FFFF"/>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7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58"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357" w:lineRule="auto"/>
        <w:ind w:right="7531"/>
        <w:jc w:val="both"/>
      </w:pPr>
      <w:r>
        <w:rPr/>
        <w:t>可辨认资产、负债公允价值的确定方法： 企业合并中承担的被购买方的或有负债： 其他说明：</w:t>
      </w:r>
    </w:p>
    <w:p>
      <w:pPr>
        <w:spacing w:line="240" w:lineRule="auto" w:before="6"/>
        <w:rPr>
          <w:rFonts w:ascii="宋体" w:hAnsi="宋体" w:cs="宋体" w:eastAsia="宋体" w:hint="default"/>
          <w:sz w:val="20"/>
          <w:szCs w:val="20"/>
        </w:rPr>
      </w:pPr>
    </w:p>
    <w:p>
      <w:pPr>
        <w:pStyle w:val="Heading3"/>
        <w:spacing w:line="240" w:lineRule="auto"/>
        <w:ind w:right="0"/>
        <w:jc w:val="both"/>
        <w:rPr>
          <w:b w:val="0"/>
          <w:bCs w:val="0"/>
        </w:rPr>
      </w:pPr>
      <w:bookmarkStart w:name="（4）购买日之前持有的股权按照公允价值重新计量产生的利得或损失" w:id="391"/>
      <w:bookmarkEnd w:id="391"/>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both"/>
      </w:pPr>
      <w:r>
        <w:rPr/>
        <w:t>是否存在通过多次交易分步实现企业合并且在报告期内取得控制权的交易</w:t>
      </w:r>
    </w:p>
    <w:p>
      <w:pPr>
        <w:pStyle w:val="BodyText"/>
        <w:spacing w:line="240" w:lineRule="auto" w:before="117"/>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0"/>
        <w:jc w:val="both"/>
        <w:rPr>
          <w:b w:val="0"/>
          <w:bCs w:val="0"/>
        </w:rPr>
      </w:pPr>
      <w:bookmarkStart w:name="（5）购买日或合并当期期末无法合理确定合并对价或被购买方可辨认资产、负债公允价值" w:id="392"/>
      <w:bookmarkEnd w:id="392"/>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6）其他说明" w:id="393"/>
      <w:bookmarkEnd w:id="393"/>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2、同一控制下企业合并" w:id="394"/>
      <w:bookmarkEnd w:id="394"/>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bookmarkStart w:name="（1）本期发生的同一控制下企业合并" w:id="395"/>
      <w:bookmarkEnd w:id="395"/>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3"/>
        <w:gridCol w:w="1063"/>
        <w:gridCol w:w="1066"/>
        <w:gridCol w:w="1064"/>
        <w:gridCol w:w="1062"/>
        <w:gridCol w:w="1066"/>
        <w:gridCol w:w="1063"/>
      </w:tblGrid>
      <w:tr>
        <w:trPr>
          <w:trHeight w:val="1338" w:hRule="exact"/>
        </w:trPr>
        <w:tc>
          <w:tcPr>
            <w:tcW w:w="1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435" w:right="72"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59" w:right="74"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76" w:right="77"/>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75"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9" w:right="74"/>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bookmarkStart w:name="（2）合并成本" w:id="396"/>
      <w:bookmarkEnd w:id="396"/>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3;top:14;width:2;height:392" coordorigin="23,14" coordsize="2,392">
              <v:shape style="position:absolute;left:23;top:14;width:2;height:392" coordorigin="23,14" coordsize="0,392" path="m23,14l23,406e" filled="false" stroked="true" strokeweight="1.08pt" strokecolor="#d4d4d4">
                <v:path arrowok="t"/>
              </v:shape>
            </v:group>
            <v:group style="position:absolute;left:4774;top:14;width:2;height:392" coordorigin="4774,14" coordsize="2,392">
              <v:shape style="position:absolute;left:4774;top:14;width:2;height:392" coordorigin="4774,14" coordsize="0,392" path="m4774,14l4774,406e" filled="false" stroked="true" strokeweight="1.2pt" strokecolor="#d4d4d4">
                <v:path arrowok="t"/>
              </v:shape>
            </v:group>
            <v:group style="position:absolute;left:34;top:14;width:4728;height:392" coordorigin="34,14" coordsize="4728,392">
              <v:shape style="position:absolute;left:34;top:14;width:4728;height:392" coordorigin="34,14" coordsize="4728,392" path="m34,406l4762,406,4762,14,34,14,34,406xe" filled="true" fillcolor="#d4d4d4" stroked="false">
                <v:path arrowok="t"/>
                <v:fill type="solid"/>
              </v:shape>
            </v:group>
            <v:group style="position:absolute;left:4806;top:14;width:2;height:392" coordorigin="4806,14" coordsize="2,392">
              <v:shape style="position:absolute;left:4806;top:14;width:2;height:392" coordorigin="4806,14" coordsize="0,392" path="m4806,14l4806,406e" filled="false" stroked="true" strokeweight="1.08pt" strokecolor="#e1ffff">
                <v:path arrowok="t"/>
              </v:shape>
            </v:group>
            <v:group style="position:absolute;left:9557;top:14;width:2;height:392" coordorigin="9557,14" coordsize="2,392">
              <v:shape style="position:absolute;left:9557;top:14;width:2;height:392" coordorigin="9557,14" coordsize="0,392" path="m9557,14l9557,406e" filled="false" stroked="true" strokeweight="1.2pt" strokecolor="#e1ffff">
                <v:path arrowok="t"/>
              </v:shape>
            </v:group>
            <v:group style="position:absolute;left:4817;top:14;width:4728;height:392" coordorigin="4817,14" coordsize="4728,392">
              <v:shape style="position:absolute;left:4817;top:14;width:4728;height:392" coordorigin="4817,14" coordsize="4728,392" path="m4817,406l9545,406,9545,14,4817,14,4817,406xe" filled="true" fillcolor="#e1ffff" stroked="false">
                <v:path arrowok="t"/>
                <v:fill type="solid"/>
              </v:shape>
            </v:group>
            <v:group style="position:absolute;left:10;top:10;width:4774;height:2" coordorigin="10,10" coordsize="4774,2">
              <v:shape style="position:absolute;left:10;top:10;width:4774;height:2" coordorigin="10,10" coordsize="4774,0" path="m10,10l4783,10e" filled="false" stroked="true" strokeweight=".48pt" strokecolor="#000000">
                <v:path arrowok="t"/>
              </v:shape>
            </v:group>
            <v:group style="position:absolute;left:4793;top:10;width:4776;height:2" coordorigin="4793,10" coordsize="4776,2">
              <v:shape style="position:absolute;left:4793;top:10;width:4776;height:2" coordorigin="4793,10" coordsize="4776,0" path="m4793,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4;height:2" coordorigin="10,413" coordsize="4774,2">
              <v:shape style="position:absolute;left:10;top:413;width:4774;height:2" coordorigin="10,413" coordsize="4774,0" path="m10,413l4783,413e" filled="false" stroked="true" strokeweight=".48pt" strokecolor="#000000">
                <v:path arrowok="t"/>
              </v:shape>
            </v:group>
            <v:group style="position:absolute;left:4788;top:5;width:2;height:413" coordorigin="4788,5" coordsize="2,413">
              <v:shape style="position:absolute;left:4788;top:5;width:2;height:413" coordorigin="4788,5" coordsize="0,413" path="m4788,5l4788,418e" filled="false" stroked="true" strokeweight=".48pt" strokecolor="#000000">
                <v:path arrowok="t"/>
              </v:shape>
            </v:group>
            <v:group style="position:absolute;left:4793;top:413;width:4776;height:2" coordorigin="4793,413" coordsize="4776,2">
              <v:shape style="position:absolute;left:4793;top:413;width:4776;height:2" coordorigin="4793,413" coordsize="4776,0" path="m4793,413l9569,413e" filled="false" stroked="true" strokeweight=".4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shape style="position:absolute;left:6;top:10;width:4784;height:404"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57" w:lineRule="auto"/>
        <w:ind w:right="8594"/>
        <w:jc w:val="left"/>
      </w:pPr>
      <w:r>
        <w:rPr/>
        <w:t>或有对价及其变动的说明： 其他说明：</w:t>
      </w:r>
    </w:p>
    <w:p>
      <w:pPr>
        <w:spacing w:line="240" w:lineRule="auto" w:before="6"/>
        <w:rPr>
          <w:rFonts w:ascii="宋体" w:hAnsi="宋体" w:cs="宋体" w:eastAsia="宋体" w:hint="default"/>
          <w:sz w:val="20"/>
          <w:szCs w:val="20"/>
        </w:rPr>
      </w:pPr>
    </w:p>
    <w:p>
      <w:pPr>
        <w:pStyle w:val="Heading3"/>
        <w:spacing w:line="240" w:lineRule="auto"/>
        <w:ind w:right="982"/>
        <w:jc w:val="left"/>
        <w:rPr>
          <w:b w:val="0"/>
          <w:bCs w:val="0"/>
        </w:rPr>
      </w:pPr>
      <w:bookmarkStart w:name="（3）合并日被合并方资产、负债的账面价值" w:id="397"/>
      <w:bookmarkEnd w:id="397"/>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823" w:lineRule="exact"/>
        <w:ind w:left="14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pt;mso-position-horizontal-relative:char;mso-position-vertical-relative:line" coordorigin="0,0" coordsize="9581,824">
            <v:group style="position:absolute;left:23;top:14;width:2;height:394" coordorigin="23,14" coordsize="2,394">
              <v:shape style="position:absolute;left:23;top:14;width:2;height:394" coordorigin="23,14" coordsize="0,394" path="m23,14l23,408e" filled="false" stroked="true" strokeweight="1.08pt" strokecolor="#d4d4d4">
                <v:path arrowok="t"/>
              </v:shape>
            </v:group>
            <v:group style="position:absolute;left:3180;top:14;width:2;height:394" coordorigin="3180,14" coordsize="2,394">
              <v:shape style="position:absolute;left:3180;top:14;width:2;height:394" coordorigin="3180,14" coordsize="0,394" path="m3180,14l3180,408e" filled="false" stroked="true" strokeweight="1.2pt" strokecolor="#d4d4d4">
                <v:path arrowok="t"/>
              </v:shape>
            </v:group>
            <v:group style="position:absolute;left:34;top:14;width:3135;height:394" coordorigin="34,14" coordsize="3135,394">
              <v:shape style="position:absolute;left:34;top:14;width:3135;height:394" coordorigin="34,14" coordsize="3135,394" path="m34,408l3168,408,3168,14,34,14,34,408xe" filled="true" fillcolor="#d4d4d4" stroked="false">
                <v:path arrowok="t"/>
                <v:fill type="solid"/>
              </v:shape>
            </v:group>
            <v:group style="position:absolute;left:3212;top:14;width:2;height:394" coordorigin="3212,14" coordsize="2,394">
              <v:shape style="position:absolute;left:3212;top:14;width:2;height:394" coordorigin="3212,14" coordsize="0,394" path="m3212,14l3212,408e" filled="false" stroked="true" strokeweight="1.08pt" strokecolor="#e1ffff">
                <v:path arrowok="t"/>
              </v:shape>
            </v:group>
            <v:group style="position:absolute;left:9559;top:14;width:2;height:394" coordorigin="9559,14" coordsize="2,394">
              <v:shape style="position:absolute;left:9559;top:14;width:2;height:394" coordorigin="9559,14" coordsize="0,394" path="m9559,14l9559,408e" filled="false" stroked="true" strokeweight="1.2pt" strokecolor="#e1ffff">
                <v:path arrowok="t"/>
              </v:shape>
            </v:group>
            <v:group style="position:absolute;left:3223;top:14;width:6324;height:394" coordorigin="3223,14" coordsize="6324,394">
              <v:shape style="position:absolute;left:3223;top:14;width:6324;height:394" coordorigin="3223,14" coordsize="6324,394" path="m3223,408l9547,408,9547,14,3223,14,3223,408xe" filled="true" fillcolor="#e1ffff" stroked="false">
                <v:path arrowok="t"/>
                <v:fill type="solid"/>
              </v:shape>
            </v:group>
            <v:group style="position:absolute;left:10;top:10;width:3180;height:2" coordorigin="10,10" coordsize="3180,2">
              <v:shape style="position:absolute;left:10;top:10;width:3180;height:2" coordorigin="10,10" coordsize="3180,0" path="m10,10l3190,10e" filled="false" stroked="true" strokeweight=".481pt" strokecolor="#000000">
                <v:path arrowok="t"/>
              </v:shape>
            </v:group>
            <v:group style="position:absolute;left:3199;top:10;width:6372;height:2" coordorigin="3199,10" coordsize="6372,2">
              <v:shape style="position:absolute;left:3199;top:10;width:6372;height:2" coordorigin="3199,10" coordsize="6372,0" path="m3199,10l9571,10e" filled="false" stroked="true" strokeweight=".481pt" strokecolor="#000000">
                <v:path arrowok="t"/>
              </v:shape>
            </v:group>
            <v:group style="position:absolute;left:23;top:418;width:2;height:392" coordorigin="23,418" coordsize="2,392">
              <v:shape style="position:absolute;left:23;top:418;width:2;height:392" coordorigin="23,418" coordsize="0,392" path="m23,418l23,809e" filled="false" stroked="true" strokeweight="1.08pt" strokecolor="#d4d4d4">
                <v:path arrowok="t"/>
              </v:shape>
            </v:group>
            <v:group style="position:absolute;left:3180;top:418;width:2;height:392" coordorigin="3180,418" coordsize="2,392">
              <v:shape style="position:absolute;left:3180;top:418;width:2;height:392" coordorigin="3180,418" coordsize="0,392" path="m3180,418l3180,809e" filled="false" stroked="true" strokeweight="1.2pt" strokecolor="#d4d4d4">
                <v:path arrowok="t"/>
              </v:shape>
            </v:group>
            <v:group style="position:absolute;left:34;top:418;width:3135;height:392" coordorigin="34,418" coordsize="3135,392">
              <v:shape style="position:absolute;left:34;top:418;width:3135;height:392" coordorigin="34,418" coordsize="3135,392" path="m34,809l3168,809,3168,418,34,418,34,809xe" filled="true" fillcolor="#d4d4d4" stroked="false">
                <v:path arrowok="t"/>
                <v:fill type="solid"/>
              </v:shape>
            </v:group>
            <v:group style="position:absolute;left:3212;top:418;width:2;height:392" coordorigin="3212,418" coordsize="2,392">
              <v:shape style="position:absolute;left:3212;top:418;width:2;height:392" coordorigin="3212,418" coordsize="0,392" path="m3212,418l3212,809e" filled="false" stroked="true" strokeweight="1.08pt" strokecolor="#d4d4d4">
                <v:path arrowok="t"/>
              </v:shape>
            </v:group>
            <v:group style="position:absolute;left:6370;top:418;width:2;height:392" coordorigin="6370,418" coordsize="2,392">
              <v:shape style="position:absolute;left:6370;top:418;width:2;height:392" coordorigin="6370,418" coordsize="0,392" path="m6370,418l6370,809e" filled="false" stroked="true" strokeweight="1.2pt" strokecolor="#d4d4d4">
                <v:path arrowok="t"/>
              </v:shape>
            </v:group>
            <v:group style="position:absolute;left:3223;top:418;width:3135;height:392" coordorigin="3223,418" coordsize="3135,392">
              <v:shape style="position:absolute;left:3223;top:418;width:3135;height:392" coordorigin="3223,418" coordsize="3135,392" path="m3223,809l6358,809,6358,418,3223,418,3223,809xe" filled="true" fillcolor="#d4d4d4" stroked="false">
                <v:path arrowok="t"/>
                <v:fill type="solid"/>
              </v:shape>
            </v:group>
            <v:group style="position:absolute;left:6402;top:418;width:2;height:392" coordorigin="6402,418" coordsize="2,392">
              <v:shape style="position:absolute;left:6402;top:418;width:2;height:392" coordorigin="6402,418" coordsize="0,392" path="m6402,418l6402,809e" filled="false" stroked="true" strokeweight="1.08pt" strokecolor="#d4d4d4">
                <v:path arrowok="t"/>
              </v:shape>
            </v:group>
            <v:group style="position:absolute;left:9559;top:418;width:2;height:392" coordorigin="9559,418" coordsize="2,392">
              <v:shape style="position:absolute;left:9559;top:418;width:2;height:392" coordorigin="9559,418" coordsize="0,392" path="m9559,418l9559,809e" filled="false" stroked="true" strokeweight="1.2pt" strokecolor="#d4d4d4">
                <v:path arrowok="t"/>
              </v:shape>
            </v:group>
            <v:group style="position:absolute;left:6413;top:418;width:3135;height:392" coordorigin="6413,418" coordsize="3135,392">
              <v:shape style="position:absolute;left:6413;top:418;width:3135;height:392" coordorigin="6413,418" coordsize="3135,392" path="m6413,809l9547,809,9547,418,6413,418,6413,809xe" filled="true" fillcolor="#d4d4d4" stroked="false">
                <v:path arrowok="t"/>
                <v:fill type="solid"/>
              </v:shape>
            </v:group>
            <v:group style="position:absolute;left:10;top:413;width:3180;height:2" coordorigin="10,413" coordsize="3180,2">
              <v:shape style="position:absolute;left:10;top:413;width:3180;height:2" coordorigin="10,413" coordsize="3180,0" path="m10,413l3190,413e" filled="false" stroked="true" strokeweight=".481pt" strokecolor="#000000">
                <v:path arrowok="t"/>
              </v:shape>
            </v:group>
            <v:group style="position:absolute;left:3199;top:413;width:3180;height:2" coordorigin="3199,413" coordsize="3180,2">
              <v:shape style="position:absolute;left:3199;top:413;width:3180;height:2" coordorigin="3199,413" coordsize="3180,0" path="m3199,413l6379,413e" filled="false" stroked="true" strokeweight=".481pt" strokecolor="#000000">
                <v:path arrowok="t"/>
              </v:shape>
            </v:group>
            <v:group style="position:absolute;left:6389;top:413;width:3183;height:2" coordorigin="6389,413" coordsize="3183,2">
              <v:shape style="position:absolute;left:6389;top:413;width:3183;height:2" coordorigin="6389,413" coordsize="3183,0" path="m6389,413l9571,413e" filled="false" stroked="true" strokeweight=".481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0;height:2" coordorigin="10,814" coordsize="3180,2">
              <v:shape style="position:absolute;left:10;top:814;width:3180;height:2" coordorigin="10,814" coordsize="3180,0" path="m10,814l3190,814e" filled="false" stroked="true" strokeweight=".48pt" strokecolor="#000000">
                <v:path arrowok="t"/>
              </v:shape>
            </v:group>
            <v:group style="position:absolute;left:3194;top:5;width:2;height:814" coordorigin="3194,5" coordsize="2,814">
              <v:shape style="position:absolute;left:3194;top:5;width:2;height:814" coordorigin="3194,5" coordsize="0,814" path="m3194,5l3194,818e" filled="false" stroked="true" strokeweight=".48pt" strokecolor="#000000">
                <v:path arrowok="t"/>
              </v:shape>
            </v:group>
            <v:group style="position:absolute;left:3199;top:814;width:3180;height:2" coordorigin="3199,814" coordsize="3180,2">
              <v:shape style="position:absolute;left:3199;top:814;width:3180;height:2" coordorigin="3199,814" coordsize="3180,0" path="m3199,814l6379,814e" filled="false" stroked="true" strokeweight=".48pt" strokecolor="#000000">
                <v:path arrowok="t"/>
              </v:shape>
            </v:group>
            <v:group style="position:absolute;left:6384;top:408;width:2;height:411" coordorigin="6384,408" coordsize="2,411">
              <v:shape style="position:absolute;left:6384;top:408;width:2;height:411" coordorigin="6384,408" coordsize="0,411" path="m6384,408l6384,818e" filled="false" stroked="true" strokeweight=".48pt" strokecolor="#000000">
                <v:path arrowok="t"/>
              </v:shape>
            </v:group>
            <v:group style="position:absolute;left:6389;top:814;width:3183;height:2" coordorigin="6389,814" coordsize="3183,2">
              <v:shape style="position:absolute;left:6389;top:814;width:3183;height:2" coordorigin="6389,814" coordsize="3183,0" path="m6389,814l9571,814e" filled="false" stroked="true" strokeweight=".48pt" strokecolor="#000000">
                <v:path arrowok="t"/>
              </v:shape>
            </v:group>
            <v:group style="position:absolute;left:9576;top:5;width:2;height:814" coordorigin="9576,5" coordsize="2,814">
              <v:shape style="position:absolute;left:9576;top:5;width:2;height:814" coordorigin="9576,5" coordsize="0,814" path="m9576,5l9576,818e" filled="false" stroked="true" strokeweight=".48pt" strokecolor="#000000">
                <v:path arrowok="t"/>
              </v:shape>
              <v:shape style="position:absolute;left:3184;top:413;width:3202;height:401" type="#_x0000_t202" filled="false" stroked="false">
                <v:textbox inset="0,0,0,0">
                  <w:txbxContent>
                    <w:p>
                      <w:pPr>
                        <w:spacing w:before="53"/>
                        <w:ind w:left="9"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3;width:3179;height:401" type="#_x0000_t202" filled="false" stroked="false">
                <v:textbox inset="0,0,0,0">
                  <w:txbxContent>
                    <w:p>
                      <w:pPr>
                        <w:spacing w:before="53"/>
                        <w:ind w:left="1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60" w:lineRule="auto"/>
        <w:ind w:right="7514"/>
        <w:jc w:val="left"/>
      </w:pPr>
      <w:r>
        <w:rPr/>
        <w:t>企业合并中承担的被合并方的或有负债： 其他说明：</w:t>
      </w:r>
    </w:p>
    <w:p>
      <w:pPr>
        <w:spacing w:line="240" w:lineRule="auto" w:before="2"/>
        <w:rPr>
          <w:rFonts w:ascii="宋体" w:hAnsi="宋体" w:cs="宋体" w:eastAsia="宋体" w:hint="default"/>
          <w:sz w:val="20"/>
          <w:szCs w:val="20"/>
        </w:rPr>
      </w:pPr>
    </w:p>
    <w:p>
      <w:pPr>
        <w:pStyle w:val="Heading3"/>
        <w:spacing w:line="240" w:lineRule="auto"/>
        <w:ind w:right="982"/>
        <w:jc w:val="left"/>
        <w:rPr>
          <w:b w:val="0"/>
          <w:bCs w:val="0"/>
        </w:rPr>
      </w:pPr>
      <w:bookmarkStart w:name="3、反向购买" w:id="398"/>
      <w:bookmarkEnd w:id="398"/>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2"/>
        <w:jc w:val="left"/>
      </w:pPr>
      <w:r>
        <w:rPr/>
        <w:t>交易基本信息、交易构成反向购买的依据、上市公司保留的资产、负债是否构成业务及其依据、合并成本的确定、按照权益</w:t>
      </w:r>
    </w:p>
    <w:p>
      <w:pPr>
        <w:spacing w:after="0" w:line="240" w:lineRule="auto"/>
        <w:jc w:val="left"/>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ind w:right="982"/>
        <w:jc w:val="left"/>
      </w:pPr>
      <w:r>
        <w:rPr/>
        <w:t>性交易处理时调整权益的金额及其计算：</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bookmarkStart w:name="4、处置子公司" w:id="399"/>
      <w:bookmarkEnd w:id="399"/>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2" w:top="1060" w:bottom="1180" w:left="980" w:right="0"/>
        </w:sectPr>
      </w:pPr>
    </w:p>
    <w:p>
      <w:pPr>
        <w:pStyle w:val="BodyText"/>
        <w:spacing w:line="240" w:lineRule="auto"/>
        <w:ind w:right="-20"/>
        <w:jc w:val="left"/>
      </w:pPr>
      <w:r>
        <w:rPr/>
        <w:t>是否存在单次处置对子公司投资即丧失控制权的情形</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4293" w:space="4534"/>
            <w:col w:w="2103"/>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4"/>
        <w:gridCol w:w="737"/>
        <w:gridCol w:w="734"/>
        <w:gridCol w:w="734"/>
        <w:gridCol w:w="734"/>
        <w:gridCol w:w="737"/>
        <w:gridCol w:w="737"/>
        <w:gridCol w:w="737"/>
        <w:gridCol w:w="734"/>
        <w:gridCol w:w="737"/>
      </w:tblGrid>
      <w:tr>
        <w:trPr>
          <w:trHeight w:val="3833" w:hRule="exact"/>
        </w:trPr>
        <w:tc>
          <w:tcPr>
            <w:tcW w:w="7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181"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93" w:right="89"/>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93" w:right="89"/>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93" w:right="89"/>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93" w:right="89"/>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3" w:right="89"/>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1027"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北京联 合智能</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547,197.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35.00%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58"/>
              <w:jc w:val="left"/>
              <w:rPr>
                <w:rFonts w:ascii="宋体" w:hAnsi="宋体" w:cs="宋体" w:eastAsia="宋体" w:hint="default"/>
                <w:sz w:val="18"/>
                <w:szCs w:val="18"/>
              </w:rPr>
            </w:pPr>
            <w:r>
              <w:rPr>
                <w:rFonts w:ascii="宋体" w:hAnsi="宋体" w:cs="宋体" w:eastAsia="宋体" w:hint="default"/>
                <w:sz w:val="18"/>
                <w:szCs w:val="18"/>
              </w:rPr>
              <w:t>完成工 商变更</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5,960.05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4994"/>
        <w:jc w:val="left"/>
      </w:pPr>
      <w:r>
        <w:rPr/>
        <w:t>其他说明： 是否存在通过多次交易分步处置对子公司投资且在本期丧失控制权的情形</w:t>
      </w:r>
    </w:p>
    <w:p>
      <w:pPr>
        <w:pStyle w:val="BodyText"/>
        <w:spacing w:line="240" w:lineRule="auto" w:before="29"/>
        <w:ind w:right="9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bookmarkStart w:name="5、其他原因的合并范围变动" w:id="400"/>
      <w:bookmarkEnd w:id="400"/>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2"/>
        <w:jc w:val="left"/>
      </w:pPr>
      <w:r>
        <w:rPr/>
        <w:t>说明其他原因导致的合并范围变动（如，新设子公司、清算子公司等）及其相关情况：</w:t>
      </w:r>
    </w:p>
    <w:p>
      <w:pPr>
        <w:spacing w:line="240" w:lineRule="auto" w:before="4"/>
        <w:rPr>
          <w:rFonts w:ascii="宋体" w:hAnsi="宋体" w:cs="宋体" w:eastAsia="宋体" w:hint="default"/>
          <w:sz w:val="8"/>
          <w:szCs w:val="8"/>
        </w:rPr>
      </w:pPr>
    </w:p>
    <w:tbl>
      <w:tblPr>
        <w:tblW w:w="0" w:type="auto"/>
        <w:jc w:val="left"/>
        <w:tblInd w:w="143" w:type="dxa"/>
        <w:tblLayout w:type="fixed"/>
        <w:tblCellMar>
          <w:top w:w="0" w:type="dxa"/>
          <w:left w:w="0" w:type="dxa"/>
          <w:bottom w:w="0" w:type="dxa"/>
          <w:right w:w="0" w:type="dxa"/>
        </w:tblCellMar>
        <w:tblLook w:val="01E0"/>
      </w:tblPr>
      <w:tblGrid>
        <w:gridCol w:w="1570"/>
        <w:gridCol w:w="1274"/>
        <w:gridCol w:w="1560"/>
        <w:gridCol w:w="1560"/>
        <w:gridCol w:w="1560"/>
        <w:gridCol w:w="1133"/>
      </w:tblGrid>
      <w:tr>
        <w:trPr>
          <w:trHeight w:val="353" w:hRule="exact"/>
        </w:trPr>
        <w:tc>
          <w:tcPr>
            <w:tcW w:w="1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417"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股权取得方式</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股权取得时点</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认缴出资额</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实际出资额</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出资比例</w:t>
            </w:r>
          </w:p>
        </w:tc>
      </w:tr>
      <w:tr>
        <w:trPr>
          <w:trHeight w:val="350" w:hRule="exact"/>
        </w:trPr>
        <w:tc>
          <w:tcPr>
            <w:tcW w:w="1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417" w:right="0"/>
              <w:jc w:val="left"/>
              <w:rPr>
                <w:rFonts w:ascii="宋体" w:hAnsi="宋体" w:cs="宋体" w:eastAsia="宋体" w:hint="default"/>
                <w:sz w:val="18"/>
                <w:szCs w:val="18"/>
              </w:rPr>
            </w:pPr>
            <w:r>
              <w:rPr>
                <w:rFonts w:ascii="宋体" w:hAnsi="宋体" w:cs="宋体" w:eastAsia="宋体" w:hint="default"/>
                <w:sz w:val="18"/>
                <w:szCs w:val="18"/>
              </w:rPr>
              <w:t>抚州五洋</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7,000</w:t>
            </w:r>
            <w:r>
              <w:rPr>
                <w:rFonts w:ascii="宋体" w:hAnsi="宋体" w:cs="宋体" w:eastAsia="宋体" w:hint="default"/>
                <w:sz w:val="18"/>
                <w:szCs w:val="18"/>
              </w:rPr>
              <w:t>万元</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210</w:t>
            </w:r>
            <w:r>
              <w:rPr>
                <w:rFonts w:ascii="宋体" w:hAnsi="宋体" w:cs="宋体" w:eastAsia="宋体" w:hint="default"/>
                <w:sz w:val="18"/>
                <w:szCs w:val="18"/>
              </w:rPr>
              <w:t>万</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70%</w:t>
            </w:r>
          </w:p>
        </w:tc>
      </w:tr>
      <w:tr>
        <w:trPr>
          <w:trHeight w:val="353" w:hRule="exact"/>
        </w:trPr>
        <w:tc>
          <w:tcPr>
            <w:tcW w:w="1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417" w:right="0"/>
              <w:jc w:val="left"/>
              <w:rPr>
                <w:rFonts w:ascii="宋体" w:hAnsi="宋体" w:cs="宋体" w:eastAsia="宋体" w:hint="default"/>
                <w:sz w:val="18"/>
                <w:szCs w:val="18"/>
              </w:rPr>
            </w:pPr>
            <w:r>
              <w:rPr>
                <w:rFonts w:ascii="宋体" w:hAnsi="宋体" w:cs="宋体" w:eastAsia="宋体" w:hint="default"/>
                <w:sz w:val="18"/>
                <w:szCs w:val="18"/>
              </w:rPr>
              <w:t>徐州疌盛</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35,000</w:t>
            </w:r>
            <w:r>
              <w:rPr>
                <w:rFonts w:ascii="宋体" w:hAnsi="宋体" w:cs="宋体" w:eastAsia="宋体" w:hint="default"/>
                <w:sz w:val="18"/>
                <w:szCs w:val="18"/>
              </w:rPr>
              <w:t>万</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1,050</w:t>
            </w:r>
            <w:r>
              <w:rPr>
                <w:rFonts w:ascii="宋体" w:hAnsi="宋体" w:cs="宋体" w:eastAsia="宋体" w:hint="default"/>
                <w:sz w:val="18"/>
                <w:szCs w:val="18"/>
              </w:rPr>
              <w:t>万</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69.08%</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80" w:left="980" w:right="0"/>
        </w:sectPr>
      </w:pPr>
    </w:p>
    <w:p>
      <w:pPr>
        <w:spacing w:line="240" w:lineRule="auto" w:before="10"/>
        <w:rPr>
          <w:rFonts w:ascii="宋体" w:hAnsi="宋体" w:cs="宋体" w:eastAsia="宋体" w:hint="default"/>
          <w:sz w:val="24"/>
          <w:szCs w:val="24"/>
        </w:rPr>
      </w:pPr>
    </w:p>
    <w:p>
      <w:pPr>
        <w:spacing w:line="487" w:lineRule="auto" w:before="36"/>
        <w:ind w:left="152" w:right="8104" w:firstLine="0"/>
        <w:jc w:val="left"/>
        <w:rPr>
          <w:rFonts w:ascii="宋体" w:hAnsi="宋体" w:cs="宋体" w:eastAsia="宋体" w:hint="default"/>
          <w:sz w:val="21"/>
          <w:szCs w:val="21"/>
        </w:rPr>
      </w:pPr>
      <w:bookmarkStart w:name="6、其他" w:id="401"/>
      <w:bookmarkEnd w:id="401"/>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九、在其他主体中的权益" w:id="402"/>
      <w:bookmarkEnd w:id="402"/>
      <w:r>
        <w:rPr>
          <w:rFonts w:ascii="宋体" w:hAnsi="宋体" w:cs="宋体" w:eastAsia="宋体" w:hint="default"/>
          <w:b/>
          <w:bCs/>
          <w:w w:val="100"/>
          <w:sz w:val="21"/>
          <w:szCs w:val="21"/>
        </w:rPr>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bookmarkStart w:name="1、在子公司中的权益" w:id="403"/>
      <w:bookmarkEnd w:id="40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4"/>
        <w:ind w:right="982"/>
        <w:jc w:val="left"/>
        <w:rPr>
          <w:b w:val="0"/>
          <w:bCs w:val="0"/>
        </w:rPr>
      </w:pPr>
      <w:bookmarkStart w:name="（1）企业集团的构成" w:id="404"/>
      <w:bookmarkEnd w:id="404"/>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403" w:hRule="exact"/>
        </w:trPr>
        <w:tc>
          <w:tcPr>
            <w:tcW w:w="137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4D4D4"/>
          </w:tcPr>
          <w:p>
            <w:pP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徐州五洋科技有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江苏徐州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江苏徐州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江苏天沃重工科 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江苏徐州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江苏徐州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江苏五岳科技实 业有限公司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深圳市伟创自动 化设备有限公司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山东天辰智能停 车有限公司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山东德州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山东德州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东莞市伟创东洋 自动化设备有限 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广东东莞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广东东莞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东莞市伟创华鑫 自动化设备有限 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广东东莞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广东东莞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北京伟创停车场 管理有限公司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北京海淀</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北京海淀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交通运输业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合肥伟创自动化 设备有限公司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安徽合肥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安徽合肥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昆明五洋伟创停 车服务有限公司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云南昆明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云南昆明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江西泰壬科技有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江西南昌</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江西南昌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安徽惠邦融资租 赁有限公司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安徽合肥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安徽合肥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租赁业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深圳市前海弘毅 华浩投资有限公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北京华逸奇科贸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60.80%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非同一控制下企</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3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业合并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南昌市青云市政 运营有限公司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江西南昌</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江西南昌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同方佰宜科技</w:t>
            </w:r>
          </w:p>
          <w:p>
            <w:pPr>
              <w:pStyle w:val="TableParagraph"/>
              <w:spacing w:line="316" w:lineRule="auto" w:before="76"/>
              <w:ind w:left="24" w:right="74"/>
              <w:jc w:val="left"/>
              <w:rPr>
                <w:rFonts w:ascii="宋体" w:hAnsi="宋体" w:cs="宋体" w:eastAsia="宋体" w:hint="default"/>
                <w:sz w:val="18"/>
                <w:szCs w:val="18"/>
              </w:rPr>
            </w:pPr>
            <w:r>
              <w:rPr>
                <w:rFonts w:ascii="宋体" w:hAnsi="宋体" w:cs="宋体" w:eastAsia="宋体" w:hint="default"/>
                <w:sz w:val="18"/>
                <w:szCs w:val="18"/>
              </w:rPr>
              <w:t>（北京）有限公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沈阳市五洋恒信 泊车有限公司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辽宁沈阳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辽宁沈阳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抚州五洋智慧交 通产业发展有限 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江西抚州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江西抚州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徐州疌盛五洋智 能装备产业基金 合伙企业（有限 合伙）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江苏徐州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江苏徐州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产业基金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69.72%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60" w:lineRule="auto" w:before="49"/>
        <w:ind w:right="2834"/>
        <w:jc w:val="left"/>
      </w:pPr>
      <w:r>
        <w:rPr/>
        <w:t>在子公司的持股比例不同于表决权比例的说明： 持有半数或以下表决权但仍控制被投资单位、以及持有半数以上表决权但不控制被投资单位的依据：</w:t>
      </w:r>
    </w:p>
    <w:p>
      <w:pPr>
        <w:pStyle w:val="BodyText"/>
        <w:spacing w:line="307" w:lineRule="auto" w:before="25"/>
        <w:ind w:right="1034" w:firstLine="288"/>
        <w:jc w:val="left"/>
      </w:pPr>
      <w:r>
        <w:rPr/>
        <w:t>本公司全资子公司伟创自动化持有沈阳市五洋恒信泊车有限公司</w:t>
      </w:r>
      <w:r>
        <w:rPr>
          <w:rFonts w:ascii="Times New Roman" w:hAnsi="Times New Roman" w:cs="Times New Roman" w:eastAsia="Times New Roman" w:hint="default"/>
        </w:rPr>
        <w:t>50%</w:t>
      </w:r>
      <w:r>
        <w:rPr/>
        <w:t>的股权份额，为该公司第一大股东，根据该公司章 </w:t>
      </w:r>
      <w:r>
        <w:rPr>
          <w:spacing w:val="-2"/>
        </w:rPr>
        <w:t>程约定，其董事会成员</w:t>
      </w:r>
      <w:r>
        <w:rPr>
          <w:rFonts w:ascii="Times New Roman" w:hAnsi="Times New Roman" w:cs="Times New Roman" w:eastAsia="Times New Roman" w:hint="default"/>
          <w:spacing w:val="-2"/>
        </w:rPr>
        <w:t>5</w:t>
      </w:r>
      <w:r>
        <w:rPr>
          <w:spacing w:val="-2"/>
        </w:rPr>
        <w:t>名，其中伟创自动化委派</w:t>
      </w:r>
      <w:r>
        <w:rPr>
          <w:rFonts w:ascii="Times New Roman" w:hAnsi="Times New Roman" w:cs="Times New Roman" w:eastAsia="Times New Roman" w:hint="default"/>
          <w:spacing w:val="-2"/>
        </w:rPr>
        <w:t>2</w:t>
      </w:r>
      <w:r>
        <w:rPr>
          <w:spacing w:val="-2"/>
        </w:rPr>
        <w:t>名，董事长由伟创自动化委派的董事担任，根据沈阳市五洋恒信泊车有限</w:t>
      </w:r>
      <w:r>
        <w:rPr>
          <w:spacing w:val="-64"/>
        </w:rPr>
        <w:t> </w:t>
      </w:r>
      <w:r>
        <w:rPr>
          <w:spacing w:val="-64"/>
        </w:rPr>
      </w:r>
      <w:r>
        <w:rPr/>
        <w:t>公司《资金支付授权暂行规定》，沈阳市五洋恒信泊车有限公司日常经营、对外投资等业务支付的资金都须经董事长签批， 同时经本公司财务部复核付款，对外战略型投资须本公司决策委员会审批，本公司实际拥有对沈阳恒信公司的控制权。</w:t>
      </w:r>
    </w:p>
    <w:p>
      <w:pPr>
        <w:spacing w:line="240" w:lineRule="auto" w:before="0"/>
        <w:rPr>
          <w:rFonts w:ascii="宋体" w:hAnsi="宋体" w:cs="宋体" w:eastAsia="宋体" w:hint="default"/>
          <w:sz w:val="18"/>
          <w:szCs w:val="18"/>
        </w:rPr>
      </w:pPr>
    </w:p>
    <w:p>
      <w:pPr>
        <w:pStyle w:val="BodyText"/>
        <w:spacing w:line="360" w:lineRule="auto" w:before="143"/>
        <w:ind w:right="6434"/>
        <w:jc w:val="left"/>
      </w:pPr>
      <w:r>
        <w:rPr/>
        <w:t>对于纳入合并范围的重要的结构化主体，控制的依据： 确定公司是代理人还是委托人的依据：</w:t>
      </w:r>
    </w:p>
    <w:p>
      <w:pPr>
        <w:pStyle w:val="BodyText"/>
        <w:spacing w:line="240" w:lineRule="auto" w:before="25"/>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bookmarkStart w:name="（2）重要的非全资子公司" w:id="405"/>
      <w:bookmarkEnd w:id="405"/>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5"/>
        <w:gridCol w:w="1913"/>
        <w:gridCol w:w="1913"/>
        <w:gridCol w:w="1915"/>
      </w:tblGrid>
      <w:tr>
        <w:trPr>
          <w:trHeight w:val="763"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73"/>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73"/>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pStyle w:val="BodyText"/>
        <w:spacing w:line="360" w:lineRule="auto" w:before="49"/>
        <w:ind w:right="6434"/>
        <w:jc w:val="left"/>
      </w:pPr>
      <w:r>
        <w:rPr/>
        <w:t>子公司少数股东的持股比例不同于表决权比例的说明： 其他说明：</w:t>
      </w:r>
    </w:p>
    <w:p>
      <w:pPr>
        <w:spacing w:line="240" w:lineRule="auto" w:before="2"/>
        <w:rPr>
          <w:rFonts w:ascii="宋体" w:hAnsi="宋体" w:cs="宋体" w:eastAsia="宋体" w:hint="default"/>
          <w:sz w:val="20"/>
          <w:szCs w:val="20"/>
        </w:rPr>
      </w:pPr>
    </w:p>
    <w:p>
      <w:pPr>
        <w:pStyle w:val="Heading3"/>
        <w:spacing w:line="240" w:lineRule="auto"/>
        <w:ind w:right="982"/>
        <w:jc w:val="left"/>
        <w:rPr>
          <w:b w:val="0"/>
          <w:bCs w:val="0"/>
        </w:rPr>
      </w:pPr>
      <w:bookmarkStart w:name="（3）重要非全资子公司的主要财务信息" w:id="406"/>
      <w:bookmarkEnd w:id="406"/>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4"/>
        <w:gridCol w:w="734"/>
        <w:gridCol w:w="734"/>
        <w:gridCol w:w="737"/>
        <w:gridCol w:w="737"/>
        <w:gridCol w:w="734"/>
        <w:gridCol w:w="737"/>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81"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6" w:type="dxa"/>
            <w:vMerge/>
            <w:tcBorders>
              <w:left w:val="single" w:sz="4" w:space="0" w:color="000000"/>
              <w:bottom w:val="single" w:sz="4" w:space="0" w:color="000000"/>
              <w:right w:val="single" w:sz="4" w:space="0" w:color="000000"/>
            </w:tcBorders>
            <w:shd w:val="clear" w:color="auto" w:fill="D4D4D4"/>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spacing w:after="0" w:line="316" w:lineRule="auto"/>
        <w:jc w:val="left"/>
        <w:rPr>
          <w:rFonts w:ascii="宋体" w:hAnsi="宋体" w:cs="宋体" w:eastAsia="宋体" w:hint="default"/>
          <w:sz w:val="18"/>
          <w:szCs w:val="18"/>
        </w:rPr>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3"/>
        <w:gridCol w:w="1063"/>
        <w:gridCol w:w="1066"/>
        <w:gridCol w:w="1063"/>
        <w:gridCol w:w="1063"/>
        <w:gridCol w:w="1063"/>
        <w:gridCol w:w="1066"/>
      </w:tblGrid>
      <w:tr>
        <w:trPr>
          <w:trHeight w:val="401" w:hRule="exact"/>
        </w:trPr>
        <w:tc>
          <w:tcPr>
            <w:tcW w:w="106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060" w:type="dxa"/>
            <w:vMerge/>
            <w:tcBorders>
              <w:left w:val="single" w:sz="4" w:space="0" w:color="000000"/>
              <w:bottom w:val="single" w:sz="4" w:space="0" w:color="000000"/>
              <w:right w:val="single" w:sz="4" w:space="0" w:color="000000"/>
            </w:tcBorders>
            <w:shd w:val="clear" w:color="auto" w:fill="D4D4D4"/>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bookmarkStart w:name="（4）使用企业集团资产和清偿企业集团债务的重大限制" w:id="407"/>
      <w:bookmarkEnd w:id="407"/>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bookmarkStart w:name="（5）向纳入合并财务报表范围的结构化主体提供的财务支持或其他支持" w:id="408"/>
      <w:bookmarkEnd w:id="408"/>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bookmarkStart w:name="2、在子公司的所有者权益份额发生变化且仍控制子公司的交易" w:id="409"/>
      <w:bookmarkEnd w:id="409"/>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bookmarkStart w:name="（1）在子公司所有者权益份额发生变化的情况说明" w:id="410"/>
      <w:bookmarkEnd w:id="410"/>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bookmarkStart w:name="（2）交易对于少数股东权益及归属于母公司所有者权益的影响" w:id="411"/>
      <w:bookmarkEnd w:id="411"/>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3;top:14;width:2;height:392" coordorigin="23,14" coordsize="2,392">
              <v:shape style="position:absolute;left:23;top:14;width:2;height:392" coordorigin="23,14" coordsize="0,392" path="m23,14l23,406e" filled="false" stroked="true" strokeweight="1.08pt" strokecolor="#d4d4d4">
                <v:path arrowok="t"/>
              </v:shape>
            </v:group>
            <v:group style="position:absolute;left:4774;top:14;width:2;height:392" coordorigin="4774,14" coordsize="2,392">
              <v:shape style="position:absolute;left:4774;top:14;width:2;height:392" coordorigin="4774,14" coordsize="0,392" path="m4774,14l4774,406e" filled="false" stroked="true" strokeweight="1.2pt" strokecolor="#d4d4d4">
                <v:path arrowok="t"/>
              </v:shape>
            </v:group>
            <v:group style="position:absolute;left:34;top:14;width:4728;height:392" coordorigin="34,14" coordsize="4728,392">
              <v:shape style="position:absolute;left:34;top:14;width:4728;height:392" coordorigin="34,14" coordsize="4728,392" path="m34,406l4762,406,4762,14,34,14,34,406xe" filled="true" fillcolor="#d4d4d4" stroked="false">
                <v:path arrowok="t"/>
                <v:fill type="solid"/>
              </v:shape>
            </v:group>
            <v:group style="position:absolute;left:4806;top:14;width:2;height:392" coordorigin="4806,14" coordsize="2,392">
              <v:shape style="position:absolute;left:4806;top:14;width:2;height:392" coordorigin="4806,14" coordsize="0,392" path="m4806,14l4806,406e" filled="false" stroked="true" strokeweight="1.08pt" strokecolor="#e1ffff">
                <v:path arrowok="t"/>
              </v:shape>
            </v:group>
            <v:group style="position:absolute;left:9557;top:14;width:2;height:392" coordorigin="9557,14" coordsize="2,392">
              <v:shape style="position:absolute;left:9557;top:14;width:2;height:392" coordorigin="9557,14" coordsize="0,392" path="m9557,14l9557,406e" filled="false" stroked="true" strokeweight="1.2pt" strokecolor="#e1ffff">
                <v:path arrowok="t"/>
              </v:shape>
            </v:group>
            <v:group style="position:absolute;left:4817;top:14;width:4728;height:392" coordorigin="4817,14" coordsize="4728,392">
              <v:shape style="position:absolute;left:4817;top:14;width:4728;height:392" coordorigin="4817,14" coordsize="4728,392" path="m4817,406l9545,406,9545,14,4817,14,4817,406xe" filled="true" fillcolor="#e1ffff" stroked="false">
                <v:path arrowok="t"/>
                <v:fill type="solid"/>
              </v:shape>
            </v:group>
            <v:group style="position:absolute;left:10;top:10;width:4774;height:2" coordorigin="10,10" coordsize="4774,2">
              <v:shape style="position:absolute;left:10;top:10;width:4774;height:2" coordorigin="10,10" coordsize="4774,0" path="m10,10l4783,10e" filled="false" stroked="true" strokeweight=".48pt" strokecolor="#000000">
                <v:path arrowok="t"/>
              </v:shape>
            </v:group>
            <v:group style="position:absolute;left:4793;top:10;width:4776;height:2" coordorigin="4793,10" coordsize="4776,2">
              <v:shape style="position:absolute;left:4793;top:10;width:4776;height:2" coordorigin="4793,10" coordsize="4776,0" path="m4793,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4;height:2" coordorigin="10,413" coordsize="4774,2">
              <v:shape style="position:absolute;left:10;top:413;width:4774;height:2" coordorigin="10,413" coordsize="4774,0" path="m10,413l4783,413e" filled="false" stroked="true" strokeweight=".48pt" strokecolor="#000000">
                <v:path arrowok="t"/>
              </v:shape>
            </v:group>
            <v:group style="position:absolute;left:4788;top:5;width:2;height:413" coordorigin="4788,5" coordsize="2,413">
              <v:shape style="position:absolute;left:4788;top:5;width:2;height:413" coordorigin="4788,5" coordsize="0,413" path="m4788,5l4788,418e" filled="false" stroked="true" strokeweight=".48pt" strokecolor="#000000">
                <v:path arrowok="t"/>
              </v:shape>
            </v:group>
            <v:group style="position:absolute;left:4793;top:413;width:4776;height:2" coordorigin="4793,413" coordsize="4776,2">
              <v:shape style="position:absolute;left:4793;top:413;width:4776;height:2" coordorigin="4793,413" coordsize="4776,0" path="m4793,413l9569,413e" filled="false" stroked="true" strokeweight=".4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group>
          </v:group>
        </w:pict>
      </w:r>
      <w:r>
        <w:rPr>
          <w:rFonts w:ascii="宋体" w:hAnsi="宋体" w:cs="宋体" w:eastAsia="宋体" w:hint="default"/>
          <w:position w:val="-7"/>
          <w:sz w:val="20"/>
          <w:szCs w:val="20"/>
        </w:rPr>
      </w:r>
    </w:p>
    <w:p>
      <w:pPr>
        <w:pStyle w:val="BodyText"/>
        <w:spacing w:line="240" w:lineRule="auto"/>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bookmarkStart w:name="3、在合营安排或联营企业中的权益" w:id="412"/>
      <w:bookmarkEnd w:id="412"/>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bookmarkStart w:name="（1）重要的合营企业或联营企业" w:id="413"/>
      <w:bookmarkEnd w:id="413"/>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403" w:hRule="exact"/>
        </w:trPr>
        <w:tc>
          <w:tcPr>
            <w:tcW w:w="137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1"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0"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4D4D4"/>
          </w:tcPr>
          <w:p>
            <w:pP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福建比硕停车运 营股份有限公司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福建南平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福建南平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30.00%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bl>
    <w:p>
      <w:pPr>
        <w:pStyle w:val="BodyText"/>
        <w:spacing w:line="240" w:lineRule="auto" w:before="49"/>
        <w:ind w:right="982"/>
        <w:jc w:val="left"/>
      </w:pPr>
      <w:r>
        <w:rPr/>
        <w:t>在合营企业或联营企业的持股比例不同于表决权比例的说明：</w:t>
      </w:r>
    </w:p>
    <w:p>
      <w:pPr>
        <w:pStyle w:val="BodyText"/>
        <w:spacing w:line="240" w:lineRule="auto" w:before="117"/>
        <w:ind w:right="982"/>
        <w:jc w:val="left"/>
      </w:pPr>
      <w:r>
        <w:rPr/>
        <w:t>持有</w:t>
      </w:r>
      <w:r>
        <w:rPr>
          <w:spacing w:val="-48"/>
        </w:rPr>
        <w:t> </w:t>
      </w:r>
      <w:r>
        <w:rPr>
          <w:rFonts w:ascii="Times New Roman" w:hAnsi="Times New Roman" w:cs="Times New Roman" w:eastAsia="Times New Roman" w:hint="default"/>
        </w:rPr>
        <w:t>20%</w:t>
      </w:r>
      <w:r>
        <w:rPr/>
        <w:t>以下表决权但具有重大影响，或者持有</w:t>
      </w:r>
      <w:r>
        <w:rPr>
          <w:spacing w:val="-48"/>
        </w:rPr>
        <w:t> </w:t>
      </w:r>
      <w:r>
        <w:rPr>
          <w:rFonts w:ascii="Times New Roman" w:hAnsi="Times New Roman" w:cs="Times New Roman" w:eastAsia="Times New Roman" w:hint="default"/>
        </w:rPr>
        <w:t>20%</w:t>
      </w:r>
      <w:r>
        <w:rPr/>
        <w:t>或以上表决权但不具有重大影响的依据：</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bookmarkStart w:name="（2）重要合营企业的主要财务信息" w:id="414"/>
      <w:bookmarkEnd w:id="414"/>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2"/>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00" w:type="dxa"/>
            <w:tcBorders>
              <w:top w:val="single" w:sz="4" w:space="0" w:color="000000"/>
              <w:left w:val="single" w:sz="10" w:space="0" w:color="D4D4D4"/>
              <w:bottom w:val="single" w:sz="4" w:space="0" w:color="000000"/>
              <w:right w:val="single" w:sz="4" w:space="0" w:color="000000"/>
            </w:tcBorders>
            <w:shd w:val="clear" w:color="auto" w:fill="E1FFFF"/>
          </w:tcPr>
          <w:p>
            <w:pPr/>
          </w:p>
        </w:tc>
        <w:tc>
          <w:tcPr>
            <w:tcW w:w="3192" w:type="dxa"/>
            <w:tcBorders>
              <w:top w:val="single" w:sz="4" w:space="0" w:color="000000"/>
              <w:left w:val="single" w:sz="4" w:space="0" w:color="000000"/>
              <w:bottom w:val="single" w:sz="4" w:space="0" w:color="000000"/>
              <w:right w:val="single" w:sz="4" w:space="0" w:color="000000"/>
            </w:tcBorders>
            <w:shd w:val="clear" w:color="auto" w:fill="E1FFFF"/>
          </w:tcPr>
          <w:p>
            <w:pPr/>
          </w:p>
        </w:tc>
      </w:tr>
    </w:tbl>
    <w:p>
      <w:pPr>
        <w:pStyle w:val="BodyText"/>
        <w:spacing w:line="240" w:lineRule="auto" w:before="49"/>
        <w:ind w:right="982"/>
        <w:jc w:val="left"/>
      </w:pPr>
      <w:r>
        <w:rPr/>
        <w:t>其他说明</w:t>
      </w:r>
    </w:p>
    <w:p>
      <w:pPr>
        <w:spacing w:after="0" w:line="240" w:lineRule="auto"/>
        <w:jc w:val="left"/>
        <w:sectPr>
          <w:pgSz w:w="11910" w:h="16840"/>
          <w:pgMar w:header="745"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bookmarkStart w:name="（3）重要联营企业的主要财务信息" w:id="415"/>
      <w:bookmarkEnd w:id="415"/>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2"/>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00" w:type="dxa"/>
            <w:tcBorders>
              <w:top w:val="single" w:sz="4" w:space="0" w:color="000000"/>
              <w:left w:val="single" w:sz="10" w:space="0" w:color="D4D4D4"/>
              <w:bottom w:val="single" w:sz="4" w:space="0" w:color="000000"/>
              <w:right w:val="single" w:sz="4" w:space="0" w:color="000000"/>
            </w:tcBorders>
            <w:shd w:val="clear" w:color="auto" w:fill="E1FFFF"/>
          </w:tcPr>
          <w:p>
            <w:pPr/>
          </w:p>
        </w:tc>
        <w:tc>
          <w:tcPr>
            <w:tcW w:w="3192" w:type="dxa"/>
            <w:tcBorders>
              <w:top w:val="single" w:sz="4" w:space="0" w:color="000000"/>
              <w:left w:val="single" w:sz="4" w:space="0" w:color="000000"/>
              <w:bottom w:val="single" w:sz="4" w:space="0" w:color="000000"/>
              <w:right w:val="single" w:sz="4" w:space="0" w:color="000000"/>
            </w:tcBorders>
            <w:shd w:val="clear" w:color="auto" w:fill="E1FFFF"/>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20,050,692.36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10,417,028.90</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6,411,974.39</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17,258,501.27</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26,462,666.75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27,675,530.17</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4,905,656.28</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2,654,821.25</w:t>
            </w:r>
            <w:r>
              <w:rPr>
                <w:rFonts w:ascii="Times New Roman"/>
                <w:sz w:val="18"/>
              </w:rPr>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4,905,656.28</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2,654,821.25</w:t>
            </w:r>
            <w:r>
              <w:rPr>
                <w:rFonts w:ascii="Times New Roman"/>
                <w:sz w:val="18"/>
              </w:rPr>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-21,630.09</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21,578,640.56</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25,020,708.92</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6,473,592.16</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7,506,212.67</w:t>
            </w:r>
            <w:r>
              <w:rPr>
                <w:rFonts w:ascii="Times New Roman"/>
                <w:sz w:val="18"/>
              </w:rPr>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6,473,592.16</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7,506,212.67</w:t>
            </w:r>
            <w:r>
              <w:rPr>
                <w:rFonts w:ascii="Times New Roman"/>
                <w:sz w:val="18"/>
              </w:rPr>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bookmarkStart w:name="（4）不重要的合营企业和联营企业的汇总财务信息" w:id="416"/>
      <w:bookmarkEnd w:id="416"/>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3"/>
        <w:gridCol w:w="3060"/>
        <w:gridCol w:w="3185"/>
      </w:tblGrid>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bookmarkStart w:name="（5）合营企业或联营企业向本公司转移资金的能力存在重大限制的说明" w:id="417"/>
      <w:bookmarkEnd w:id="417"/>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bookmarkStart w:name="（6）合营企业或联营企业发生的超额亏损" w:id="418"/>
      <w:bookmarkEnd w:id="418"/>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3"/>
        <w:gridCol w:w="2390"/>
        <w:gridCol w:w="2395"/>
      </w:tblGrid>
      <w:tr>
        <w:trPr>
          <w:trHeight w:val="713"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50" w:right="19"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49"/>
        <w:ind w:right="982"/>
        <w:jc w:val="left"/>
      </w:pPr>
      <w:r>
        <w:rPr/>
        <w:t>其他说明</w:t>
      </w:r>
    </w:p>
    <w:p>
      <w:pPr>
        <w:spacing w:after="0" w:line="240" w:lineRule="auto"/>
        <w:jc w:val="left"/>
        <w:sectPr>
          <w:pgSz w:w="11910" w:h="16840"/>
          <w:pgMar w:header="745"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bookmarkStart w:name="（7）与合营企业投资相关的未确认承诺" w:id="419"/>
      <w:bookmarkEnd w:id="419"/>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bookmarkStart w:name="（8）与合营企业或联营企业投资相关的或有负债" w:id="420"/>
      <w:bookmarkEnd w:id="420"/>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bookmarkStart w:name="4、重要的共同经营" w:id="421"/>
      <w:bookmarkEnd w:id="421"/>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6"/>
        <w:gridCol w:w="1594"/>
        <w:gridCol w:w="1594"/>
        <w:gridCol w:w="1594"/>
        <w:gridCol w:w="1583"/>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7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3" w:hRule="exact"/>
        </w:trPr>
        <w:tc>
          <w:tcPr>
            <w:tcW w:w="1595" w:type="dxa"/>
            <w:vMerge/>
            <w:tcBorders>
              <w:left w:val="single" w:sz="4" w:space="0" w:color="000000"/>
              <w:bottom w:val="single" w:sz="4" w:space="0" w:color="000000"/>
              <w:right w:val="single" w:sz="4" w:space="0" w:color="000000"/>
            </w:tcBorders>
            <w:shd w:val="clear" w:color="auto" w:fill="D4D4D4"/>
          </w:tcPr>
          <w:p>
            <w:pPr/>
          </w:p>
        </w:tc>
        <w:tc>
          <w:tcPr>
            <w:tcW w:w="1596" w:type="dxa"/>
            <w:vMerge/>
            <w:tcBorders>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7" w:lineRule="auto" w:before="49"/>
        <w:ind w:right="5534"/>
        <w:jc w:val="left"/>
      </w:pPr>
      <w:r>
        <w:rPr/>
        <w:t>在共同经营中的持股比例或享有的份额不同于表决权比例的说明： 共同经营为单独主体的，分类为共同经营的依据：</w:t>
      </w:r>
    </w:p>
    <w:p>
      <w:pPr>
        <w:pStyle w:val="BodyText"/>
        <w:spacing w:line="240" w:lineRule="auto" w:before="2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bookmarkStart w:name="5、在未纳入合并财务报表范围的结构化主体中的权益" w:id="422"/>
      <w:bookmarkEnd w:id="422"/>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2"/>
        <w:jc w:val="left"/>
      </w:pPr>
      <w:r>
        <w:rPr/>
        <w:t>未纳入合并财务报表范围的结构化主体的相关说明：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bookmarkStart w:name="6、其他" w:id="423"/>
      <w:bookmarkEnd w:id="423"/>
      <w:r>
        <w:rPr>
          <w:b w:val="0"/>
          <w:bCs w:val="0"/>
        </w:rPr>
      </w: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982"/>
        <w:jc w:val="left"/>
        <w:rPr>
          <w:b w:val="0"/>
          <w:bCs w:val="0"/>
        </w:rPr>
      </w:pPr>
      <w:bookmarkStart w:name="十、与金融工具相关的风险" w:id="424"/>
      <w:bookmarkEnd w:id="424"/>
      <w:r>
        <w:rPr>
          <w:b w:val="0"/>
          <w:bCs w:val="0"/>
        </w:rPr>
      </w:r>
      <w:r>
        <w:rPr/>
        <w:t>十、与金融工具相关的风险</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034" w:firstLine="360"/>
        <w:jc w:val="left"/>
      </w:pPr>
      <w:r>
        <w:rPr>
          <w:spacing w:val="-2"/>
        </w:rPr>
        <w:t>本公司从事风险管理的目标是在风险和收益之间取得平衡，将风险对本公司经营业绩的负面影响降至最低水平，使股东</w:t>
      </w:r>
      <w:r>
        <w:rPr/>
        <w:t> 和其他权益投资者的利益最大化。基于该风险管理目标，本公司风险管理的基本策略是确认和分析本公司面临的各种风险， 建立适当的风险承受底线和进行风险管理，并及时可靠地对各种风险进行监督，将风险控制在限定的范围内。</w:t>
      </w:r>
    </w:p>
    <w:p>
      <w:pPr>
        <w:pStyle w:val="BodyText"/>
        <w:spacing w:line="316" w:lineRule="auto" w:before="18"/>
        <w:ind w:right="982" w:firstLine="360"/>
        <w:jc w:val="left"/>
      </w:pPr>
      <w:r>
        <w:rPr>
          <w:spacing w:val="-2"/>
        </w:rPr>
        <w:t>本公司在日常活动中面临各种与金融工具相关的风险，主要包括信用风险、流动风险及市场风险。管理层已审议并批准</w:t>
      </w:r>
      <w:r>
        <w:rPr/>
        <w:t> 管理这些风险的政策，概括如下。</w:t>
      </w:r>
    </w:p>
    <w:p>
      <w:pPr>
        <w:pStyle w:val="BodyText"/>
        <w:spacing w:line="300" w:lineRule="auto" w:before="18"/>
        <w:ind w:left="512" w:right="3914"/>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信用风险</w:t>
      </w:r>
      <w:r>
        <w:rPr>
          <w:w w:val="99"/>
        </w:rPr>
        <w:t> </w:t>
      </w:r>
      <w:r>
        <w:rPr/>
        <w:t>信用风险，是指金融工具的一方不能履行义务，造成另一方发生财务损失的风险。</w:t>
      </w:r>
    </w:p>
    <w:p>
      <w:pPr>
        <w:pStyle w:val="BodyText"/>
        <w:spacing w:line="240" w:lineRule="auto" w:before="31"/>
        <w:ind w:left="512" w:right="982"/>
        <w:jc w:val="left"/>
      </w:pPr>
      <w:r>
        <w:rPr/>
        <w:t>本公司的信用风险主要来自银行存款和应收款项。为控制上述相关风险，本公司分别采取了以下措施。</w:t>
      </w:r>
    </w:p>
    <w:p>
      <w:pPr>
        <w:pStyle w:val="BodyText"/>
        <w:spacing w:line="309" w:lineRule="auto" w:before="76"/>
        <w:ind w:left="512" w:right="4634"/>
        <w:jc w:val="left"/>
      </w:pPr>
      <w:r>
        <w:rPr>
          <w:rFonts w:ascii="Times New Roman" w:hAnsi="Times New Roman" w:cs="Times New Roman" w:eastAsia="Times New Roman" w:hint="default"/>
        </w:rPr>
        <w:t>1.</w:t>
      </w:r>
      <w:r>
        <w:rPr/>
        <w:t>银行存款 本公司将银行存款存放于信用评级较高的金融机构，故其信用风险较低。 </w:t>
      </w:r>
      <w:r>
        <w:rPr>
          <w:rFonts w:ascii="Times New Roman" w:hAnsi="Times New Roman" w:cs="Times New Roman" w:eastAsia="Times New Roman" w:hint="default"/>
        </w:rPr>
        <w:t>2.</w:t>
      </w:r>
      <w:r>
        <w:rPr/>
        <w:t>应收款项</w:t>
      </w:r>
    </w:p>
    <w:p>
      <w:pPr>
        <w:pStyle w:val="BodyText"/>
        <w:spacing w:line="316" w:lineRule="auto" w:before="5"/>
        <w:ind w:right="982" w:firstLine="360"/>
        <w:jc w:val="left"/>
      </w:pPr>
      <w:r>
        <w:rPr>
          <w:spacing w:val="-2"/>
        </w:rPr>
        <w:t>本公司持续对采用信用方式交易的客户进行信用评估。根据信用评估结果，本公司选择与经认可的且信用良好的客户进</w:t>
      </w:r>
      <w:r>
        <w:rPr/>
        <w:t> 行交易，并对其应收款项余额进行监控，以确保本公司不会面临重大坏账风险。</w:t>
      </w:r>
    </w:p>
    <w:p>
      <w:pPr>
        <w:pStyle w:val="BodyText"/>
        <w:spacing w:line="300" w:lineRule="auto" w:before="18"/>
        <w:ind w:right="1127" w:firstLine="360"/>
        <w:jc w:val="both"/>
      </w:pPr>
      <w:r>
        <w:rPr/>
        <w:t>由于本公司的应收账款风险点分布于多个合作方和多个客户，截至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日，本公司应收账款的</w:t>
      </w:r>
      <w:r>
        <w:rPr>
          <w:rFonts w:ascii="Times New Roman" w:hAnsi="Times New Roman" w:cs="Times New Roman" w:eastAsia="Times New Roman" w:hint="default"/>
        </w:rPr>
        <w:t>13.41%(2017</w:t>
      </w:r>
      <w:r>
        <w:rPr/>
        <w:t>年 </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12.39%)</w:t>
      </w:r>
      <w:r>
        <w:rPr/>
        <w:t>源于余额前五名客户。除个别房地产开发商客户以可售房源抵款外，本公司对应收账款余额未持有其他</w:t>
      </w:r>
      <w:r>
        <w:rPr>
          <w:spacing w:val="-73"/>
        </w:rPr>
        <w:t> </w:t>
      </w:r>
      <w:r>
        <w:rPr>
          <w:spacing w:val="-73"/>
        </w:rPr>
      </w:r>
      <w:r>
        <w:rPr/>
        <w:t>担保物或其他信用增级，本公司不存在重大的信用集中风险。</w:t>
      </w:r>
    </w:p>
    <w:p>
      <w:pPr>
        <w:pStyle w:val="BodyText"/>
        <w:spacing w:line="240" w:lineRule="auto" w:before="31"/>
        <w:ind w:right="98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本公司的应收款项中未逾期且未减值的金额，以及虽已逾期但未减值的金额和逾期账龄分析如下：</w:t>
      </w:r>
    </w:p>
    <w:p>
      <w:pPr>
        <w:spacing w:line="240" w:lineRule="auto" w:before="3"/>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1702"/>
        <w:gridCol w:w="1560"/>
        <w:gridCol w:w="1274"/>
        <w:gridCol w:w="1135"/>
        <w:gridCol w:w="1133"/>
        <w:gridCol w:w="1418"/>
      </w:tblGrid>
      <w:tr>
        <w:trPr>
          <w:trHeight w:val="348" w:hRule="exact"/>
        </w:trPr>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19"/>
              <w:ind w:left="645"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6521"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8" w:hRule="exact"/>
        </w:trPr>
        <w:tc>
          <w:tcPr>
            <w:tcW w:w="1702" w:type="dxa"/>
            <w:vMerge/>
            <w:tcBorders>
              <w:left w:val="single" w:sz="6" w:space="0" w:color="000000"/>
              <w:right w:val="single" w:sz="6" w:space="0" w:color="000000"/>
            </w:tcBorders>
          </w:tcPr>
          <w:p>
            <w:pP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before="17"/>
              <w:ind w:left="232" w:right="0"/>
              <w:jc w:val="left"/>
              <w:rPr>
                <w:rFonts w:ascii="宋体" w:hAnsi="宋体" w:cs="宋体" w:eastAsia="宋体" w:hint="default"/>
                <w:sz w:val="18"/>
                <w:szCs w:val="18"/>
              </w:rPr>
            </w:pPr>
            <w:r>
              <w:rPr>
                <w:rFonts w:ascii="宋体" w:hAnsi="宋体" w:cs="宋体" w:eastAsia="宋体" w:hint="default"/>
                <w:sz w:val="18"/>
                <w:szCs w:val="18"/>
              </w:rPr>
              <w:t>未逾期未减值</w:t>
            </w:r>
          </w:p>
        </w:tc>
        <w:tc>
          <w:tcPr>
            <w:tcW w:w="354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已逾期未减值</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8"/>
                <w:sz w:val="18"/>
                <w:szCs w:val="18"/>
              </w:rPr>
              <w:t> </w:t>
            </w:r>
            <w:r>
              <w:rPr>
                <w:rFonts w:ascii="宋体" w:hAnsi="宋体" w:cs="宋体" w:eastAsia="宋体" w:hint="default"/>
                <w:sz w:val="18"/>
                <w:szCs w:val="18"/>
              </w:rPr>
              <w:t>计</w:t>
            </w:r>
          </w:p>
        </w:tc>
      </w:tr>
      <w:tr>
        <w:trPr>
          <w:trHeight w:val="346" w:hRule="exact"/>
        </w:trPr>
        <w:tc>
          <w:tcPr>
            <w:tcW w:w="1702"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年以上</w:t>
            </w:r>
          </w:p>
        </w:tc>
        <w:tc>
          <w:tcPr>
            <w:tcW w:w="1418" w:type="dxa"/>
            <w:vMerge/>
            <w:tcBorders>
              <w:left w:val="single" w:sz="6" w:space="0" w:color="000000"/>
              <w:bottom w:val="single" w:sz="6" w:space="0" w:color="000000"/>
              <w:right w:val="single" w:sz="6" w:space="0" w:color="000000"/>
            </w:tcBorders>
          </w:tcPr>
          <w:p>
            <w:pPr/>
          </w:p>
        </w:tc>
      </w:tr>
      <w:tr>
        <w:trPr>
          <w:trHeight w:val="348"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40,553,813.38</w:t>
            </w:r>
          </w:p>
        </w:tc>
        <w:tc>
          <w:tcPr>
            <w:tcW w:w="1274"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40,553,813.38</w:t>
            </w:r>
          </w:p>
        </w:tc>
      </w:tr>
      <w:tr>
        <w:trPr>
          <w:trHeight w:val="348"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40,553,813.38</w:t>
            </w:r>
          </w:p>
        </w:tc>
        <w:tc>
          <w:tcPr>
            <w:tcW w:w="1274"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40,553,813.38</w:t>
            </w:r>
          </w:p>
        </w:tc>
      </w:tr>
    </w:tbl>
    <w:p>
      <w:pPr>
        <w:pStyle w:val="BodyText"/>
        <w:spacing w:line="240" w:lineRule="auto" w:before="8"/>
        <w:ind w:left="572" w:right="982"/>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after="0" w:line="240" w:lineRule="auto"/>
        <w:jc w:val="left"/>
        <w:rPr>
          <w:rFonts w:ascii="Times New Roman" w:hAnsi="Times New Roman" w:cs="Times New Roman" w:eastAsia="Times New Roman" w:hint="default"/>
        </w:rPr>
        <w:sectPr>
          <w:pgSz w:w="11910" w:h="16840"/>
          <w:pgMar w:header="745"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1702"/>
        <w:gridCol w:w="1560"/>
        <w:gridCol w:w="1274"/>
        <w:gridCol w:w="1135"/>
        <w:gridCol w:w="1133"/>
        <w:gridCol w:w="1418"/>
      </w:tblGrid>
      <w:tr>
        <w:trPr>
          <w:trHeight w:val="348" w:hRule="exact"/>
        </w:trPr>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17"/>
              <w:ind w:left="645"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6521"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6" w:hRule="exact"/>
        </w:trPr>
        <w:tc>
          <w:tcPr>
            <w:tcW w:w="1702" w:type="dxa"/>
            <w:vMerge/>
            <w:tcBorders>
              <w:left w:val="single" w:sz="6" w:space="0" w:color="000000"/>
              <w:right w:val="single" w:sz="6" w:space="0" w:color="000000"/>
            </w:tcBorders>
          </w:tcPr>
          <w:p>
            <w:pP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before="17"/>
              <w:ind w:left="232" w:right="0"/>
              <w:jc w:val="left"/>
              <w:rPr>
                <w:rFonts w:ascii="宋体" w:hAnsi="宋体" w:cs="宋体" w:eastAsia="宋体" w:hint="default"/>
                <w:sz w:val="18"/>
                <w:szCs w:val="18"/>
              </w:rPr>
            </w:pPr>
            <w:r>
              <w:rPr>
                <w:rFonts w:ascii="宋体" w:hAnsi="宋体" w:cs="宋体" w:eastAsia="宋体" w:hint="default"/>
                <w:sz w:val="18"/>
                <w:szCs w:val="18"/>
              </w:rPr>
              <w:t>未逾期未减值</w:t>
            </w:r>
          </w:p>
        </w:tc>
        <w:tc>
          <w:tcPr>
            <w:tcW w:w="354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已逾期未减值</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8"/>
                <w:sz w:val="18"/>
                <w:szCs w:val="18"/>
              </w:rPr>
              <w:t> </w:t>
            </w:r>
            <w:r>
              <w:rPr>
                <w:rFonts w:ascii="宋体" w:hAnsi="宋体" w:cs="宋体" w:eastAsia="宋体" w:hint="default"/>
                <w:sz w:val="18"/>
                <w:szCs w:val="18"/>
              </w:rPr>
              <w:t>计</w:t>
            </w:r>
          </w:p>
        </w:tc>
      </w:tr>
      <w:tr>
        <w:trPr>
          <w:trHeight w:val="348" w:hRule="exact"/>
        </w:trPr>
        <w:tc>
          <w:tcPr>
            <w:tcW w:w="1702"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年以上</w:t>
            </w:r>
          </w:p>
        </w:tc>
        <w:tc>
          <w:tcPr>
            <w:tcW w:w="1418" w:type="dxa"/>
            <w:vMerge/>
            <w:tcBorders>
              <w:left w:val="single" w:sz="6" w:space="0" w:color="000000"/>
              <w:bottom w:val="single" w:sz="6" w:space="0" w:color="000000"/>
              <w:right w:val="single" w:sz="6" w:space="0" w:color="000000"/>
            </w:tcBorders>
          </w:tcPr>
          <w:p>
            <w:pPr/>
          </w:p>
        </w:tc>
      </w:tr>
      <w:tr>
        <w:trPr>
          <w:trHeight w:val="346"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41,664,698.19</w:t>
            </w:r>
          </w:p>
        </w:tc>
        <w:tc>
          <w:tcPr>
            <w:tcW w:w="1274"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41,664,698.19</w:t>
            </w:r>
          </w:p>
        </w:tc>
      </w:tr>
      <w:tr>
        <w:trPr>
          <w:trHeight w:val="348"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41,664,698.19</w:t>
            </w:r>
          </w:p>
        </w:tc>
        <w:tc>
          <w:tcPr>
            <w:tcW w:w="1274"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41,664,698.19</w:t>
            </w:r>
          </w:p>
        </w:tc>
      </w:tr>
    </w:tbl>
    <w:p>
      <w:pPr>
        <w:pStyle w:val="BodyText"/>
        <w:spacing w:line="240" w:lineRule="auto" w:before="8"/>
        <w:ind w:left="572" w:right="98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单项计提减值的应收款项情况见本财务报表附注合并财务报表项目注释之应收款项说明。</w:t>
      </w:r>
    </w:p>
    <w:p>
      <w:pPr>
        <w:pStyle w:val="BodyText"/>
        <w:spacing w:line="300" w:lineRule="auto" w:before="62"/>
        <w:ind w:left="440" w:right="982"/>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流动风险</w:t>
      </w:r>
      <w:r>
        <w:rPr>
          <w:w w:val="99"/>
        </w:rPr>
        <w:t> </w:t>
      </w:r>
      <w:r>
        <w:rPr>
          <w:spacing w:val="-1"/>
        </w:rPr>
        <w:t>流动风险，是指本公司在履行以交付现金或其他金融资产的方式结算的义务时发生资金短缺的风险。流动风险可能源于</w:t>
      </w:r>
    </w:p>
    <w:p>
      <w:pPr>
        <w:pStyle w:val="BodyText"/>
        <w:spacing w:line="316" w:lineRule="auto" w:before="31"/>
        <w:ind w:right="982"/>
        <w:jc w:val="left"/>
      </w:pPr>
      <w:r>
        <w:rPr>
          <w:spacing w:val="-2"/>
        </w:rPr>
        <w:t>无法尽快以公允价值售出金融资产；或者源于对方无法偿还其合同债务；或者源于提前到期的债务；或者源于无法产生预期</w:t>
      </w:r>
      <w:r>
        <w:rPr>
          <w:spacing w:val="-63"/>
        </w:rPr>
        <w:t> </w:t>
      </w:r>
      <w:r>
        <w:rPr>
          <w:spacing w:val="-63"/>
        </w:rPr>
      </w:r>
      <w:r>
        <w:rPr/>
        <w:t>的现金流量。</w:t>
      </w:r>
    </w:p>
    <w:p>
      <w:pPr>
        <w:pStyle w:val="BodyText"/>
        <w:spacing w:line="316" w:lineRule="auto" w:before="18"/>
        <w:ind w:right="1130" w:firstLine="288"/>
        <w:jc w:val="both"/>
      </w:pPr>
      <w:r>
        <w:rPr>
          <w:spacing w:val="-1"/>
        </w:rPr>
        <w:t>为控制该项风险，本公司在汇总各子公司现金流量预测的基础上，持续监控短期和长期的资金需求，以确保维持充裕的</w:t>
      </w:r>
      <w:r>
        <w:rPr/>
        <w:t> </w:t>
      </w:r>
      <w:r>
        <w:rPr>
          <w:spacing w:val="-2"/>
        </w:rPr>
        <w:t>现金储备和可供随时变现的有价证券，同时已从多家商业银行取得银行授信额度支持或承诺，以满足营运资金需求和资本开</w:t>
      </w:r>
      <w:r>
        <w:rPr>
          <w:spacing w:val="-64"/>
        </w:rPr>
        <w:t> </w:t>
      </w:r>
      <w:r>
        <w:rPr>
          <w:spacing w:val="-64"/>
        </w:rPr>
      </w:r>
      <w:r>
        <w:rPr/>
        <w:t>支。</w:t>
      </w:r>
    </w:p>
    <w:p>
      <w:pPr>
        <w:pStyle w:val="BodyText"/>
        <w:spacing w:line="240" w:lineRule="auto" w:before="18"/>
        <w:ind w:left="440" w:right="982"/>
        <w:jc w:val="left"/>
      </w:pPr>
      <w:r>
        <w:rPr/>
        <w:t>金融负债按剩余到期日分类</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843"/>
        <w:gridCol w:w="1702"/>
        <w:gridCol w:w="1699"/>
        <w:gridCol w:w="1560"/>
        <w:gridCol w:w="852"/>
        <w:gridCol w:w="866"/>
      </w:tblGrid>
      <w:tr>
        <w:trPr>
          <w:trHeight w:val="348" w:hRule="exact"/>
        </w:trPr>
        <w:tc>
          <w:tcPr>
            <w:tcW w:w="1843" w:type="dxa"/>
            <w:vMerge w:val="restart"/>
            <w:tcBorders>
              <w:top w:val="single" w:sz="6" w:space="0" w:color="000000"/>
              <w:left w:val="single" w:sz="6" w:space="0" w:color="000000"/>
              <w:right w:val="single" w:sz="6" w:space="0" w:color="000000"/>
            </w:tcBorders>
          </w:tcPr>
          <w:p>
            <w:pPr>
              <w:pStyle w:val="TableParagraph"/>
              <w:spacing w:line="240" w:lineRule="auto" w:before="19"/>
              <w:ind w:left="4"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6679"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6" w:hRule="exact"/>
        </w:trPr>
        <w:tc>
          <w:tcPr>
            <w:tcW w:w="1843" w:type="dxa"/>
            <w:vMerge/>
            <w:tcBorders>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8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1"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348"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50,000,000.00</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51,090,098.08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51,090,098.08</w:t>
            </w:r>
          </w:p>
        </w:tc>
        <w:tc>
          <w:tcPr>
            <w:tcW w:w="852" w:type="dxa"/>
            <w:tcBorders>
              <w:top w:val="single" w:sz="6" w:space="0" w:color="000000"/>
              <w:left w:val="single" w:sz="6" w:space="0" w:color="000000"/>
              <w:bottom w:val="single" w:sz="6" w:space="0" w:color="000000"/>
              <w:right w:val="single" w:sz="6" w:space="0" w:color="000000"/>
            </w:tcBorders>
          </w:tcPr>
          <w:p>
            <w:pPr/>
          </w:p>
        </w:tc>
        <w:tc>
          <w:tcPr>
            <w:tcW w:w="866"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246,151,208.35</w:t>
            </w:r>
            <w:r>
              <w:rPr>
                <w:rFonts w:ascii="Times New Roman"/>
                <w:sz w:val="18"/>
              </w:rPr>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246,151,208.35</w:t>
            </w:r>
            <w:r>
              <w:rPr>
                <w:rFonts w:ascii="Times New Roman"/>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246,151,208.35</w:t>
            </w:r>
            <w:r>
              <w:rPr>
                <w:rFonts w:ascii="Times New Roman"/>
                <w:sz w:val="18"/>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866"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107,940,595.50</w:t>
            </w:r>
            <w:r>
              <w:rPr>
                <w:rFonts w:ascii="Times New Roman"/>
                <w:sz w:val="18"/>
              </w:rPr>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107,940,595.50</w:t>
            </w:r>
            <w:r>
              <w:rPr>
                <w:rFonts w:ascii="Times New Roman"/>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107,940,595.50</w:t>
            </w:r>
            <w:r>
              <w:rPr>
                <w:rFonts w:ascii="Times New Roman"/>
                <w:sz w:val="18"/>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866"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404,091,803.85</w:t>
            </w:r>
            <w:r>
              <w:rPr>
                <w:rFonts w:ascii="Times New Roman"/>
                <w:sz w:val="18"/>
              </w:rPr>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405,181,901.93</w:t>
            </w:r>
            <w:r>
              <w:rPr>
                <w:rFonts w:ascii="Times New Roman"/>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405,181,901.93</w:t>
            </w:r>
            <w:r>
              <w:rPr>
                <w:rFonts w:ascii="Times New Roman"/>
                <w:sz w:val="18"/>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86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8"/>
        <w:ind w:right="982"/>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9"/>
        <w:rPr>
          <w:rFonts w:ascii="Times New Roman" w:hAnsi="Times New Roman" w:cs="Times New Roman" w:eastAsia="Times New Roman"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1843"/>
        <w:gridCol w:w="1702"/>
        <w:gridCol w:w="1699"/>
        <w:gridCol w:w="1560"/>
        <w:gridCol w:w="852"/>
        <w:gridCol w:w="866"/>
      </w:tblGrid>
      <w:tr>
        <w:trPr>
          <w:trHeight w:val="346" w:hRule="exact"/>
        </w:trPr>
        <w:tc>
          <w:tcPr>
            <w:tcW w:w="1843" w:type="dxa"/>
            <w:vMerge w:val="restart"/>
            <w:tcBorders>
              <w:top w:val="single" w:sz="6" w:space="0" w:color="000000"/>
              <w:left w:val="single" w:sz="6" w:space="0" w:color="000000"/>
              <w:right w:val="single" w:sz="6"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6679"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8" w:hRule="exact"/>
        </w:trPr>
        <w:tc>
          <w:tcPr>
            <w:tcW w:w="1843" w:type="dxa"/>
            <w:vMerge/>
            <w:tcBorders>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8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1"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348"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30,200,000.00</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30,862,439.45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30,862,439.45</w:t>
            </w:r>
          </w:p>
        </w:tc>
        <w:tc>
          <w:tcPr>
            <w:tcW w:w="852" w:type="dxa"/>
            <w:tcBorders>
              <w:top w:val="single" w:sz="6" w:space="0" w:color="000000"/>
              <w:left w:val="single" w:sz="6" w:space="0" w:color="000000"/>
              <w:bottom w:val="single" w:sz="6" w:space="0" w:color="000000"/>
              <w:right w:val="single" w:sz="6" w:space="0" w:color="000000"/>
            </w:tcBorders>
          </w:tcPr>
          <w:p>
            <w:pPr/>
          </w:p>
        </w:tc>
        <w:tc>
          <w:tcPr>
            <w:tcW w:w="866"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198,905,946.18</w:t>
            </w:r>
            <w:r>
              <w:rPr>
                <w:rFonts w:ascii="Times New Roman"/>
                <w:sz w:val="18"/>
              </w:rPr>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198,905,946.18</w:t>
            </w:r>
            <w:r>
              <w:rPr>
                <w:rFonts w:ascii="Times New Roman"/>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198,905,946.18</w:t>
            </w:r>
            <w:r>
              <w:rPr>
                <w:rFonts w:ascii="Times New Roman"/>
                <w:sz w:val="18"/>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866"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86,210,754.93</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86,210,754.93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86,210,754.93</w:t>
            </w:r>
          </w:p>
        </w:tc>
        <w:tc>
          <w:tcPr>
            <w:tcW w:w="852" w:type="dxa"/>
            <w:tcBorders>
              <w:top w:val="single" w:sz="6" w:space="0" w:color="000000"/>
              <w:left w:val="single" w:sz="6" w:space="0" w:color="000000"/>
              <w:bottom w:val="single" w:sz="6" w:space="0" w:color="000000"/>
              <w:right w:val="single" w:sz="6" w:space="0" w:color="000000"/>
            </w:tcBorders>
          </w:tcPr>
          <w:p>
            <w:pPr/>
          </w:p>
        </w:tc>
        <w:tc>
          <w:tcPr>
            <w:tcW w:w="866"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315,316,701.11</w:t>
            </w:r>
            <w:r>
              <w:rPr>
                <w:rFonts w:ascii="Times New Roman"/>
                <w:sz w:val="18"/>
              </w:rPr>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315,979,140.56</w:t>
            </w:r>
            <w:r>
              <w:rPr>
                <w:rFonts w:ascii="Times New Roman"/>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315,979,140.56</w:t>
            </w:r>
            <w:r>
              <w:rPr>
                <w:rFonts w:ascii="Times New Roman"/>
                <w:sz w:val="18"/>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86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Times New Roman" w:hAnsi="Times New Roman" w:cs="Times New Roman" w:eastAsia="Times New Roman" w:hint="default"/>
          <w:sz w:val="5"/>
          <w:szCs w:val="5"/>
        </w:rPr>
      </w:pPr>
    </w:p>
    <w:p>
      <w:pPr>
        <w:pStyle w:val="BodyText"/>
        <w:spacing w:line="297" w:lineRule="auto"/>
        <w:ind w:left="572" w:right="982"/>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市场风险</w:t>
      </w:r>
      <w:r>
        <w:rPr>
          <w:w w:val="99"/>
        </w:rPr>
        <w:t> </w:t>
      </w:r>
      <w:r>
        <w:rPr/>
        <w:t>市场风险，是指金融工具的公允价值或未来现金流量因市场价格变动而发生波动的风险。市场风险主要包括利率风险</w:t>
      </w:r>
    </w:p>
    <w:p>
      <w:pPr>
        <w:pStyle w:val="BodyText"/>
        <w:spacing w:line="240" w:lineRule="auto" w:before="33"/>
        <w:ind w:right="982"/>
        <w:jc w:val="left"/>
      </w:pPr>
      <w:r>
        <w:rPr/>
        <w:t>和外汇风险。</w:t>
      </w:r>
    </w:p>
    <w:p>
      <w:pPr>
        <w:pStyle w:val="BodyText"/>
        <w:spacing w:line="300" w:lineRule="auto" w:before="76"/>
        <w:ind w:left="572" w:right="982"/>
        <w:jc w:val="left"/>
      </w:pPr>
      <w:r>
        <w:rPr>
          <w:rFonts w:ascii="Times New Roman" w:hAnsi="Times New Roman" w:cs="Times New Roman" w:eastAsia="Times New Roman" w:hint="default"/>
        </w:rPr>
        <w:t>1.</w:t>
      </w:r>
      <w:r>
        <w:rPr/>
        <w:t>利率风险 利率风险，是指金融工具的公允价值或未来现金流量因市场利率变动而发生波动的风险。本公司面临的市场利率变动</w:t>
      </w:r>
    </w:p>
    <w:p>
      <w:pPr>
        <w:pStyle w:val="BodyText"/>
        <w:spacing w:line="316" w:lineRule="auto" w:before="31"/>
        <w:ind w:left="512" w:right="982" w:hanging="360"/>
        <w:jc w:val="left"/>
        <w:rPr>
          <w:rFonts w:ascii="Times New Roman" w:hAnsi="Times New Roman" w:cs="Times New Roman" w:eastAsia="Times New Roman" w:hint="default"/>
        </w:rPr>
      </w:pPr>
      <w:r>
        <w:rPr/>
        <w:t>的风险主要与本公司以浮动利率计息的借款有关。 </w:t>
      </w:r>
      <w:r>
        <w:rPr>
          <w:spacing w:val="-1"/>
        </w:rPr>
        <w:t>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日，本公司以浮动利率计息的银行借款人民币</w:t>
      </w:r>
      <w:r>
        <w:rPr>
          <w:rFonts w:ascii="Times New Roman" w:hAnsi="Times New Roman" w:cs="Times New Roman" w:eastAsia="Times New Roman" w:hint="default"/>
          <w:spacing w:val="-1"/>
        </w:rPr>
        <w:t>20,000,000.00</w:t>
      </w:r>
      <w:r>
        <w:rPr>
          <w:spacing w:val="-1"/>
        </w:rPr>
        <w:t>元</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日：人民币</w:t>
      </w:r>
      <w:r>
        <w:rPr>
          <w:rFonts w:ascii="Times New Roman" w:hAnsi="Times New Roman" w:cs="Times New Roman" w:eastAsia="Times New Roman" w:hint="default"/>
          <w:spacing w:val="-1"/>
        </w:rPr>
        <w:t>30,200,000.00</w:t>
      </w:r>
      <w:r>
        <w:rPr>
          <w:rFonts w:ascii="Times New Roman" w:hAnsi="Times New Roman" w:cs="Times New Roman" w:eastAsia="Times New Roman" w:hint="default"/>
        </w:rPr>
      </w:r>
    </w:p>
    <w:p>
      <w:pPr>
        <w:pStyle w:val="BodyText"/>
        <w:spacing w:line="248" w:lineRule="exact" w:before="0"/>
        <w:ind w:right="982"/>
        <w:jc w:val="left"/>
      </w:pPr>
      <w:r>
        <w:rPr/>
        <w:t>元</w:t>
      </w:r>
      <w:r>
        <w:rPr>
          <w:rFonts w:ascii="Times New Roman" w:hAnsi="Times New Roman" w:cs="Times New Roman" w:eastAsia="Times New Roman" w:hint="default"/>
        </w:rPr>
        <w:t>)</w:t>
      </w:r>
      <w:r>
        <w:rPr/>
        <w:t>，在其他变量不变的假设下，假定利率变动</w:t>
      </w:r>
      <w:r>
        <w:rPr>
          <w:rFonts w:ascii="Times New Roman" w:hAnsi="Times New Roman" w:cs="Times New Roman" w:eastAsia="Times New Roman" w:hint="default"/>
        </w:rPr>
        <w:t>50</w:t>
      </w:r>
      <w:r>
        <w:rPr/>
        <w:t>个基准点，不会对本公司的利润总额和股东权益产生重大的影响。</w:t>
      </w:r>
    </w:p>
    <w:p>
      <w:pPr>
        <w:pStyle w:val="BodyText"/>
        <w:spacing w:line="309" w:lineRule="auto" w:before="62"/>
        <w:ind w:right="982" w:firstLine="360"/>
        <w:jc w:val="left"/>
      </w:pPr>
      <w:r>
        <w:rPr>
          <w:rFonts w:ascii="Times New Roman" w:hAnsi="Times New Roman" w:cs="Times New Roman" w:eastAsia="Times New Roman" w:hint="default"/>
        </w:rPr>
        <w:t>2.</w:t>
      </w:r>
      <w:r>
        <w:rPr/>
        <w:t>外汇风险 </w:t>
      </w:r>
      <w:r>
        <w:rPr>
          <w:spacing w:val="-2"/>
        </w:rPr>
        <w:t>外汇风险，是指金融工具的公允价值或未来现金流量因外汇汇率变动而发生波动的风险。本公司于中国内地经营，且主要活</w:t>
      </w:r>
      <w:r>
        <w:rPr>
          <w:spacing w:val="-63"/>
        </w:rPr>
        <w:t> </w:t>
      </w:r>
      <w:r>
        <w:rPr>
          <w:spacing w:val="-63"/>
        </w:rPr>
      </w:r>
      <w:r>
        <w:rPr/>
        <w:t>动以人民币计价、结算。因此，本公司所承担的外汇变动市场风险不重大。</w:t>
      </w:r>
    </w:p>
    <w:p>
      <w:pPr>
        <w:spacing w:after="0" w:line="309" w:lineRule="auto"/>
        <w:jc w:val="left"/>
        <w:sectPr>
          <w:pgSz w:w="11910" w:h="16840"/>
          <w:pgMar w:header="745" w:footer="982" w:top="1060" w:bottom="118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982"/>
        <w:jc w:val="left"/>
        <w:rPr>
          <w:b w:val="0"/>
          <w:bCs w:val="0"/>
        </w:rPr>
      </w:pPr>
      <w:bookmarkStart w:name="十一、公允价值的披露" w:id="425"/>
      <w:bookmarkEnd w:id="425"/>
      <w:r>
        <w:rPr>
          <w:b w:val="0"/>
          <w:bCs w:val="0"/>
        </w:rPr>
      </w: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2"/>
        <w:jc w:val="left"/>
        <w:rPr>
          <w:b w:val="0"/>
          <w:bCs w:val="0"/>
        </w:rPr>
      </w:pPr>
      <w:bookmarkStart w:name="1、以公允价值计量的资产和负债的期末公允价值" w:id="426"/>
      <w:bookmarkEnd w:id="426"/>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3"/>
        <w:gridCol w:w="1836"/>
        <w:gridCol w:w="1913"/>
        <w:gridCol w:w="1913"/>
        <w:gridCol w:w="1915"/>
      </w:tblGrid>
      <w:tr>
        <w:trPr>
          <w:trHeight w:val="401" w:hRule="exact"/>
        </w:trPr>
        <w:tc>
          <w:tcPr>
            <w:tcW w:w="199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7"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5" w:hRule="exact"/>
        </w:trPr>
        <w:tc>
          <w:tcPr>
            <w:tcW w:w="1993" w:type="dxa"/>
            <w:vMerge/>
            <w:tcBorders>
              <w:left w:val="single" w:sz="4" w:space="0" w:color="000000"/>
              <w:bottom w:val="single" w:sz="4" w:space="0" w:color="000000"/>
              <w:right w:val="single" w:sz="4" w:space="0" w:color="000000"/>
            </w:tcBorders>
            <w:shd w:val="clear" w:color="auto" w:fill="D4D4D4"/>
          </w:tcPr>
          <w:p>
            <w:pPr/>
          </w:p>
        </w:tc>
        <w:tc>
          <w:tcPr>
            <w:tcW w:w="1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823" w:right="101"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9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23"/>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bookmarkStart w:name="2、持续和非持续第一层次公允价值计量项目市价的确定依据" w:id="427"/>
      <w:bookmarkEnd w:id="427"/>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bookmarkStart w:name="3、持续和非持续第二层次公允价值计量项目，采用的估值技术和重要参数的定性及定量信" w:id="428"/>
      <w:bookmarkEnd w:id="428"/>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bookmarkStart w:name="4、持续和非持续第三层次公允价值计量项目，采用的估值技术和重要参数的定性及定量信" w:id="429"/>
      <w:bookmarkEnd w:id="429"/>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bookmarkStart w:name="5、持续的第三层次公允价值计量项目，期初与期末账面价值间的调节信息及不可观察参数" w:id="430"/>
      <w:bookmarkEnd w:id="430"/>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bookmarkStart w:name="6、持续的公允价值计量项目，本期内发生各层级之间转换的，转换的原因及确定转换时点" w:id="431"/>
      <w:bookmarkEnd w:id="431"/>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bookmarkStart w:name="7、本期内发生的估值技术变更及变更原因" w:id="432"/>
      <w:bookmarkEnd w:id="432"/>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bookmarkStart w:name="8、不以公允价值计量的金融资产和金融负债的公允价值情况" w:id="433"/>
      <w:bookmarkEnd w:id="433"/>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8104" w:firstLine="0"/>
        <w:jc w:val="left"/>
        <w:rPr>
          <w:rFonts w:ascii="宋体" w:hAnsi="宋体" w:cs="宋体" w:eastAsia="宋体" w:hint="default"/>
          <w:sz w:val="21"/>
          <w:szCs w:val="21"/>
        </w:rPr>
      </w:pPr>
      <w:bookmarkStart w:name="9、其他" w:id="434"/>
      <w:bookmarkEnd w:id="434"/>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二、关联方及关联交易" w:id="435"/>
      <w:bookmarkEnd w:id="435"/>
      <w:r>
        <w:rPr>
          <w:rFonts w:ascii="宋体" w:hAnsi="宋体" w:cs="宋体" w:eastAsia="宋体" w:hint="default"/>
          <w:b/>
          <w:bCs/>
          <w:w w:val="100"/>
          <w:sz w:val="21"/>
          <w:szCs w:val="21"/>
        </w:rPr>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bookmarkStart w:name="1、本企业的母公司情况" w:id="436"/>
      <w:bookmarkEnd w:id="43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3"/>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31"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10"/>
                <w:sz w:val="18"/>
                <w:szCs w:val="18"/>
              </w:rPr>
              <w:t>侯友夫、蔡敏、寿招</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爱</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27.81%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27.81%</w:t>
            </w:r>
          </w:p>
        </w:tc>
      </w:tr>
    </w:tbl>
    <w:p>
      <w:pPr>
        <w:pStyle w:val="BodyText"/>
        <w:spacing w:line="360" w:lineRule="auto" w:before="49"/>
        <w:ind w:right="6794"/>
        <w:jc w:val="left"/>
      </w:pPr>
      <w:r>
        <w:rPr/>
        <w:t>本企业的母公司情况的说明 侯友夫与蔡敏为夫妻关系，寿招爱为侯友夫的母亲</w:t>
      </w:r>
    </w:p>
    <w:p>
      <w:pPr>
        <w:spacing w:line="240" w:lineRule="auto" w:before="12"/>
        <w:rPr>
          <w:rFonts w:ascii="宋体" w:hAnsi="宋体" w:cs="宋体" w:eastAsia="宋体" w:hint="default"/>
          <w:sz w:val="25"/>
          <w:szCs w:val="25"/>
        </w:rPr>
      </w:pPr>
    </w:p>
    <w:p>
      <w:pPr>
        <w:pStyle w:val="BodyText"/>
        <w:spacing w:line="357" w:lineRule="auto" w:before="0"/>
        <w:ind w:right="7154"/>
        <w:jc w:val="left"/>
      </w:pPr>
      <w:r>
        <w:rPr/>
        <w:t>本企业最终控制方是侯友夫、蔡敏、寿招爱。 其他说明：</w:t>
      </w:r>
    </w:p>
    <w:p>
      <w:pPr>
        <w:spacing w:after="0" w:line="357" w:lineRule="auto"/>
        <w:jc w:val="left"/>
        <w:sectPr>
          <w:pgSz w:w="11910" w:h="16840"/>
          <w:pgMar w:header="745"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bookmarkStart w:name="2、本企业的子公司情况" w:id="437"/>
      <w:bookmarkEnd w:id="437"/>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2"/>
        <w:jc w:val="left"/>
      </w:pPr>
      <w:r>
        <w:rPr/>
        <w:t>本企业子公司的情况详见附注第十一节九、在其他主体中的权益之说明。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bookmarkStart w:name="3、本企业合营和联营企业情况" w:id="438"/>
      <w:bookmarkEnd w:id="438"/>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before="0"/>
        <w:ind w:right="2294"/>
        <w:jc w:val="left"/>
      </w:pPr>
      <w:r>
        <w:rPr/>
        <w:t>本企业重要的合营或联营企业详见附注第十一节九、在其他主体中的权益之说明。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2"/>
        <w:gridCol w:w="4774"/>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575"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67"/>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bookmarkStart w:name="4、其他关联方情况" w:id="439"/>
      <w:bookmarkEnd w:id="439"/>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济南天辰机器集团有限公司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公司股东持股比例为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1.93%</w:t>
            </w:r>
            <w:r>
              <w:rPr>
                <w:rFonts w:ascii="宋体" w:hAnsi="宋体" w:cs="宋体" w:eastAsia="宋体" w:hint="default"/>
                <w:sz w:val="18"/>
                <w:szCs w:val="18"/>
              </w:rPr>
              <w:t>，侯秀峰控制的公司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侯秀峰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张敦玉</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公司董事侯秀峰之配偶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侯玉鹏</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公司副总经理</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宋骁彦</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公司副总经理侯玉鹏之配偶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林伟通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公司股东持股比例为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童敏</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公司股东持股比例为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姚昕</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股东童敏之子</w:t>
            </w:r>
          </w:p>
        </w:tc>
      </w:tr>
      <w:tr>
        <w:trPr>
          <w:trHeight w:val="71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徐州苏兴金属材料有限公司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公司实际控制人之一蔡敏的堂兄之女蔡秀芳配偶的父母控制 的企业，视作关联方</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bookmarkStart w:name="5、关联交易情况" w:id="440"/>
      <w:bookmarkEnd w:id="440"/>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bookmarkStart w:name="（1）购销商品、提供和接受劳务的关联交易" w:id="441"/>
      <w:bookmarkEnd w:id="441"/>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982"/>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4"/>
        <w:gridCol w:w="1452"/>
        <w:gridCol w:w="1709"/>
        <w:gridCol w:w="1706"/>
        <w:gridCol w:w="1706"/>
      </w:tblGrid>
      <w:tr>
        <w:trPr>
          <w:trHeight w:val="401" w:hRule="exact"/>
        </w:trPr>
        <w:tc>
          <w:tcPr>
            <w:tcW w:w="15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徐州苏兴金属材料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钢材</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5,403,638.21</w:t>
            </w:r>
            <w:r>
              <w:rPr>
                <w:rFonts w:ascii="Times New Roman"/>
                <w:sz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8,000,000.00</w:t>
            </w:r>
            <w:r>
              <w:rPr>
                <w:rFonts w:ascii="Times New Roman"/>
                <w:sz w:val="18"/>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2,701,657.72</w:t>
            </w:r>
            <w:r>
              <w:rPr>
                <w:rFonts w:ascii="Times New Roman"/>
                <w:sz w:val="18"/>
              </w:rPr>
            </w:r>
          </w:p>
        </w:tc>
      </w:tr>
      <w:tr>
        <w:trPr>
          <w:trHeight w:val="40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54"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5,403,638.21</w:t>
            </w:r>
            <w:r>
              <w:rPr>
                <w:rFonts w:ascii="Times New Roman"/>
                <w:sz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w:t>
            </w:r>
            <w:r>
              <w:rPr>
                <w:rFonts w:ascii="Times New Roman"/>
                <w:sz w:val="18"/>
              </w:rPr>
            </w:r>
          </w:p>
        </w:tc>
        <w:tc>
          <w:tcPr>
            <w:tcW w:w="170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2,701,657.72</w:t>
            </w:r>
            <w:r>
              <w:rPr>
                <w:rFonts w:ascii="Times New Roman"/>
                <w:sz w:val="18"/>
              </w:rPr>
            </w:r>
          </w:p>
        </w:tc>
      </w:tr>
    </w:tbl>
    <w:p>
      <w:pPr>
        <w:pStyle w:val="BodyText"/>
        <w:spacing w:line="240" w:lineRule="auto" w:before="49"/>
        <w:ind w:right="982"/>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6"/>
        <w:gridCol w:w="2258"/>
        <w:gridCol w:w="2258"/>
        <w:gridCol w:w="2642"/>
      </w:tblGrid>
      <w:tr>
        <w:trPr>
          <w:trHeight w:val="403" w:hRule="exact"/>
        </w:trPr>
        <w:tc>
          <w:tcPr>
            <w:tcW w:w="23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ind w:right="982"/>
        <w:jc w:val="left"/>
      </w:pPr>
      <w:r>
        <w:rPr/>
        <w:t>购销商品、提供和接受劳务的关联交易说明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bookmarkStart w:name="（2）关联租赁情况" w:id="442"/>
      <w:bookmarkEnd w:id="442"/>
      <w:r>
        <w:rPr>
          <w:b w:val="0"/>
          <w:bCs w:val="0"/>
        </w:rPr>
      </w:r>
      <w:r>
        <w:rPr/>
        <w:t>（</w:t>
      </w:r>
      <w:r>
        <w:rPr>
          <w:rFonts w:ascii="Times New Roman" w:hAnsi="Times New Roman" w:cs="Times New Roman" w:eastAsia="Times New Roman" w:hint="default"/>
        </w:rPr>
        <w:t>2</w:t>
      </w:r>
      <w:r>
        <w:rPr/>
        <w:t>）关联租赁情况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982"/>
        <w:jc w:val="left"/>
      </w:pPr>
      <w:r>
        <w:rPr/>
        <w:t>本公司作为出租方：</w:t>
      </w:r>
    </w:p>
    <w:p>
      <w:pPr>
        <w:pStyle w:val="BodyText"/>
        <w:spacing w:line="240" w:lineRule="auto" w:before="115"/>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5"/>
        <w:gridCol w:w="2393"/>
        <w:gridCol w:w="2393"/>
      </w:tblGrid>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0"/>
        <w:ind w:right="982"/>
        <w:jc w:val="left"/>
      </w:pPr>
      <w:r>
        <w:rPr/>
        <w:t>本公司作为承租方：</w:t>
      </w:r>
    </w:p>
    <w:p>
      <w:pPr>
        <w:pStyle w:val="BodyText"/>
        <w:spacing w:line="240" w:lineRule="auto" w:before="115"/>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0"/>
        <w:gridCol w:w="2393"/>
        <w:gridCol w:w="2393"/>
        <w:gridCol w:w="2393"/>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侯友夫</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710,822.88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639,525.17</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林伟通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756,399.96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644,550.34</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姚昕</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954,612.00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888,868.83</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济南天辰机器集团有限公司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3,699.33</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2,421,834.84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2,176,643.67</w:t>
            </w:r>
            <w:r>
              <w:rPr>
                <w:rFonts w:ascii="Times New Roman"/>
                <w:sz w:val="18"/>
              </w:rPr>
            </w:r>
          </w:p>
        </w:tc>
      </w:tr>
    </w:tbl>
    <w:p>
      <w:pPr>
        <w:pStyle w:val="BodyText"/>
        <w:spacing w:line="240" w:lineRule="auto" w:before="49"/>
        <w:ind w:right="982"/>
        <w:jc w:val="left"/>
      </w:pPr>
      <w:r>
        <w:rPr/>
        <w:t>关联租赁情况说明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bookmarkStart w:name="（3）关联担保情况" w:id="443"/>
      <w:bookmarkEnd w:id="443"/>
      <w:r>
        <w:rPr>
          <w:b w:val="0"/>
          <w:bCs w:val="0"/>
        </w:rPr>
      </w:r>
      <w:r>
        <w:rPr/>
        <w:t>（</w:t>
      </w:r>
      <w:r>
        <w:rPr>
          <w:rFonts w:ascii="Times New Roman" w:hAnsi="Times New Roman" w:cs="Times New Roman" w:eastAsia="Times New Roman" w:hint="default"/>
        </w:rPr>
        <w:t>3</w:t>
      </w:r>
      <w:r>
        <w:rPr/>
        <w:t>）关联担保情况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982"/>
        <w:jc w:val="left"/>
      </w:pPr>
      <w:r>
        <w:rPr/>
        <w:t>本公司作为担保方</w:t>
      </w:r>
    </w:p>
    <w:p>
      <w:pPr>
        <w:pStyle w:val="BodyText"/>
        <w:spacing w:line="240" w:lineRule="auto" w:before="11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49"/>
        <w:ind w:right="982"/>
        <w:jc w:val="left"/>
      </w:pPr>
      <w:r>
        <w:rPr/>
        <w:t>本公司作为被担保方</w:t>
      </w:r>
    </w:p>
    <w:p>
      <w:pPr>
        <w:pStyle w:val="BodyText"/>
        <w:spacing w:line="240" w:lineRule="auto" w:before="115"/>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济南天辰机器集团有限 公司、侯秀峰、张敦玉</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220,329.60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本公司、侯玉鹏</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16,500,000.00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侯玉鹏、宋骁彦</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本公司、侯玉鹏</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11,131,625.96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37,851,955.56</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8414"/>
        <w:jc w:val="left"/>
      </w:pPr>
      <w:r>
        <w:rPr/>
        <w:t>关联担保情况说明 被担保方均为子公司天辰智能</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6"/>
          <w:szCs w:val="26"/>
        </w:rPr>
      </w:pPr>
    </w:p>
    <w:p>
      <w:pPr>
        <w:pStyle w:val="Heading3"/>
        <w:spacing w:line="240" w:lineRule="auto"/>
        <w:ind w:right="982"/>
        <w:jc w:val="left"/>
        <w:rPr>
          <w:b w:val="0"/>
          <w:bCs w:val="0"/>
        </w:rPr>
      </w:pPr>
      <w:bookmarkStart w:name="（4）关联方资金拆借" w:id="444"/>
      <w:bookmarkEnd w:id="444"/>
      <w:r>
        <w:rPr>
          <w:b w:val="0"/>
          <w:bCs w:val="0"/>
        </w:rPr>
      </w:r>
      <w:r>
        <w:rPr/>
        <w:t>（</w:t>
      </w:r>
      <w:r>
        <w:rPr>
          <w:rFonts w:ascii="Times New Roman" w:hAnsi="Times New Roman" w:cs="Times New Roman" w:eastAsia="Times New Roman" w:hint="default"/>
        </w:rPr>
        <w:t>4</w:t>
      </w:r>
      <w:r>
        <w:rPr/>
        <w:t>）关联方资金拆借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after="0" w:line="240" w:lineRule="auto"/>
        <w:jc w:val="right"/>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1"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济南天辰机器集团有限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73,000,000.00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4.35%</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bookmarkStart w:name="（5）关联方资产转让、债务重组情况" w:id="445"/>
      <w:bookmarkEnd w:id="445"/>
      <w:r>
        <w:rPr>
          <w:b w:val="0"/>
          <w:bCs w:val="0"/>
        </w:rPr>
      </w:r>
      <w:r>
        <w:rPr/>
        <w:t>（</w:t>
      </w:r>
      <w:r>
        <w:rPr>
          <w:rFonts w:ascii="Times New Roman" w:hAnsi="Times New Roman" w:cs="Times New Roman" w:eastAsia="Times New Roman" w:hint="default"/>
        </w:rPr>
        <w:t>5</w:t>
      </w:r>
      <w:r>
        <w:rPr/>
        <w:t>）关联方资产转让、债务重组情况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3"/>
        <w:gridCol w:w="2393"/>
        <w:gridCol w:w="2393"/>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65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bookmarkStart w:name="（6）关键管理人员报酬" w:id="446"/>
      <w:bookmarkEnd w:id="446"/>
      <w:r>
        <w:rPr>
          <w:b w:val="0"/>
          <w:bCs w:val="0"/>
        </w:rPr>
      </w:r>
      <w:r>
        <w:rPr/>
        <w:t>（</w:t>
      </w:r>
      <w:r>
        <w:rPr>
          <w:rFonts w:ascii="Times New Roman" w:hAnsi="Times New Roman" w:cs="Times New Roman" w:eastAsia="Times New Roman" w:hint="default"/>
        </w:rPr>
        <w:t>6</w:t>
      </w:r>
      <w:r>
        <w:rPr/>
        <w:t>）关键管理人员报酬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2,094,100.00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2,264,200.00</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bookmarkStart w:name="（7）其他关联交易" w:id="447"/>
      <w:bookmarkEnd w:id="447"/>
      <w:r>
        <w:rPr>
          <w:b w:val="0"/>
          <w:bCs w:val="0"/>
        </w:rPr>
      </w:r>
      <w:r>
        <w:rPr/>
        <w:t>（</w:t>
      </w:r>
      <w:r>
        <w:rPr>
          <w:rFonts w:ascii="Times New Roman" w:hAnsi="Times New Roman" w:cs="Times New Roman" w:eastAsia="Times New Roman" w:hint="default"/>
        </w:rPr>
        <w:t>7</w:t>
      </w:r>
      <w:r>
        <w:rPr/>
        <w:t>）其他关联交易</w:t>
      </w:r>
      <w:r>
        <w:rPr>
          <w:b w:val="0"/>
          <w:bCs w:val="0"/>
        </w:rPr>
      </w:r>
    </w:p>
    <w:p>
      <w:pPr>
        <w:spacing w:line="240" w:lineRule="auto" w:before="4"/>
        <w:rPr>
          <w:rFonts w:ascii="宋体" w:hAnsi="宋体" w:cs="宋体" w:eastAsia="宋体" w:hint="default"/>
          <w:b/>
          <w:bCs/>
          <w:sz w:val="26"/>
          <w:szCs w:val="26"/>
        </w:rPr>
      </w:pPr>
    </w:p>
    <w:p>
      <w:pPr>
        <w:pStyle w:val="BodyText"/>
        <w:spacing w:line="300" w:lineRule="auto" w:before="0"/>
        <w:ind w:right="982" w:firstLine="419"/>
        <w:jc w:val="left"/>
      </w:pPr>
      <w:r>
        <w:rPr>
          <w:spacing w:val="-1"/>
        </w:rPr>
        <w:t>如本财务报表第十一节十六（</w:t>
      </w:r>
      <w:r>
        <w:rPr>
          <w:rFonts w:ascii="Times New Roman" w:hAnsi="Times New Roman" w:cs="Times New Roman" w:eastAsia="Times New Roman" w:hint="default"/>
          <w:spacing w:val="-1"/>
        </w:rPr>
        <w:t>7)2</w:t>
      </w:r>
      <w:r>
        <w:rPr>
          <w:spacing w:val="-1"/>
        </w:rPr>
        <w:t>所述，公司实际控制人之一侯友夫为公司员工持股计划之集合资金信托计划优先级份</w:t>
      </w:r>
      <w:r>
        <w:rPr/>
        <w:t> 额的权益实现承担差额补偿责任。</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1"/>
        <w:ind w:right="982"/>
        <w:jc w:val="left"/>
        <w:rPr>
          <w:b w:val="0"/>
          <w:bCs w:val="0"/>
        </w:rPr>
      </w:pPr>
      <w:bookmarkStart w:name="6、关联方应收应付款项" w:id="448"/>
      <w:bookmarkEnd w:id="448"/>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bookmarkStart w:name="（1）应收项目" w:id="449"/>
      <w:bookmarkEnd w:id="449"/>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83"/>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5" w:type="dxa"/>
            <w:vMerge/>
            <w:tcBorders>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bookmarkStart w:name="（2）应付项目" w:id="450"/>
      <w:bookmarkEnd w:id="450"/>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0"/>
        <w:gridCol w:w="2393"/>
        <w:gridCol w:w="2393"/>
        <w:gridCol w:w="2393"/>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徐州苏兴金属材料有限公司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913,601.21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2,217,191.00</w:t>
            </w:r>
            <w:r>
              <w:rPr>
                <w:rFonts w:ascii="Times New Roman"/>
                <w:sz w:val="18"/>
              </w:rPr>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913,601.21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2,217,191.00</w:t>
            </w:r>
            <w:r>
              <w:rPr>
                <w:rFonts w:ascii="Times New Roman"/>
                <w:sz w:val="18"/>
              </w:rPr>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济南天辰机器集团有限公司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73,578,891.13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22,195.95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0"/>
        <w:gridCol w:w="2393"/>
        <w:gridCol w:w="2393"/>
        <w:gridCol w:w="2393"/>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4" w:right="0"/>
              <w:jc w:val="left"/>
              <w:rPr>
                <w:rFonts w:ascii="Times New Roman" w:hAnsi="Times New Roman" w:cs="Times New Roman" w:eastAsia="Times New Roman" w:hint="default"/>
                <w:sz w:val="18"/>
                <w:szCs w:val="18"/>
              </w:rPr>
            </w:pPr>
            <w:r>
              <w:rPr>
                <w:rFonts w:ascii="Times New Roman"/>
                <w:sz w:val="18"/>
              </w:rPr>
              <w:t>73,578,891.13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22,195.95</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bookmarkStart w:name="7、关联方承诺" w:id="451"/>
      <w:bookmarkEnd w:id="451"/>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4"/>
          <w:szCs w:val="24"/>
        </w:rPr>
      </w:pPr>
    </w:p>
    <w:p>
      <w:pPr>
        <w:spacing w:line="487" w:lineRule="auto" w:before="0"/>
        <w:ind w:left="152" w:right="8752" w:firstLine="0"/>
        <w:jc w:val="left"/>
        <w:rPr>
          <w:rFonts w:ascii="宋体" w:hAnsi="宋体" w:cs="宋体" w:eastAsia="宋体" w:hint="default"/>
          <w:sz w:val="21"/>
          <w:szCs w:val="21"/>
        </w:rPr>
      </w:pPr>
      <w:bookmarkStart w:name="8、其他" w:id="452"/>
      <w:bookmarkEnd w:id="452"/>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三、股份支付" w:id="453"/>
      <w:bookmarkEnd w:id="453"/>
      <w:r>
        <w:rPr>
          <w:rFonts w:ascii="宋体" w:hAnsi="宋体" w:cs="宋体" w:eastAsia="宋体" w:hint="default"/>
          <w:b/>
          <w:bCs/>
          <w:w w:val="100"/>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54"/>
      <w:bookmarkEnd w:id="45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5"/>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82"/>
        <w:jc w:val="left"/>
        <w:rPr>
          <w:b w:val="0"/>
          <w:bCs w:val="0"/>
        </w:rPr>
      </w:pPr>
      <w:bookmarkStart w:name="2、以权益结算的股份支付情况" w:id="455"/>
      <w:bookmarkEnd w:id="455"/>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bookmarkStart w:name="3、以现金结算的股份支付情况" w:id="456"/>
      <w:bookmarkEnd w:id="456"/>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bookmarkStart w:name="4、股份支付的修改、终止情况" w:id="457"/>
      <w:bookmarkEnd w:id="457"/>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7"/>
        <w:rPr>
          <w:rFonts w:ascii="宋体" w:hAnsi="宋体" w:cs="宋体" w:eastAsia="宋体" w:hint="default"/>
          <w:b/>
          <w:bCs/>
          <w:sz w:val="24"/>
          <w:szCs w:val="24"/>
        </w:rPr>
      </w:pPr>
    </w:p>
    <w:p>
      <w:pPr>
        <w:spacing w:line="487" w:lineRule="auto" w:before="0"/>
        <w:ind w:left="152" w:right="8345" w:firstLine="0"/>
        <w:jc w:val="left"/>
        <w:rPr>
          <w:rFonts w:ascii="宋体" w:hAnsi="宋体" w:cs="宋体" w:eastAsia="宋体" w:hint="default"/>
          <w:sz w:val="21"/>
          <w:szCs w:val="21"/>
        </w:rPr>
      </w:pPr>
      <w:bookmarkStart w:name="5、其他" w:id="458"/>
      <w:bookmarkEnd w:id="45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四、承诺及或有事项" w:id="459"/>
      <w:bookmarkEnd w:id="459"/>
      <w:r>
        <w:rPr>
          <w:rFonts w:ascii="宋体" w:hAnsi="宋体" w:cs="宋体" w:eastAsia="宋体" w:hint="default"/>
          <w:b/>
          <w:bCs/>
          <w:w w:val="100"/>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60"/>
      <w:bookmarkEnd w:id="460"/>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2"/>
        <w:ind w:right="982"/>
        <w:jc w:val="left"/>
      </w:pPr>
      <w:r>
        <w:rPr/>
        <w:t>资产负债表日存在的重要承诺</w:t>
      </w:r>
    </w:p>
    <w:p>
      <w:pPr>
        <w:pStyle w:val="BodyText"/>
        <w:spacing w:line="240" w:lineRule="auto" w:before="117"/>
        <w:ind w:left="133" w:right="8563"/>
        <w:jc w:val="center"/>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借款和票据抵押</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1270"/>
        <w:gridCol w:w="1418"/>
        <w:gridCol w:w="1135"/>
        <w:gridCol w:w="1416"/>
        <w:gridCol w:w="1282"/>
        <w:gridCol w:w="1418"/>
        <w:gridCol w:w="1133"/>
      </w:tblGrid>
      <w:tr>
        <w:trPr>
          <w:trHeight w:val="346" w:hRule="exact"/>
        </w:trPr>
        <w:tc>
          <w:tcPr>
            <w:tcW w:w="1270" w:type="dxa"/>
            <w:vMerge w:val="restart"/>
            <w:tcBorders>
              <w:top w:val="single" w:sz="6" w:space="0" w:color="000000"/>
              <w:left w:val="single" w:sz="6" w:space="0" w:color="000000"/>
              <w:right w:val="single" w:sz="6" w:space="0" w:color="000000"/>
            </w:tcBorders>
          </w:tcPr>
          <w:p>
            <w:pPr>
              <w:pStyle w:val="TableParagraph"/>
              <w:spacing w:line="240" w:lineRule="auto" w:before="18"/>
              <w:ind w:left="268"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before="18"/>
              <w:ind w:left="343" w:right="0"/>
              <w:jc w:val="left"/>
              <w:rPr>
                <w:rFonts w:ascii="宋体" w:hAnsi="宋体" w:cs="宋体" w:eastAsia="宋体" w:hint="default"/>
                <w:sz w:val="18"/>
                <w:szCs w:val="18"/>
              </w:rPr>
            </w:pPr>
            <w:r>
              <w:rPr>
                <w:rFonts w:ascii="宋体" w:hAnsi="宋体" w:cs="宋体" w:eastAsia="宋体" w:hint="default"/>
                <w:sz w:val="18"/>
                <w:szCs w:val="18"/>
              </w:rPr>
              <w:t>抵押权人</w:t>
            </w:r>
          </w:p>
        </w:tc>
        <w:tc>
          <w:tcPr>
            <w:tcW w:w="1135" w:type="dxa"/>
            <w:vMerge w:val="restart"/>
            <w:tcBorders>
              <w:top w:val="single" w:sz="6" w:space="0" w:color="000000"/>
              <w:left w:val="single" w:sz="6" w:space="0" w:color="000000"/>
              <w:right w:val="single" w:sz="6" w:space="0" w:color="000000"/>
            </w:tcBorders>
          </w:tcPr>
          <w:p>
            <w:pPr>
              <w:pStyle w:val="TableParagraph"/>
              <w:spacing w:line="240" w:lineRule="auto" w:before="18"/>
              <w:ind w:left="290" w:right="0"/>
              <w:jc w:val="left"/>
              <w:rPr>
                <w:rFonts w:ascii="宋体" w:hAnsi="宋体" w:cs="宋体" w:eastAsia="宋体" w:hint="default"/>
                <w:sz w:val="18"/>
                <w:szCs w:val="18"/>
              </w:rPr>
            </w:pPr>
            <w:r>
              <w:rPr>
                <w:rFonts w:ascii="宋体" w:hAnsi="宋体" w:cs="宋体" w:eastAsia="宋体" w:hint="default"/>
                <w:sz w:val="18"/>
                <w:szCs w:val="18"/>
              </w:rPr>
              <w:t>抵押物</w:t>
            </w:r>
          </w:p>
        </w:tc>
        <w:tc>
          <w:tcPr>
            <w:tcW w:w="1416" w:type="dxa"/>
            <w:vMerge w:val="restart"/>
            <w:tcBorders>
              <w:top w:val="single" w:sz="6" w:space="0" w:color="000000"/>
              <w:left w:val="single" w:sz="6" w:space="0" w:color="000000"/>
              <w:right w:val="single" w:sz="6" w:space="0" w:color="000000"/>
            </w:tcBorders>
          </w:tcPr>
          <w:p>
            <w:pPr>
              <w:pStyle w:val="TableParagraph"/>
              <w:spacing w:line="316" w:lineRule="auto" w:before="18"/>
              <w:ind w:left="341" w:right="338" w:firstLine="88"/>
              <w:jc w:val="left"/>
              <w:rPr>
                <w:rFonts w:ascii="宋体" w:hAnsi="宋体" w:cs="宋体" w:eastAsia="宋体" w:hint="default"/>
                <w:sz w:val="18"/>
                <w:szCs w:val="18"/>
              </w:rPr>
            </w:pPr>
            <w:r>
              <w:rPr>
                <w:rFonts w:ascii="宋体" w:hAnsi="宋体" w:cs="宋体" w:eastAsia="宋体" w:hint="default"/>
                <w:sz w:val="18"/>
                <w:szCs w:val="18"/>
              </w:rPr>
              <w:t>抵押物 账面价值</w:t>
            </w:r>
          </w:p>
        </w:tc>
        <w:tc>
          <w:tcPr>
            <w:tcW w:w="383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010" w:right="0"/>
              <w:jc w:val="left"/>
              <w:rPr>
                <w:rFonts w:ascii="宋体" w:hAnsi="宋体" w:cs="宋体" w:eastAsia="宋体" w:hint="default"/>
                <w:sz w:val="18"/>
                <w:szCs w:val="18"/>
              </w:rPr>
            </w:pPr>
            <w:r>
              <w:rPr>
                <w:rFonts w:ascii="宋体" w:hAnsi="宋体" w:cs="宋体" w:eastAsia="宋体" w:hint="default"/>
                <w:sz w:val="18"/>
                <w:szCs w:val="18"/>
              </w:rPr>
              <w:t>抵押合同项下融资情况</w:t>
            </w:r>
          </w:p>
        </w:tc>
      </w:tr>
      <w:tr>
        <w:trPr>
          <w:trHeight w:val="348" w:hRule="exact"/>
        </w:trPr>
        <w:tc>
          <w:tcPr>
            <w:tcW w:w="1270" w:type="dxa"/>
            <w:vMerge/>
            <w:tcBorders>
              <w:left w:val="single" w:sz="6"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1135" w:type="dxa"/>
            <w:vMerge/>
            <w:tcBorders>
              <w:left w:val="single" w:sz="6" w:space="0" w:color="000000"/>
              <w:bottom w:val="single" w:sz="6" w:space="0" w:color="000000"/>
              <w:right w:val="single" w:sz="6" w:space="0" w:color="000000"/>
            </w:tcBorders>
          </w:tcPr>
          <w:p>
            <w:pPr/>
          </w:p>
        </w:tc>
        <w:tc>
          <w:tcPr>
            <w:tcW w:w="1416" w:type="dxa"/>
            <w:vMerge/>
            <w:tcBorders>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43" w:right="0"/>
              <w:jc w:val="left"/>
              <w:rPr>
                <w:rFonts w:ascii="宋体" w:hAnsi="宋体" w:cs="宋体" w:eastAsia="宋体" w:hint="default"/>
                <w:sz w:val="18"/>
                <w:szCs w:val="18"/>
              </w:rPr>
            </w:pPr>
            <w:r>
              <w:rPr>
                <w:rFonts w:ascii="宋体" w:hAnsi="宋体" w:cs="宋体" w:eastAsia="宋体" w:hint="default"/>
                <w:sz w:val="18"/>
                <w:szCs w:val="18"/>
              </w:rPr>
              <w:t>融资金额</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10" w:right="0"/>
              <w:jc w:val="left"/>
              <w:rPr>
                <w:rFonts w:ascii="宋体" w:hAnsi="宋体" w:cs="宋体" w:eastAsia="宋体" w:hint="default"/>
                <w:sz w:val="18"/>
                <w:szCs w:val="18"/>
              </w:rPr>
            </w:pPr>
            <w:r>
              <w:rPr>
                <w:rFonts w:ascii="宋体" w:hAnsi="宋体" w:cs="宋体" w:eastAsia="宋体" w:hint="default"/>
                <w:sz w:val="18"/>
                <w:szCs w:val="18"/>
              </w:rPr>
              <w:t>最后到期日</w:t>
            </w:r>
          </w:p>
        </w:tc>
      </w:tr>
      <w:tr>
        <w:trPr>
          <w:trHeight w:val="658" w:hRule="exact"/>
        </w:trPr>
        <w:tc>
          <w:tcPr>
            <w:tcW w:w="1270" w:type="dxa"/>
            <w:vMerge w:val="restart"/>
            <w:tcBorders>
              <w:top w:val="single" w:sz="6" w:space="0" w:color="000000"/>
              <w:left w:val="single" w:sz="6" w:space="0" w:color="000000"/>
              <w:right w:val="single" w:sz="6" w:space="0" w:color="000000"/>
            </w:tcBorders>
          </w:tcPr>
          <w:p>
            <w:pPr>
              <w:pStyle w:val="TableParagraph"/>
              <w:spacing w:line="240" w:lineRule="auto" w:before="17"/>
              <w:ind w:left="180" w:right="0"/>
              <w:jc w:val="left"/>
              <w:rPr>
                <w:rFonts w:ascii="宋体" w:hAnsi="宋体" w:cs="宋体" w:eastAsia="宋体" w:hint="default"/>
                <w:sz w:val="18"/>
                <w:szCs w:val="18"/>
              </w:rPr>
            </w:pPr>
            <w:r>
              <w:rPr>
                <w:rFonts w:ascii="宋体" w:hAnsi="宋体" w:cs="宋体" w:eastAsia="宋体" w:hint="default"/>
                <w:sz w:val="18"/>
                <w:szCs w:val="18"/>
              </w:rPr>
              <w:t>天辰智能</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71" w:right="70"/>
              <w:jc w:val="left"/>
              <w:rPr>
                <w:rFonts w:ascii="宋体" w:hAnsi="宋体" w:cs="宋体" w:eastAsia="宋体" w:hint="default"/>
                <w:sz w:val="18"/>
                <w:szCs w:val="18"/>
              </w:rPr>
            </w:pPr>
            <w:r>
              <w:rPr>
                <w:rFonts w:ascii="宋体" w:hAnsi="宋体" w:cs="宋体" w:eastAsia="宋体" w:hint="default"/>
                <w:sz w:val="18"/>
                <w:szCs w:val="18"/>
              </w:rPr>
              <w:t>齐鲁银行股份有 限公司德州分行</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8,250,000.00</w:t>
            </w:r>
            <w:r>
              <w:rPr>
                <w:rFonts w:ascii="Times New Roman"/>
                <w:sz w:val="18"/>
              </w:rPr>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银行承兑汇票</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16,500,000.000</w:t>
            </w:r>
            <w:r>
              <w:rPr>
                <w:rFonts w:ascii="Times New Roman"/>
                <w:sz w:val="18"/>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2019/9/3</w:t>
            </w:r>
          </w:p>
        </w:tc>
      </w:tr>
      <w:tr>
        <w:trPr>
          <w:trHeight w:val="348" w:hRule="exact"/>
        </w:trPr>
        <w:tc>
          <w:tcPr>
            <w:tcW w:w="1270" w:type="dxa"/>
            <w:vMerge/>
            <w:tcBorders>
              <w:left w:val="single" w:sz="6" w:space="0" w:color="000000"/>
              <w:right w:val="single" w:sz="6" w:space="0" w:color="000000"/>
            </w:tcBorders>
          </w:tcPr>
          <w:p>
            <w:pPr/>
          </w:p>
        </w:tc>
        <w:tc>
          <w:tcPr>
            <w:tcW w:w="1418" w:type="dxa"/>
            <w:vMerge w:val="restart"/>
            <w:tcBorders>
              <w:top w:val="single" w:sz="6" w:space="0" w:color="000000"/>
              <w:left w:val="single" w:sz="6" w:space="0" w:color="000000"/>
              <w:right w:val="single" w:sz="6" w:space="0" w:color="000000"/>
            </w:tcBorders>
          </w:tcPr>
          <w:p>
            <w:pPr>
              <w:pStyle w:val="TableParagraph"/>
              <w:spacing w:line="316" w:lineRule="auto" w:before="20"/>
              <w:ind w:left="71" w:right="71"/>
              <w:jc w:val="left"/>
              <w:rPr>
                <w:rFonts w:ascii="宋体" w:hAnsi="宋体" w:cs="宋体" w:eastAsia="宋体" w:hint="default"/>
                <w:sz w:val="18"/>
                <w:szCs w:val="18"/>
              </w:rPr>
            </w:pPr>
            <w:r>
              <w:rPr>
                <w:rFonts w:ascii="宋体" w:hAnsi="宋体" w:cs="宋体" w:eastAsia="宋体" w:hint="default"/>
                <w:sz w:val="18"/>
                <w:szCs w:val="18"/>
              </w:rPr>
              <w:t>中国银行股份有 限公司禹城支行</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18,274,650.99</w:t>
            </w:r>
          </w:p>
        </w:tc>
        <w:tc>
          <w:tcPr>
            <w:tcW w:w="1282" w:type="dxa"/>
            <w:vMerge w:val="restart"/>
            <w:tcBorders>
              <w:top w:val="single" w:sz="6" w:space="0" w:color="000000"/>
              <w:left w:val="single" w:sz="6" w:space="0" w:color="000000"/>
              <w:right w:val="single" w:sz="6" w:space="0" w:color="000000"/>
            </w:tcBorders>
          </w:tcPr>
          <w:p>
            <w:pPr>
              <w:pStyle w:val="TableParagraph"/>
              <w:spacing w:line="240" w:lineRule="auto" w:before="20"/>
              <w:ind w:left="275"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before="62"/>
              <w:ind w:left="367" w:right="0"/>
              <w:jc w:val="left"/>
              <w:rPr>
                <w:rFonts w:ascii="Times New Roman" w:hAnsi="Times New Roman" w:cs="Times New Roman" w:eastAsia="Times New Roman" w:hint="default"/>
                <w:sz w:val="18"/>
                <w:szCs w:val="18"/>
              </w:rPr>
            </w:pPr>
            <w:r>
              <w:rPr>
                <w:rFonts w:ascii="Times New Roman"/>
                <w:sz w:val="18"/>
              </w:rPr>
              <w:t>10,000,000.00</w:t>
            </w:r>
          </w:p>
        </w:tc>
        <w:tc>
          <w:tcPr>
            <w:tcW w:w="1133" w:type="dxa"/>
            <w:vMerge w:val="restart"/>
            <w:tcBorders>
              <w:top w:val="single" w:sz="6" w:space="0" w:color="000000"/>
              <w:left w:val="single" w:sz="6" w:space="0" w:color="000000"/>
              <w:right w:val="single" w:sz="6" w:space="0" w:color="000000"/>
            </w:tcBorders>
          </w:tcPr>
          <w:p>
            <w:pPr>
              <w:pStyle w:val="TableParagraph"/>
              <w:spacing w:line="240" w:lineRule="auto" w:before="62"/>
              <w:ind w:left="388" w:right="-2"/>
              <w:jc w:val="left"/>
              <w:rPr>
                <w:rFonts w:ascii="Times New Roman" w:hAnsi="Times New Roman" w:cs="Times New Roman" w:eastAsia="Times New Roman" w:hint="default"/>
                <w:sz w:val="18"/>
                <w:szCs w:val="18"/>
              </w:rPr>
            </w:pPr>
            <w:r>
              <w:rPr>
                <w:rFonts w:ascii="Times New Roman"/>
                <w:sz w:val="18"/>
              </w:rPr>
              <w:t>2019/3/14</w:t>
            </w:r>
          </w:p>
        </w:tc>
      </w:tr>
      <w:tr>
        <w:trPr>
          <w:trHeight w:val="348" w:hRule="exact"/>
        </w:trPr>
        <w:tc>
          <w:tcPr>
            <w:tcW w:w="1270" w:type="dxa"/>
            <w:vMerge/>
            <w:tcBorders>
              <w:left w:val="single" w:sz="6"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8,526,226.52</w:t>
            </w:r>
            <w:r>
              <w:rPr>
                <w:rFonts w:ascii="Times New Roman"/>
                <w:sz w:val="18"/>
              </w:rPr>
            </w:r>
          </w:p>
        </w:tc>
        <w:tc>
          <w:tcPr>
            <w:tcW w:w="1282" w:type="dxa"/>
            <w:vMerge/>
            <w:tcBorders>
              <w:left w:val="single" w:sz="6"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1133" w:type="dxa"/>
            <w:vMerge/>
            <w:tcBorders>
              <w:left w:val="single" w:sz="6" w:space="0" w:color="000000"/>
              <w:bottom w:val="single" w:sz="6" w:space="0" w:color="000000"/>
              <w:right w:val="single" w:sz="6" w:space="0" w:color="000000"/>
            </w:tcBorders>
          </w:tcPr>
          <w:p>
            <w:pPr/>
          </w:p>
        </w:tc>
      </w:tr>
      <w:tr>
        <w:trPr>
          <w:trHeight w:val="346" w:hRule="exact"/>
        </w:trPr>
        <w:tc>
          <w:tcPr>
            <w:tcW w:w="1270" w:type="dxa"/>
            <w:vMerge w:val="restart"/>
            <w:tcBorders>
              <w:top w:val="single" w:sz="6" w:space="0" w:color="000000"/>
              <w:left w:val="single" w:sz="6" w:space="0" w:color="000000"/>
              <w:right w:val="single" w:sz="6" w:space="0" w:color="000000"/>
            </w:tcBorders>
          </w:tcPr>
          <w:p>
            <w:pPr>
              <w:pStyle w:val="TableParagraph"/>
              <w:spacing w:line="240" w:lineRule="auto" w:before="17"/>
              <w:ind w:left="180"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18" w:type="dxa"/>
            <w:vMerge w:val="restart"/>
            <w:tcBorders>
              <w:top w:val="single" w:sz="6" w:space="0" w:color="000000"/>
              <w:left w:val="single" w:sz="6" w:space="0" w:color="000000"/>
              <w:right w:val="single" w:sz="6" w:space="0" w:color="000000"/>
            </w:tcBorders>
          </w:tcPr>
          <w:p>
            <w:pPr>
              <w:pStyle w:val="TableParagraph"/>
              <w:spacing w:line="316" w:lineRule="auto" w:before="17"/>
              <w:ind w:left="251" w:right="70" w:hanging="180"/>
              <w:jc w:val="left"/>
              <w:rPr>
                <w:rFonts w:ascii="宋体" w:hAnsi="宋体" w:cs="宋体" w:eastAsia="宋体" w:hint="default"/>
                <w:sz w:val="18"/>
                <w:szCs w:val="18"/>
              </w:rPr>
            </w:pPr>
            <w:r>
              <w:rPr>
                <w:rFonts w:ascii="宋体" w:hAnsi="宋体" w:cs="宋体" w:eastAsia="宋体" w:hint="default"/>
                <w:sz w:val="18"/>
                <w:szCs w:val="18"/>
              </w:rPr>
              <w:t>中国工商银行徐 州铜山支行</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13,982,703.96</w:t>
            </w:r>
          </w:p>
        </w:tc>
        <w:tc>
          <w:tcPr>
            <w:tcW w:w="1282" w:type="dxa"/>
            <w:vMerge w:val="restart"/>
            <w:tcBorders>
              <w:top w:val="single" w:sz="6" w:space="0" w:color="000000"/>
              <w:left w:val="single" w:sz="6" w:space="0" w:color="000000"/>
              <w:right w:val="single" w:sz="6" w:space="0" w:color="000000"/>
            </w:tcBorders>
          </w:tcPr>
          <w:p>
            <w:pPr>
              <w:pStyle w:val="TableParagraph"/>
              <w:spacing w:line="240" w:lineRule="auto" w:before="17"/>
              <w:ind w:left="275"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before="60"/>
              <w:ind w:left="367" w:right="0"/>
              <w:jc w:val="left"/>
              <w:rPr>
                <w:rFonts w:ascii="Times New Roman" w:hAnsi="Times New Roman" w:cs="Times New Roman" w:eastAsia="Times New Roman" w:hint="default"/>
                <w:sz w:val="18"/>
                <w:szCs w:val="18"/>
              </w:rPr>
            </w:pPr>
            <w:r>
              <w:rPr>
                <w:rFonts w:ascii="Times New Roman"/>
                <w:sz w:val="18"/>
              </w:rPr>
              <w:t>10,000,000.00</w:t>
            </w:r>
          </w:p>
        </w:tc>
        <w:tc>
          <w:tcPr>
            <w:tcW w:w="1133" w:type="dxa"/>
            <w:vMerge w:val="restart"/>
            <w:tcBorders>
              <w:top w:val="single" w:sz="6" w:space="0" w:color="000000"/>
              <w:left w:val="single" w:sz="6" w:space="0" w:color="000000"/>
              <w:right w:val="single" w:sz="6" w:space="0" w:color="000000"/>
            </w:tcBorders>
          </w:tcPr>
          <w:p>
            <w:pPr>
              <w:pStyle w:val="TableParagraph"/>
              <w:spacing w:line="240" w:lineRule="auto" w:before="60"/>
              <w:ind w:left="477" w:right="-2"/>
              <w:jc w:val="left"/>
              <w:rPr>
                <w:rFonts w:ascii="Times New Roman" w:hAnsi="Times New Roman" w:cs="Times New Roman" w:eastAsia="Times New Roman" w:hint="default"/>
                <w:sz w:val="18"/>
                <w:szCs w:val="18"/>
              </w:rPr>
            </w:pPr>
            <w:r>
              <w:rPr>
                <w:rFonts w:ascii="Times New Roman"/>
                <w:sz w:val="18"/>
              </w:rPr>
              <w:t>2019/5/8</w:t>
            </w:r>
          </w:p>
        </w:tc>
      </w:tr>
      <w:tr>
        <w:trPr>
          <w:trHeight w:val="348" w:hRule="exact"/>
        </w:trPr>
        <w:tc>
          <w:tcPr>
            <w:tcW w:w="1270" w:type="dxa"/>
            <w:vMerge/>
            <w:tcBorders>
              <w:left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5,096,941.08</w:t>
            </w:r>
            <w:r>
              <w:rPr>
                <w:rFonts w:ascii="Times New Roman"/>
                <w:sz w:val="18"/>
              </w:rPr>
            </w:r>
          </w:p>
        </w:tc>
        <w:tc>
          <w:tcPr>
            <w:tcW w:w="1282" w:type="dxa"/>
            <w:vMerge/>
            <w:tcBorders>
              <w:left w:val="single" w:sz="6"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1133" w:type="dxa"/>
            <w:vMerge/>
            <w:tcBorders>
              <w:left w:val="single" w:sz="6" w:space="0" w:color="000000"/>
              <w:bottom w:val="single" w:sz="6" w:space="0" w:color="000000"/>
              <w:right w:val="single" w:sz="6" w:space="0" w:color="000000"/>
            </w:tcBorders>
          </w:tcPr>
          <w:p>
            <w:pPr/>
          </w:p>
        </w:tc>
      </w:tr>
      <w:tr>
        <w:trPr>
          <w:trHeight w:val="346" w:hRule="exact"/>
        </w:trPr>
        <w:tc>
          <w:tcPr>
            <w:tcW w:w="1270" w:type="dxa"/>
            <w:vMerge/>
            <w:tcBorders>
              <w:left w:val="single" w:sz="6" w:space="0" w:color="000000"/>
              <w:right w:val="single" w:sz="6" w:space="0" w:color="000000"/>
            </w:tcBorders>
          </w:tcPr>
          <w:p>
            <w:pPr/>
          </w:p>
        </w:tc>
        <w:tc>
          <w:tcPr>
            <w:tcW w:w="1418" w:type="dxa"/>
            <w:vMerge w:val="restart"/>
            <w:tcBorders>
              <w:top w:val="single" w:sz="6" w:space="0" w:color="000000"/>
              <w:left w:val="single" w:sz="6" w:space="0" w:color="000000"/>
              <w:right w:val="single" w:sz="6" w:space="0" w:color="000000"/>
            </w:tcBorders>
          </w:tcPr>
          <w:p>
            <w:pPr>
              <w:pStyle w:val="TableParagraph"/>
              <w:spacing w:line="316" w:lineRule="auto" w:before="17"/>
              <w:ind w:left="71" w:right="71"/>
              <w:jc w:val="center"/>
              <w:rPr>
                <w:rFonts w:ascii="宋体" w:hAnsi="宋体" w:cs="宋体" w:eastAsia="宋体" w:hint="default"/>
                <w:sz w:val="18"/>
                <w:szCs w:val="18"/>
              </w:rPr>
            </w:pPr>
            <w:r>
              <w:rPr>
                <w:rFonts w:ascii="宋体" w:hAnsi="宋体" w:cs="宋体" w:eastAsia="宋体" w:hint="default"/>
                <w:sz w:val="18"/>
                <w:szCs w:val="18"/>
              </w:rPr>
              <w:t>兴业银行股份有 限公司徐州铜山 支行</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2,000,133.33</w:t>
            </w:r>
            <w:r>
              <w:rPr>
                <w:rFonts w:ascii="Times New Roman"/>
                <w:sz w:val="18"/>
              </w:rPr>
            </w:r>
          </w:p>
        </w:tc>
        <w:tc>
          <w:tcPr>
            <w:tcW w:w="1282" w:type="dxa"/>
            <w:vMerge w:val="restart"/>
            <w:tcBorders>
              <w:top w:val="single" w:sz="6" w:space="0" w:color="000000"/>
              <w:left w:val="single" w:sz="6" w:space="0" w:color="000000"/>
              <w:right w:val="single" w:sz="6" w:space="0" w:color="000000"/>
            </w:tcBorders>
          </w:tcPr>
          <w:p>
            <w:pPr>
              <w:pStyle w:val="TableParagraph"/>
              <w:spacing w:line="240" w:lineRule="auto" w:before="17"/>
              <w:ind w:left="95"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before="60"/>
              <w:ind w:left="455" w:right="-1"/>
              <w:jc w:val="left"/>
              <w:rPr>
                <w:rFonts w:ascii="Times New Roman" w:hAnsi="Times New Roman" w:cs="Times New Roman" w:eastAsia="Times New Roman" w:hint="default"/>
                <w:sz w:val="18"/>
                <w:szCs w:val="18"/>
              </w:rPr>
            </w:pPr>
            <w:r>
              <w:rPr>
                <w:rFonts w:ascii="Times New Roman"/>
                <w:sz w:val="18"/>
              </w:rPr>
              <w:t>5,052,450.00</w:t>
            </w:r>
          </w:p>
        </w:tc>
        <w:tc>
          <w:tcPr>
            <w:tcW w:w="1133" w:type="dxa"/>
            <w:vMerge w:val="restart"/>
            <w:tcBorders>
              <w:top w:val="single" w:sz="6" w:space="0" w:color="000000"/>
              <w:left w:val="single" w:sz="6" w:space="0" w:color="000000"/>
              <w:right w:val="single" w:sz="6" w:space="0" w:color="000000"/>
            </w:tcBorders>
          </w:tcPr>
          <w:p>
            <w:pPr>
              <w:pStyle w:val="TableParagraph"/>
              <w:spacing w:line="240" w:lineRule="auto" w:before="60"/>
              <w:ind w:left="297" w:right="-3"/>
              <w:jc w:val="left"/>
              <w:rPr>
                <w:rFonts w:ascii="Times New Roman" w:hAnsi="Times New Roman" w:cs="Times New Roman" w:eastAsia="Times New Roman" w:hint="default"/>
                <w:sz w:val="18"/>
                <w:szCs w:val="18"/>
              </w:rPr>
            </w:pPr>
            <w:r>
              <w:rPr>
                <w:rFonts w:ascii="Times New Roman"/>
                <w:sz w:val="18"/>
              </w:rPr>
              <w:t>2019/05/20</w:t>
            </w:r>
          </w:p>
        </w:tc>
      </w:tr>
      <w:tr>
        <w:trPr>
          <w:trHeight w:val="660" w:hRule="exact"/>
        </w:trPr>
        <w:tc>
          <w:tcPr>
            <w:tcW w:w="1270" w:type="dxa"/>
            <w:vMerge/>
            <w:tcBorders>
              <w:left w:val="single" w:sz="6"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110" w:right="77" w:hanging="29"/>
              <w:jc w:val="left"/>
              <w:rPr>
                <w:rFonts w:ascii="宋体" w:hAnsi="宋体" w:cs="宋体" w:eastAsia="宋体" w:hint="default"/>
                <w:sz w:val="18"/>
                <w:szCs w:val="18"/>
              </w:rPr>
            </w:pP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银 行承兑汇票</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3,163,531.55</w:t>
            </w:r>
            <w:r>
              <w:rPr>
                <w:rFonts w:ascii="Times New Roman"/>
                <w:sz w:val="18"/>
              </w:rPr>
            </w:r>
          </w:p>
        </w:tc>
        <w:tc>
          <w:tcPr>
            <w:tcW w:w="1282" w:type="dxa"/>
            <w:vMerge/>
            <w:tcBorders>
              <w:left w:val="single" w:sz="6"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1133" w:type="dxa"/>
            <w:vMerge/>
            <w:tcBorders>
              <w:left w:val="single" w:sz="6" w:space="0" w:color="000000"/>
              <w:bottom w:val="single" w:sz="6" w:space="0" w:color="000000"/>
              <w:right w:val="single" w:sz="6" w:space="0" w:color="000000"/>
            </w:tcBorders>
          </w:tcPr>
          <w:p>
            <w:pPr/>
          </w:p>
        </w:tc>
      </w:tr>
      <w:tr>
        <w:trPr>
          <w:trHeight w:val="660"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68" w:right="0"/>
              <w:jc w:val="left"/>
              <w:rPr>
                <w:rFonts w:ascii="宋体" w:hAnsi="宋体" w:cs="宋体" w:eastAsia="宋体" w:hint="default"/>
                <w:sz w:val="18"/>
                <w:szCs w:val="18"/>
              </w:rPr>
            </w:pPr>
            <w:r>
              <w:rPr>
                <w:rFonts w:ascii="宋体" w:hAnsi="宋体" w:cs="宋体" w:eastAsia="宋体" w:hint="default"/>
                <w:sz w:val="18"/>
                <w:szCs w:val="18"/>
              </w:rPr>
              <w:t>惠邦租赁</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31" w:right="71" w:hanging="360"/>
              <w:jc w:val="left"/>
              <w:rPr>
                <w:rFonts w:ascii="宋体" w:hAnsi="宋体" w:cs="宋体" w:eastAsia="宋体" w:hint="default"/>
                <w:sz w:val="18"/>
                <w:szCs w:val="18"/>
              </w:rPr>
            </w:pPr>
            <w:r>
              <w:rPr>
                <w:rFonts w:ascii="宋体" w:hAnsi="宋体" w:cs="宋体" w:eastAsia="宋体" w:hint="default"/>
                <w:sz w:val="18"/>
                <w:szCs w:val="18"/>
              </w:rPr>
              <w:t>淮南通商同村商 业银行</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15,386,550.00</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银行承兑汇票</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30,773,100.00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2019/11/20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270"/>
        <w:gridCol w:w="1418"/>
        <w:gridCol w:w="1135"/>
        <w:gridCol w:w="1416"/>
        <w:gridCol w:w="1282"/>
        <w:gridCol w:w="1418"/>
        <w:gridCol w:w="1133"/>
      </w:tblGrid>
      <w:tr>
        <w:trPr>
          <w:trHeight w:val="348"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1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18"/>
                <w:sz w:val="18"/>
                <w:szCs w:val="18"/>
              </w:rPr>
              <w:t> </w:t>
            </w:r>
            <w:r>
              <w:rPr>
                <w:rFonts w:ascii="宋体" w:hAnsi="宋体" w:cs="宋体" w:eastAsia="宋体" w:hint="default"/>
                <w:sz w:val="18"/>
                <w:szCs w:val="18"/>
              </w:rPr>
              <w:t>计</w:t>
            </w:r>
          </w:p>
        </w:tc>
        <w:tc>
          <w:tcPr>
            <w:tcW w:w="141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64" w:right="0"/>
              <w:jc w:val="left"/>
              <w:rPr>
                <w:rFonts w:ascii="Times New Roman" w:hAnsi="Times New Roman" w:cs="Times New Roman" w:eastAsia="Times New Roman" w:hint="default"/>
                <w:sz w:val="18"/>
                <w:szCs w:val="18"/>
              </w:rPr>
            </w:pPr>
            <w:r>
              <w:rPr>
                <w:rFonts w:ascii="Times New Roman"/>
                <w:sz w:val="18"/>
              </w:rPr>
              <w:t>74,305,815.40</w:t>
            </w:r>
          </w:p>
        </w:tc>
        <w:tc>
          <w:tcPr>
            <w:tcW w:w="128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67" w:right="0"/>
              <w:jc w:val="left"/>
              <w:rPr>
                <w:rFonts w:ascii="Times New Roman" w:hAnsi="Times New Roman" w:cs="Times New Roman" w:eastAsia="Times New Roman" w:hint="default"/>
                <w:sz w:val="18"/>
                <w:szCs w:val="18"/>
              </w:rPr>
            </w:pPr>
            <w:r>
              <w:rPr>
                <w:rFonts w:ascii="Times New Roman"/>
                <w:sz w:val="18"/>
              </w:rPr>
              <w:t>82,325,550.00</w:t>
            </w:r>
          </w:p>
        </w:tc>
        <w:tc>
          <w:tcPr>
            <w:tcW w:w="113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21"/>
          <w:szCs w:val="21"/>
        </w:rPr>
      </w:pPr>
    </w:p>
    <w:p>
      <w:pPr>
        <w:pStyle w:val="BodyText"/>
        <w:spacing w:line="240" w:lineRule="auto"/>
        <w:ind w:left="512" w:right="98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借款和票据保证</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1555"/>
        <w:gridCol w:w="1282"/>
        <w:gridCol w:w="1418"/>
        <w:gridCol w:w="1265"/>
        <w:gridCol w:w="1279"/>
        <w:gridCol w:w="1421"/>
        <w:gridCol w:w="1138"/>
      </w:tblGrid>
      <w:tr>
        <w:trPr>
          <w:trHeight w:val="346" w:hRule="exact"/>
        </w:trPr>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01" w:right="0"/>
              <w:jc w:val="left"/>
              <w:rPr>
                <w:rFonts w:ascii="宋体" w:hAnsi="宋体" w:cs="宋体" w:eastAsia="宋体" w:hint="default"/>
                <w:sz w:val="18"/>
                <w:szCs w:val="18"/>
              </w:rPr>
            </w:pPr>
            <w:r>
              <w:rPr>
                <w:rFonts w:ascii="宋体" w:hAnsi="宋体" w:cs="宋体" w:eastAsia="宋体" w:hint="default"/>
                <w:sz w:val="18"/>
                <w:szCs w:val="18"/>
              </w:rPr>
              <w:t>担保人</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被担保人</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60" w:right="0"/>
              <w:jc w:val="left"/>
              <w:rPr>
                <w:rFonts w:ascii="宋体" w:hAnsi="宋体" w:cs="宋体" w:eastAsia="宋体" w:hint="default"/>
                <w:sz w:val="18"/>
                <w:szCs w:val="18"/>
              </w:rPr>
            </w:pPr>
            <w:r>
              <w:rPr>
                <w:rFonts w:ascii="宋体" w:hAnsi="宋体" w:cs="宋体" w:eastAsia="宋体" w:hint="default"/>
                <w:sz w:val="18"/>
                <w:szCs w:val="18"/>
              </w:rPr>
              <w:t>贷款金融机构</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融资余额</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4" w:right="0"/>
              <w:jc w:val="left"/>
              <w:rPr>
                <w:rFonts w:ascii="宋体" w:hAnsi="宋体" w:cs="宋体" w:eastAsia="宋体" w:hint="default"/>
                <w:sz w:val="18"/>
                <w:szCs w:val="18"/>
              </w:rPr>
            </w:pPr>
            <w:r>
              <w:rPr>
                <w:rFonts w:ascii="宋体" w:hAnsi="宋体" w:cs="宋体" w:eastAsia="宋体" w:hint="default"/>
                <w:sz w:val="18"/>
                <w:szCs w:val="18"/>
              </w:rPr>
              <w:t>借款最后到期日</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284" w:hRule="exact"/>
        </w:trPr>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50" w:right="228"/>
              <w:jc w:val="left"/>
              <w:rPr>
                <w:rFonts w:ascii="宋体" w:hAnsi="宋体" w:cs="宋体" w:eastAsia="宋体" w:hint="default"/>
                <w:sz w:val="18"/>
                <w:szCs w:val="18"/>
              </w:rPr>
            </w:pPr>
            <w:r>
              <w:rPr>
                <w:rFonts w:ascii="宋体" w:hAnsi="宋体" w:cs="宋体" w:eastAsia="宋体" w:hint="default"/>
                <w:sz w:val="18"/>
                <w:szCs w:val="18"/>
              </w:rPr>
              <w:t>深圳市高新投融 资担保有限公司</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伟创自动化</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49" w:right="72" w:hanging="180"/>
              <w:jc w:val="left"/>
              <w:rPr>
                <w:rFonts w:ascii="宋体" w:hAnsi="宋体" w:cs="宋体" w:eastAsia="宋体" w:hint="default"/>
                <w:sz w:val="18"/>
                <w:szCs w:val="18"/>
              </w:rPr>
            </w:pPr>
            <w:r>
              <w:rPr>
                <w:rFonts w:ascii="宋体" w:hAnsi="宋体" w:cs="宋体" w:eastAsia="宋体" w:hint="default"/>
                <w:sz w:val="18"/>
                <w:szCs w:val="18"/>
              </w:rPr>
              <w:t>招行深圳分行泰 然金谷支行</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保证借款</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20,000,000.00</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2019/7/27</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0" w:right="0"/>
              <w:jc w:val="right"/>
              <w:rPr>
                <w:rFonts w:ascii="宋体" w:hAnsi="宋体" w:cs="宋体" w:eastAsia="宋体" w:hint="default"/>
                <w:sz w:val="18"/>
                <w:szCs w:val="18"/>
              </w:rPr>
            </w:pPr>
            <w:r>
              <w:rPr>
                <w:rFonts w:ascii="宋体" w:hAnsi="宋体" w:cs="宋体" w:eastAsia="宋体" w:hint="default"/>
                <w:sz w:val="18"/>
                <w:szCs w:val="18"/>
              </w:rPr>
              <w:t>本公司为深圳 市高新投融资 担保有限公司 提供反担保</w:t>
            </w:r>
          </w:p>
        </w:tc>
      </w:tr>
      <w:tr>
        <w:trPr>
          <w:trHeight w:val="1284" w:hRule="exact"/>
        </w:trPr>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0" w:right="0"/>
              <w:jc w:val="left"/>
              <w:rPr>
                <w:rFonts w:ascii="宋体" w:hAnsi="宋体" w:cs="宋体" w:eastAsia="宋体" w:hint="default"/>
                <w:sz w:val="18"/>
                <w:szCs w:val="18"/>
              </w:rPr>
            </w:pPr>
            <w:r>
              <w:rPr>
                <w:rFonts w:ascii="宋体" w:hAnsi="宋体" w:cs="宋体" w:eastAsia="宋体" w:hint="default"/>
                <w:sz w:val="18"/>
                <w:szCs w:val="18"/>
              </w:rPr>
              <w:t>本公司、广东伟创</w:t>
            </w:r>
          </w:p>
        </w:tc>
        <w:tc>
          <w:tcPr>
            <w:tcW w:w="128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24"/>
              <w:jc w:val="left"/>
              <w:rPr>
                <w:rFonts w:ascii="宋体" w:hAnsi="宋体" w:cs="宋体" w:eastAsia="宋体" w:hint="default"/>
                <w:sz w:val="18"/>
                <w:szCs w:val="18"/>
              </w:rPr>
            </w:pPr>
            <w:r>
              <w:rPr>
                <w:rFonts w:ascii="宋体" w:hAnsi="宋体" w:cs="宋体" w:eastAsia="宋体" w:hint="default"/>
                <w:spacing w:val="19"/>
                <w:sz w:val="18"/>
                <w:szCs w:val="18"/>
              </w:rPr>
              <w:t>中国银行深圳福</w:t>
            </w:r>
            <w:r>
              <w:rPr>
                <w:rFonts w:ascii="宋体" w:hAnsi="宋体" w:cs="宋体" w:eastAsia="宋体" w:hint="default"/>
                <w:spacing w:val="-88"/>
                <w:sz w:val="18"/>
                <w:szCs w:val="18"/>
              </w:rPr>
              <w:t> </w:t>
            </w:r>
            <w:r>
              <w:rPr>
                <w:rFonts w:ascii="宋体" w:hAnsi="宋体" w:cs="宋体" w:eastAsia="宋体" w:hint="default"/>
                <w:sz w:val="18"/>
                <w:szCs w:val="18"/>
              </w:rPr>
              <w:t>田支行</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银行承兑汇票</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10,000,000.00</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2019/1/23</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0" w:right="0"/>
              <w:jc w:val="both"/>
              <w:rPr>
                <w:rFonts w:ascii="宋体" w:hAnsi="宋体" w:cs="宋体" w:eastAsia="宋体" w:hint="default"/>
                <w:sz w:val="18"/>
                <w:szCs w:val="18"/>
              </w:rPr>
            </w:pPr>
            <w:r>
              <w:rPr>
                <w:rFonts w:ascii="宋体" w:hAnsi="宋体" w:cs="宋体" w:eastAsia="宋体" w:hint="default"/>
                <w:sz w:val="18"/>
                <w:szCs w:val="18"/>
              </w:rPr>
              <w:t>同时由伟创自 动化的应收账 款提供质押担</w:t>
            </w:r>
          </w:p>
          <w:p>
            <w:pPr>
              <w:pStyle w:val="TableParagraph"/>
              <w:spacing w:line="240" w:lineRule="auto" w:before="19"/>
              <w:ind w:right="0"/>
              <w:jc w:val="right"/>
              <w:rPr>
                <w:rFonts w:ascii="宋体" w:hAnsi="宋体" w:cs="宋体" w:eastAsia="宋体" w:hint="default"/>
                <w:sz w:val="18"/>
                <w:szCs w:val="18"/>
              </w:rPr>
            </w:pPr>
            <w:r>
              <w:rPr>
                <w:rFonts w:ascii="宋体" w:hAnsi="宋体" w:cs="宋体" w:eastAsia="宋体" w:hint="default"/>
                <w:sz w:val="18"/>
                <w:szCs w:val="18"/>
              </w:rPr>
              <w:t>保</w:t>
            </w:r>
          </w:p>
        </w:tc>
      </w:tr>
      <w:tr>
        <w:trPr>
          <w:trHeight w:val="658" w:hRule="exact"/>
        </w:trPr>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本公司、宋伟</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惠邦租赁</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29" w:right="72" w:hanging="360"/>
              <w:jc w:val="left"/>
              <w:rPr>
                <w:rFonts w:ascii="宋体" w:hAnsi="宋体" w:cs="宋体" w:eastAsia="宋体" w:hint="default"/>
                <w:sz w:val="18"/>
                <w:szCs w:val="18"/>
              </w:rPr>
            </w:pPr>
            <w:r>
              <w:rPr>
                <w:rFonts w:ascii="宋体" w:hAnsi="宋体" w:cs="宋体" w:eastAsia="宋体" w:hint="default"/>
                <w:sz w:val="18"/>
                <w:szCs w:val="18"/>
              </w:rPr>
              <w:t>淮南通商同村商 业银行</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银行承兑汇票</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30,773,100.00</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2019/11/20</w:t>
            </w:r>
          </w:p>
        </w:tc>
        <w:tc>
          <w:tcPr>
            <w:tcW w:w="1138"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28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60,773,100.00</w:t>
            </w:r>
          </w:p>
        </w:tc>
        <w:tc>
          <w:tcPr>
            <w:tcW w:w="1421"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21"/>
          <w:szCs w:val="21"/>
        </w:rPr>
      </w:pPr>
    </w:p>
    <w:p>
      <w:pPr>
        <w:pStyle w:val="BodyText"/>
        <w:spacing w:line="240" w:lineRule="auto"/>
        <w:ind w:left="512" w:right="98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保函</w:t>
      </w:r>
    </w:p>
    <w:p>
      <w:pPr>
        <w:pStyle w:val="BodyText"/>
        <w:spacing w:line="300" w:lineRule="auto" w:before="62"/>
        <w:ind w:right="1126" w:firstLine="420"/>
        <w:jc w:val="left"/>
      </w:pPr>
      <w:r>
        <w:rPr/>
        <w:t>截至</w:t>
      </w:r>
      <w:r>
        <w:rPr>
          <w:spacing w:val="-17"/>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日，公司为了承接项目及与客户正常的合作关系，未撤销履约保函余额合计</w:t>
      </w:r>
      <w:r>
        <w:rPr>
          <w:rFonts w:ascii="Times New Roman" w:hAnsi="Times New Roman" w:cs="Times New Roman" w:eastAsia="Times New Roman" w:hint="default"/>
        </w:rPr>
        <w:t>65,999,263.74</w:t>
      </w:r>
      <w:r>
        <w:rPr/>
        <w:t>元，存入 保证金金额</w:t>
      </w:r>
      <w:r>
        <w:rPr>
          <w:rFonts w:ascii="Times New Roman" w:hAnsi="Times New Roman" w:cs="Times New Roman" w:eastAsia="Times New Roman" w:hint="default"/>
        </w:rPr>
        <w:t>4,141,851.66</w:t>
      </w:r>
      <w:r>
        <w:rPr/>
        <w:t>元，具体如下：</w:t>
      </w:r>
    </w:p>
    <w:tbl>
      <w:tblPr>
        <w:tblW w:w="0" w:type="auto"/>
        <w:jc w:val="left"/>
        <w:tblInd w:w="145" w:type="dxa"/>
        <w:tblLayout w:type="fixed"/>
        <w:tblCellMar>
          <w:top w:w="0" w:type="dxa"/>
          <w:left w:w="0" w:type="dxa"/>
          <w:bottom w:w="0" w:type="dxa"/>
          <w:right w:w="0" w:type="dxa"/>
        </w:tblCellMar>
        <w:tblLook w:val="01E0"/>
      </w:tblPr>
      <w:tblGrid>
        <w:gridCol w:w="1560"/>
        <w:gridCol w:w="1702"/>
        <w:gridCol w:w="1702"/>
        <w:gridCol w:w="1841"/>
        <w:gridCol w:w="2554"/>
      </w:tblGrid>
      <w:tr>
        <w:trPr>
          <w:trHeight w:val="348"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保函开具单位</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04" w:right="0"/>
              <w:jc w:val="left"/>
              <w:rPr>
                <w:rFonts w:ascii="宋体" w:hAnsi="宋体" w:cs="宋体" w:eastAsia="宋体" w:hint="default"/>
                <w:sz w:val="18"/>
                <w:szCs w:val="18"/>
              </w:rPr>
            </w:pPr>
            <w:r>
              <w:rPr>
                <w:rFonts w:ascii="宋体" w:hAnsi="宋体" w:cs="宋体" w:eastAsia="宋体" w:hint="default"/>
                <w:sz w:val="18"/>
                <w:szCs w:val="18"/>
              </w:rPr>
              <w:t>期末保函金额</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保函最后到期日</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282" w:hRule="exact"/>
        </w:trPr>
        <w:tc>
          <w:tcPr>
            <w:tcW w:w="1560" w:type="dxa"/>
            <w:vMerge w:val="restart"/>
            <w:tcBorders>
              <w:top w:val="single" w:sz="6" w:space="0" w:color="000000"/>
              <w:left w:val="single" w:sz="6" w:space="0" w:color="000000"/>
              <w:right w:val="single" w:sz="6" w:space="0" w:color="000000"/>
            </w:tcBorders>
          </w:tcPr>
          <w:p>
            <w:pPr>
              <w:pStyle w:val="TableParagraph"/>
              <w:spacing w:line="240" w:lineRule="auto" w:before="17"/>
              <w:ind w:left="324" w:right="0"/>
              <w:jc w:val="left"/>
              <w:rPr>
                <w:rFonts w:ascii="宋体" w:hAnsi="宋体" w:cs="宋体" w:eastAsia="宋体" w:hint="default"/>
                <w:sz w:val="18"/>
                <w:szCs w:val="18"/>
              </w:rPr>
            </w:pPr>
            <w:r>
              <w:rPr>
                <w:rFonts w:ascii="宋体" w:hAnsi="宋体" w:cs="宋体" w:eastAsia="宋体" w:hint="default"/>
                <w:sz w:val="18"/>
                <w:szCs w:val="18"/>
              </w:rPr>
              <w:t>伟创自动化</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54,194,854.18</w:t>
            </w:r>
          </w:p>
        </w:tc>
        <w:tc>
          <w:tcPr>
            <w:tcW w:w="1702"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2020/12/31</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9" w:right="7"/>
              <w:jc w:val="center"/>
              <w:rPr>
                <w:rFonts w:ascii="宋体" w:hAnsi="宋体" w:cs="宋体" w:eastAsia="宋体" w:hint="default"/>
                <w:sz w:val="18"/>
                <w:szCs w:val="18"/>
              </w:rPr>
            </w:pPr>
            <w:r>
              <w:rPr>
                <w:rFonts w:ascii="宋体" w:hAnsi="宋体" w:cs="宋体" w:eastAsia="宋体" w:hint="default"/>
                <w:sz w:val="18"/>
                <w:szCs w:val="18"/>
              </w:rPr>
              <w:t>伟创自动化公司的应收账款提供 质押担保，同时本公司、广东伟 创公司为该等保函融资授信提供 连带担保</w:t>
            </w:r>
          </w:p>
        </w:tc>
      </w:tr>
      <w:tr>
        <w:trPr>
          <w:trHeight w:val="348" w:hRule="exact"/>
        </w:trPr>
        <w:tc>
          <w:tcPr>
            <w:tcW w:w="1560" w:type="dxa"/>
            <w:vMerge/>
            <w:tcBorders>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452,454.00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455,344.87</w:t>
            </w:r>
          </w:p>
        </w:tc>
        <w:tc>
          <w:tcPr>
            <w:tcW w:w="1841" w:type="dxa"/>
            <w:tcBorders>
              <w:top w:val="single" w:sz="6" w:space="0" w:color="000000"/>
              <w:left w:val="single" w:sz="6" w:space="0" w:color="000000"/>
              <w:bottom w:val="single" w:sz="6" w:space="0" w:color="000000"/>
              <w:right w:val="single" w:sz="6" w:space="0" w:color="000000"/>
            </w:tcBorders>
          </w:tcPr>
          <w:p>
            <w:pPr/>
          </w:p>
        </w:tc>
        <w:tc>
          <w:tcPr>
            <w:tcW w:w="2554"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1560" w:type="dxa"/>
            <w:vMerge w:val="restart"/>
            <w:tcBorders>
              <w:top w:val="single" w:sz="6" w:space="0" w:color="000000"/>
              <w:left w:val="single" w:sz="6" w:space="0" w:color="000000"/>
              <w:right w:val="single" w:sz="6" w:space="0" w:color="000000"/>
            </w:tcBorders>
          </w:tcPr>
          <w:p>
            <w:pPr>
              <w:pStyle w:val="TableParagraph"/>
              <w:spacing w:line="240" w:lineRule="auto" w:before="17"/>
              <w:ind w:left="415" w:right="0"/>
              <w:jc w:val="left"/>
              <w:rPr>
                <w:rFonts w:ascii="宋体" w:hAnsi="宋体" w:cs="宋体" w:eastAsia="宋体" w:hint="default"/>
                <w:sz w:val="18"/>
                <w:szCs w:val="18"/>
              </w:rPr>
            </w:pPr>
            <w:r>
              <w:rPr>
                <w:rFonts w:ascii="宋体" w:hAnsi="宋体" w:cs="宋体" w:eastAsia="宋体" w:hint="default"/>
                <w:sz w:val="18"/>
                <w:szCs w:val="18"/>
              </w:rPr>
              <w:t>天辰智能</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220,329.60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110,164.80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2019/11/30</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80" w:right="7" w:hanging="272"/>
              <w:jc w:val="left"/>
              <w:rPr>
                <w:rFonts w:ascii="宋体" w:hAnsi="宋体" w:cs="宋体" w:eastAsia="宋体" w:hint="default"/>
                <w:sz w:val="18"/>
                <w:szCs w:val="18"/>
              </w:rPr>
            </w:pPr>
            <w:r>
              <w:rPr>
                <w:rFonts w:ascii="宋体" w:hAnsi="宋体" w:cs="宋体" w:eastAsia="宋体" w:hint="default"/>
                <w:sz w:val="18"/>
                <w:szCs w:val="18"/>
              </w:rPr>
              <w:t>天辰智能以自有土地及房屋建筑 物为该保函提供抵押担保</w:t>
            </w:r>
          </w:p>
        </w:tc>
      </w:tr>
      <w:tr>
        <w:trPr>
          <w:trHeight w:val="660" w:hRule="exact"/>
        </w:trPr>
        <w:tc>
          <w:tcPr>
            <w:tcW w:w="1560" w:type="dxa"/>
            <w:vMerge/>
            <w:tcBorders>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11,131,625.96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3,576,341.99</w:t>
            </w:r>
            <w:r>
              <w:rPr>
                <w:rFonts w:ascii="Times New Roman"/>
                <w:sz w:val="18"/>
              </w:rPr>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2020/11/27</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549" w:right="7" w:hanging="540"/>
              <w:jc w:val="left"/>
              <w:rPr>
                <w:rFonts w:ascii="宋体" w:hAnsi="宋体" w:cs="宋体" w:eastAsia="宋体" w:hint="default"/>
                <w:sz w:val="18"/>
                <w:szCs w:val="18"/>
              </w:rPr>
            </w:pPr>
            <w:r>
              <w:rPr>
                <w:rFonts w:ascii="宋体" w:hAnsi="宋体" w:cs="宋体" w:eastAsia="宋体" w:hint="default"/>
                <w:sz w:val="18"/>
                <w:szCs w:val="18"/>
              </w:rPr>
              <w:t>本公司、侯玉鹏为该等保函融资 授信提供连带担保</w:t>
            </w:r>
          </w:p>
        </w:tc>
      </w:tr>
      <w:tr>
        <w:trPr>
          <w:trHeight w:val="348"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41"/>
              <w:jc w:val="center"/>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18"/>
                <w:sz w:val="18"/>
                <w:szCs w:val="18"/>
              </w:rPr>
              <w:t> </w:t>
            </w:r>
            <w:r>
              <w:rPr>
                <w:rFonts w:ascii="宋体" w:hAnsi="宋体" w:cs="宋体" w:eastAsia="宋体" w:hint="default"/>
                <w:sz w:val="18"/>
                <w:szCs w:val="18"/>
              </w:rPr>
              <w:t>计</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65,999,263.74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4,141,851.66</w:t>
            </w:r>
            <w:r>
              <w:rPr>
                <w:rFonts w:ascii="Times New Roman"/>
                <w:sz w:val="18"/>
              </w:rPr>
            </w:r>
          </w:p>
        </w:tc>
        <w:tc>
          <w:tcPr>
            <w:tcW w:w="1841" w:type="dxa"/>
            <w:tcBorders>
              <w:top w:val="single" w:sz="6" w:space="0" w:color="000000"/>
              <w:left w:val="single" w:sz="6" w:space="0" w:color="000000"/>
              <w:bottom w:val="single" w:sz="6" w:space="0" w:color="000000"/>
              <w:right w:val="single" w:sz="6" w:space="0" w:color="000000"/>
            </w:tcBorders>
          </w:tcPr>
          <w:p>
            <w:pPr/>
          </w:p>
        </w:tc>
        <w:tc>
          <w:tcPr>
            <w:tcW w:w="2554"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13"/>
        <w:ind w:left="512" w:right="982"/>
        <w:jc w:val="left"/>
      </w:pPr>
      <w:r>
        <w:rPr/>
        <w:t>若公司未按合同履约，将在有效期内向受益人支付不超过保函金额的索赔。</w:t>
      </w:r>
    </w:p>
    <w:p>
      <w:pPr>
        <w:pStyle w:val="BodyText"/>
        <w:spacing w:line="240" w:lineRule="auto" w:before="76"/>
        <w:ind w:left="512" w:right="982"/>
        <w:jc w:val="left"/>
      </w:pPr>
      <w:r>
        <w:rPr>
          <w:rFonts w:ascii="Times New Roman" w:hAnsi="Times New Roman" w:cs="Times New Roman" w:eastAsia="Times New Roman" w:hint="default"/>
        </w:rPr>
        <w:t>4.</w:t>
      </w:r>
      <w:r>
        <w:rPr/>
        <w:t>其他</w:t>
      </w:r>
    </w:p>
    <w:p>
      <w:pPr>
        <w:pStyle w:val="BodyText"/>
        <w:spacing w:line="300" w:lineRule="auto" w:before="62"/>
        <w:ind w:right="982" w:firstLine="360"/>
        <w:jc w:val="left"/>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20</w:t>
      </w:r>
      <w:r>
        <w:rPr>
          <w:spacing w:val="-1"/>
        </w:rPr>
        <w:t>日，伟创自动化设立昆明五洋伟创停车服务有限公司。昆明伟创注册资本人民币</w:t>
      </w:r>
      <w:r>
        <w:rPr>
          <w:rFonts w:ascii="Times New Roman" w:hAnsi="Times New Roman" w:cs="Times New Roman" w:eastAsia="Times New Roman" w:hint="default"/>
          <w:spacing w:val="-1"/>
        </w:rPr>
        <w:t>3,000</w:t>
      </w:r>
      <w:r>
        <w:rPr>
          <w:spacing w:val="-1"/>
        </w:rPr>
        <w:t>万元，由伟创自动化</w:t>
      </w:r>
      <w:r>
        <w:rPr/>
        <w:t> 全额认缴。截至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日，伟创自动化实缴出资款</w:t>
      </w:r>
      <w:r>
        <w:rPr>
          <w:rFonts w:ascii="Times New Roman" w:hAnsi="Times New Roman" w:cs="Times New Roman" w:eastAsia="Times New Roman" w:hint="default"/>
        </w:rPr>
        <w:t>61</w:t>
      </w:r>
      <w:r>
        <w:rPr/>
        <w:t>万元，尚未缴纳出资款</w:t>
      </w:r>
      <w:r>
        <w:rPr>
          <w:rFonts w:ascii="Times New Roman" w:hAnsi="Times New Roman" w:cs="Times New Roman" w:eastAsia="Times New Roman" w:hint="default"/>
        </w:rPr>
        <w:t>2,939</w:t>
      </w:r>
      <w:r>
        <w:rPr/>
        <w:t>万元。</w:t>
      </w:r>
    </w:p>
    <w:p>
      <w:pPr>
        <w:pStyle w:val="BodyText"/>
        <w:spacing w:line="240" w:lineRule="auto" w:before="13"/>
        <w:ind w:left="512" w:right="982"/>
        <w:jc w:val="left"/>
        <w:rPr>
          <w:rFonts w:ascii="Times New Roman" w:hAnsi="Times New Roman" w:cs="Times New Roman" w:eastAsia="Times New Roman" w:hint="default"/>
        </w:rPr>
      </w:pP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6</w:t>
      </w:r>
      <w:r>
        <w:rPr/>
        <w:t>年</w:t>
      </w:r>
      <w:r>
        <w:rPr>
          <w:rFonts w:ascii="Times New Roman" w:hAnsi="Times New Roman" w:cs="Times New Roman" w:eastAsia="Times New Roman" w:hint="default"/>
          <w:spacing w:val="1"/>
        </w:rPr>
        <w:t>5</w:t>
      </w:r>
      <w:r>
        <w:rPr>
          <w:spacing w:val="-3"/>
        </w:rPr>
        <w:t>月</w:t>
      </w:r>
      <w:r>
        <w:rPr>
          <w:rFonts w:ascii="Times New Roman" w:hAnsi="Times New Roman" w:cs="Times New Roman" w:eastAsia="Times New Roman" w:hint="default"/>
          <w:spacing w:val="1"/>
        </w:rPr>
        <w:t>27</w:t>
      </w:r>
      <w:r>
        <w:rPr>
          <w:spacing w:val="-3"/>
        </w:rPr>
        <w:t>日</w:t>
      </w:r>
      <w:r>
        <w:rPr>
          <w:spacing w:val="-77"/>
        </w:rPr>
        <w:t>，</w:t>
      </w:r>
      <w:r>
        <w:rPr/>
        <w:t>本公司受让</w:t>
      </w:r>
      <w:r>
        <w:rPr>
          <w:spacing w:val="-3"/>
        </w:rPr>
        <w:t>江</w:t>
      </w:r>
      <w:r>
        <w:rPr/>
        <w:t>西泰壬</w:t>
      </w:r>
      <w:r>
        <w:rPr>
          <w:rFonts w:ascii="Times New Roman" w:hAnsi="Times New Roman" w:cs="Times New Roman" w:eastAsia="Times New Roman" w:hint="default"/>
          <w:spacing w:val="1"/>
        </w:rPr>
        <w:t>51</w:t>
      </w:r>
      <w:r>
        <w:rPr>
          <w:rFonts w:ascii="Times New Roman" w:hAnsi="Times New Roman" w:cs="Times New Roman" w:eastAsia="Times New Roman" w:hint="default"/>
          <w:spacing w:val="-2"/>
        </w:rPr>
        <w:t>%</w:t>
      </w:r>
      <w:r>
        <w:rPr/>
        <w:t>的股权的出资义务</w:t>
      </w:r>
      <w:r>
        <w:rPr>
          <w:spacing w:val="-80"/>
        </w:rPr>
        <w:t>，</w:t>
      </w:r>
      <w:r>
        <w:rPr/>
        <w:t>泰壬科技注册资本人民币</w:t>
      </w:r>
      <w:r>
        <w:rPr>
          <w:rFonts w:ascii="Times New Roman" w:hAnsi="Times New Roman" w:cs="Times New Roman" w:eastAsia="Times New Roman" w:hint="default"/>
          <w:spacing w:val="1"/>
        </w:rPr>
        <w:t>2</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t>万元</w:t>
      </w:r>
      <w:r>
        <w:rPr>
          <w:spacing w:val="-77"/>
        </w:rPr>
        <w:t>，</w:t>
      </w:r>
      <w:r>
        <w:rPr/>
        <w:t>其中本公司认缴</w:t>
      </w: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20</w:t>
      </w:r>
      <w:r>
        <w:rPr>
          <w:rFonts w:ascii="Times New Roman" w:hAnsi="Times New Roman" w:cs="Times New Roman" w:eastAsia="Times New Roman" w:hint="default"/>
        </w:rPr>
      </w:r>
    </w:p>
    <w:p>
      <w:pPr>
        <w:pStyle w:val="BodyText"/>
        <w:spacing w:line="240" w:lineRule="auto" w:before="62"/>
        <w:ind w:right="982"/>
        <w:jc w:val="left"/>
      </w:pPr>
      <w:r>
        <w:rPr/>
        <w:t>万元，占比</w:t>
      </w:r>
      <w:r>
        <w:rPr>
          <w:rFonts w:ascii="Times New Roman" w:hAnsi="Times New Roman" w:cs="Times New Roman" w:eastAsia="Times New Roman" w:hint="default"/>
        </w:rPr>
        <w:t>51%</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日，本公司实缴出资款</w:t>
      </w:r>
      <w:r>
        <w:rPr>
          <w:rFonts w:ascii="Times New Roman" w:hAnsi="Times New Roman" w:cs="Times New Roman" w:eastAsia="Times New Roman" w:hint="default"/>
        </w:rPr>
        <w:t>734.40</w:t>
      </w:r>
      <w:r>
        <w:rPr/>
        <w:t>万元，尚未缴纳出资款</w:t>
      </w:r>
      <w:r>
        <w:rPr>
          <w:rFonts w:ascii="Times New Roman" w:hAnsi="Times New Roman" w:cs="Times New Roman" w:eastAsia="Times New Roman" w:hint="default"/>
        </w:rPr>
        <w:t>285.60</w:t>
      </w:r>
      <w:r>
        <w:rPr/>
        <w:t>万元。</w:t>
      </w:r>
    </w:p>
    <w:p>
      <w:pPr>
        <w:pStyle w:val="BodyText"/>
        <w:spacing w:line="300" w:lineRule="auto" w:before="62"/>
        <w:ind w:right="982"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日，本公司设立抚州五洋智慧交通产业发展有限公司。抚州五洋注册资本人民币</w:t>
      </w:r>
      <w:r>
        <w:rPr>
          <w:rFonts w:ascii="Times New Roman" w:hAnsi="Times New Roman" w:cs="Times New Roman" w:eastAsia="Times New Roman" w:hint="default"/>
        </w:rPr>
        <w:t>10,000</w:t>
      </w:r>
      <w:r>
        <w:rPr/>
        <w:t>万元，其中本公司 认缴</w:t>
      </w:r>
      <w:r>
        <w:rPr>
          <w:rFonts w:ascii="Times New Roman" w:hAnsi="Times New Roman" w:cs="Times New Roman" w:eastAsia="Times New Roman" w:hint="default"/>
        </w:rPr>
        <w:t>7,000</w:t>
      </w:r>
      <w:r>
        <w:rPr/>
        <w:t>万元，占比</w:t>
      </w:r>
      <w:r>
        <w:rPr>
          <w:rFonts w:ascii="Times New Roman" w:hAnsi="Times New Roman" w:cs="Times New Roman" w:eastAsia="Times New Roman" w:hint="default"/>
        </w:rPr>
        <w:t>70%</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日，本公司实缴出资款</w:t>
      </w:r>
      <w:r>
        <w:rPr>
          <w:rFonts w:ascii="Times New Roman" w:hAnsi="Times New Roman" w:cs="Times New Roman" w:eastAsia="Times New Roman" w:hint="default"/>
        </w:rPr>
        <w:t>210</w:t>
      </w:r>
      <w:r>
        <w:rPr/>
        <w:t>万元，尚未缴纳出资款</w:t>
      </w:r>
      <w:r>
        <w:rPr>
          <w:rFonts w:ascii="Times New Roman" w:hAnsi="Times New Roman" w:cs="Times New Roman" w:eastAsia="Times New Roman" w:hint="default"/>
        </w:rPr>
        <w:t>6,790</w:t>
      </w:r>
      <w:r>
        <w:rPr/>
        <w:t>万元。</w:t>
      </w:r>
    </w:p>
    <w:p>
      <w:pPr>
        <w:pStyle w:val="BodyText"/>
        <w:spacing w:line="300" w:lineRule="auto" w:before="13"/>
        <w:ind w:right="1131"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日，本公司设立徐州疌盛五洋智能装备产业基金合伙企业</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。徐州疌盛注册资本人民币</w:t>
      </w:r>
      <w:r>
        <w:rPr>
          <w:rFonts w:ascii="Times New Roman" w:hAnsi="Times New Roman" w:cs="Times New Roman" w:eastAsia="Times New Roman" w:hint="default"/>
        </w:rPr>
        <w:t>50,200</w:t>
      </w:r>
      <w:r>
        <w:rPr/>
        <w:t>万 </w:t>
      </w:r>
      <w:r>
        <w:rPr>
          <w:spacing w:val="-5"/>
        </w:rPr>
        <w:t>元，其中本公司认缴</w:t>
      </w:r>
      <w:r>
        <w:rPr>
          <w:rFonts w:ascii="Times New Roman" w:hAnsi="Times New Roman" w:cs="Times New Roman" w:eastAsia="Times New Roman" w:hint="default"/>
          <w:spacing w:val="-5"/>
        </w:rPr>
        <w:t>35,000</w:t>
      </w:r>
      <w:r>
        <w:rPr>
          <w:spacing w:val="-5"/>
        </w:rPr>
        <w:t>万元，占比</w:t>
      </w:r>
      <w:r>
        <w:rPr>
          <w:rFonts w:ascii="Times New Roman" w:hAnsi="Times New Roman" w:cs="Times New Roman" w:eastAsia="Times New Roman" w:hint="default"/>
          <w:spacing w:val="-5"/>
        </w:rPr>
        <w:t>69.72%</w:t>
      </w:r>
      <w:r>
        <w:rPr>
          <w:spacing w:val="-5"/>
        </w:rPr>
        <w:t>。截至</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日，本公司实缴出资款</w:t>
      </w:r>
      <w:r>
        <w:rPr>
          <w:rFonts w:ascii="Times New Roman" w:hAnsi="Times New Roman" w:cs="Times New Roman" w:eastAsia="Times New Roman" w:hint="default"/>
          <w:spacing w:val="-5"/>
        </w:rPr>
        <w:t>1,050</w:t>
      </w:r>
      <w:r>
        <w:rPr>
          <w:spacing w:val="-5"/>
        </w:rPr>
        <w:t>万元，尚未缴纳出资款</w:t>
      </w:r>
      <w:r>
        <w:rPr>
          <w:rFonts w:ascii="Times New Roman" w:hAnsi="Times New Roman" w:cs="Times New Roman" w:eastAsia="Times New Roman" w:hint="default"/>
          <w:spacing w:val="-5"/>
        </w:rPr>
        <w:t>33,950.00</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24"/>
        </w:rPr>
      </w:r>
      <w:r>
        <w:rPr/>
        <w:t>万元。</w:t>
      </w:r>
    </w:p>
    <w:p>
      <w:pPr>
        <w:pStyle w:val="BodyText"/>
        <w:spacing w:line="240" w:lineRule="auto" w:before="31"/>
        <w:ind w:left="440" w:right="982"/>
        <w:jc w:val="left"/>
      </w:pPr>
      <w:r>
        <w:rPr/>
        <w:t>截至资产负债表日，本公司除上述事项外不存在其他需要披露的重大承诺事项。</w:t>
      </w:r>
    </w:p>
    <w:p>
      <w:pPr>
        <w:spacing w:after="0" w:line="240" w:lineRule="auto"/>
        <w:jc w:val="left"/>
        <w:sectPr>
          <w:pgSz w:w="11910" w:h="16840"/>
          <w:pgMar w:header="745"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7"/>
        <w:ind w:right="982"/>
        <w:jc w:val="left"/>
        <w:rPr>
          <w:b w:val="0"/>
          <w:bCs w:val="0"/>
        </w:rPr>
      </w:pPr>
      <w:bookmarkStart w:name="2、或有事项" w:id="461"/>
      <w:bookmarkEnd w:id="461"/>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bookmarkStart w:name="（1）资产负债表日存在的重要或有事项" w:id="462"/>
      <w:bookmarkEnd w:id="462"/>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572" w:right="982"/>
        <w:jc w:val="left"/>
      </w:pPr>
      <w:r>
        <w:rPr>
          <w:rFonts w:ascii="Times New Roman" w:hAnsi="Times New Roman" w:cs="Times New Roman" w:eastAsia="Times New Roman" w:hint="default"/>
        </w:rPr>
        <w:t>1.</w:t>
      </w:r>
      <w:r>
        <w:rPr/>
        <w:t>未决诉讼</w:t>
      </w:r>
    </w:p>
    <w:p>
      <w:pPr>
        <w:pStyle w:val="BodyText"/>
        <w:spacing w:line="300" w:lineRule="auto" w:before="62"/>
        <w:ind w:left="513" w:right="982" w:hanging="1"/>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日，徐州市铜山区人民法院做出一审判决，判决书编号为</w:t>
      </w:r>
      <w:r>
        <w:rPr>
          <w:rFonts w:ascii="Times New Roman" w:hAnsi="Times New Roman" w:cs="Times New Roman" w:eastAsia="Times New Roman" w:hint="default"/>
        </w:rPr>
        <w:t>(2018)</w:t>
      </w:r>
      <w:r>
        <w:rPr/>
        <w:t>苏</w:t>
      </w:r>
      <w:r>
        <w:rPr>
          <w:rFonts w:ascii="Times New Roman" w:hAnsi="Times New Roman" w:cs="Times New Roman" w:eastAsia="Times New Roman" w:hint="default"/>
        </w:rPr>
        <w:t>0312</w:t>
      </w:r>
      <w:r>
        <w:rPr/>
        <w:t>民初</w:t>
      </w:r>
      <w:r>
        <w:rPr>
          <w:rFonts w:ascii="Times New Roman" w:hAnsi="Times New Roman" w:cs="Times New Roman" w:eastAsia="Times New Roman" w:hint="default"/>
        </w:rPr>
        <w:t>10005</w:t>
      </w:r>
      <w:r>
        <w:rPr/>
        <w:t>号。 </w:t>
      </w:r>
      <w:r>
        <w:rPr>
          <w:spacing w:val="-2"/>
        </w:rPr>
        <w:t>一审法院认定事实情况为：</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30</w:t>
      </w:r>
      <w:r>
        <w:rPr>
          <w:spacing w:val="-2"/>
        </w:rPr>
        <w:t>日，子公司天沃重工公司在为陕西清珊新型建材有限公司（以下简称清珊公司）</w:t>
      </w:r>
    </w:p>
    <w:p>
      <w:pPr>
        <w:pStyle w:val="BodyText"/>
        <w:spacing w:line="312" w:lineRule="auto" w:before="13"/>
        <w:ind w:left="153" w:right="1130"/>
        <w:jc w:val="both"/>
      </w:pPr>
      <w:r>
        <w:rPr>
          <w:spacing w:val="-2"/>
        </w:rPr>
        <w:t>调试设备的过程中，因操作不当，发生了沸腾炉爆燃的安全事故，造成包括清珊公司的两名员工在内的三人烧伤。本事故经</w:t>
      </w:r>
      <w:r>
        <w:rPr>
          <w:spacing w:val="-65"/>
        </w:rPr>
        <w:t> </w:t>
      </w:r>
      <w:r>
        <w:rPr>
          <w:spacing w:val="-65"/>
        </w:rPr>
      </w:r>
      <w:r>
        <w:rPr/>
        <w:t>汉阴县安监局及相关单位联合调查，认定本公司应对本起事故负主要责任。事故发生后，清珊公司为受伤人员垫付医药费</w:t>
      </w:r>
      <w:r>
        <w:rPr>
          <w:spacing w:val="-11"/>
        </w:rPr>
        <w:t> </w:t>
      </w:r>
      <w:r>
        <w:rPr>
          <w:spacing w:val="-11"/>
        </w:rPr>
      </w:r>
      <w:r>
        <w:rPr>
          <w:rFonts w:ascii="Times New Roman" w:hAnsi="Times New Roman" w:cs="Times New Roman" w:eastAsia="Times New Roman" w:hint="default"/>
        </w:rPr>
        <w:t>356.10</w:t>
      </w:r>
      <w:r>
        <w:rPr/>
        <w:t>万元，支付专人工资</w:t>
      </w:r>
      <w:r>
        <w:rPr>
          <w:rFonts w:ascii="Times New Roman" w:hAnsi="Times New Roman" w:cs="Times New Roman" w:eastAsia="Times New Roman" w:hint="default"/>
        </w:rPr>
        <w:t>2.70</w:t>
      </w:r>
      <w:r>
        <w:rPr/>
        <w:t>万元，垫付费用利息</w:t>
      </w:r>
      <w:r>
        <w:rPr>
          <w:rFonts w:ascii="Times New Roman" w:hAnsi="Times New Roman" w:cs="Times New Roman" w:eastAsia="Times New Roman" w:hint="default"/>
        </w:rPr>
        <w:t>26.07</w:t>
      </w:r>
      <w:r>
        <w:rPr/>
        <w:t>万元，发生停产损失</w:t>
      </w:r>
      <w:r>
        <w:rPr>
          <w:rFonts w:ascii="Times New Roman" w:hAnsi="Times New Roman" w:cs="Times New Roman" w:eastAsia="Times New Roman" w:hint="default"/>
        </w:rPr>
        <w:t>454.23</w:t>
      </w:r>
      <w:r>
        <w:rPr/>
        <w:t>万元。清珊公司认为上述损失应由本公 司赔偿。</w:t>
      </w:r>
    </w:p>
    <w:p>
      <w:pPr>
        <w:pStyle w:val="BodyText"/>
        <w:spacing w:line="300" w:lineRule="auto" w:before="22"/>
        <w:ind w:left="153" w:right="1131" w:firstLine="360"/>
        <w:jc w:val="both"/>
      </w:pPr>
      <w:r>
        <w:rPr/>
        <w:t>一审法院认定清珊公司的总损失为</w:t>
      </w:r>
      <w:r>
        <w:rPr>
          <w:rFonts w:ascii="Times New Roman" w:hAnsi="Times New Roman" w:cs="Times New Roman" w:eastAsia="Times New Roman" w:hint="default"/>
        </w:rPr>
        <w:t>2,806,561.84</w:t>
      </w:r>
      <w:r>
        <w:rPr/>
        <w:t>元，由本公司承担</w:t>
      </w:r>
      <w:r>
        <w:rPr>
          <w:rFonts w:ascii="Times New Roman" w:hAnsi="Times New Roman" w:cs="Times New Roman" w:eastAsia="Times New Roman" w:hint="default"/>
        </w:rPr>
        <w:t>70%</w:t>
      </w:r>
      <w:r>
        <w:rPr/>
        <w:t>的赔偿责任</w:t>
      </w:r>
      <w:r>
        <w:rPr>
          <w:rFonts w:ascii="Times New Roman" w:hAnsi="Times New Roman" w:cs="Times New Roman" w:eastAsia="Times New Roman" w:hint="default"/>
        </w:rPr>
        <w:t>1,964,593.29</w:t>
      </w:r>
      <w:r>
        <w:rPr/>
        <w:t>元，扣除各项垫付款后， 判赔清珊公司经济损失及费用共计人民币</w:t>
      </w:r>
      <w:r>
        <w:rPr>
          <w:rFonts w:ascii="Times New Roman" w:hAnsi="Times New Roman" w:cs="Times New Roman" w:eastAsia="Times New Roman" w:hint="default"/>
        </w:rPr>
        <w:t>1,766,739.06</w:t>
      </w:r>
      <w:r>
        <w:rPr/>
        <w:t>元。公司于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w:t>
      </w:r>
      <w:r>
        <w:rPr/>
        <w:t>日向徐州市铜山区人民法院提起上诉，诉求撤</w:t>
      </w:r>
      <w:r>
        <w:rPr>
          <w:spacing w:val="-47"/>
        </w:rPr>
        <w:t> </w:t>
      </w:r>
      <w:r>
        <w:rPr>
          <w:spacing w:val="-47"/>
        </w:rPr>
      </w:r>
      <w:r>
        <w:rPr/>
        <w:t>销一审判决结果。</w:t>
      </w:r>
    </w:p>
    <w:p>
      <w:pPr>
        <w:pStyle w:val="BodyText"/>
        <w:spacing w:line="300" w:lineRule="auto" w:before="31"/>
        <w:ind w:left="513" w:right="982"/>
        <w:jc w:val="left"/>
      </w:pPr>
      <w:r>
        <w:rPr/>
        <w:t>截至财务报表批准报出日，本案二审尚未开庭审理。公司账面已根据一审判决情况确认预计负债</w:t>
      </w:r>
      <w:r>
        <w:rPr>
          <w:rFonts w:ascii="Times New Roman" w:hAnsi="Times New Roman" w:cs="Times New Roman" w:eastAsia="Times New Roman" w:hint="default"/>
        </w:rPr>
        <w:t>1,766,739.06</w:t>
      </w:r>
      <w:r>
        <w:rPr/>
        <w:t>元。 </w:t>
      </w:r>
      <w:r>
        <w:rPr>
          <w:rFonts w:ascii="Times New Roman" w:hAnsi="Times New Roman" w:cs="Times New Roman" w:eastAsia="Times New Roman" w:hint="default"/>
        </w:rPr>
        <w:t>2.</w:t>
      </w:r>
      <w:r>
        <w:rPr/>
        <w:t>其他或有事项 </w:t>
      </w:r>
      <w:r>
        <w:rPr>
          <w:spacing w:val="-1"/>
        </w:rPr>
        <w:t>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日，公司已背书但尚未到期的商业承兑汇票余额为</w:t>
      </w:r>
      <w:r>
        <w:rPr>
          <w:rFonts w:ascii="Times New Roman" w:hAnsi="Times New Roman" w:cs="Times New Roman" w:eastAsia="Times New Roman" w:hint="default"/>
          <w:spacing w:val="-1"/>
        </w:rPr>
        <w:t>12,531,477.34</w:t>
      </w:r>
      <w:r>
        <w:rPr>
          <w:spacing w:val="-1"/>
        </w:rPr>
        <w:t>元，该等商业承兑汇票的承兑人为陕</w:t>
      </w:r>
    </w:p>
    <w:p>
      <w:pPr>
        <w:pStyle w:val="BodyText"/>
        <w:spacing w:line="316" w:lineRule="auto" w:before="13"/>
        <w:ind w:left="153" w:right="982"/>
        <w:jc w:val="left"/>
      </w:pPr>
      <w:r>
        <w:rPr>
          <w:spacing w:val="-2"/>
        </w:rPr>
        <w:t>西煤业物资有限责任公司榆林分公司、开滦（集团）有限责任公司物资分公司、陕西陕煤韩城矿业有限公司、南京世茂房地</w:t>
      </w:r>
      <w:r>
        <w:rPr>
          <w:spacing w:val="-65"/>
        </w:rPr>
        <w:t> </w:t>
      </w:r>
      <w:r>
        <w:rPr>
          <w:spacing w:val="-65"/>
        </w:rPr>
      </w:r>
      <w:r>
        <w:rPr>
          <w:spacing w:val="-2"/>
        </w:rPr>
        <w:t>产开发有限公司、桂林桂加房地产有限公司、东莞市城邦房地产开发有限公司、万科企业股份有限公司、南京京御幸福房地</w:t>
      </w:r>
      <w:r>
        <w:rPr>
          <w:spacing w:val="-65"/>
        </w:rPr>
        <w:t> </w:t>
      </w:r>
      <w:r>
        <w:rPr>
          <w:spacing w:val="-65"/>
        </w:rPr>
      </w:r>
      <w:r>
        <w:rPr>
          <w:spacing w:val="-2"/>
        </w:rPr>
        <w:t>产开发有限公司、万宁南山融创实业有限公司、南京海峡城开发建设有限公司、牡丹江雅商建材贸易有限公司、南宁市万科</w:t>
      </w:r>
      <w:r>
        <w:rPr>
          <w:spacing w:val="-65"/>
        </w:rPr>
        <w:t> </w:t>
      </w:r>
      <w:r>
        <w:rPr>
          <w:spacing w:val="-65"/>
        </w:rPr>
      </w:r>
      <w:r>
        <w:rPr>
          <w:spacing w:val="-2"/>
        </w:rPr>
        <w:t>朗润房地产有限公司，由于承兑人具有较好的信用，故本公司将已背书的商业承兑汇票予以终止确认。但如果该等票据到期</w:t>
      </w:r>
      <w:r>
        <w:rPr>
          <w:spacing w:val="-63"/>
        </w:rPr>
        <w:t> </w:t>
      </w:r>
      <w:r>
        <w:rPr>
          <w:spacing w:val="-63"/>
        </w:rPr>
      </w:r>
      <w:r>
        <w:rPr/>
        <w:t>不获支付，依据《票据法》之规定，公司仍将对持票人承担连带责任。 截至资产负债表日，本公司除上述事项外不存在其他需要披露的重大或有事项。</w:t>
      </w:r>
    </w:p>
    <w:p>
      <w:pPr>
        <w:spacing w:line="240" w:lineRule="auto" w:before="11"/>
        <w:rPr>
          <w:rFonts w:ascii="宋体" w:hAnsi="宋体" w:cs="宋体" w:eastAsia="宋体" w:hint="default"/>
          <w:sz w:val="22"/>
          <w:szCs w:val="22"/>
        </w:rPr>
      </w:pPr>
    </w:p>
    <w:p>
      <w:pPr>
        <w:pStyle w:val="Heading3"/>
        <w:spacing w:line="240" w:lineRule="auto"/>
        <w:ind w:right="982"/>
        <w:jc w:val="left"/>
        <w:rPr>
          <w:b w:val="0"/>
          <w:bCs w:val="0"/>
        </w:rPr>
      </w:pPr>
      <w:bookmarkStart w:name="（2）公司没有需要披露的重要或有事项，也应予以说明" w:id="463"/>
      <w:bookmarkEnd w:id="463"/>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624" w:lineRule="exact" w:before="55"/>
        <w:ind w:left="152" w:right="7694" w:firstLine="0"/>
        <w:jc w:val="left"/>
        <w:rPr>
          <w:rFonts w:ascii="宋体" w:hAnsi="宋体" w:cs="宋体" w:eastAsia="宋体" w:hint="default"/>
          <w:sz w:val="24"/>
          <w:szCs w:val="24"/>
        </w:rPr>
      </w:pPr>
      <w:r>
        <w:rPr>
          <w:rFonts w:ascii="宋体" w:hAnsi="宋体" w:cs="宋体" w:eastAsia="宋体" w:hint="default"/>
          <w:sz w:val="18"/>
          <w:szCs w:val="18"/>
        </w:rPr>
        <w:t>公司不存在需要披露的重要或有事项。 </w:t>
      </w:r>
      <w:bookmarkStart w:name="3、其他" w:id="464"/>
      <w:bookmarkEnd w:id="464"/>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五、资产负债表日后事项" w:id="465"/>
      <w:bookmarkEnd w:id="465"/>
      <w:r>
        <w:rPr>
          <w:rFonts w:ascii="宋体" w:hAnsi="宋体" w:cs="宋体" w:eastAsia="宋体" w:hint="default"/>
          <w:b/>
          <w:bCs/>
          <w:w w:val="100"/>
          <w:sz w:val="21"/>
          <w:szCs w:val="21"/>
        </w:rPr>
      </w:r>
      <w:r>
        <w:rPr>
          <w:rFonts w:ascii="宋体" w:hAnsi="宋体" w:cs="宋体" w:eastAsia="宋体" w:hint="default"/>
          <w:b/>
          <w:bCs/>
          <w:sz w:val="24"/>
          <w:szCs w:val="24"/>
        </w:rPr>
        <w:t>十五、资产负债表日后事项</w:t>
      </w:r>
      <w:r>
        <w:rPr>
          <w:rFonts w:ascii="宋体" w:hAnsi="宋体" w:cs="宋体" w:eastAsia="宋体" w:hint="default"/>
          <w:sz w:val="24"/>
          <w:szCs w:val="24"/>
        </w:rPr>
      </w:r>
    </w:p>
    <w:p>
      <w:pPr>
        <w:spacing w:line="240" w:lineRule="auto" w:before="12"/>
        <w:rPr>
          <w:rFonts w:ascii="宋体" w:hAnsi="宋体" w:cs="宋体" w:eastAsia="宋体" w:hint="default"/>
          <w:b/>
          <w:bCs/>
          <w:sz w:val="17"/>
          <w:szCs w:val="17"/>
        </w:rPr>
      </w:pPr>
    </w:p>
    <w:p>
      <w:pPr>
        <w:pStyle w:val="Heading3"/>
        <w:spacing w:line="240" w:lineRule="auto"/>
        <w:ind w:right="982"/>
        <w:jc w:val="left"/>
        <w:rPr>
          <w:b w:val="0"/>
          <w:bCs w:val="0"/>
        </w:rPr>
      </w:pPr>
      <w:bookmarkStart w:name="1、重要的非调整事项" w:id="466"/>
      <w:bookmarkEnd w:id="466"/>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2"/>
        <w:gridCol w:w="2294"/>
        <w:gridCol w:w="2390"/>
        <w:gridCol w:w="2390"/>
      </w:tblGrid>
      <w:tr>
        <w:trPr>
          <w:trHeight w:val="714"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010" w:right="108"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4"/>
        <w:rPr>
          <w:rFonts w:ascii="宋体" w:hAnsi="宋体" w:cs="宋体" w:eastAsia="宋体" w:hint="default"/>
          <w:sz w:val="19"/>
          <w:szCs w:val="19"/>
        </w:rPr>
      </w:pPr>
    </w:p>
    <w:p>
      <w:pPr>
        <w:pStyle w:val="Heading3"/>
        <w:spacing w:line="240" w:lineRule="auto" w:before="36"/>
        <w:ind w:right="982"/>
        <w:jc w:val="left"/>
        <w:rPr>
          <w:b w:val="0"/>
          <w:bCs w:val="0"/>
        </w:rPr>
      </w:pPr>
      <w:bookmarkStart w:name="2、利润分配情况" w:id="467"/>
      <w:bookmarkEnd w:id="467"/>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after="0" w:line="240" w:lineRule="auto"/>
        <w:jc w:val="right"/>
        <w:sectPr>
          <w:pgSz w:w="11910" w:h="16840"/>
          <w:pgMar w:header="745"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bookmarkStart w:name="3、销售退回" w:id="468"/>
      <w:bookmarkEnd w:id="468"/>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bookmarkStart w:name="4、其他资产负债表日后事项说明" w:id="469"/>
      <w:bookmarkEnd w:id="469"/>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2"/>
        <w:rPr>
          <w:rFonts w:ascii="宋体" w:hAnsi="宋体" w:cs="宋体" w:eastAsia="宋体" w:hint="default"/>
          <w:b/>
          <w:bCs/>
          <w:sz w:val="26"/>
          <w:szCs w:val="26"/>
        </w:rPr>
      </w:pPr>
    </w:p>
    <w:p>
      <w:pPr>
        <w:pStyle w:val="BodyText"/>
        <w:spacing w:line="309" w:lineRule="auto" w:before="0"/>
        <w:ind w:right="982"/>
        <w:jc w:val="left"/>
      </w:pPr>
      <w:r>
        <w:rPr/>
        <w:t>（一）重要的非调整事项 </w:t>
      </w:r>
      <w:r>
        <w:rPr>
          <w:spacing w:val="-1"/>
        </w:rPr>
        <w:t>经公司第三届董事会第十四次会议审议通过，公司拟申请非公开发行社会公众股（</w:t>
      </w:r>
      <w:r>
        <w:rPr>
          <w:rFonts w:ascii="Times New Roman" w:hAnsi="Times New Roman" w:cs="Times New Roman" w:eastAsia="Times New Roman" w:hint="default"/>
          <w:spacing w:val="-1"/>
        </w:rPr>
        <w:t>A</w:t>
      </w:r>
      <w:r>
        <w:rPr>
          <w:spacing w:val="-1"/>
        </w:rPr>
        <w:t>股）不超过</w:t>
      </w:r>
      <w:r>
        <w:rPr>
          <w:rFonts w:ascii="Times New Roman" w:hAnsi="Times New Roman" w:cs="Times New Roman" w:eastAsia="Times New Roman" w:hint="default"/>
          <w:spacing w:val="-1"/>
        </w:rPr>
        <w:t>14,312.61</w:t>
      </w:r>
      <w:r>
        <w:rPr>
          <w:spacing w:val="-1"/>
        </w:rPr>
        <w:t>万股（以中国证监</w:t>
      </w:r>
      <w:r>
        <w:rPr>
          <w:spacing w:val="-68"/>
        </w:rPr>
        <w:t> </w:t>
      </w:r>
      <w:r>
        <w:rPr>
          <w:spacing w:val="-68"/>
        </w:rPr>
      </w:r>
      <w:r>
        <w:rPr/>
        <w:t>会最后核准额度为准），并申请在深圳证券交易所上市流通。</w:t>
      </w:r>
    </w:p>
    <w:p>
      <w:pPr>
        <w:pStyle w:val="BodyText"/>
        <w:spacing w:line="240" w:lineRule="auto" w:before="24"/>
        <w:ind w:right="982"/>
        <w:jc w:val="left"/>
      </w:pPr>
      <w:r>
        <w:rPr/>
        <w:t>（二）资产负债表日后利润分配情况</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985"/>
        <w:gridCol w:w="5102"/>
      </w:tblGrid>
      <w:tr>
        <w:trPr>
          <w:trHeight w:val="1596"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77"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510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17"/>
              <w:ind w:left="4" w:right="-4"/>
              <w:jc w:val="both"/>
              <w:rPr>
                <w:rFonts w:ascii="宋体" w:hAnsi="宋体" w:cs="宋体" w:eastAsia="宋体" w:hint="default"/>
                <w:sz w:val="18"/>
                <w:szCs w:val="18"/>
              </w:rPr>
            </w:pPr>
            <w:r>
              <w:rPr>
                <w:rFonts w:ascii="宋体" w:hAnsi="宋体" w:cs="宋体" w:eastAsia="宋体" w:hint="default"/>
                <w:sz w:val="18"/>
                <w:szCs w:val="18"/>
              </w:rPr>
              <w:t>根据公司第三届董事会第十四次会议审议通过的</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年度利润分</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配预案，以股本</w:t>
            </w:r>
            <w:r>
              <w:rPr>
                <w:rFonts w:ascii="Times New Roman" w:hAnsi="Times New Roman" w:cs="Times New Roman" w:eastAsia="Times New Roman" w:hint="default"/>
                <w:sz w:val="18"/>
                <w:szCs w:val="18"/>
              </w:rPr>
              <w:t>715,630,489</w:t>
            </w:r>
            <w:r>
              <w:rPr>
                <w:rFonts w:ascii="宋体" w:hAnsi="宋体" w:cs="宋体" w:eastAsia="宋体" w:hint="default"/>
                <w:sz w:val="18"/>
                <w:szCs w:val="18"/>
              </w:rPr>
              <w:t>股为基数，向全体股东每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股派发现</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3"/>
                <w:sz w:val="18"/>
                <w:szCs w:val="18"/>
              </w:rPr>
              <w:t>金红利</w:t>
            </w:r>
            <w:r>
              <w:rPr>
                <w:rFonts w:ascii="Times New Roman" w:hAnsi="Times New Roman" w:cs="Times New Roman" w:eastAsia="Times New Roman" w:hint="default"/>
                <w:spacing w:val="3"/>
                <w:sz w:val="18"/>
                <w:szCs w:val="18"/>
              </w:rPr>
              <w:t>0.37</w:t>
            </w:r>
            <w:r>
              <w:rPr>
                <w:rFonts w:ascii="宋体" w:hAnsi="宋体" w:cs="宋体" w:eastAsia="宋体" w:hint="default"/>
                <w:spacing w:val="3"/>
                <w:sz w:val="18"/>
                <w:szCs w:val="18"/>
              </w:rPr>
              <w:t>元（含税），合计派发现金红利人民币</w:t>
            </w:r>
            <w:r>
              <w:rPr>
                <w:rFonts w:ascii="Times New Roman" w:hAnsi="Times New Roman" w:cs="Times New Roman" w:eastAsia="Times New Roman" w:hint="default"/>
                <w:spacing w:val="3"/>
                <w:sz w:val="18"/>
                <w:szCs w:val="18"/>
              </w:rPr>
              <w:t>26,478,328.09</w:t>
            </w:r>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pacing w:val="-37"/>
                <w:sz w:val="18"/>
                <w:szCs w:val="18"/>
              </w:rPr>
            </w:r>
            <w:r>
              <w:rPr>
                <w:rFonts w:ascii="宋体" w:hAnsi="宋体" w:cs="宋体" w:eastAsia="宋体" w:hint="default"/>
                <w:sz w:val="18"/>
                <w:szCs w:val="18"/>
              </w:rPr>
              <w:t>元（含税），剩余未分配利润结转以后年度。上述事项尚需公司</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股东大会审议。</w:t>
            </w:r>
          </w:p>
        </w:tc>
      </w:tr>
    </w:tbl>
    <w:p>
      <w:pPr>
        <w:pStyle w:val="BodyText"/>
        <w:spacing w:line="240" w:lineRule="auto" w:before="8"/>
        <w:ind w:right="982"/>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日，除上述事项外，本公司不存在其他需要披露的资产负债表日后事项。</w:t>
      </w:r>
    </w:p>
    <w:p>
      <w:pPr>
        <w:spacing w:line="240" w:lineRule="auto" w:before="3"/>
        <w:rPr>
          <w:rFonts w:ascii="宋体" w:hAnsi="宋体" w:cs="宋体" w:eastAsia="宋体" w:hint="default"/>
          <w:sz w:val="24"/>
          <w:szCs w:val="24"/>
        </w:rPr>
      </w:pPr>
    </w:p>
    <w:p>
      <w:pPr>
        <w:pStyle w:val="Heading2"/>
        <w:spacing w:line="240" w:lineRule="auto"/>
        <w:ind w:right="982"/>
        <w:jc w:val="left"/>
        <w:rPr>
          <w:b w:val="0"/>
          <w:bCs w:val="0"/>
        </w:rPr>
      </w:pPr>
      <w:bookmarkStart w:name="十六、其他重要事项" w:id="470"/>
      <w:bookmarkEnd w:id="470"/>
      <w:r>
        <w:rPr>
          <w:b w:val="0"/>
          <w:bCs w:val="0"/>
        </w:rPr>
      </w:r>
      <w:r>
        <w:rPr/>
        <w:t>十六、其他重要事项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82"/>
        <w:jc w:val="left"/>
        <w:rPr>
          <w:b w:val="0"/>
          <w:bCs w:val="0"/>
        </w:rPr>
      </w:pPr>
      <w:bookmarkStart w:name="1、前期会计差错更正" w:id="471"/>
      <w:bookmarkEnd w:id="471"/>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bookmarkStart w:name="（1）追溯重述法" w:id="472"/>
      <w:bookmarkEnd w:id="472"/>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2"/>
        <w:gridCol w:w="2294"/>
        <w:gridCol w:w="2390"/>
        <w:gridCol w:w="2390"/>
      </w:tblGrid>
      <w:tr>
        <w:trPr>
          <w:trHeight w:val="715"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830" w:right="108"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bookmarkStart w:name="（2）未来适用法" w:id="473"/>
      <w:bookmarkEnd w:id="473"/>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3"/>
        <w:gridCol w:w="3060"/>
        <w:gridCol w:w="3185"/>
      </w:tblGrid>
      <w:tr>
        <w:trPr>
          <w:trHeight w:val="402"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3"/>
        <w:spacing w:line="240" w:lineRule="auto" w:before="36"/>
        <w:ind w:right="982"/>
        <w:jc w:val="left"/>
        <w:rPr>
          <w:b w:val="0"/>
          <w:bCs w:val="0"/>
        </w:rPr>
      </w:pPr>
      <w:bookmarkStart w:name="2、债务重组" w:id="474"/>
      <w:bookmarkEnd w:id="474"/>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bookmarkStart w:name="3、资产置换" w:id="475"/>
      <w:bookmarkEnd w:id="475"/>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bookmarkStart w:name="（1）非货币性资产交换" w:id="476"/>
      <w:bookmarkEnd w:id="476"/>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bookmarkStart w:name="（2）其他资产置换" w:id="477"/>
      <w:bookmarkEnd w:id="477"/>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bookmarkStart w:name="4、年金计划" w:id="478"/>
      <w:bookmarkEnd w:id="478"/>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bookmarkStart w:name="5、终止经营" w:id="479"/>
      <w:bookmarkEnd w:id="479"/>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57"/>
      </w:tblGrid>
      <w:tr>
        <w:trPr>
          <w:trHeight w:val="674"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7" w:right="37"/>
              <w:jc w:val="left"/>
              <w:rPr>
                <w:rFonts w:ascii="宋体" w:hAnsi="宋体" w:cs="宋体" w:eastAsia="宋体" w:hint="default"/>
                <w:sz w:val="18"/>
                <w:szCs w:val="18"/>
              </w:rPr>
            </w:pPr>
            <w:r>
              <w:rPr>
                <w:rFonts w:ascii="宋体" w:hAnsi="宋体" w:cs="宋体" w:eastAsia="宋体" w:hint="default"/>
                <w:sz w:val="18"/>
                <w:szCs w:val="18"/>
              </w:rPr>
              <w:t>归属于母公司所 有者的终止经营</w:t>
            </w:r>
          </w:p>
        </w:tc>
      </w:tr>
    </w:tbl>
    <w:p>
      <w:pPr>
        <w:spacing w:after="0" w:line="316" w:lineRule="auto"/>
        <w:jc w:val="left"/>
        <w:rPr>
          <w:rFonts w:ascii="宋体" w:hAnsi="宋体" w:cs="宋体" w:eastAsia="宋体" w:hint="default"/>
          <w:sz w:val="18"/>
          <w:szCs w:val="18"/>
        </w:rPr>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57"/>
      </w:tblGrid>
      <w:tr>
        <w:trPr>
          <w:trHeight w:val="362"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利润</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bookmarkStart w:name="6、分部信息" w:id="480"/>
      <w:bookmarkEnd w:id="480"/>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bookmarkStart w:name="（1）报告分部的确定依据与会计政策" w:id="481"/>
      <w:bookmarkEnd w:id="481"/>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982" w:firstLine="419"/>
        <w:jc w:val="left"/>
      </w:pPr>
      <w:r>
        <w:rPr/>
        <w:t>公司以内部组织结构、管理要求、内部报告制度等为依据确定报告分部。公司的经营分部是指同时满足下列条件的组 成部分：</w:t>
      </w:r>
    </w:p>
    <w:p>
      <w:pPr>
        <w:pStyle w:val="BodyText"/>
        <w:spacing w:line="240" w:lineRule="auto" w:before="18"/>
        <w:ind w:left="572" w:right="98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该组成部分能够在日常活动中产生收入、发生费用；</w:t>
      </w:r>
    </w:p>
    <w:p>
      <w:pPr>
        <w:pStyle w:val="BodyText"/>
        <w:spacing w:line="240" w:lineRule="auto" w:before="62"/>
        <w:ind w:left="572" w:right="98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管理层能够定期评价该组成部分的经营成果，以决定向其配置资源、评价其业绩；</w:t>
      </w:r>
    </w:p>
    <w:p>
      <w:pPr>
        <w:pStyle w:val="BodyText"/>
        <w:spacing w:line="300" w:lineRule="auto" w:before="62"/>
        <w:ind w:left="368" w:right="982" w:firstLine="144"/>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能够通过分析取得该组成部分的财务状况、经营成果和现金流量等有关会计信息。</w:t>
      </w:r>
      <w:r>
        <w:rPr>
          <w:w w:val="99"/>
        </w:rPr>
        <w:t> </w:t>
      </w:r>
      <w:r>
        <w:rPr/>
        <w:t>本公司以产品分部为基础确定报告分部，与各分部共同使用的资产、负债因相关业务混合经营，故无法对各分部使用的</w:t>
      </w:r>
    </w:p>
    <w:p>
      <w:pPr>
        <w:pStyle w:val="BodyText"/>
        <w:spacing w:line="240" w:lineRule="auto" w:before="31"/>
        <w:ind w:right="982"/>
        <w:jc w:val="left"/>
      </w:pPr>
      <w:r>
        <w:rPr/>
        <w:t>资产、负债进行分配。</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bookmarkStart w:name="（2）报告分部的财务信息" w:id="482"/>
      <w:bookmarkEnd w:id="482"/>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02"/>
        <w:gridCol w:w="1925"/>
        <w:gridCol w:w="1915"/>
        <w:gridCol w:w="1913"/>
        <w:gridCol w:w="1915"/>
      </w:tblGrid>
      <w:tr>
        <w:trPr>
          <w:trHeight w:val="401" w:hRule="exact"/>
        </w:trPr>
        <w:tc>
          <w:tcPr>
            <w:tcW w:w="1902" w:type="dxa"/>
            <w:tcBorders>
              <w:top w:val="single" w:sz="4" w:space="0" w:color="000000"/>
              <w:left w:val="single" w:sz="4" w:space="0" w:color="000000"/>
              <w:bottom w:val="single" w:sz="4" w:space="0" w:color="000000"/>
              <w:right w:val="single" w:sz="13" w:space="0" w:color="E1FFFF"/>
            </w:tcBorders>
            <w:shd w:val="clear" w:color="auto" w:fill="D4D4D4"/>
          </w:tcPr>
          <w:p>
            <w:pPr>
              <w:pStyle w:val="TableParagraph"/>
              <w:spacing w:line="240" w:lineRule="auto" w:before="49"/>
              <w:ind w:left="2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5" w:type="dxa"/>
            <w:tcBorders>
              <w:top w:val="single" w:sz="4" w:space="0" w:color="000000"/>
              <w:left w:val="single" w:sz="10" w:space="0" w:color="D4D4D4"/>
              <w:bottom w:val="single" w:sz="4" w:space="0" w:color="000000"/>
              <w:right w:val="single" w:sz="4" w:space="0" w:color="000000"/>
            </w:tcBorders>
            <w:shd w:val="clear" w:color="auto" w:fill="E1FFFF"/>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0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主体车库及其安装服务</w:t>
            </w:r>
          </w:p>
        </w:tc>
        <w:tc>
          <w:tcPr>
            <w:tcW w:w="1925"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621,405,350.29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399,562,831.46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0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成套生产线及安装服务</w:t>
            </w:r>
          </w:p>
        </w:tc>
        <w:tc>
          <w:tcPr>
            <w:tcW w:w="1925"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173,359,382.03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131,123,633.71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散料搬运核心装置</w:t>
            </w:r>
          </w:p>
        </w:tc>
        <w:tc>
          <w:tcPr>
            <w:tcW w:w="1925"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111,694,400.68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63,430,032.89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0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混凝土搅拌站</w:t>
            </w:r>
          </w:p>
        </w:tc>
        <w:tc>
          <w:tcPr>
            <w:tcW w:w="1925"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75,860,014.71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46,269,513.63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管型母线</w:t>
            </w:r>
          </w:p>
        </w:tc>
        <w:tc>
          <w:tcPr>
            <w:tcW w:w="1925"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3,975,914.47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2,289,094.92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0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22" w:right="67"/>
              <w:jc w:val="left"/>
              <w:rPr>
                <w:rFonts w:ascii="宋体" w:hAnsi="宋体" w:cs="宋体" w:eastAsia="宋体" w:hint="default"/>
                <w:sz w:val="18"/>
                <w:szCs w:val="18"/>
              </w:rPr>
            </w:pPr>
            <w:r>
              <w:rPr>
                <w:rFonts w:ascii="宋体" w:hAnsi="宋体" w:cs="宋体" w:eastAsia="宋体" w:hint="default"/>
                <w:sz w:val="18"/>
                <w:szCs w:val="18"/>
              </w:rPr>
              <w:t>固态电子盘及其他存储 设备</w:t>
            </w:r>
          </w:p>
        </w:tc>
        <w:tc>
          <w:tcPr>
            <w:tcW w:w="1925"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5,334,838.13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2,919,445.20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融资租赁利息收入</w:t>
            </w:r>
          </w:p>
        </w:tc>
        <w:tc>
          <w:tcPr>
            <w:tcW w:w="1925"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3,157,622.45</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0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停车场运营</w:t>
            </w:r>
          </w:p>
        </w:tc>
        <w:tc>
          <w:tcPr>
            <w:tcW w:w="1925"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2,192,735.09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2,374,774.48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25"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1,370.71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1,101.74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5"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996,981,628.56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647,970,428.03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bookmarkStart w:name="（3）公司无报告分部的，或者不能披露各报告分部的资产总额和负债总额的，应说明原因" w:id="483"/>
      <w:bookmarkEnd w:id="483"/>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after="0" w:line="240" w:lineRule="auto"/>
        <w:jc w:val="left"/>
        <w:sectPr>
          <w:pgSz w:w="11910" w:h="16840"/>
          <w:pgMar w:header="745" w:footer="982" w:top="1060" w:bottom="1180" w:left="980" w:right="0"/>
        </w:sectPr>
      </w:pPr>
    </w:p>
    <w:p>
      <w:pPr>
        <w:spacing w:line="240" w:lineRule="auto" w:before="10"/>
        <w:rPr>
          <w:rFonts w:ascii="宋体" w:hAnsi="宋体" w:cs="宋体" w:eastAsia="宋体" w:hint="default"/>
          <w:b/>
          <w:bCs/>
          <w:sz w:val="24"/>
          <w:szCs w:val="24"/>
        </w:rPr>
      </w:pPr>
    </w:p>
    <w:p>
      <w:pPr>
        <w:pStyle w:val="Heading3"/>
        <w:spacing w:line="240" w:lineRule="auto" w:before="36"/>
        <w:ind w:right="982"/>
        <w:jc w:val="left"/>
        <w:rPr>
          <w:b w:val="0"/>
          <w:bCs w:val="0"/>
        </w:rPr>
      </w:pPr>
      <w:bookmarkStart w:name="（4）其他说明" w:id="484"/>
      <w:bookmarkEnd w:id="484"/>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2"/>
        <w:jc w:val="left"/>
        <w:rPr>
          <w:b w:val="0"/>
          <w:bCs w:val="0"/>
        </w:rPr>
      </w:pPr>
      <w:bookmarkStart w:name="7、其他对投资者决策有影响的重要交易和事项" w:id="485"/>
      <w:bookmarkEnd w:id="485"/>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2"/>
        <w:rPr>
          <w:rFonts w:ascii="宋体" w:hAnsi="宋体" w:cs="宋体" w:eastAsia="宋体" w:hint="default"/>
          <w:b/>
          <w:bCs/>
          <w:sz w:val="26"/>
          <w:szCs w:val="26"/>
        </w:rPr>
      </w:pPr>
    </w:p>
    <w:p>
      <w:pPr>
        <w:pStyle w:val="BodyText"/>
        <w:spacing w:line="300" w:lineRule="auto" w:before="0"/>
        <w:ind w:left="572" w:right="6014"/>
        <w:jc w:val="left"/>
      </w:pPr>
      <w:r>
        <w:rPr>
          <w:rFonts w:ascii="Times New Roman" w:hAnsi="Times New Roman" w:cs="Times New Roman" w:eastAsia="Times New Roman" w:hint="default"/>
        </w:rPr>
        <w:t>1.</w:t>
      </w:r>
      <w:r>
        <w:rPr/>
        <w:t>股权质押情况 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日，前十名股东股权质押情况如下：</w:t>
      </w:r>
    </w:p>
    <w:tbl>
      <w:tblPr>
        <w:tblW w:w="0" w:type="auto"/>
        <w:jc w:val="left"/>
        <w:tblInd w:w="145" w:type="dxa"/>
        <w:tblLayout w:type="fixed"/>
        <w:tblCellMar>
          <w:top w:w="0" w:type="dxa"/>
          <w:left w:w="0" w:type="dxa"/>
          <w:bottom w:w="0" w:type="dxa"/>
          <w:right w:w="0" w:type="dxa"/>
        </w:tblCellMar>
        <w:tblLook w:val="01E0"/>
      </w:tblPr>
      <w:tblGrid>
        <w:gridCol w:w="900"/>
        <w:gridCol w:w="1481"/>
        <w:gridCol w:w="818"/>
        <w:gridCol w:w="1481"/>
        <w:gridCol w:w="924"/>
        <w:gridCol w:w="850"/>
        <w:gridCol w:w="1210"/>
        <w:gridCol w:w="1483"/>
      </w:tblGrid>
      <w:tr>
        <w:trPr>
          <w:trHeight w:val="660" w:hRule="exact"/>
        </w:trPr>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股东姓名</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94" w:right="0"/>
              <w:jc w:val="left"/>
              <w:rPr>
                <w:rFonts w:ascii="宋体" w:hAnsi="宋体" w:cs="宋体" w:eastAsia="宋体" w:hint="default"/>
                <w:sz w:val="18"/>
                <w:szCs w:val="18"/>
              </w:rPr>
            </w:pPr>
            <w:r>
              <w:rPr>
                <w:rFonts w:ascii="宋体" w:hAnsi="宋体" w:cs="宋体" w:eastAsia="宋体" w:hint="default"/>
                <w:sz w:val="18"/>
                <w:szCs w:val="18"/>
              </w:rPr>
              <w:t>持有公司股份</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131" w:right="130"/>
              <w:jc w:val="left"/>
              <w:rPr>
                <w:rFonts w:ascii="宋体" w:hAnsi="宋体" w:cs="宋体" w:eastAsia="宋体" w:hint="default"/>
                <w:sz w:val="18"/>
                <w:szCs w:val="18"/>
              </w:rPr>
            </w:pPr>
            <w:r>
              <w:rPr>
                <w:rFonts w:ascii="宋体" w:hAnsi="宋体" w:cs="宋体" w:eastAsia="宋体" w:hint="default"/>
                <w:sz w:val="18"/>
                <w:szCs w:val="18"/>
              </w:rPr>
              <w:t>占注册 资本比</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74" w:right="0"/>
              <w:jc w:val="left"/>
              <w:rPr>
                <w:rFonts w:ascii="宋体" w:hAnsi="宋体" w:cs="宋体" w:eastAsia="宋体" w:hint="default"/>
                <w:sz w:val="18"/>
                <w:szCs w:val="18"/>
              </w:rPr>
            </w:pPr>
            <w:r>
              <w:rPr>
                <w:rFonts w:ascii="宋体" w:hAnsi="宋体" w:cs="宋体" w:eastAsia="宋体" w:hint="default"/>
                <w:sz w:val="18"/>
                <w:szCs w:val="18"/>
              </w:rPr>
              <w:t>质押股份</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5" w:right="0"/>
              <w:jc w:val="left"/>
              <w:rPr>
                <w:rFonts w:ascii="宋体" w:hAnsi="宋体" w:cs="宋体" w:eastAsia="宋体" w:hint="default"/>
                <w:sz w:val="18"/>
                <w:szCs w:val="18"/>
              </w:rPr>
            </w:pPr>
            <w:r>
              <w:rPr>
                <w:rFonts w:ascii="宋体" w:hAnsi="宋体" w:cs="宋体" w:eastAsia="宋体" w:hint="default"/>
                <w:sz w:val="18"/>
                <w:szCs w:val="18"/>
              </w:rPr>
              <w:t>占个人比</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57" w:right="55"/>
              <w:jc w:val="left"/>
              <w:rPr>
                <w:rFonts w:ascii="宋体" w:hAnsi="宋体" w:cs="宋体" w:eastAsia="宋体" w:hint="default"/>
                <w:sz w:val="18"/>
                <w:szCs w:val="18"/>
              </w:rPr>
            </w:pPr>
            <w:r>
              <w:rPr>
                <w:rFonts w:ascii="宋体" w:hAnsi="宋体" w:cs="宋体" w:eastAsia="宋体" w:hint="default"/>
                <w:sz w:val="18"/>
                <w:szCs w:val="18"/>
              </w:rPr>
              <w:t>占注册资 本的比例</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37" w:right="0"/>
              <w:jc w:val="left"/>
              <w:rPr>
                <w:rFonts w:ascii="宋体" w:hAnsi="宋体" w:cs="宋体" w:eastAsia="宋体" w:hint="default"/>
                <w:sz w:val="18"/>
                <w:szCs w:val="18"/>
              </w:rPr>
            </w:pPr>
            <w:r>
              <w:rPr>
                <w:rFonts w:ascii="宋体" w:hAnsi="宋体" w:cs="宋体" w:eastAsia="宋体" w:hint="default"/>
                <w:sz w:val="18"/>
                <w:szCs w:val="18"/>
              </w:rPr>
              <w:t>质押权人</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76" w:right="0"/>
              <w:jc w:val="left"/>
              <w:rPr>
                <w:rFonts w:ascii="宋体" w:hAnsi="宋体" w:cs="宋体" w:eastAsia="宋体" w:hint="default"/>
                <w:sz w:val="18"/>
                <w:szCs w:val="18"/>
              </w:rPr>
            </w:pPr>
            <w:r>
              <w:rPr>
                <w:rFonts w:ascii="宋体" w:hAnsi="宋体" w:cs="宋体" w:eastAsia="宋体" w:hint="default"/>
                <w:sz w:val="18"/>
                <w:szCs w:val="18"/>
              </w:rPr>
              <w:t>质押期限</w:t>
            </w:r>
          </w:p>
        </w:tc>
      </w:tr>
      <w:tr>
        <w:trPr>
          <w:trHeight w:val="658" w:hRule="exact"/>
        </w:trPr>
        <w:tc>
          <w:tcPr>
            <w:tcW w:w="900" w:type="dxa"/>
            <w:vMerge w:val="restart"/>
            <w:tcBorders>
              <w:top w:val="single" w:sz="6" w:space="0" w:color="000000"/>
              <w:left w:val="single" w:sz="6" w:space="0" w:color="000000"/>
              <w:right w:val="single" w:sz="6" w:space="0" w:color="000000"/>
            </w:tcBorders>
          </w:tcPr>
          <w:p>
            <w:pPr>
              <w:pStyle w:val="TableParagraph"/>
              <w:spacing w:line="240" w:lineRule="auto" w:before="17"/>
              <w:ind w:left="264" w:right="0"/>
              <w:jc w:val="left"/>
              <w:rPr>
                <w:rFonts w:ascii="宋体" w:hAnsi="宋体" w:cs="宋体" w:eastAsia="宋体" w:hint="default"/>
                <w:sz w:val="18"/>
                <w:szCs w:val="18"/>
              </w:rPr>
            </w:pPr>
            <w:r>
              <w:rPr>
                <w:rFonts w:ascii="宋体" w:hAnsi="宋体" w:cs="宋体" w:eastAsia="宋体" w:hint="default"/>
                <w:sz w:val="18"/>
                <w:szCs w:val="18"/>
              </w:rPr>
              <w:t>蔡敏</w:t>
            </w:r>
          </w:p>
        </w:tc>
        <w:tc>
          <w:tcPr>
            <w:tcW w:w="1481" w:type="dxa"/>
            <w:vMerge w:val="restart"/>
            <w:tcBorders>
              <w:top w:val="single" w:sz="6" w:space="0" w:color="000000"/>
              <w:left w:val="single" w:sz="6" w:space="0" w:color="000000"/>
              <w:right w:val="single" w:sz="6" w:space="0" w:color="000000"/>
            </w:tcBorders>
          </w:tcPr>
          <w:p>
            <w:pPr>
              <w:pStyle w:val="TableParagraph"/>
              <w:spacing w:line="240" w:lineRule="auto" w:before="60"/>
              <w:ind w:left="215" w:right="0"/>
              <w:jc w:val="left"/>
              <w:rPr>
                <w:rFonts w:ascii="Times New Roman" w:hAnsi="Times New Roman" w:cs="Times New Roman" w:eastAsia="Times New Roman" w:hint="default"/>
                <w:sz w:val="18"/>
                <w:szCs w:val="18"/>
              </w:rPr>
            </w:pPr>
            <w:r>
              <w:rPr>
                <w:rFonts w:ascii="Times New Roman"/>
                <w:sz w:val="18"/>
              </w:rPr>
              <w:t>85,263,500.00</w:t>
            </w:r>
          </w:p>
        </w:tc>
        <w:tc>
          <w:tcPr>
            <w:tcW w:w="818" w:type="dxa"/>
            <w:vMerge w:val="restart"/>
            <w:tcBorders>
              <w:top w:val="single" w:sz="6" w:space="0" w:color="000000"/>
              <w:left w:val="single" w:sz="6" w:space="0" w:color="000000"/>
              <w:right w:val="single" w:sz="6" w:space="0" w:color="000000"/>
            </w:tcBorders>
          </w:tcPr>
          <w:p>
            <w:pPr>
              <w:pStyle w:val="TableParagraph"/>
              <w:spacing w:line="240" w:lineRule="auto" w:before="60"/>
              <w:ind w:left="124" w:right="0"/>
              <w:jc w:val="left"/>
              <w:rPr>
                <w:rFonts w:ascii="Times New Roman" w:hAnsi="Times New Roman" w:cs="Times New Roman" w:eastAsia="Times New Roman" w:hint="default"/>
                <w:sz w:val="18"/>
                <w:szCs w:val="18"/>
              </w:rPr>
            </w:pPr>
            <w:r>
              <w:rPr>
                <w:rFonts w:ascii="Times New Roman"/>
                <w:sz w:val="18"/>
              </w:rPr>
              <w:t>11.91%</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15" w:right="0"/>
              <w:jc w:val="left"/>
              <w:rPr>
                <w:rFonts w:ascii="Times New Roman" w:hAnsi="Times New Roman" w:cs="Times New Roman" w:eastAsia="Times New Roman" w:hint="default"/>
                <w:sz w:val="18"/>
                <w:szCs w:val="18"/>
              </w:rPr>
            </w:pPr>
            <w:r>
              <w:rPr>
                <w:rFonts w:ascii="Times New Roman"/>
                <w:sz w:val="18"/>
              </w:rPr>
              <w:t>39,800,000.00</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77" w:right="0"/>
              <w:jc w:val="left"/>
              <w:rPr>
                <w:rFonts w:ascii="Times New Roman" w:hAnsi="Times New Roman" w:cs="Times New Roman" w:eastAsia="Times New Roman" w:hint="default"/>
                <w:sz w:val="18"/>
                <w:szCs w:val="18"/>
              </w:rPr>
            </w:pPr>
            <w:r>
              <w:rPr>
                <w:rFonts w:ascii="Times New Roman"/>
                <w:sz w:val="18"/>
              </w:rPr>
              <w:t>46.68%</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84" w:right="0"/>
              <w:jc w:val="left"/>
              <w:rPr>
                <w:rFonts w:ascii="Times New Roman" w:hAnsi="Times New Roman" w:cs="Times New Roman" w:eastAsia="Times New Roman" w:hint="default"/>
                <w:sz w:val="18"/>
                <w:szCs w:val="18"/>
              </w:rPr>
            </w:pPr>
            <w:r>
              <w:rPr>
                <w:rFonts w:ascii="Times New Roman"/>
                <w:sz w:val="18"/>
              </w:rPr>
              <w:t>5.56%</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37" w:right="55" w:hanging="180"/>
              <w:jc w:val="left"/>
              <w:rPr>
                <w:rFonts w:ascii="宋体" w:hAnsi="宋体" w:cs="宋体" w:eastAsia="宋体" w:hint="default"/>
                <w:sz w:val="18"/>
                <w:szCs w:val="18"/>
              </w:rPr>
            </w:pPr>
            <w:r>
              <w:rPr>
                <w:rFonts w:ascii="宋体" w:hAnsi="宋体" w:cs="宋体" w:eastAsia="宋体" w:hint="default"/>
                <w:sz w:val="18"/>
                <w:szCs w:val="18"/>
              </w:rPr>
              <w:t>国融证券股份 有限公司</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2018-8-17</w:t>
            </w:r>
            <w:r>
              <w:rPr>
                <w:rFonts w:ascii="宋体" w:hAnsi="宋体" w:cs="宋体" w:eastAsia="宋体" w:hint="default"/>
                <w:sz w:val="18"/>
                <w:szCs w:val="18"/>
              </w:rPr>
              <w:t>至</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2019-8-16</w:t>
            </w:r>
          </w:p>
        </w:tc>
      </w:tr>
      <w:tr>
        <w:trPr>
          <w:trHeight w:val="660" w:hRule="exact"/>
        </w:trPr>
        <w:tc>
          <w:tcPr>
            <w:tcW w:w="900" w:type="dxa"/>
            <w:vMerge/>
            <w:tcBorders>
              <w:left w:val="single" w:sz="6" w:space="0" w:color="000000"/>
              <w:bottom w:val="single" w:sz="6" w:space="0" w:color="000000"/>
              <w:right w:val="single" w:sz="6" w:space="0" w:color="000000"/>
            </w:tcBorders>
          </w:tcPr>
          <w:p>
            <w:pPr/>
          </w:p>
        </w:tc>
        <w:tc>
          <w:tcPr>
            <w:tcW w:w="1481" w:type="dxa"/>
            <w:vMerge/>
            <w:tcBorders>
              <w:left w:val="single" w:sz="6" w:space="0" w:color="000000"/>
              <w:bottom w:val="single" w:sz="6" w:space="0" w:color="000000"/>
              <w:right w:val="single" w:sz="6" w:space="0" w:color="000000"/>
            </w:tcBorders>
          </w:tcPr>
          <w:p>
            <w:pPr/>
          </w:p>
        </w:tc>
        <w:tc>
          <w:tcPr>
            <w:tcW w:w="818" w:type="dxa"/>
            <w:vMerge/>
            <w:tcBorders>
              <w:left w:val="single" w:sz="6" w:space="0" w:color="000000"/>
              <w:bottom w:val="single" w:sz="6" w:space="0" w:color="000000"/>
              <w:right w:val="single" w:sz="6" w:space="0" w:color="000000"/>
            </w:tcBorders>
          </w:tcPr>
          <w:p>
            <w:pP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15" w:right="0"/>
              <w:jc w:val="left"/>
              <w:rPr>
                <w:rFonts w:ascii="Times New Roman" w:hAnsi="Times New Roman" w:cs="Times New Roman" w:eastAsia="Times New Roman" w:hint="default"/>
                <w:sz w:val="18"/>
                <w:szCs w:val="18"/>
              </w:rPr>
            </w:pPr>
            <w:r>
              <w:rPr>
                <w:rFonts w:ascii="Times New Roman"/>
                <w:sz w:val="18"/>
              </w:rPr>
              <w:t>30,000,000.00</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77" w:right="0"/>
              <w:jc w:val="left"/>
              <w:rPr>
                <w:rFonts w:ascii="Times New Roman" w:hAnsi="Times New Roman" w:cs="Times New Roman" w:eastAsia="Times New Roman" w:hint="default"/>
                <w:sz w:val="18"/>
                <w:szCs w:val="18"/>
              </w:rPr>
            </w:pPr>
            <w:r>
              <w:rPr>
                <w:rFonts w:ascii="Times New Roman"/>
                <w:sz w:val="18"/>
              </w:rPr>
              <w:t>35.19%</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84" w:right="0"/>
              <w:jc w:val="left"/>
              <w:rPr>
                <w:rFonts w:ascii="Times New Roman" w:hAnsi="Times New Roman" w:cs="Times New Roman" w:eastAsia="Times New Roman" w:hint="default"/>
                <w:sz w:val="18"/>
                <w:szCs w:val="18"/>
              </w:rPr>
            </w:pPr>
            <w:r>
              <w:rPr>
                <w:rFonts w:ascii="Times New Roman"/>
                <w:sz w:val="18"/>
              </w:rPr>
              <w:t>4.19%</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37" w:right="55" w:hanging="180"/>
              <w:jc w:val="left"/>
              <w:rPr>
                <w:rFonts w:ascii="宋体" w:hAnsi="宋体" w:cs="宋体" w:eastAsia="宋体" w:hint="default"/>
                <w:sz w:val="18"/>
                <w:szCs w:val="18"/>
              </w:rPr>
            </w:pPr>
            <w:r>
              <w:rPr>
                <w:rFonts w:ascii="宋体" w:hAnsi="宋体" w:cs="宋体" w:eastAsia="宋体" w:hint="default"/>
                <w:sz w:val="18"/>
                <w:szCs w:val="18"/>
              </w:rPr>
              <w:t>海通证券股份 有限公司</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2018-7-12</w:t>
            </w:r>
            <w:r>
              <w:rPr>
                <w:rFonts w:ascii="宋体" w:hAnsi="宋体" w:cs="宋体" w:eastAsia="宋体" w:hint="default"/>
                <w:sz w:val="18"/>
                <w:szCs w:val="18"/>
              </w:rPr>
              <w:t>至</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2019-7-12</w:t>
            </w:r>
          </w:p>
        </w:tc>
      </w:tr>
      <w:tr>
        <w:trPr>
          <w:trHeight w:val="658" w:hRule="exact"/>
        </w:trPr>
        <w:tc>
          <w:tcPr>
            <w:tcW w:w="900" w:type="dxa"/>
            <w:vMerge w:val="restart"/>
            <w:tcBorders>
              <w:top w:val="single" w:sz="6" w:space="0" w:color="000000"/>
              <w:left w:val="single" w:sz="6" w:space="0" w:color="000000"/>
              <w:right w:val="single" w:sz="6" w:space="0" w:color="000000"/>
            </w:tcBorders>
          </w:tcPr>
          <w:p>
            <w:pPr>
              <w:pStyle w:val="TableParagraph"/>
              <w:spacing w:line="240" w:lineRule="auto" w:before="17"/>
              <w:ind w:left="175" w:right="0"/>
              <w:jc w:val="left"/>
              <w:rPr>
                <w:rFonts w:ascii="宋体" w:hAnsi="宋体" w:cs="宋体" w:eastAsia="宋体" w:hint="default"/>
                <w:sz w:val="18"/>
                <w:szCs w:val="18"/>
              </w:rPr>
            </w:pPr>
            <w:r>
              <w:rPr>
                <w:rFonts w:ascii="宋体" w:hAnsi="宋体" w:cs="宋体" w:eastAsia="宋体" w:hint="default"/>
                <w:sz w:val="18"/>
                <w:szCs w:val="18"/>
              </w:rPr>
              <w:t>侯友夫</w:t>
            </w:r>
          </w:p>
        </w:tc>
        <w:tc>
          <w:tcPr>
            <w:tcW w:w="1481" w:type="dxa"/>
            <w:vMerge w:val="restart"/>
            <w:tcBorders>
              <w:top w:val="single" w:sz="6" w:space="0" w:color="000000"/>
              <w:left w:val="single" w:sz="6" w:space="0" w:color="000000"/>
              <w:right w:val="single" w:sz="6" w:space="0" w:color="000000"/>
            </w:tcBorders>
          </w:tcPr>
          <w:p>
            <w:pPr>
              <w:pStyle w:val="TableParagraph"/>
              <w:spacing w:line="240" w:lineRule="auto" w:before="60"/>
              <w:ind w:left="216" w:right="0"/>
              <w:jc w:val="left"/>
              <w:rPr>
                <w:rFonts w:ascii="Times New Roman" w:hAnsi="Times New Roman" w:cs="Times New Roman" w:eastAsia="Times New Roman" w:hint="default"/>
                <w:sz w:val="18"/>
                <w:szCs w:val="18"/>
              </w:rPr>
            </w:pPr>
            <w:r>
              <w:rPr>
                <w:rFonts w:ascii="Times New Roman"/>
                <w:sz w:val="18"/>
              </w:rPr>
              <w:t>73,894,095.00</w:t>
            </w:r>
          </w:p>
        </w:tc>
        <w:tc>
          <w:tcPr>
            <w:tcW w:w="818" w:type="dxa"/>
            <w:vMerge w:val="restart"/>
            <w:tcBorders>
              <w:top w:val="single" w:sz="6" w:space="0" w:color="000000"/>
              <w:left w:val="single" w:sz="6" w:space="0" w:color="000000"/>
              <w:right w:val="single" w:sz="6" w:space="0" w:color="000000"/>
            </w:tcBorders>
          </w:tcPr>
          <w:p>
            <w:pPr>
              <w:pStyle w:val="TableParagraph"/>
              <w:spacing w:line="240" w:lineRule="auto" w:before="60"/>
              <w:ind w:left="124" w:right="0"/>
              <w:jc w:val="left"/>
              <w:rPr>
                <w:rFonts w:ascii="Times New Roman" w:hAnsi="Times New Roman" w:cs="Times New Roman" w:eastAsia="Times New Roman" w:hint="default"/>
                <w:sz w:val="18"/>
                <w:szCs w:val="18"/>
              </w:rPr>
            </w:pPr>
            <w:r>
              <w:rPr>
                <w:rFonts w:ascii="Times New Roman"/>
                <w:sz w:val="18"/>
              </w:rPr>
              <w:t>10.33%</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61" w:right="0"/>
              <w:jc w:val="left"/>
              <w:rPr>
                <w:rFonts w:ascii="Times New Roman" w:hAnsi="Times New Roman" w:cs="Times New Roman" w:eastAsia="Times New Roman" w:hint="default"/>
                <w:sz w:val="18"/>
                <w:szCs w:val="18"/>
              </w:rPr>
            </w:pPr>
            <w:r>
              <w:rPr>
                <w:rFonts w:ascii="Times New Roman"/>
                <w:sz w:val="18"/>
              </w:rPr>
              <w:t>1,036,000.00</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23" w:right="0"/>
              <w:jc w:val="left"/>
              <w:rPr>
                <w:rFonts w:ascii="Times New Roman" w:hAnsi="Times New Roman" w:cs="Times New Roman" w:eastAsia="Times New Roman" w:hint="default"/>
                <w:sz w:val="18"/>
                <w:szCs w:val="18"/>
              </w:rPr>
            </w:pPr>
            <w:r>
              <w:rPr>
                <w:rFonts w:ascii="Times New Roman"/>
                <w:sz w:val="18"/>
              </w:rPr>
              <w:t>1.40%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84" w:right="0"/>
              <w:jc w:val="left"/>
              <w:rPr>
                <w:rFonts w:ascii="Times New Roman" w:hAnsi="Times New Roman" w:cs="Times New Roman" w:eastAsia="Times New Roman" w:hint="default"/>
                <w:sz w:val="18"/>
                <w:szCs w:val="18"/>
              </w:rPr>
            </w:pPr>
            <w:r>
              <w:rPr>
                <w:rFonts w:ascii="Times New Roman"/>
                <w:sz w:val="18"/>
              </w:rPr>
              <w:t>0.14%</w:t>
            </w:r>
          </w:p>
        </w:tc>
        <w:tc>
          <w:tcPr>
            <w:tcW w:w="1210" w:type="dxa"/>
            <w:vMerge w:val="restart"/>
            <w:tcBorders>
              <w:top w:val="single" w:sz="6" w:space="0" w:color="000000"/>
              <w:left w:val="single" w:sz="6" w:space="0" w:color="000000"/>
              <w:right w:val="single" w:sz="6" w:space="0" w:color="000000"/>
            </w:tcBorders>
          </w:tcPr>
          <w:p>
            <w:pPr>
              <w:pStyle w:val="TableParagraph"/>
              <w:spacing w:line="316" w:lineRule="auto" w:before="17"/>
              <w:ind w:left="57" w:right="55"/>
              <w:jc w:val="left"/>
              <w:rPr>
                <w:rFonts w:ascii="宋体" w:hAnsi="宋体" w:cs="宋体" w:eastAsia="宋体" w:hint="default"/>
                <w:sz w:val="18"/>
                <w:szCs w:val="18"/>
              </w:rPr>
            </w:pPr>
            <w:r>
              <w:rPr>
                <w:rFonts w:ascii="宋体" w:hAnsi="宋体" w:cs="宋体" w:eastAsia="宋体" w:hint="default"/>
                <w:sz w:val="18"/>
                <w:szCs w:val="18"/>
              </w:rPr>
              <w:t>国泰君安证券 股份有限公司</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2017-11-23</w:t>
            </w:r>
            <w:r>
              <w:rPr>
                <w:rFonts w:ascii="宋体" w:hAnsi="宋体" w:cs="宋体" w:eastAsia="宋体" w:hint="default"/>
                <w:sz w:val="18"/>
                <w:szCs w:val="18"/>
              </w:rPr>
              <w:t>至</w:t>
            </w:r>
          </w:p>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2019-3-28</w:t>
            </w:r>
          </w:p>
        </w:tc>
      </w:tr>
      <w:tr>
        <w:trPr>
          <w:trHeight w:val="660" w:hRule="exact"/>
        </w:trPr>
        <w:tc>
          <w:tcPr>
            <w:tcW w:w="900" w:type="dxa"/>
            <w:vMerge/>
            <w:tcBorders>
              <w:left w:val="single" w:sz="6" w:space="0" w:color="000000"/>
              <w:right w:val="single" w:sz="6" w:space="0" w:color="000000"/>
            </w:tcBorders>
          </w:tcPr>
          <w:p>
            <w:pPr/>
          </w:p>
        </w:tc>
        <w:tc>
          <w:tcPr>
            <w:tcW w:w="1481" w:type="dxa"/>
            <w:vMerge/>
            <w:tcBorders>
              <w:left w:val="single" w:sz="6" w:space="0" w:color="000000"/>
              <w:right w:val="single" w:sz="6" w:space="0" w:color="000000"/>
            </w:tcBorders>
          </w:tcPr>
          <w:p>
            <w:pPr/>
          </w:p>
        </w:tc>
        <w:tc>
          <w:tcPr>
            <w:tcW w:w="818" w:type="dxa"/>
            <w:vMerge/>
            <w:tcBorders>
              <w:left w:val="single" w:sz="6" w:space="0" w:color="000000"/>
              <w:right w:val="single" w:sz="6" w:space="0" w:color="000000"/>
            </w:tcBorders>
          </w:tcPr>
          <w:p>
            <w:pP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15" w:right="0"/>
              <w:jc w:val="left"/>
              <w:rPr>
                <w:rFonts w:ascii="Times New Roman" w:hAnsi="Times New Roman" w:cs="Times New Roman" w:eastAsia="Times New Roman" w:hint="default"/>
                <w:sz w:val="18"/>
                <w:szCs w:val="18"/>
              </w:rPr>
            </w:pPr>
            <w:r>
              <w:rPr>
                <w:rFonts w:ascii="Times New Roman"/>
                <w:sz w:val="18"/>
              </w:rPr>
              <w:t>12,292,000.00</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77" w:right="0"/>
              <w:jc w:val="left"/>
              <w:rPr>
                <w:rFonts w:ascii="Times New Roman" w:hAnsi="Times New Roman" w:cs="Times New Roman" w:eastAsia="Times New Roman" w:hint="default"/>
                <w:sz w:val="18"/>
                <w:szCs w:val="18"/>
              </w:rPr>
            </w:pPr>
            <w:r>
              <w:rPr>
                <w:rFonts w:ascii="Times New Roman"/>
                <w:sz w:val="18"/>
              </w:rPr>
              <w:t>16.63%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84" w:right="0"/>
              <w:jc w:val="left"/>
              <w:rPr>
                <w:rFonts w:ascii="Times New Roman" w:hAnsi="Times New Roman" w:cs="Times New Roman" w:eastAsia="Times New Roman" w:hint="default"/>
                <w:sz w:val="18"/>
                <w:szCs w:val="18"/>
              </w:rPr>
            </w:pPr>
            <w:r>
              <w:rPr>
                <w:rFonts w:ascii="Times New Roman"/>
                <w:sz w:val="18"/>
              </w:rPr>
              <w:t>1.72%</w:t>
            </w:r>
          </w:p>
        </w:tc>
        <w:tc>
          <w:tcPr>
            <w:tcW w:w="1210" w:type="dxa"/>
            <w:vMerge/>
            <w:tcBorders>
              <w:left w:val="single" w:sz="6" w:space="0" w:color="000000"/>
              <w:bottom w:val="single" w:sz="6" w:space="0" w:color="000000"/>
              <w:right w:val="single" w:sz="6" w:space="0" w:color="000000"/>
            </w:tcBorders>
          </w:tcPr>
          <w:p>
            <w:pP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2016-9-28</w:t>
            </w:r>
            <w:r>
              <w:rPr>
                <w:rFonts w:ascii="宋体" w:hAnsi="宋体" w:cs="宋体" w:eastAsia="宋体" w:hint="default"/>
                <w:sz w:val="18"/>
                <w:szCs w:val="18"/>
              </w:rPr>
              <w:t>至</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2019-3-28</w:t>
            </w:r>
          </w:p>
        </w:tc>
      </w:tr>
      <w:tr>
        <w:trPr>
          <w:trHeight w:val="660" w:hRule="exact"/>
        </w:trPr>
        <w:tc>
          <w:tcPr>
            <w:tcW w:w="900" w:type="dxa"/>
            <w:vMerge/>
            <w:tcBorders>
              <w:left w:val="single" w:sz="6" w:space="0" w:color="000000"/>
              <w:bottom w:val="single" w:sz="6" w:space="0" w:color="000000"/>
              <w:right w:val="single" w:sz="6" w:space="0" w:color="000000"/>
            </w:tcBorders>
          </w:tcPr>
          <w:p>
            <w:pPr/>
          </w:p>
        </w:tc>
        <w:tc>
          <w:tcPr>
            <w:tcW w:w="1481" w:type="dxa"/>
            <w:vMerge/>
            <w:tcBorders>
              <w:left w:val="single" w:sz="6" w:space="0" w:color="000000"/>
              <w:bottom w:val="single" w:sz="6" w:space="0" w:color="000000"/>
              <w:right w:val="single" w:sz="6" w:space="0" w:color="000000"/>
            </w:tcBorders>
          </w:tcPr>
          <w:p>
            <w:pPr/>
          </w:p>
        </w:tc>
        <w:tc>
          <w:tcPr>
            <w:tcW w:w="818" w:type="dxa"/>
            <w:vMerge/>
            <w:tcBorders>
              <w:left w:val="single" w:sz="6" w:space="0" w:color="000000"/>
              <w:bottom w:val="single" w:sz="6" w:space="0" w:color="000000"/>
              <w:right w:val="single" w:sz="6" w:space="0" w:color="000000"/>
            </w:tcBorders>
          </w:tcPr>
          <w:p>
            <w:pP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15" w:right="0"/>
              <w:jc w:val="left"/>
              <w:rPr>
                <w:rFonts w:ascii="Times New Roman" w:hAnsi="Times New Roman" w:cs="Times New Roman" w:eastAsia="Times New Roman" w:hint="default"/>
                <w:sz w:val="18"/>
                <w:szCs w:val="18"/>
              </w:rPr>
            </w:pPr>
            <w:r>
              <w:rPr>
                <w:rFonts w:ascii="Times New Roman"/>
                <w:sz w:val="18"/>
              </w:rPr>
              <w:t>33,600,000.00</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77" w:right="0"/>
              <w:jc w:val="left"/>
              <w:rPr>
                <w:rFonts w:ascii="Times New Roman" w:hAnsi="Times New Roman" w:cs="Times New Roman" w:eastAsia="Times New Roman" w:hint="default"/>
                <w:sz w:val="18"/>
                <w:szCs w:val="18"/>
              </w:rPr>
            </w:pPr>
            <w:r>
              <w:rPr>
                <w:rFonts w:ascii="Times New Roman"/>
                <w:sz w:val="18"/>
              </w:rPr>
              <w:t>45.47%</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84" w:right="0"/>
              <w:jc w:val="left"/>
              <w:rPr>
                <w:rFonts w:ascii="Times New Roman" w:hAnsi="Times New Roman" w:cs="Times New Roman" w:eastAsia="Times New Roman" w:hint="default"/>
                <w:sz w:val="18"/>
                <w:szCs w:val="18"/>
              </w:rPr>
            </w:pPr>
            <w:r>
              <w:rPr>
                <w:rFonts w:ascii="Times New Roman"/>
                <w:sz w:val="18"/>
              </w:rPr>
              <w:t>4.70%</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37" w:right="55" w:hanging="180"/>
              <w:jc w:val="left"/>
              <w:rPr>
                <w:rFonts w:ascii="宋体" w:hAnsi="宋体" w:cs="宋体" w:eastAsia="宋体" w:hint="default"/>
                <w:sz w:val="18"/>
                <w:szCs w:val="18"/>
              </w:rPr>
            </w:pPr>
            <w:r>
              <w:rPr>
                <w:rFonts w:ascii="宋体" w:hAnsi="宋体" w:cs="宋体" w:eastAsia="宋体" w:hint="default"/>
                <w:sz w:val="18"/>
                <w:szCs w:val="18"/>
              </w:rPr>
              <w:t>华泰证券股份 有限公司</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2018-4-11</w:t>
            </w:r>
            <w:r>
              <w:rPr>
                <w:rFonts w:ascii="宋体" w:hAnsi="宋体" w:cs="宋体" w:eastAsia="宋体" w:hint="default"/>
                <w:sz w:val="18"/>
                <w:szCs w:val="18"/>
              </w:rPr>
              <w:t>至</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2019-4-11</w:t>
            </w:r>
          </w:p>
        </w:tc>
      </w:tr>
      <w:tr>
        <w:trPr>
          <w:trHeight w:val="970" w:hRule="exact"/>
        </w:trPr>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刘龙保</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16" w:right="0"/>
              <w:jc w:val="left"/>
              <w:rPr>
                <w:rFonts w:ascii="Times New Roman" w:hAnsi="Times New Roman" w:cs="Times New Roman" w:eastAsia="Times New Roman" w:hint="default"/>
                <w:sz w:val="18"/>
                <w:szCs w:val="18"/>
              </w:rPr>
            </w:pPr>
            <w:r>
              <w:rPr>
                <w:rFonts w:ascii="Times New Roman"/>
                <w:sz w:val="18"/>
              </w:rPr>
              <w:t>48,636,620.00</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68" w:right="0"/>
              <w:jc w:val="left"/>
              <w:rPr>
                <w:rFonts w:ascii="Times New Roman" w:hAnsi="Times New Roman" w:cs="Times New Roman" w:eastAsia="Times New Roman" w:hint="default"/>
                <w:sz w:val="18"/>
                <w:szCs w:val="18"/>
              </w:rPr>
            </w:pPr>
            <w:r>
              <w:rPr>
                <w:rFonts w:ascii="Times New Roman"/>
                <w:sz w:val="18"/>
              </w:rPr>
              <w:t>6.80%</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16" w:right="0"/>
              <w:jc w:val="left"/>
              <w:rPr>
                <w:rFonts w:ascii="Times New Roman" w:hAnsi="Times New Roman" w:cs="Times New Roman" w:eastAsia="Times New Roman" w:hint="default"/>
                <w:sz w:val="18"/>
                <w:szCs w:val="18"/>
              </w:rPr>
            </w:pPr>
            <w:r>
              <w:rPr>
                <w:rFonts w:ascii="Times New Roman"/>
                <w:sz w:val="18"/>
              </w:rPr>
              <w:t>35,000,000.00</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77" w:right="0"/>
              <w:jc w:val="left"/>
              <w:rPr>
                <w:rFonts w:ascii="Times New Roman" w:hAnsi="Times New Roman" w:cs="Times New Roman" w:eastAsia="Times New Roman" w:hint="default"/>
                <w:sz w:val="18"/>
                <w:szCs w:val="18"/>
              </w:rPr>
            </w:pPr>
            <w:r>
              <w:rPr>
                <w:rFonts w:ascii="Times New Roman"/>
                <w:sz w:val="18"/>
              </w:rPr>
              <w:t>71.96%</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85" w:right="0"/>
              <w:jc w:val="left"/>
              <w:rPr>
                <w:rFonts w:ascii="Times New Roman" w:hAnsi="Times New Roman" w:cs="Times New Roman" w:eastAsia="Times New Roman" w:hint="default"/>
                <w:sz w:val="18"/>
                <w:szCs w:val="18"/>
              </w:rPr>
            </w:pPr>
            <w:r>
              <w:rPr>
                <w:rFonts w:ascii="Times New Roman"/>
                <w:sz w:val="18"/>
              </w:rPr>
              <w:t>4.89%</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57" w:right="55"/>
              <w:jc w:val="center"/>
              <w:rPr>
                <w:rFonts w:ascii="宋体" w:hAnsi="宋体" w:cs="宋体" w:eastAsia="宋体" w:hint="default"/>
                <w:sz w:val="18"/>
                <w:szCs w:val="18"/>
              </w:rPr>
            </w:pPr>
            <w:r>
              <w:rPr>
                <w:rFonts w:ascii="宋体" w:hAnsi="宋体" w:cs="宋体" w:eastAsia="宋体" w:hint="default"/>
                <w:sz w:val="18"/>
                <w:szCs w:val="18"/>
              </w:rPr>
              <w:t>靖江市润元农 村小额贷款有 限公司</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2018-9-26</w:t>
            </w:r>
            <w:r>
              <w:rPr>
                <w:rFonts w:ascii="宋体" w:hAnsi="宋体" w:cs="宋体" w:eastAsia="宋体" w:hint="default"/>
                <w:sz w:val="18"/>
                <w:szCs w:val="18"/>
              </w:rPr>
              <w:t>至办理</w:t>
            </w:r>
          </w:p>
          <w:p>
            <w:pPr>
              <w:pStyle w:val="TableParagraph"/>
              <w:spacing w:line="240" w:lineRule="auto" w:before="62"/>
              <w:ind w:left="106" w:right="0"/>
              <w:jc w:val="left"/>
              <w:rPr>
                <w:rFonts w:ascii="宋体" w:hAnsi="宋体" w:cs="宋体" w:eastAsia="宋体" w:hint="default"/>
                <w:sz w:val="18"/>
                <w:szCs w:val="18"/>
              </w:rPr>
            </w:pPr>
            <w:r>
              <w:rPr>
                <w:rFonts w:ascii="宋体" w:hAnsi="宋体" w:cs="宋体" w:eastAsia="宋体" w:hint="default"/>
                <w:sz w:val="18"/>
                <w:szCs w:val="18"/>
              </w:rPr>
              <w:t>解除质押手续止</w:t>
            </w:r>
          </w:p>
        </w:tc>
      </w:tr>
      <w:tr>
        <w:trPr>
          <w:trHeight w:val="660" w:hRule="exact"/>
        </w:trPr>
        <w:tc>
          <w:tcPr>
            <w:tcW w:w="900" w:type="dxa"/>
            <w:vMerge w:val="restart"/>
            <w:tcBorders>
              <w:top w:val="single" w:sz="6" w:space="0" w:color="000000"/>
              <w:left w:val="single" w:sz="6" w:space="0" w:color="000000"/>
              <w:right w:val="single" w:sz="6" w:space="0" w:color="000000"/>
            </w:tcBorders>
          </w:tcPr>
          <w:p>
            <w:pPr>
              <w:pStyle w:val="TableParagraph"/>
              <w:spacing w:line="240" w:lineRule="auto" w:before="20"/>
              <w:ind w:left="175" w:right="0"/>
              <w:jc w:val="left"/>
              <w:rPr>
                <w:rFonts w:ascii="宋体" w:hAnsi="宋体" w:cs="宋体" w:eastAsia="宋体" w:hint="default"/>
                <w:sz w:val="18"/>
                <w:szCs w:val="18"/>
              </w:rPr>
            </w:pPr>
            <w:r>
              <w:rPr>
                <w:rFonts w:ascii="宋体" w:hAnsi="宋体" w:cs="宋体" w:eastAsia="宋体" w:hint="default"/>
                <w:sz w:val="18"/>
                <w:szCs w:val="18"/>
              </w:rPr>
              <w:t>孙晋明</w:t>
            </w:r>
          </w:p>
        </w:tc>
        <w:tc>
          <w:tcPr>
            <w:tcW w:w="1481" w:type="dxa"/>
            <w:vMerge w:val="restart"/>
            <w:tcBorders>
              <w:top w:val="single" w:sz="6" w:space="0" w:color="000000"/>
              <w:left w:val="single" w:sz="6" w:space="0" w:color="000000"/>
              <w:right w:val="single" w:sz="6" w:space="0" w:color="000000"/>
            </w:tcBorders>
          </w:tcPr>
          <w:p>
            <w:pPr>
              <w:pStyle w:val="TableParagraph"/>
              <w:spacing w:line="240" w:lineRule="auto" w:before="62"/>
              <w:ind w:left="216" w:right="0"/>
              <w:jc w:val="left"/>
              <w:rPr>
                <w:rFonts w:ascii="Times New Roman" w:hAnsi="Times New Roman" w:cs="Times New Roman" w:eastAsia="Times New Roman" w:hint="default"/>
                <w:sz w:val="18"/>
                <w:szCs w:val="18"/>
              </w:rPr>
            </w:pPr>
            <w:r>
              <w:rPr>
                <w:rFonts w:ascii="Times New Roman"/>
                <w:sz w:val="18"/>
              </w:rPr>
              <w:t>44,760,208.00</w:t>
            </w:r>
          </w:p>
        </w:tc>
        <w:tc>
          <w:tcPr>
            <w:tcW w:w="818" w:type="dxa"/>
            <w:vMerge w:val="restart"/>
            <w:tcBorders>
              <w:top w:val="single" w:sz="6" w:space="0" w:color="000000"/>
              <w:left w:val="single" w:sz="6" w:space="0" w:color="000000"/>
              <w:right w:val="single" w:sz="6" w:space="0" w:color="000000"/>
            </w:tcBorders>
          </w:tcPr>
          <w:p>
            <w:pPr>
              <w:pStyle w:val="TableParagraph"/>
              <w:spacing w:line="240" w:lineRule="auto" w:before="62"/>
              <w:ind w:left="168" w:right="0"/>
              <w:jc w:val="left"/>
              <w:rPr>
                <w:rFonts w:ascii="Times New Roman" w:hAnsi="Times New Roman" w:cs="Times New Roman" w:eastAsia="Times New Roman" w:hint="default"/>
                <w:sz w:val="18"/>
                <w:szCs w:val="18"/>
              </w:rPr>
            </w:pPr>
            <w:r>
              <w:rPr>
                <w:rFonts w:ascii="Times New Roman"/>
                <w:sz w:val="18"/>
              </w:rPr>
              <w:t>6.25%</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16" w:right="0"/>
              <w:jc w:val="left"/>
              <w:rPr>
                <w:rFonts w:ascii="Times New Roman" w:hAnsi="Times New Roman" w:cs="Times New Roman" w:eastAsia="Times New Roman" w:hint="default"/>
                <w:sz w:val="18"/>
                <w:szCs w:val="18"/>
              </w:rPr>
            </w:pPr>
            <w:r>
              <w:rPr>
                <w:rFonts w:ascii="Times New Roman"/>
                <w:sz w:val="18"/>
              </w:rPr>
              <w:t>11,400,000.00</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77" w:right="0"/>
              <w:jc w:val="left"/>
              <w:rPr>
                <w:rFonts w:ascii="Times New Roman" w:hAnsi="Times New Roman" w:cs="Times New Roman" w:eastAsia="Times New Roman" w:hint="default"/>
                <w:sz w:val="18"/>
                <w:szCs w:val="18"/>
              </w:rPr>
            </w:pPr>
            <w:r>
              <w:rPr>
                <w:rFonts w:ascii="Times New Roman"/>
                <w:sz w:val="18"/>
              </w:rPr>
              <w:t>25.47%</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85" w:right="0"/>
              <w:jc w:val="left"/>
              <w:rPr>
                <w:rFonts w:ascii="Times New Roman" w:hAnsi="Times New Roman" w:cs="Times New Roman" w:eastAsia="Times New Roman" w:hint="default"/>
                <w:sz w:val="18"/>
                <w:szCs w:val="18"/>
              </w:rPr>
            </w:pPr>
            <w:r>
              <w:rPr>
                <w:rFonts w:ascii="Times New Roman"/>
                <w:sz w:val="18"/>
              </w:rPr>
              <w:t>1.59%</w:t>
            </w:r>
          </w:p>
        </w:tc>
        <w:tc>
          <w:tcPr>
            <w:tcW w:w="1210" w:type="dxa"/>
            <w:vMerge w:val="restart"/>
            <w:tcBorders>
              <w:top w:val="single" w:sz="6" w:space="0" w:color="000000"/>
              <w:left w:val="single" w:sz="6" w:space="0" w:color="000000"/>
              <w:right w:val="single" w:sz="6" w:space="0" w:color="000000"/>
            </w:tcBorders>
          </w:tcPr>
          <w:p>
            <w:pPr>
              <w:pStyle w:val="TableParagraph"/>
              <w:spacing w:line="316" w:lineRule="auto" w:before="20"/>
              <w:ind w:left="237" w:right="55" w:hanging="180"/>
              <w:jc w:val="left"/>
              <w:rPr>
                <w:rFonts w:ascii="宋体" w:hAnsi="宋体" w:cs="宋体" w:eastAsia="宋体" w:hint="default"/>
                <w:sz w:val="18"/>
                <w:szCs w:val="18"/>
              </w:rPr>
            </w:pPr>
            <w:r>
              <w:rPr>
                <w:rFonts w:ascii="宋体" w:hAnsi="宋体" w:cs="宋体" w:eastAsia="宋体" w:hint="default"/>
                <w:sz w:val="18"/>
                <w:szCs w:val="18"/>
              </w:rPr>
              <w:t>首创证券有限 责任公司</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2018-4-3</w:t>
            </w:r>
            <w:r>
              <w:rPr>
                <w:rFonts w:ascii="宋体" w:hAnsi="宋体" w:cs="宋体" w:eastAsia="宋体" w:hint="default"/>
                <w:sz w:val="18"/>
                <w:szCs w:val="18"/>
              </w:rPr>
              <w:t>至</w:t>
            </w:r>
          </w:p>
          <w:p>
            <w:pPr>
              <w:pStyle w:val="TableParagraph"/>
              <w:spacing w:line="240" w:lineRule="auto" w:before="105"/>
              <w:ind w:left="405" w:right="0"/>
              <w:jc w:val="left"/>
              <w:rPr>
                <w:rFonts w:ascii="Times New Roman" w:hAnsi="Times New Roman" w:cs="Times New Roman" w:eastAsia="Times New Roman" w:hint="default"/>
                <w:sz w:val="18"/>
                <w:szCs w:val="18"/>
              </w:rPr>
            </w:pPr>
            <w:r>
              <w:rPr>
                <w:rFonts w:ascii="Times New Roman"/>
                <w:sz w:val="18"/>
              </w:rPr>
              <w:t>2019-4-3</w:t>
            </w:r>
          </w:p>
        </w:tc>
      </w:tr>
      <w:tr>
        <w:trPr>
          <w:trHeight w:val="658" w:hRule="exact"/>
        </w:trPr>
        <w:tc>
          <w:tcPr>
            <w:tcW w:w="900" w:type="dxa"/>
            <w:vMerge/>
            <w:tcBorders>
              <w:left w:val="single" w:sz="6" w:space="0" w:color="000000"/>
              <w:bottom w:val="single" w:sz="6" w:space="0" w:color="000000"/>
              <w:right w:val="single" w:sz="6" w:space="0" w:color="000000"/>
            </w:tcBorders>
          </w:tcPr>
          <w:p>
            <w:pPr/>
          </w:p>
        </w:tc>
        <w:tc>
          <w:tcPr>
            <w:tcW w:w="1481" w:type="dxa"/>
            <w:vMerge/>
            <w:tcBorders>
              <w:left w:val="single" w:sz="6" w:space="0" w:color="000000"/>
              <w:bottom w:val="single" w:sz="6" w:space="0" w:color="000000"/>
              <w:right w:val="single" w:sz="6" w:space="0" w:color="000000"/>
            </w:tcBorders>
          </w:tcPr>
          <w:p>
            <w:pPr/>
          </w:p>
        </w:tc>
        <w:tc>
          <w:tcPr>
            <w:tcW w:w="818" w:type="dxa"/>
            <w:vMerge/>
            <w:tcBorders>
              <w:left w:val="single" w:sz="6" w:space="0" w:color="000000"/>
              <w:bottom w:val="single" w:sz="6" w:space="0" w:color="000000"/>
              <w:right w:val="single" w:sz="6" w:space="0" w:color="000000"/>
            </w:tcBorders>
          </w:tcPr>
          <w:p>
            <w:pP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15" w:right="0"/>
              <w:jc w:val="left"/>
              <w:rPr>
                <w:rFonts w:ascii="Times New Roman" w:hAnsi="Times New Roman" w:cs="Times New Roman" w:eastAsia="Times New Roman" w:hint="default"/>
                <w:sz w:val="18"/>
                <w:szCs w:val="18"/>
              </w:rPr>
            </w:pPr>
            <w:r>
              <w:rPr>
                <w:rFonts w:ascii="Times New Roman"/>
                <w:sz w:val="18"/>
              </w:rPr>
              <w:t>20,076,000.00</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77" w:right="0"/>
              <w:jc w:val="left"/>
              <w:rPr>
                <w:rFonts w:ascii="Times New Roman" w:hAnsi="Times New Roman" w:cs="Times New Roman" w:eastAsia="Times New Roman" w:hint="default"/>
                <w:sz w:val="18"/>
                <w:szCs w:val="18"/>
              </w:rPr>
            </w:pPr>
            <w:r>
              <w:rPr>
                <w:rFonts w:ascii="Times New Roman"/>
                <w:sz w:val="18"/>
              </w:rPr>
              <w:t>44.85%</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84" w:right="0"/>
              <w:jc w:val="left"/>
              <w:rPr>
                <w:rFonts w:ascii="Times New Roman" w:hAnsi="Times New Roman" w:cs="Times New Roman" w:eastAsia="Times New Roman" w:hint="default"/>
                <w:sz w:val="18"/>
                <w:szCs w:val="18"/>
              </w:rPr>
            </w:pPr>
            <w:r>
              <w:rPr>
                <w:rFonts w:ascii="Times New Roman"/>
                <w:sz w:val="18"/>
              </w:rPr>
              <w:t>2.81%</w:t>
            </w:r>
          </w:p>
        </w:tc>
        <w:tc>
          <w:tcPr>
            <w:tcW w:w="1210" w:type="dxa"/>
            <w:vMerge/>
            <w:tcBorders>
              <w:left w:val="single" w:sz="6" w:space="0" w:color="000000"/>
              <w:bottom w:val="single" w:sz="6" w:space="0" w:color="000000"/>
              <w:right w:val="single" w:sz="6" w:space="0" w:color="000000"/>
            </w:tcBorders>
          </w:tcPr>
          <w:p>
            <w:pP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2018-4-18</w:t>
            </w:r>
            <w:r>
              <w:rPr>
                <w:rFonts w:ascii="宋体" w:hAnsi="宋体" w:cs="宋体" w:eastAsia="宋体" w:hint="default"/>
                <w:sz w:val="18"/>
                <w:szCs w:val="18"/>
              </w:rPr>
              <w:t>至</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2019-4-18</w:t>
            </w:r>
          </w:p>
        </w:tc>
      </w:tr>
      <w:tr>
        <w:trPr>
          <w:trHeight w:val="660" w:hRule="exact"/>
        </w:trPr>
        <w:tc>
          <w:tcPr>
            <w:tcW w:w="900" w:type="dxa"/>
            <w:vMerge w:val="restart"/>
            <w:tcBorders>
              <w:top w:val="single" w:sz="6" w:space="0" w:color="000000"/>
              <w:left w:val="single" w:sz="6" w:space="0" w:color="000000"/>
              <w:right w:val="single" w:sz="6" w:space="0" w:color="000000"/>
            </w:tcBorders>
          </w:tcPr>
          <w:p>
            <w:pPr>
              <w:pStyle w:val="TableParagraph"/>
              <w:spacing w:line="240" w:lineRule="auto" w:before="20"/>
              <w:ind w:left="175" w:right="0"/>
              <w:jc w:val="left"/>
              <w:rPr>
                <w:rFonts w:ascii="宋体" w:hAnsi="宋体" w:cs="宋体" w:eastAsia="宋体" w:hint="default"/>
                <w:sz w:val="18"/>
                <w:szCs w:val="18"/>
              </w:rPr>
            </w:pPr>
            <w:r>
              <w:rPr>
                <w:rFonts w:ascii="宋体" w:hAnsi="宋体" w:cs="宋体" w:eastAsia="宋体" w:hint="default"/>
                <w:sz w:val="18"/>
                <w:szCs w:val="18"/>
              </w:rPr>
              <w:t>林伟通</w:t>
            </w:r>
          </w:p>
        </w:tc>
        <w:tc>
          <w:tcPr>
            <w:tcW w:w="1481" w:type="dxa"/>
            <w:vMerge w:val="restart"/>
            <w:tcBorders>
              <w:top w:val="single" w:sz="6" w:space="0" w:color="000000"/>
              <w:left w:val="single" w:sz="6" w:space="0" w:color="000000"/>
              <w:right w:val="single" w:sz="6" w:space="0" w:color="000000"/>
            </w:tcBorders>
          </w:tcPr>
          <w:p>
            <w:pPr>
              <w:pStyle w:val="TableParagraph"/>
              <w:spacing w:line="240" w:lineRule="auto" w:before="62"/>
              <w:ind w:left="216" w:right="0"/>
              <w:jc w:val="left"/>
              <w:rPr>
                <w:rFonts w:ascii="Times New Roman" w:hAnsi="Times New Roman" w:cs="Times New Roman" w:eastAsia="Times New Roman" w:hint="default"/>
                <w:sz w:val="18"/>
                <w:szCs w:val="18"/>
              </w:rPr>
            </w:pPr>
            <w:r>
              <w:rPr>
                <w:rFonts w:ascii="Times New Roman"/>
                <w:sz w:val="18"/>
              </w:rPr>
              <w:t>18,942,316.00</w:t>
            </w:r>
          </w:p>
        </w:tc>
        <w:tc>
          <w:tcPr>
            <w:tcW w:w="818" w:type="dxa"/>
            <w:vMerge w:val="restart"/>
            <w:tcBorders>
              <w:top w:val="single" w:sz="6" w:space="0" w:color="000000"/>
              <w:left w:val="single" w:sz="6" w:space="0" w:color="000000"/>
              <w:right w:val="single" w:sz="6" w:space="0" w:color="000000"/>
            </w:tcBorders>
          </w:tcPr>
          <w:p>
            <w:pPr>
              <w:pStyle w:val="TableParagraph"/>
              <w:spacing w:line="240" w:lineRule="auto" w:before="62"/>
              <w:ind w:left="168" w:right="0"/>
              <w:jc w:val="left"/>
              <w:rPr>
                <w:rFonts w:ascii="Times New Roman" w:hAnsi="Times New Roman" w:cs="Times New Roman" w:eastAsia="Times New Roman" w:hint="default"/>
                <w:sz w:val="18"/>
                <w:szCs w:val="18"/>
              </w:rPr>
            </w:pPr>
            <w:r>
              <w:rPr>
                <w:rFonts w:ascii="Times New Roman"/>
                <w:sz w:val="18"/>
              </w:rPr>
              <w:t>2.65%</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61" w:right="0"/>
              <w:jc w:val="left"/>
              <w:rPr>
                <w:rFonts w:ascii="Times New Roman" w:hAnsi="Times New Roman" w:cs="Times New Roman" w:eastAsia="Times New Roman" w:hint="default"/>
                <w:sz w:val="18"/>
                <w:szCs w:val="18"/>
              </w:rPr>
            </w:pPr>
            <w:r>
              <w:rPr>
                <w:rFonts w:ascii="Times New Roman"/>
                <w:sz w:val="18"/>
              </w:rPr>
              <w:t>7,700,000.00</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77" w:right="0"/>
              <w:jc w:val="left"/>
              <w:rPr>
                <w:rFonts w:ascii="Times New Roman" w:hAnsi="Times New Roman" w:cs="Times New Roman" w:eastAsia="Times New Roman" w:hint="default"/>
                <w:sz w:val="18"/>
                <w:szCs w:val="18"/>
              </w:rPr>
            </w:pPr>
            <w:r>
              <w:rPr>
                <w:rFonts w:ascii="Times New Roman"/>
                <w:sz w:val="18"/>
              </w:rPr>
              <w:t>40.65%</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84" w:right="0"/>
              <w:jc w:val="left"/>
              <w:rPr>
                <w:rFonts w:ascii="Times New Roman" w:hAnsi="Times New Roman" w:cs="Times New Roman" w:eastAsia="Times New Roman" w:hint="default"/>
                <w:sz w:val="18"/>
                <w:szCs w:val="18"/>
              </w:rPr>
            </w:pPr>
            <w:r>
              <w:rPr>
                <w:rFonts w:ascii="Times New Roman"/>
                <w:sz w:val="18"/>
              </w:rPr>
              <w:t>1.08%</w:t>
            </w:r>
          </w:p>
        </w:tc>
        <w:tc>
          <w:tcPr>
            <w:tcW w:w="1210" w:type="dxa"/>
            <w:vMerge w:val="restart"/>
            <w:tcBorders>
              <w:top w:val="single" w:sz="6" w:space="0" w:color="000000"/>
              <w:left w:val="single" w:sz="6" w:space="0" w:color="000000"/>
              <w:right w:val="single" w:sz="6" w:space="0" w:color="000000"/>
            </w:tcBorders>
          </w:tcPr>
          <w:p>
            <w:pPr>
              <w:pStyle w:val="TableParagraph"/>
              <w:spacing w:line="316" w:lineRule="auto" w:before="20"/>
              <w:ind w:left="57" w:right="55"/>
              <w:jc w:val="left"/>
              <w:rPr>
                <w:rFonts w:ascii="宋体" w:hAnsi="宋体" w:cs="宋体" w:eastAsia="宋体" w:hint="default"/>
                <w:sz w:val="18"/>
                <w:szCs w:val="18"/>
              </w:rPr>
            </w:pPr>
            <w:r>
              <w:rPr>
                <w:rFonts w:ascii="宋体" w:hAnsi="宋体" w:cs="宋体" w:eastAsia="宋体" w:hint="default"/>
                <w:sz w:val="18"/>
                <w:szCs w:val="18"/>
              </w:rPr>
              <w:t>国泰君安证券 股份有限公司</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2017-2-20</w:t>
            </w:r>
            <w:r>
              <w:rPr>
                <w:rFonts w:ascii="宋体" w:hAnsi="宋体" w:cs="宋体" w:eastAsia="宋体" w:hint="default"/>
                <w:sz w:val="18"/>
                <w:szCs w:val="18"/>
              </w:rPr>
              <w:t>至</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2019-2-20</w:t>
            </w:r>
          </w:p>
        </w:tc>
      </w:tr>
      <w:tr>
        <w:trPr>
          <w:trHeight w:val="658" w:hRule="exact"/>
        </w:trPr>
        <w:tc>
          <w:tcPr>
            <w:tcW w:w="900" w:type="dxa"/>
            <w:vMerge/>
            <w:tcBorders>
              <w:left w:val="single" w:sz="6" w:space="0" w:color="000000"/>
              <w:right w:val="single" w:sz="6" w:space="0" w:color="000000"/>
            </w:tcBorders>
          </w:tcPr>
          <w:p>
            <w:pPr/>
          </w:p>
        </w:tc>
        <w:tc>
          <w:tcPr>
            <w:tcW w:w="1481" w:type="dxa"/>
            <w:vMerge/>
            <w:tcBorders>
              <w:left w:val="single" w:sz="6" w:space="0" w:color="000000"/>
              <w:right w:val="single" w:sz="6" w:space="0" w:color="000000"/>
            </w:tcBorders>
          </w:tcPr>
          <w:p>
            <w:pPr/>
          </w:p>
        </w:tc>
        <w:tc>
          <w:tcPr>
            <w:tcW w:w="818" w:type="dxa"/>
            <w:vMerge/>
            <w:tcBorders>
              <w:left w:val="single" w:sz="6" w:space="0" w:color="000000"/>
              <w:right w:val="single" w:sz="6" w:space="0" w:color="000000"/>
            </w:tcBorders>
          </w:tcPr>
          <w:p>
            <w:pP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28" w:right="0"/>
              <w:jc w:val="left"/>
              <w:rPr>
                <w:rFonts w:ascii="Times New Roman" w:hAnsi="Times New Roman" w:cs="Times New Roman" w:eastAsia="Times New Roman" w:hint="default"/>
                <w:sz w:val="18"/>
                <w:szCs w:val="18"/>
              </w:rPr>
            </w:pPr>
            <w:r>
              <w:rPr>
                <w:rFonts w:ascii="Times New Roman"/>
                <w:sz w:val="18"/>
              </w:rPr>
              <w:t>700,000.00</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3.70%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0.10%</w:t>
            </w:r>
          </w:p>
        </w:tc>
        <w:tc>
          <w:tcPr>
            <w:tcW w:w="1210" w:type="dxa"/>
            <w:vMerge/>
            <w:tcBorders>
              <w:left w:val="single" w:sz="6" w:space="0" w:color="000000"/>
              <w:right w:val="single" w:sz="6" w:space="0" w:color="000000"/>
            </w:tcBorders>
          </w:tcPr>
          <w:p>
            <w:pP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2017-11-22</w:t>
            </w:r>
            <w:r>
              <w:rPr>
                <w:rFonts w:ascii="宋体" w:hAnsi="宋体" w:cs="宋体" w:eastAsia="宋体" w:hint="default"/>
                <w:sz w:val="18"/>
                <w:szCs w:val="18"/>
              </w:rPr>
              <w:t>至</w:t>
            </w:r>
          </w:p>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2019-2-20</w:t>
            </w:r>
          </w:p>
        </w:tc>
      </w:tr>
      <w:tr>
        <w:trPr>
          <w:trHeight w:val="660" w:hRule="exact"/>
        </w:trPr>
        <w:tc>
          <w:tcPr>
            <w:tcW w:w="900" w:type="dxa"/>
            <w:vMerge/>
            <w:tcBorders>
              <w:left w:val="single" w:sz="6" w:space="0" w:color="000000"/>
              <w:bottom w:val="single" w:sz="6" w:space="0" w:color="000000"/>
              <w:right w:val="single" w:sz="6" w:space="0" w:color="000000"/>
            </w:tcBorders>
          </w:tcPr>
          <w:p>
            <w:pPr/>
          </w:p>
        </w:tc>
        <w:tc>
          <w:tcPr>
            <w:tcW w:w="1481" w:type="dxa"/>
            <w:vMerge/>
            <w:tcBorders>
              <w:left w:val="single" w:sz="6" w:space="0" w:color="000000"/>
              <w:bottom w:val="single" w:sz="6" w:space="0" w:color="000000"/>
              <w:right w:val="single" w:sz="6" w:space="0" w:color="000000"/>
            </w:tcBorders>
          </w:tcPr>
          <w:p>
            <w:pPr/>
          </w:p>
        </w:tc>
        <w:tc>
          <w:tcPr>
            <w:tcW w:w="818" w:type="dxa"/>
            <w:vMerge/>
            <w:tcBorders>
              <w:left w:val="single" w:sz="6" w:space="0" w:color="000000"/>
              <w:bottom w:val="single" w:sz="6" w:space="0" w:color="000000"/>
              <w:right w:val="single" w:sz="6" w:space="0" w:color="000000"/>
            </w:tcBorders>
          </w:tcPr>
          <w:p>
            <w:pP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2,800,000.00</w:t>
            </w:r>
            <w:r>
              <w:rPr>
                <w:rFonts w:ascii="Times New Roman"/>
                <w:sz w:val="18"/>
              </w:rPr>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14.78%</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0.39%</w:t>
            </w:r>
          </w:p>
        </w:tc>
        <w:tc>
          <w:tcPr>
            <w:tcW w:w="1210" w:type="dxa"/>
            <w:vMerge/>
            <w:tcBorders>
              <w:left w:val="single" w:sz="6" w:space="0" w:color="000000"/>
              <w:bottom w:val="single" w:sz="6" w:space="0" w:color="000000"/>
              <w:right w:val="single" w:sz="6" w:space="0" w:color="000000"/>
            </w:tcBorders>
          </w:tcPr>
          <w:p>
            <w:pP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2017-12-07</w:t>
            </w:r>
            <w:r>
              <w:rPr>
                <w:rFonts w:ascii="宋体" w:hAnsi="宋体" w:cs="宋体" w:eastAsia="宋体" w:hint="default"/>
                <w:sz w:val="18"/>
                <w:szCs w:val="18"/>
              </w:rPr>
              <w:t>至</w:t>
            </w:r>
          </w:p>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2019-2-20</w:t>
            </w:r>
          </w:p>
        </w:tc>
      </w:tr>
      <w:tr>
        <w:trPr>
          <w:trHeight w:val="972" w:hRule="exact"/>
        </w:trPr>
        <w:tc>
          <w:tcPr>
            <w:tcW w:w="900" w:type="dxa"/>
            <w:vMerge w:val="restart"/>
            <w:tcBorders>
              <w:top w:val="single" w:sz="6" w:space="0" w:color="000000"/>
              <w:left w:val="single" w:sz="6" w:space="0" w:color="000000"/>
              <w:right w:val="single" w:sz="6" w:space="0" w:color="000000"/>
            </w:tcBorders>
          </w:tcPr>
          <w:p>
            <w:pPr>
              <w:pStyle w:val="TableParagraph"/>
              <w:spacing w:line="240" w:lineRule="auto" w:before="17"/>
              <w:ind w:left="264" w:right="0"/>
              <w:jc w:val="left"/>
              <w:rPr>
                <w:rFonts w:ascii="宋体" w:hAnsi="宋体" w:cs="宋体" w:eastAsia="宋体" w:hint="default"/>
                <w:sz w:val="18"/>
                <w:szCs w:val="18"/>
              </w:rPr>
            </w:pPr>
            <w:r>
              <w:rPr>
                <w:rFonts w:ascii="宋体" w:hAnsi="宋体" w:cs="宋体" w:eastAsia="宋体" w:hint="default"/>
                <w:sz w:val="18"/>
                <w:szCs w:val="18"/>
              </w:rPr>
              <w:t>童敏</w:t>
            </w:r>
          </w:p>
        </w:tc>
        <w:tc>
          <w:tcPr>
            <w:tcW w:w="1481" w:type="dxa"/>
            <w:vMerge w:val="restart"/>
            <w:tcBorders>
              <w:top w:val="single" w:sz="6" w:space="0" w:color="000000"/>
              <w:left w:val="single" w:sz="6" w:space="0" w:color="000000"/>
              <w:right w:val="single" w:sz="6" w:space="0" w:color="000000"/>
            </w:tcBorders>
          </w:tcPr>
          <w:p>
            <w:pPr>
              <w:pStyle w:val="TableParagraph"/>
              <w:spacing w:line="240" w:lineRule="auto" w:before="60"/>
              <w:ind w:left="215" w:right="0"/>
              <w:jc w:val="left"/>
              <w:rPr>
                <w:rFonts w:ascii="Times New Roman" w:hAnsi="Times New Roman" w:cs="Times New Roman" w:eastAsia="Times New Roman" w:hint="default"/>
                <w:sz w:val="18"/>
                <w:szCs w:val="18"/>
              </w:rPr>
            </w:pPr>
            <w:r>
              <w:rPr>
                <w:rFonts w:ascii="Times New Roman"/>
                <w:sz w:val="18"/>
              </w:rPr>
              <w:t>18,942,317.00</w:t>
            </w:r>
          </w:p>
        </w:tc>
        <w:tc>
          <w:tcPr>
            <w:tcW w:w="818" w:type="dxa"/>
            <w:vMerge w:val="restart"/>
            <w:tcBorders>
              <w:top w:val="single" w:sz="6" w:space="0" w:color="000000"/>
              <w:left w:val="single" w:sz="6" w:space="0" w:color="000000"/>
              <w:right w:val="single" w:sz="6" w:space="0" w:color="000000"/>
            </w:tcBorders>
          </w:tcPr>
          <w:p>
            <w:pPr>
              <w:pStyle w:val="TableParagraph"/>
              <w:spacing w:line="240" w:lineRule="auto" w:before="60"/>
              <w:ind w:left="167" w:right="0"/>
              <w:jc w:val="left"/>
              <w:rPr>
                <w:rFonts w:ascii="Times New Roman" w:hAnsi="Times New Roman" w:cs="Times New Roman" w:eastAsia="Times New Roman" w:hint="default"/>
                <w:sz w:val="18"/>
                <w:szCs w:val="18"/>
              </w:rPr>
            </w:pPr>
            <w:r>
              <w:rPr>
                <w:rFonts w:ascii="Times New Roman"/>
                <w:sz w:val="18"/>
              </w:rPr>
              <w:t>2.65%</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5,880,000.00</w:t>
            </w:r>
            <w:r>
              <w:rPr>
                <w:rFonts w:ascii="Times New Roman"/>
                <w:sz w:val="18"/>
              </w:rPr>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31.04%</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0.82%</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20"/>
              <w:jc w:val="both"/>
              <w:rPr>
                <w:rFonts w:ascii="宋体" w:hAnsi="宋体" w:cs="宋体" w:eastAsia="宋体" w:hint="default"/>
                <w:sz w:val="18"/>
                <w:szCs w:val="18"/>
              </w:rPr>
            </w:pPr>
            <w:r>
              <w:rPr>
                <w:rFonts w:ascii="宋体" w:hAnsi="宋体" w:cs="宋体" w:eastAsia="宋体" w:hint="default"/>
                <w:spacing w:val="17"/>
                <w:sz w:val="18"/>
                <w:szCs w:val="18"/>
              </w:rPr>
              <w:t>上海浦东发展</w:t>
            </w:r>
            <w:r>
              <w:rPr>
                <w:rFonts w:ascii="宋体" w:hAnsi="宋体" w:cs="宋体" w:eastAsia="宋体" w:hint="default"/>
                <w:spacing w:val="-87"/>
                <w:sz w:val="18"/>
                <w:szCs w:val="18"/>
              </w:rPr>
              <w:t> </w:t>
            </w:r>
            <w:r>
              <w:rPr>
                <w:rFonts w:ascii="宋体" w:hAnsi="宋体" w:cs="宋体" w:eastAsia="宋体" w:hint="default"/>
                <w:spacing w:val="17"/>
                <w:sz w:val="18"/>
                <w:szCs w:val="18"/>
              </w:rPr>
              <w:t>银行股份有限</w:t>
            </w:r>
            <w:r>
              <w:rPr>
                <w:rFonts w:ascii="宋体" w:hAnsi="宋体" w:cs="宋体" w:eastAsia="宋体" w:hint="default"/>
                <w:spacing w:val="-87"/>
                <w:sz w:val="18"/>
                <w:szCs w:val="18"/>
              </w:rPr>
              <w:t> </w:t>
            </w:r>
            <w:r>
              <w:rPr>
                <w:rFonts w:ascii="宋体" w:hAnsi="宋体" w:cs="宋体" w:eastAsia="宋体" w:hint="default"/>
                <w:sz w:val="18"/>
                <w:szCs w:val="18"/>
              </w:rPr>
              <w:t>公司深圳分行</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2018-3-14</w:t>
            </w:r>
            <w:r>
              <w:rPr>
                <w:rFonts w:ascii="宋体" w:hAnsi="宋体" w:cs="宋体" w:eastAsia="宋体" w:hint="default"/>
                <w:sz w:val="18"/>
                <w:szCs w:val="18"/>
              </w:rPr>
              <w:t>至</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2019-1-22</w:t>
            </w:r>
          </w:p>
        </w:tc>
      </w:tr>
      <w:tr>
        <w:trPr>
          <w:trHeight w:val="658" w:hRule="exact"/>
        </w:trPr>
        <w:tc>
          <w:tcPr>
            <w:tcW w:w="900" w:type="dxa"/>
            <w:vMerge/>
            <w:tcBorders>
              <w:left w:val="single" w:sz="6" w:space="0" w:color="000000"/>
              <w:right w:val="single" w:sz="6" w:space="0" w:color="000000"/>
            </w:tcBorders>
          </w:tcPr>
          <w:p>
            <w:pPr/>
          </w:p>
        </w:tc>
        <w:tc>
          <w:tcPr>
            <w:tcW w:w="1481" w:type="dxa"/>
            <w:vMerge/>
            <w:tcBorders>
              <w:left w:val="single" w:sz="6" w:space="0" w:color="000000"/>
              <w:right w:val="single" w:sz="6" w:space="0" w:color="000000"/>
            </w:tcBorders>
          </w:tcPr>
          <w:p>
            <w:pPr/>
          </w:p>
        </w:tc>
        <w:tc>
          <w:tcPr>
            <w:tcW w:w="818" w:type="dxa"/>
            <w:vMerge/>
            <w:tcBorders>
              <w:left w:val="single" w:sz="6" w:space="0" w:color="000000"/>
              <w:right w:val="single" w:sz="6" w:space="0" w:color="000000"/>
            </w:tcBorders>
          </w:tcPr>
          <w:p>
            <w:pP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2,142,000.00</w:t>
            </w:r>
            <w:r>
              <w:rPr>
                <w:rFonts w:ascii="Times New Roman"/>
                <w:sz w:val="18"/>
              </w:rPr>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11.31%</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0.30%</w:t>
            </w:r>
          </w:p>
        </w:tc>
        <w:tc>
          <w:tcPr>
            <w:tcW w:w="1210" w:type="dxa"/>
            <w:vMerge w:val="restart"/>
            <w:tcBorders>
              <w:top w:val="single" w:sz="6" w:space="0" w:color="000000"/>
              <w:left w:val="single" w:sz="6" w:space="0" w:color="000000"/>
              <w:right w:val="single" w:sz="6" w:space="0" w:color="000000"/>
            </w:tcBorders>
          </w:tcPr>
          <w:p>
            <w:pPr>
              <w:pStyle w:val="TableParagraph"/>
              <w:spacing w:line="316" w:lineRule="auto" w:before="17"/>
              <w:ind w:left="4" w:right="-20"/>
              <w:jc w:val="left"/>
              <w:rPr>
                <w:rFonts w:ascii="宋体" w:hAnsi="宋体" w:cs="宋体" w:eastAsia="宋体" w:hint="default"/>
                <w:sz w:val="18"/>
                <w:szCs w:val="18"/>
              </w:rPr>
            </w:pPr>
            <w:r>
              <w:rPr>
                <w:rFonts w:ascii="宋体" w:hAnsi="宋体" w:cs="宋体" w:eastAsia="宋体" w:hint="default"/>
                <w:spacing w:val="17"/>
                <w:sz w:val="18"/>
                <w:szCs w:val="18"/>
              </w:rPr>
              <w:t>兴业证券股份</w:t>
            </w:r>
            <w:r>
              <w:rPr>
                <w:rFonts w:ascii="宋体" w:hAnsi="宋体" w:cs="宋体" w:eastAsia="宋体" w:hint="default"/>
                <w:spacing w:val="-87"/>
                <w:sz w:val="18"/>
                <w:szCs w:val="18"/>
              </w:rPr>
              <w:t> </w:t>
            </w:r>
            <w:r>
              <w:rPr>
                <w:rFonts w:ascii="宋体" w:hAnsi="宋体" w:cs="宋体" w:eastAsia="宋体" w:hint="default"/>
                <w:sz w:val="18"/>
                <w:szCs w:val="18"/>
              </w:rPr>
              <w:t>有限公司</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2017-2-28</w:t>
            </w:r>
            <w:r>
              <w:rPr>
                <w:rFonts w:ascii="宋体" w:hAnsi="宋体" w:cs="宋体" w:eastAsia="宋体" w:hint="default"/>
                <w:sz w:val="18"/>
                <w:szCs w:val="18"/>
              </w:rPr>
              <w:t>至</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2019-1-14</w:t>
            </w:r>
          </w:p>
        </w:tc>
      </w:tr>
      <w:tr>
        <w:trPr>
          <w:trHeight w:val="660" w:hRule="exact"/>
        </w:trPr>
        <w:tc>
          <w:tcPr>
            <w:tcW w:w="900" w:type="dxa"/>
            <w:vMerge/>
            <w:tcBorders>
              <w:left w:val="single" w:sz="6" w:space="0" w:color="000000"/>
              <w:bottom w:val="single" w:sz="6" w:space="0" w:color="000000"/>
              <w:right w:val="single" w:sz="6" w:space="0" w:color="000000"/>
            </w:tcBorders>
          </w:tcPr>
          <w:p>
            <w:pPr/>
          </w:p>
        </w:tc>
        <w:tc>
          <w:tcPr>
            <w:tcW w:w="1481" w:type="dxa"/>
            <w:vMerge/>
            <w:tcBorders>
              <w:left w:val="single" w:sz="6" w:space="0" w:color="000000"/>
              <w:bottom w:val="single" w:sz="6" w:space="0" w:color="000000"/>
              <w:right w:val="single" w:sz="6" w:space="0" w:color="000000"/>
            </w:tcBorders>
          </w:tcPr>
          <w:p>
            <w:pPr/>
          </w:p>
        </w:tc>
        <w:tc>
          <w:tcPr>
            <w:tcW w:w="818" w:type="dxa"/>
            <w:vMerge/>
            <w:tcBorders>
              <w:left w:val="single" w:sz="6" w:space="0" w:color="000000"/>
              <w:bottom w:val="single" w:sz="6" w:space="0" w:color="000000"/>
              <w:right w:val="single" w:sz="6" w:space="0" w:color="000000"/>
            </w:tcBorders>
          </w:tcPr>
          <w:p>
            <w:pP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1,400,000.00</w:t>
            </w:r>
            <w:r>
              <w:rPr>
                <w:rFonts w:ascii="Times New Roman"/>
                <w:sz w:val="18"/>
              </w:rPr>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7.39%</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0.20%</w:t>
            </w:r>
          </w:p>
        </w:tc>
        <w:tc>
          <w:tcPr>
            <w:tcW w:w="1210" w:type="dxa"/>
            <w:vMerge/>
            <w:tcBorders>
              <w:left w:val="single" w:sz="6" w:space="0" w:color="000000"/>
              <w:bottom w:val="single" w:sz="6" w:space="0" w:color="000000"/>
              <w:right w:val="single" w:sz="6" w:space="0" w:color="000000"/>
            </w:tcBorders>
          </w:tcPr>
          <w:p>
            <w:pP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2018-2-12</w:t>
            </w:r>
            <w:r>
              <w:rPr>
                <w:rFonts w:ascii="宋体" w:hAnsi="宋体" w:cs="宋体" w:eastAsia="宋体" w:hint="default"/>
                <w:sz w:val="18"/>
                <w:szCs w:val="18"/>
              </w:rPr>
              <w:t>至</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2019-1-14</w:t>
            </w:r>
          </w:p>
        </w:tc>
      </w:tr>
      <w:tr>
        <w:trPr>
          <w:trHeight w:val="348" w:hRule="exact"/>
        </w:trPr>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38" w:right="-1"/>
              <w:jc w:val="left"/>
              <w:rPr>
                <w:rFonts w:ascii="Times New Roman" w:hAnsi="Times New Roman" w:cs="Times New Roman" w:eastAsia="Times New Roman" w:hint="default"/>
                <w:sz w:val="18"/>
                <w:szCs w:val="18"/>
              </w:rPr>
            </w:pPr>
            <w:r>
              <w:rPr>
                <w:rFonts w:ascii="Times New Roman"/>
                <w:sz w:val="18"/>
              </w:rPr>
              <w:t>290,439,056.00</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47" w:right="-3"/>
              <w:jc w:val="left"/>
              <w:rPr>
                <w:rFonts w:ascii="Times New Roman" w:hAnsi="Times New Roman" w:cs="Times New Roman" w:eastAsia="Times New Roman" w:hint="default"/>
                <w:sz w:val="18"/>
                <w:szCs w:val="18"/>
              </w:rPr>
            </w:pPr>
            <w:r>
              <w:rPr>
                <w:rFonts w:ascii="Times New Roman"/>
                <w:sz w:val="18"/>
              </w:rPr>
              <w:t>40.59%</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203,826,000.00</w:t>
            </w:r>
            <w:r>
              <w:rPr>
                <w:rFonts w:ascii="Times New Roman"/>
                <w:sz w:val="18"/>
              </w:rPr>
            </w:r>
          </w:p>
        </w:tc>
        <w:tc>
          <w:tcPr>
            <w:tcW w:w="92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28.48%</w:t>
            </w:r>
          </w:p>
        </w:tc>
        <w:tc>
          <w:tcPr>
            <w:tcW w:w="1210" w:type="dxa"/>
            <w:tcBorders>
              <w:top w:val="single" w:sz="6" w:space="0" w:color="000000"/>
              <w:left w:val="single" w:sz="6" w:space="0" w:color="000000"/>
              <w:bottom w:val="single" w:sz="6" w:space="0" w:color="000000"/>
              <w:right w:val="single" w:sz="6" w:space="0" w:color="000000"/>
            </w:tcBorders>
          </w:tcPr>
          <w:p>
            <w:pPr/>
          </w:p>
        </w:tc>
        <w:tc>
          <w:tcPr>
            <w:tcW w:w="1483"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00" w:lineRule="auto" w:before="13"/>
        <w:ind w:left="572" w:right="982"/>
        <w:jc w:val="left"/>
      </w:pPr>
      <w:r>
        <w:rPr>
          <w:rFonts w:ascii="Times New Roman" w:hAnsi="Times New Roman" w:cs="Times New Roman" w:eastAsia="Times New Roman" w:hint="default"/>
        </w:rPr>
        <w:t>2</w:t>
      </w:r>
      <w:r>
        <w:rPr/>
        <w:t>．第一期员工持股计划 为进一步强化公司员工与股东的利益共享机制，实现股东、公司和员工利益的一致，提高公司治理水平。强化公司长</w:t>
      </w:r>
    </w:p>
    <w:p>
      <w:pPr>
        <w:pStyle w:val="BodyText"/>
        <w:spacing w:line="316" w:lineRule="auto" w:before="31"/>
        <w:ind w:right="1034"/>
        <w:jc w:val="left"/>
      </w:pPr>
      <w:r>
        <w:rPr/>
        <w:t>期、有效的激励约束机制，进一步提高员工的凝聚力和公司竞争力，更有效地调动员工的积极性和创造性，促进公司长期、 </w:t>
      </w:r>
      <w:r>
        <w:rPr>
          <w:spacing w:val="-2"/>
        </w:rPr>
        <w:t>持续、健康发展。</w:t>
      </w:r>
      <w:r>
        <w:rPr>
          <w:spacing w:val="-25"/>
        </w:rPr>
        <w:t> </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10</w:t>
      </w:r>
      <w:r>
        <w:rPr>
          <w:spacing w:val="-1"/>
        </w:rPr>
        <w:t>日，经</w:t>
      </w:r>
      <w:r>
        <w:rPr>
          <w:rFonts w:ascii="Times New Roman" w:hAnsi="Times New Roman" w:cs="Times New Roman" w:eastAsia="Times New Roman" w:hint="default"/>
          <w:spacing w:val="-1"/>
        </w:rPr>
        <w:t>2017</w:t>
      </w:r>
      <w:r>
        <w:rPr>
          <w:spacing w:val="-1"/>
        </w:rPr>
        <w:t>年第二次临时股东大会审议通过，本公司实施第一期员工持股计划。公司实施本</w:t>
      </w:r>
    </w:p>
    <w:p>
      <w:pPr>
        <w:spacing w:after="0" w:line="316" w:lineRule="auto"/>
        <w:jc w:val="left"/>
        <w:sectPr>
          <w:pgSz w:w="11910" w:h="16840"/>
          <w:pgMar w:header="745" w:footer="982" w:top="1060" w:bottom="1180" w:left="980" w:right="0"/>
        </w:sectPr>
      </w:pPr>
    </w:p>
    <w:p>
      <w:pPr>
        <w:spacing w:line="240" w:lineRule="auto" w:before="9"/>
        <w:rPr>
          <w:rFonts w:ascii="宋体" w:hAnsi="宋体" w:cs="宋体" w:eastAsia="宋体" w:hint="default"/>
          <w:sz w:val="25"/>
          <w:szCs w:val="25"/>
        </w:rPr>
      </w:pPr>
    </w:p>
    <w:p>
      <w:pPr>
        <w:pStyle w:val="BodyText"/>
        <w:spacing w:line="316" w:lineRule="auto"/>
        <w:ind w:right="1034"/>
        <w:jc w:val="left"/>
      </w:pPr>
      <w:r>
        <w:rPr>
          <w:spacing w:val="-4"/>
        </w:rPr>
        <w:t>次员工持股计划遵循公司自主决定、员工自愿参加的原则，公司不以摊派、强行分配等方式强制员工参加本次员工持股计划。</w:t>
      </w:r>
      <w:r>
        <w:rPr>
          <w:spacing w:val="-44"/>
        </w:rPr>
        <w:t> </w:t>
      </w:r>
      <w:r>
        <w:rPr>
          <w:spacing w:val="-44"/>
        </w:rPr>
      </w:r>
      <w:r>
        <w:rPr/>
        <w:t>参加对象盈亏自负，风险自担，与其他投资者权益平等。参加对象需符合公司制定的标准，并经董事会确认、监事会核实。</w:t>
      </w:r>
    </w:p>
    <w:p>
      <w:pPr>
        <w:pStyle w:val="BodyText"/>
        <w:spacing w:line="302" w:lineRule="auto" w:before="18"/>
        <w:ind w:right="1130" w:firstLine="419"/>
        <w:jc w:val="both"/>
      </w:pPr>
      <w:r>
        <w:rPr/>
        <w:t>本次员工持股计划成立时认购投入的现金资金用以购买五洋停车股票，认购金额不超过人民币</w:t>
      </w:r>
      <w:r>
        <w:rPr>
          <w:rFonts w:ascii="Times New Roman" w:hAnsi="Times New Roman" w:cs="Times New Roman" w:eastAsia="Times New Roman" w:hint="default"/>
        </w:rPr>
        <w:t>8000</w:t>
      </w:r>
      <w:r>
        <w:rPr/>
        <w:t>万元。将委托四川 信托有限公司设立集合资金信托计划，通过二级市场购买等法律法规许可的方式取得并持有五洋科技股票</w:t>
      </w:r>
      <w:r>
        <w:rPr>
          <w:rFonts w:ascii="Times New Roman" w:hAnsi="Times New Roman" w:cs="Times New Roman" w:eastAsia="Times New Roman" w:hint="default"/>
        </w:rPr>
        <w:t>,</w:t>
      </w:r>
      <w:r>
        <w:rPr/>
        <w:t>按照不超过</w:t>
      </w:r>
      <w:r>
        <w:rPr>
          <w:rFonts w:ascii="Times New Roman" w:hAnsi="Times New Roman" w:cs="Times New Roman" w:eastAsia="Times New Roman" w:hint="default"/>
        </w:rPr>
        <w:t>0.6:1</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5"/>
        </w:rPr>
      </w:r>
      <w:r>
        <w:rPr/>
        <w:t>的比例设立优先级份额和劣后级份额。公司实际控制人之一侯友夫为本次信托计划优先级份额的权益实现承担差额补偿责</w:t>
      </w:r>
      <w:r>
        <w:rPr>
          <w:spacing w:val="-11"/>
        </w:rPr>
        <w:t> </w:t>
      </w:r>
      <w:r>
        <w:rPr>
          <w:spacing w:val="-11"/>
        </w:rPr>
      </w:r>
      <w:r>
        <w:rPr>
          <w:spacing w:val="-1"/>
        </w:rPr>
        <w:t>任。本次员工持股计划所持有的股票总数累计不得超过公司股本总额的</w:t>
      </w:r>
      <w:r>
        <w:rPr>
          <w:rFonts w:ascii="Times New Roman" w:hAnsi="Times New Roman" w:cs="Times New Roman" w:eastAsia="Times New Roman" w:hint="default"/>
          <w:spacing w:val="-1"/>
        </w:rPr>
        <w:t>10%</w:t>
      </w:r>
      <w:r>
        <w:rPr>
          <w:spacing w:val="-1"/>
        </w:rPr>
        <w:t>；单个员工所持员工持股计划份额所对应的股票</w:t>
      </w:r>
      <w:r>
        <w:rPr/>
        <w:t> 总数累计不得超过公司股本总额的</w:t>
      </w:r>
      <w:r>
        <w:rPr>
          <w:rFonts w:ascii="Times New Roman" w:hAnsi="Times New Roman" w:cs="Times New Roman" w:eastAsia="Times New Roman" w:hint="default"/>
        </w:rPr>
        <w:t>1%</w:t>
      </w:r>
      <w:r>
        <w:rPr/>
        <w:t>。员工持股计划持有的股票总数不包括员工在公司首次公开发行股票上市前获得的股</w:t>
      </w:r>
      <w:r>
        <w:rPr>
          <w:spacing w:val="-59"/>
        </w:rPr>
        <w:t> </w:t>
      </w:r>
      <w:r>
        <w:rPr>
          <w:spacing w:val="-59"/>
        </w:rPr>
      </w:r>
      <w:r>
        <w:rPr>
          <w:spacing w:val="-2"/>
        </w:rPr>
        <w:t>份、通过二级市场自行购买的股份及通过股权激励获得的股份。本次员工持股计划的锁定期为</w:t>
      </w:r>
      <w:r>
        <w:rPr>
          <w:rFonts w:ascii="Times New Roman" w:hAnsi="Times New Roman" w:cs="Times New Roman" w:eastAsia="Times New Roman" w:hint="default"/>
          <w:spacing w:val="-2"/>
        </w:rPr>
        <w:t>12</w:t>
      </w:r>
      <w:r>
        <w:rPr>
          <w:spacing w:val="-2"/>
        </w:rPr>
        <w:t>个月，自公司公告标的股票</w:t>
      </w:r>
      <w:r>
        <w:rPr>
          <w:spacing w:val="-62"/>
        </w:rPr>
        <w:t> </w:t>
      </w:r>
      <w:r>
        <w:rPr>
          <w:spacing w:val="-62"/>
        </w:rPr>
      </w:r>
      <w:r>
        <w:rPr/>
        <w:t>全部过户至信托计划名下之日起算。本次员工持股计划的存续期不超过</w:t>
      </w:r>
      <w:r>
        <w:rPr>
          <w:rFonts w:ascii="Times New Roman" w:hAnsi="Times New Roman" w:cs="Times New Roman" w:eastAsia="Times New Roman" w:hint="default"/>
        </w:rPr>
        <w:t>24</w:t>
      </w:r>
      <w:r>
        <w:rPr/>
        <w:t>个月，自股东大会审议通过本次员 工持股计划之</w:t>
      </w:r>
      <w:r>
        <w:rPr>
          <w:spacing w:val="-85"/>
        </w:rPr>
        <w:t> </w:t>
      </w:r>
      <w:r>
        <w:rPr>
          <w:spacing w:val="-85"/>
        </w:rPr>
      </w:r>
      <w:r>
        <w:rPr/>
        <w:t>日起算，本次员工持股计划的存续期届满后自行终止。</w:t>
      </w:r>
    </w:p>
    <w:p>
      <w:pPr>
        <w:pStyle w:val="BodyText"/>
        <w:spacing w:line="300" w:lineRule="auto" w:before="29"/>
        <w:ind w:right="1043" w:firstLine="419"/>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11</w:t>
      </w:r>
      <w:r>
        <w:rPr>
          <w:spacing w:val="-2"/>
        </w:rPr>
        <w:t>日，公司与四川信托有限公司签订《四川信托</w:t>
      </w:r>
      <w:r>
        <w:rPr>
          <w:rFonts w:ascii="Times New Roman" w:hAnsi="Times New Roman" w:cs="Times New Roman" w:eastAsia="Times New Roman" w:hint="default"/>
          <w:spacing w:val="-2"/>
        </w:rPr>
        <w:t>-</w:t>
      </w:r>
      <w:r>
        <w:rPr>
          <w:spacing w:val="-2"/>
        </w:rPr>
        <w:t>五洋科技员工持股计划集合资金信托计划信托合同》。</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1"/>
        </w:rPr>
        <w:t> </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29</w:t>
      </w:r>
      <w:r>
        <w:rPr>
          <w:spacing w:val="2"/>
        </w:rPr>
        <w:t>日，</w:t>
      </w:r>
      <w:r>
        <w:rPr>
          <w:rFonts w:ascii="Times New Roman" w:hAnsi="Times New Roman" w:cs="Times New Roman" w:eastAsia="Times New Roman" w:hint="default"/>
          <w:spacing w:val="2"/>
        </w:rPr>
        <w:t>“</w:t>
      </w:r>
      <w:r>
        <w:rPr>
          <w:spacing w:val="2"/>
        </w:rPr>
        <w:t>四川信托</w:t>
      </w:r>
      <w:r>
        <w:rPr>
          <w:rFonts w:ascii="Times New Roman" w:hAnsi="Times New Roman" w:cs="Times New Roman" w:eastAsia="Times New Roman" w:hint="default"/>
          <w:spacing w:val="2"/>
        </w:rPr>
        <w:t>-</w:t>
      </w:r>
      <w:r>
        <w:rPr>
          <w:spacing w:val="2"/>
        </w:rPr>
        <w:t>五洋科技员工持股计划集合资金信托计划</w:t>
      </w:r>
      <w:r>
        <w:rPr>
          <w:rFonts w:ascii="Times New Roman" w:hAnsi="Times New Roman" w:cs="Times New Roman" w:eastAsia="Times New Roman" w:hint="default"/>
          <w:spacing w:val="2"/>
        </w:rPr>
        <w:t>”</w:t>
      </w:r>
      <w:r>
        <w:rPr>
          <w:spacing w:val="2"/>
        </w:rPr>
        <w:t>已通过二级市场购买的方式共计买入公司股票</w:t>
      </w:r>
      <w:r>
        <w:rPr>
          <w:rFonts w:ascii="Times New Roman" w:hAnsi="Times New Roman" w:cs="Times New Roman" w:eastAsia="Times New Roman" w:hint="default"/>
          <w:spacing w:val="2"/>
        </w:rPr>
        <w:t>8,675,400</w:t>
      </w:r>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spacing w:val="-2"/>
        </w:rPr>
        <w:t>股，占公司总股本的</w:t>
      </w:r>
      <w:r>
        <w:rPr>
          <w:rFonts w:ascii="Times New Roman" w:hAnsi="Times New Roman" w:cs="Times New Roman" w:eastAsia="Times New Roman" w:hint="default"/>
          <w:spacing w:val="-2"/>
        </w:rPr>
        <w:t>1.79%</w:t>
      </w:r>
      <w:r>
        <w:rPr>
          <w:spacing w:val="-2"/>
        </w:rPr>
        <w:t>，成交均价约为人民币</w:t>
      </w:r>
      <w:r>
        <w:rPr>
          <w:rFonts w:ascii="Times New Roman" w:hAnsi="Times New Roman" w:cs="Times New Roman" w:eastAsia="Times New Roman" w:hint="default"/>
          <w:spacing w:val="-2"/>
        </w:rPr>
        <w:t>8.98</w:t>
      </w:r>
      <w:r>
        <w:rPr>
          <w:spacing w:val="-2"/>
        </w:rPr>
        <w:t>元</w:t>
      </w:r>
      <w:r>
        <w:rPr>
          <w:rFonts w:ascii="Times New Roman" w:hAnsi="Times New Roman" w:cs="Times New Roman" w:eastAsia="Times New Roman" w:hint="default"/>
          <w:spacing w:val="-2"/>
        </w:rPr>
        <w:t>/</w:t>
      </w:r>
      <w:r>
        <w:rPr>
          <w:spacing w:val="-2"/>
        </w:rPr>
        <w:t>股。该计划所购买的股票锁定期为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30</w:t>
      </w:r>
      <w:r>
        <w:rPr>
          <w:spacing w:val="-2"/>
        </w:rPr>
        <w:t>日至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29</w:t>
      </w:r>
      <w:r>
        <w:rPr>
          <w:spacing w:val="-2"/>
        </w:rPr>
        <w:t>日。</w:t>
      </w:r>
      <w:r>
        <w:rPr/>
      </w:r>
    </w:p>
    <w:p>
      <w:pPr>
        <w:pStyle w:val="BodyText"/>
        <w:spacing w:line="240" w:lineRule="auto" w:before="13"/>
        <w:ind w:left="573" w:right="982"/>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日，上述员工持股计划尚未出售相关股票。</w:t>
      </w:r>
    </w:p>
    <w:p>
      <w:pPr>
        <w:pStyle w:val="BodyText"/>
        <w:spacing w:line="307" w:lineRule="auto" w:before="62"/>
        <w:ind w:right="1124" w:firstLine="360"/>
        <w:jc w:val="left"/>
      </w:pPr>
      <w:r>
        <w:rPr>
          <w:rFonts w:ascii="Times New Roman" w:hAnsi="Times New Roman" w:cs="Times New Roman" w:eastAsia="Times New Roman" w:hint="default"/>
        </w:rPr>
        <w:t>3.</w:t>
      </w:r>
      <w:r>
        <w:rPr/>
        <w:t>设立产业基金 </w:t>
      </w:r>
      <w:r>
        <w:rPr>
          <w:spacing w:val="-2"/>
        </w:rPr>
        <w:t>本公司、子公司弘毅华浩投资公司与江苏徐州老工业基地产业发展基金（有限合伙）、江苏盛世国金投资管理有限公司共同</w:t>
      </w:r>
      <w:r>
        <w:rPr>
          <w:spacing w:val="-66"/>
        </w:rPr>
        <w:t> </w:t>
      </w:r>
      <w:r>
        <w:rPr>
          <w:spacing w:val="-66"/>
        </w:rPr>
      </w:r>
      <w:r>
        <w:rPr>
          <w:spacing w:val="-2"/>
        </w:rPr>
        <w:t>出资设立徐州疌盛五洋智能装备产业基金合伙企业（有限合伙）。产业基金类型为有限合伙型私募投资基金，基金总规模不</w:t>
      </w:r>
      <w:r>
        <w:rPr>
          <w:spacing w:val="-64"/>
        </w:rPr>
        <w:t> </w:t>
      </w:r>
      <w:r>
        <w:rPr>
          <w:spacing w:val="-64"/>
        </w:rPr>
      </w:r>
      <w:r>
        <w:rPr>
          <w:spacing w:val="-1"/>
        </w:rPr>
        <w:t>超过</w:t>
      </w:r>
      <w:r>
        <w:rPr>
          <w:rFonts w:ascii="Times New Roman" w:hAnsi="Times New Roman" w:cs="Times New Roman" w:eastAsia="Times New Roman" w:hint="default"/>
          <w:spacing w:val="-1"/>
        </w:rPr>
        <w:t>10.02</w:t>
      </w:r>
      <w:r>
        <w:rPr>
          <w:spacing w:val="-1"/>
        </w:rPr>
        <w:t>亿元，一期规模不超过</w:t>
      </w:r>
      <w:r>
        <w:rPr>
          <w:rFonts w:ascii="Times New Roman" w:hAnsi="Times New Roman" w:cs="Times New Roman" w:eastAsia="Times New Roman" w:hint="default"/>
          <w:spacing w:val="-1"/>
        </w:rPr>
        <w:t>5.02</w:t>
      </w:r>
      <w:r>
        <w:rPr>
          <w:spacing w:val="-1"/>
        </w:rPr>
        <w:t>亿元。其中，公司作为有限合伙人一期拟出资</w:t>
      </w:r>
      <w:r>
        <w:rPr>
          <w:rFonts w:ascii="Times New Roman" w:hAnsi="Times New Roman" w:cs="Times New Roman" w:eastAsia="Times New Roman" w:hint="default"/>
          <w:spacing w:val="-1"/>
        </w:rPr>
        <w:t>35,000</w:t>
      </w:r>
      <w:r>
        <w:rPr>
          <w:spacing w:val="-1"/>
        </w:rPr>
        <w:t>万元，占基金一期的</w:t>
      </w:r>
      <w:r>
        <w:rPr>
          <w:rFonts w:ascii="Times New Roman" w:hAnsi="Times New Roman" w:cs="Times New Roman" w:eastAsia="Times New Roman" w:hint="default"/>
          <w:spacing w:val="-1"/>
        </w:rPr>
        <w:t>69.72%</w:t>
      </w:r>
      <w:r>
        <w:rPr>
          <w:spacing w:val="-1"/>
        </w:rPr>
        <w:t>；子公</w:t>
      </w:r>
      <w:r>
        <w:rPr/>
        <w:t> 司弘毅华浩作为普通合伙人之一一期出资</w:t>
      </w:r>
      <w:r>
        <w:rPr>
          <w:rFonts w:ascii="Times New Roman" w:hAnsi="Times New Roman" w:cs="Times New Roman" w:eastAsia="Times New Roman" w:hint="default"/>
        </w:rPr>
        <w:t>100</w:t>
      </w:r>
      <w:r>
        <w:rPr/>
        <w:t>万元，占基金一期的</w:t>
      </w:r>
      <w:r>
        <w:rPr>
          <w:rFonts w:ascii="Times New Roman" w:hAnsi="Times New Roman" w:cs="Times New Roman" w:eastAsia="Times New Roman" w:hint="default"/>
        </w:rPr>
        <w:t>0.2%</w:t>
      </w:r>
      <w:r>
        <w:rPr/>
        <w:t>，徐州老工业基金作为有限合伙人一期拟出资</w:t>
      </w:r>
      <w:r>
        <w:rPr>
          <w:rFonts w:ascii="Times New Roman" w:hAnsi="Times New Roman" w:cs="Times New Roman" w:eastAsia="Times New Roman" w:hint="default"/>
        </w:rPr>
        <w:t>15,000</w:t>
      </w:r>
      <w:r>
        <w:rPr>
          <w:rFonts w:ascii="Times New Roman" w:hAnsi="Times New Roman" w:cs="Times New Roman" w:eastAsia="Times New Roman" w:hint="default"/>
          <w:spacing w:val="-20"/>
        </w:rPr>
        <w:t> </w:t>
      </w:r>
      <w:r>
        <w:rPr>
          <w:rFonts w:ascii="Times New Roman" w:hAnsi="Times New Roman" w:cs="Times New Roman" w:eastAsia="Times New Roman" w:hint="default"/>
          <w:spacing w:val="-20"/>
        </w:rPr>
      </w:r>
      <w:r>
        <w:rPr>
          <w:spacing w:val="-1"/>
        </w:rPr>
        <w:t>万元，占基金一期的</w:t>
      </w:r>
      <w:r>
        <w:rPr>
          <w:rFonts w:ascii="Times New Roman" w:hAnsi="Times New Roman" w:cs="Times New Roman" w:eastAsia="Times New Roman" w:hint="default"/>
          <w:spacing w:val="-1"/>
        </w:rPr>
        <w:t>29.88%</w:t>
      </w:r>
      <w:r>
        <w:rPr>
          <w:spacing w:val="-1"/>
        </w:rPr>
        <w:t>；江苏盛世国金作为普通合伙人之一一期出资</w:t>
      </w:r>
      <w:r>
        <w:rPr>
          <w:rFonts w:ascii="Times New Roman" w:hAnsi="Times New Roman" w:cs="Times New Roman" w:eastAsia="Times New Roman" w:hint="default"/>
          <w:spacing w:val="-1"/>
        </w:rPr>
        <w:t>100</w:t>
      </w:r>
      <w:r>
        <w:rPr>
          <w:spacing w:val="-1"/>
        </w:rPr>
        <w:t>万元，占基金一期规模的</w:t>
      </w:r>
      <w:r>
        <w:rPr>
          <w:rFonts w:ascii="Times New Roman" w:hAnsi="Times New Roman" w:cs="Times New Roman" w:eastAsia="Times New Roman" w:hint="default"/>
          <w:spacing w:val="-1"/>
        </w:rPr>
        <w:t>0.2%</w:t>
      </w:r>
      <w:r>
        <w:rPr>
          <w:spacing w:val="-1"/>
        </w:rPr>
        <w:t>。基金存续期为</w:t>
      </w:r>
      <w:r>
        <w:rPr>
          <w:spacing w:val="-59"/>
        </w:rPr>
        <w:t> </w:t>
      </w:r>
      <w:r>
        <w:rPr>
          <w:spacing w:val="-59"/>
        </w:rPr>
      </w:r>
      <w:r>
        <w:rPr>
          <w:rFonts w:ascii="Times New Roman" w:hAnsi="Times New Roman" w:cs="Times New Roman" w:eastAsia="Times New Roman" w:hint="default"/>
        </w:rPr>
        <w:t>7</w:t>
      </w:r>
      <w:r>
        <w:rPr/>
        <w:t>年，江苏江苏盛世国金作为执行事务合伙人。投资领域包括：主要围绕智慧停车产业的相关投资；参与上市公司的定向增</w:t>
      </w:r>
      <w:r>
        <w:rPr>
          <w:spacing w:val="-84"/>
        </w:rPr>
        <w:t> </w:t>
      </w:r>
      <w:r>
        <w:rPr>
          <w:spacing w:val="-84"/>
        </w:rPr>
      </w:r>
      <w:r>
        <w:rPr>
          <w:spacing w:val="-2"/>
        </w:rPr>
        <w:t>发；参与智能装备制造相关领域的股权投资。主要投资于成长期和成熟期的项目，兼顾具有高成长性的初创期项目。投资范</w:t>
      </w:r>
      <w:r>
        <w:rPr>
          <w:spacing w:val="-65"/>
        </w:rPr>
        <w:t> </w:t>
      </w:r>
      <w:r>
        <w:rPr>
          <w:spacing w:val="-65"/>
        </w:rPr>
      </w:r>
      <w:r>
        <w:rPr/>
        <w:t>围不局限于停车产业，还包括定增、智能装备制造领域的股权投资等。期末，各合伙人出资情况如下：</w:t>
      </w:r>
    </w:p>
    <w:tbl>
      <w:tblPr>
        <w:tblW w:w="0" w:type="auto"/>
        <w:jc w:val="left"/>
        <w:tblInd w:w="143" w:type="dxa"/>
        <w:tblLayout w:type="fixed"/>
        <w:tblCellMar>
          <w:top w:w="0" w:type="dxa"/>
          <w:left w:w="0" w:type="dxa"/>
          <w:bottom w:w="0" w:type="dxa"/>
          <w:right w:w="0" w:type="dxa"/>
        </w:tblCellMar>
        <w:tblLook w:val="01E0"/>
      </w:tblPr>
      <w:tblGrid>
        <w:gridCol w:w="1570"/>
        <w:gridCol w:w="1560"/>
        <w:gridCol w:w="1558"/>
        <w:gridCol w:w="1560"/>
        <w:gridCol w:w="1277"/>
      </w:tblGrid>
      <w:tr>
        <w:trPr>
          <w:trHeight w:val="353" w:hRule="exact"/>
        </w:trPr>
        <w:tc>
          <w:tcPr>
            <w:tcW w:w="1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2" w:right="0"/>
              <w:jc w:val="center"/>
              <w:rPr>
                <w:rFonts w:ascii="宋体" w:hAnsi="宋体" w:cs="宋体" w:eastAsia="宋体" w:hint="default"/>
                <w:sz w:val="18"/>
                <w:szCs w:val="18"/>
              </w:rPr>
            </w:pPr>
            <w:r>
              <w:rPr>
                <w:rFonts w:ascii="宋体" w:hAnsi="宋体" w:cs="宋体" w:eastAsia="宋体" w:hint="default"/>
                <w:sz w:val="18"/>
                <w:szCs w:val="18"/>
              </w:rPr>
              <w:t>合伙人</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321" w:right="0"/>
              <w:jc w:val="left"/>
              <w:rPr>
                <w:rFonts w:ascii="宋体" w:hAnsi="宋体" w:cs="宋体" w:eastAsia="宋体" w:hint="default"/>
                <w:sz w:val="18"/>
                <w:szCs w:val="18"/>
              </w:rPr>
            </w:pPr>
            <w:r>
              <w:rPr>
                <w:rFonts w:ascii="宋体" w:hAnsi="宋体" w:cs="宋体" w:eastAsia="宋体" w:hint="default"/>
                <w:sz w:val="18"/>
                <w:szCs w:val="18"/>
              </w:rPr>
              <w:t>认缴出资额</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认缴比例</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right="317"/>
              <w:jc w:val="right"/>
              <w:rPr>
                <w:rFonts w:ascii="宋体" w:hAnsi="宋体" w:cs="宋体" w:eastAsia="宋体" w:hint="default"/>
                <w:sz w:val="18"/>
                <w:szCs w:val="18"/>
              </w:rPr>
            </w:pPr>
            <w:r>
              <w:rPr>
                <w:rFonts w:ascii="宋体" w:hAnsi="宋体" w:cs="宋体" w:eastAsia="宋体" w:hint="default"/>
                <w:sz w:val="18"/>
                <w:szCs w:val="18"/>
              </w:rPr>
              <w:t>实际出资额</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实际出资比例</w:t>
            </w:r>
          </w:p>
        </w:tc>
      </w:tr>
      <w:tr>
        <w:trPr>
          <w:trHeight w:val="350" w:hRule="exact"/>
        </w:trPr>
        <w:tc>
          <w:tcPr>
            <w:tcW w:w="1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盛世国金</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297" w:right="0"/>
              <w:jc w:val="left"/>
              <w:rPr>
                <w:rFonts w:ascii="Times New Roman" w:hAnsi="Times New Roman" w:cs="Times New Roman" w:eastAsia="Times New Roman" w:hint="default"/>
                <w:sz w:val="18"/>
                <w:szCs w:val="18"/>
              </w:rPr>
            </w:pPr>
            <w:r>
              <w:rPr>
                <w:rFonts w:ascii="Times New Roman"/>
                <w:sz w:val="18"/>
              </w:rPr>
              <w:t>1,000,000.00</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0.20%</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360"/>
              <w:jc w:val="right"/>
              <w:rPr>
                <w:rFonts w:ascii="Times New Roman" w:hAnsi="Times New Roman" w:cs="Times New Roman" w:eastAsia="Times New Roman" w:hint="default"/>
                <w:sz w:val="18"/>
                <w:szCs w:val="18"/>
              </w:rPr>
            </w:pPr>
            <w:r>
              <w:rPr>
                <w:rFonts w:ascii="Times New Roman"/>
                <w:sz w:val="18"/>
              </w:rPr>
              <w:t>100,000.00</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0.66%</w:t>
            </w:r>
          </w:p>
        </w:tc>
      </w:tr>
      <w:tr>
        <w:trPr>
          <w:trHeight w:val="353" w:hRule="exact"/>
        </w:trPr>
        <w:tc>
          <w:tcPr>
            <w:tcW w:w="1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弘毅华浩</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297" w:right="0"/>
              <w:jc w:val="left"/>
              <w:rPr>
                <w:rFonts w:ascii="Times New Roman" w:hAnsi="Times New Roman" w:cs="Times New Roman" w:eastAsia="Times New Roman" w:hint="default"/>
                <w:sz w:val="18"/>
                <w:szCs w:val="18"/>
              </w:rPr>
            </w:pPr>
            <w:r>
              <w:rPr>
                <w:rFonts w:ascii="Times New Roman"/>
                <w:sz w:val="18"/>
              </w:rPr>
              <w:t>1,000,000.00</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0.20%</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360"/>
              <w:jc w:val="right"/>
              <w:rPr>
                <w:rFonts w:ascii="Times New Roman" w:hAnsi="Times New Roman" w:cs="Times New Roman" w:eastAsia="Times New Roman" w:hint="default"/>
                <w:sz w:val="18"/>
                <w:szCs w:val="18"/>
              </w:rPr>
            </w:pPr>
            <w:r>
              <w:rPr>
                <w:rFonts w:ascii="Times New Roman"/>
                <w:sz w:val="18"/>
              </w:rPr>
              <w:t>100,000.00</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0.66%</w:t>
            </w:r>
          </w:p>
        </w:tc>
      </w:tr>
      <w:tr>
        <w:trPr>
          <w:trHeight w:val="353" w:hRule="exact"/>
        </w:trPr>
        <w:tc>
          <w:tcPr>
            <w:tcW w:w="1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徐州老工业基金</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208" w:right="0"/>
              <w:jc w:val="left"/>
              <w:rPr>
                <w:rFonts w:ascii="Times New Roman" w:hAnsi="Times New Roman" w:cs="Times New Roman" w:eastAsia="Times New Roman" w:hint="default"/>
                <w:sz w:val="18"/>
                <w:szCs w:val="18"/>
              </w:rPr>
            </w:pPr>
            <w:r>
              <w:rPr>
                <w:rFonts w:ascii="Times New Roman"/>
                <w:sz w:val="18"/>
              </w:rPr>
              <w:t>150,000,000.00</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29.88%</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292"/>
              <w:jc w:val="right"/>
              <w:rPr>
                <w:rFonts w:ascii="Times New Roman" w:hAnsi="Times New Roman" w:cs="Times New Roman" w:eastAsia="Times New Roman" w:hint="default"/>
                <w:sz w:val="18"/>
                <w:szCs w:val="18"/>
              </w:rPr>
            </w:pPr>
            <w:r>
              <w:rPr>
                <w:rFonts w:ascii="Times New Roman"/>
                <w:spacing w:val="-1"/>
                <w:sz w:val="18"/>
              </w:rPr>
              <w:t>4,500,000.00</w:t>
            </w:r>
            <w:r>
              <w:rPr>
                <w:rFonts w:ascii="Times New Roman"/>
                <w:sz w:val="18"/>
              </w:rPr>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29.61%</w:t>
            </w:r>
          </w:p>
        </w:tc>
      </w:tr>
      <w:tr>
        <w:trPr>
          <w:trHeight w:val="350" w:hRule="exact"/>
        </w:trPr>
        <w:tc>
          <w:tcPr>
            <w:tcW w:w="1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415" w:right="-3"/>
              <w:jc w:val="left"/>
              <w:rPr>
                <w:rFonts w:ascii="Times New Roman" w:hAnsi="Times New Roman" w:cs="Times New Roman" w:eastAsia="Times New Roman" w:hint="default"/>
                <w:sz w:val="18"/>
                <w:szCs w:val="18"/>
              </w:rPr>
            </w:pPr>
            <w:r>
              <w:rPr>
                <w:rFonts w:ascii="Times New Roman"/>
                <w:sz w:val="18"/>
              </w:rPr>
              <w:t>350,000,000.00</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69.72%</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248"/>
              <w:jc w:val="right"/>
              <w:rPr>
                <w:rFonts w:ascii="Times New Roman" w:hAnsi="Times New Roman" w:cs="Times New Roman" w:eastAsia="Times New Roman" w:hint="default"/>
                <w:sz w:val="18"/>
                <w:szCs w:val="18"/>
              </w:rPr>
            </w:pPr>
            <w:r>
              <w:rPr>
                <w:rFonts w:ascii="Times New Roman"/>
                <w:spacing w:val="-1"/>
                <w:sz w:val="18"/>
              </w:rPr>
              <w:t>10,500,000.00</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69.08%</w:t>
            </w:r>
          </w:p>
        </w:tc>
      </w:tr>
      <w:tr>
        <w:trPr>
          <w:trHeight w:val="353" w:hRule="exact"/>
        </w:trPr>
        <w:tc>
          <w:tcPr>
            <w:tcW w:w="1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208" w:right="0"/>
              <w:jc w:val="left"/>
              <w:rPr>
                <w:rFonts w:ascii="Times New Roman" w:hAnsi="Times New Roman" w:cs="Times New Roman" w:eastAsia="Times New Roman" w:hint="default"/>
                <w:sz w:val="18"/>
                <w:szCs w:val="18"/>
              </w:rPr>
            </w:pPr>
            <w:r>
              <w:rPr>
                <w:rFonts w:ascii="Times New Roman"/>
                <w:sz w:val="18"/>
              </w:rPr>
              <w:t>502,000,000.00</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100.00%</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248"/>
              <w:jc w:val="right"/>
              <w:rPr>
                <w:rFonts w:ascii="Times New Roman" w:hAnsi="Times New Roman" w:cs="Times New Roman" w:eastAsia="Times New Roman" w:hint="default"/>
                <w:sz w:val="18"/>
                <w:szCs w:val="18"/>
              </w:rPr>
            </w:pPr>
            <w:r>
              <w:rPr>
                <w:rFonts w:ascii="Times New Roman"/>
                <w:spacing w:val="-1"/>
                <w:sz w:val="18"/>
              </w:rPr>
              <w:t>15,200,000.00</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27"/>
        <w:ind w:right="982"/>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日，上述产业基金尚未对外进行投资。</w:t>
      </w:r>
    </w:p>
    <w:p>
      <w:pPr>
        <w:pStyle w:val="BodyText"/>
        <w:spacing w:line="300" w:lineRule="auto" w:before="62"/>
        <w:ind w:left="572" w:right="982" w:firstLine="228"/>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7"/>
        </w:rPr>
        <w:t> </w:t>
      </w:r>
      <w:r>
        <w:rPr/>
        <w:t>被收购方业绩承诺情况 本公司在</w:t>
      </w:r>
      <w:r>
        <w:rPr>
          <w:rFonts w:ascii="Times New Roman" w:hAnsi="Times New Roman" w:cs="Times New Roman" w:eastAsia="Times New Roman" w:hint="default"/>
        </w:rPr>
        <w:t>2016</w:t>
      </w:r>
      <w:r>
        <w:rPr/>
        <w:t>年至</w:t>
      </w:r>
      <w:r>
        <w:rPr>
          <w:rFonts w:ascii="Times New Roman" w:hAnsi="Times New Roman" w:cs="Times New Roman" w:eastAsia="Times New Roman" w:hint="default"/>
        </w:rPr>
        <w:t>2017</w:t>
      </w:r>
      <w:r>
        <w:rPr/>
        <w:t>年期间，陆续购买北京华逸奇公司、天辰智能公司相关股权，根据公司与前述被购买方签署的</w:t>
      </w:r>
    </w:p>
    <w:p>
      <w:pPr>
        <w:pStyle w:val="BodyText"/>
        <w:spacing w:line="316" w:lineRule="auto" w:before="13"/>
        <w:ind w:right="982"/>
        <w:jc w:val="left"/>
      </w:pPr>
      <w:r>
        <w:rPr>
          <w:spacing w:val="-2"/>
        </w:rPr>
        <w:t>《盈利补偿协议》，被购买方均作出了在一定期间内扣除非经常性损益后归属母公司股东净利润实现情况的相关承诺，具体</w:t>
      </w:r>
      <w:r>
        <w:rPr>
          <w:spacing w:val="-66"/>
        </w:rPr>
        <w:t> </w:t>
      </w:r>
      <w:r>
        <w:rPr>
          <w:spacing w:val="-66"/>
        </w:rPr>
      </w:r>
      <w:r>
        <w:rPr/>
        <w:t>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ind w:left="7105" w:right="982"/>
        <w:jc w:val="left"/>
      </w:pPr>
      <w:r>
        <w:rPr/>
        <w:pict>
          <v:shape style="position:absolute;margin-left:56.279999pt;margin-top:-65.408279pt;width:355.45pt;height:130.8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81"/>
                    <w:gridCol w:w="5006"/>
                  </w:tblGrid>
                  <w:tr>
                    <w:trPr>
                      <w:trHeight w:val="348" w:hRule="exact"/>
                    </w:trPr>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被购买方</w:t>
                        </w:r>
                      </w:p>
                    </w:tc>
                    <w:tc>
                      <w:tcPr>
                        <w:tcW w:w="5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业绩承诺情况</w:t>
                        </w:r>
                      </w:p>
                    </w:tc>
                  </w:tr>
                  <w:tr>
                    <w:trPr>
                      <w:trHeight w:val="658" w:hRule="exact"/>
                    </w:trPr>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华逸奇</w:t>
                        </w:r>
                      </w:p>
                    </w:tc>
                    <w:tc>
                      <w:tcPr>
                        <w:tcW w:w="500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年至</w:t>
                        </w:r>
                        <w:r>
                          <w:rPr>
                            <w:rFonts w:ascii="Times New Roman" w:hAnsi="Times New Roman" w:cs="Times New Roman" w:eastAsia="Times New Roman" w:hint="default"/>
                            <w:spacing w:val="-2"/>
                            <w:sz w:val="18"/>
                            <w:szCs w:val="18"/>
                          </w:rPr>
                          <w:t>2020</w:t>
                        </w:r>
                        <w:r>
                          <w:rPr>
                            <w:rFonts w:ascii="宋体" w:hAnsi="宋体" w:cs="宋体" w:eastAsia="宋体" w:hint="default"/>
                            <w:spacing w:val="-2"/>
                            <w:sz w:val="18"/>
                            <w:szCs w:val="18"/>
                          </w:rPr>
                          <w:t>年度，五年累计实现扣除非经常性损益后归属于母</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公司股东的净利润不低于</w:t>
                        </w:r>
                        <w:r>
                          <w:rPr>
                            <w:rFonts w:ascii="Times New Roman" w:hAnsi="Times New Roman" w:cs="Times New Roman" w:eastAsia="Times New Roman" w:hint="default"/>
                            <w:sz w:val="18"/>
                            <w:szCs w:val="18"/>
                          </w:rPr>
                          <w:t>3,306</w:t>
                        </w:r>
                        <w:r>
                          <w:rPr>
                            <w:rFonts w:ascii="宋体" w:hAnsi="宋体" w:cs="宋体" w:eastAsia="宋体" w:hint="default"/>
                            <w:sz w:val="18"/>
                            <w:szCs w:val="18"/>
                          </w:rPr>
                          <w:t>万元</w:t>
                        </w:r>
                      </w:p>
                    </w:tc>
                  </w:tr>
                  <w:tr>
                    <w:trPr>
                      <w:trHeight w:val="1596" w:hRule="exact"/>
                    </w:trPr>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天辰智能</w:t>
                        </w:r>
                      </w:p>
                    </w:tc>
                    <w:tc>
                      <w:tcPr>
                        <w:tcW w:w="500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20"/>
                          <w:ind w:left="2" w:right="0"/>
                          <w:jc w:val="left"/>
                          <w:rPr>
                            <w:rFonts w:ascii="宋体" w:hAnsi="宋体" w:cs="宋体" w:eastAsia="宋体" w:hint="default"/>
                            <w:sz w:val="18"/>
                            <w:szCs w:val="18"/>
                          </w:rPr>
                        </w:pPr>
                        <w:r>
                          <w:rPr>
                            <w:rFonts w:ascii="宋体" w:hAnsi="宋体" w:cs="宋体" w:eastAsia="宋体" w:hint="default"/>
                            <w:spacing w:val="-2"/>
                            <w:sz w:val="18"/>
                            <w:szCs w:val="18"/>
                          </w:rPr>
                          <w:t>天辰智能原股东济南天辰机器集团有限公司、侯秀峰及侯玉鹏承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诺天辰智能</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年和</w:t>
                        </w:r>
                        <w:r>
                          <w:rPr>
                            <w:rFonts w:ascii="Times New Roman" w:hAnsi="Times New Roman" w:cs="Times New Roman" w:eastAsia="Times New Roman" w:hint="default"/>
                            <w:sz w:val="18"/>
                            <w:szCs w:val="18"/>
                          </w:rPr>
                          <w:t>2020</w:t>
                        </w:r>
                        <w:r>
                          <w:rPr>
                            <w:rFonts w:ascii="宋体" w:hAnsi="宋体" w:cs="宋体" w:eastAsia="宋体" w:hint="default"/>
                            <w:sz w:val="18"/>
                            <w:szCs w:val="18"/>
                          </w:rPr>
                          <w:t>年净利润（扣非后 </w:t>
                        </w:r>
                        <w:r>
                          <w:rPr>
                            <w:rFonts w:ascii="宋体" w:hAnsi="宋体" w:cs="宋体" w:eastAsia="宋体" w:hint="default"/>
                            <w:spacing w:val="7"/>
                            <w:sz w:val="18"/>
                            <w:szCs w:val="18"/>
                          </w:rPr>
                          <w:t>分别为</w:t>
                        </w:r>
                        <w:r>
                          <w:rPr>
                            <w:rFonts w:ascii="Times New Roman" w:hAnsi="Times New Roman" w:cs="Times New Roman" w:eastAsia="Times New Roman" w:hint="default"/>
                            <w:spacing w:val="7"/>
                            <w:sz w:val="18"/>
                            <w:szCs w:val="18"/>
                          </w:rPr>
                          <w:t>2,300</w:t>
                        </w:r>
                        <w:r>
                          <w:rPr>
                            <w:rFonts w:ascii="宋体" w:hAnsi="宋体" w:cs="宋体" w:eastAsia="宋体" w:hint="default"/>
                            <w:spacing w:val="7"/>
                            <w:sz w:val="18"/>
                            <w:szCs w:val="18"/>
                          </w:rPr>
                          <w:t>万元、</w:t>
                        </w:r>
                        <w:r>
                          <w:rPr>
                            <w:rFonts w:ascii="Times New Roman" w:hAnsi="Times New Roman" w:cs="Times New Roman" w:eastAsia="Times New Roman" w:hint="default"/>
                            <w:spacing w:val="7"/>
                            <w:sz w:val="18"/>
                            <w:szCs w:val="18"/>
                          </w:rPr>
                          <w:t>3,200</w:t>
                        </w:r>
                        <w:r>
                          <w:rPr>
                            <w:rFonts w:ascii="宋体" w:hAnsi="宋体" w:cs="宋体" w:eastAsia="宋体" w:hint="default"/>
                            <w:spacing w:val="7"/>
                            <w:sz w:val="18"/>
                            <w:szCs w:val="18"/>
                          </w:rPr>
                          <w:t>万元、</w:t>
                        </w:r>
                        <w:r>
                          <w:rPr>
                            <w:rFonts w:ascii="Times New Roman" w:hAnsi="Times New Roman" w:cs="Times New Roman" w:eastAsia="Times New Roman" w:hint="default"/>
                            <w:spacing w:val="7"/>
                            <w:sz w:val="18"/>
                            <w:szCs w:val="18"/>
                          </w:rPr>
                          <w:t>3,900</w:t>
                        </w:r>
                        <w:r>
                          <w:rPr>
                            <w:rFonts w:ascii="宋体" w:hAnsi="宋体" w:cs="宋体" w:eastAsia="宋体" w:hint="default"/>
                            <w:spacing w:val="7"/>
                            <w:sz w:val="18"/>
                            <w:szCs w:val="18"/>
                          </w:rPr>
                          <w:t>万元和</w:t>
                        </w:r>
                        <w:r>
                          <w:rPr>
                            <w:rFonts w:ascii="Times New Roman" w:hAnsi="Times New Roman" w:cs="Times New Roman" w:eastAsia="Times New Roman" w:hint="default"/>
                            <w:spacing w:val="7"/>
                            <w:sz w:val="18"/>
                            <w:szCs w:val="18"/>
                          </w:rPr>
                          <w:t>4,600</w:t>
                        </w:r>
                        <w:r>
                          <w:rPr>
                            <w:rFonts w:ascii="宋体" w:hAnsi="宋体" w:cs="宋体" w:eastAsia="宋体" w:hint="default"/>
                            <w:spacing w:val="7"/>
                            <w:sz w:val="18"/>
                            <w:szCs w:val="18"/>
                          </w:rPr>
                          <w:t>万元，承诺</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Times New Roman" w:hAnsi="Times New Roman" w:cs="Times New Roman" w:eastAsia="Times New Roman" w:hint="default"/>
                            <w:sz w:val="18"/>
                            <w:szCs w:val="18"/>
                          </w:rPr>
                          <w:t>2017-2020</w:t>
                        </w:r>
                        <w:r>
                          <w:rPr>
                            <w:rFonts w:ascii="宋体" w:hAnsi="宋体" w:cs="宋体" w:eastAsia="宋体" w:hint="default"/>
                            <w:sz w:val="18"/>
                            <w:szCs w:val="18"/>
                          </w:rPr>
                          <w:t>年扣除非经常性损益后四年归属母公司股东净利润累</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计不低于</w:t>
                        </w:r>
                        <w:r>
                          <w:rPr>
                            <w:rFonts w:ascii="Times New Roman" w:hAnsi="Times New Roman" w:cs="Times New Roman" w:eastAsia="Times New Roman" w:hint="default"/>
                            <w:sz w:val="18"/>
                            <w:szCs w:val="18"/>
                          </w:rPr>
                          <w:t>14,000</w:t>
                        </w:r>
                        <w:r>
                          <w:rPr>
                            <w:rFonts w:ascii="宋体" w:hAnsi="宋体" w:cs="宋体" w:eastAsia="宋体" w:hint="default"/>
                            <w:sz w:val="18"/>
                            <w:szCs w:val="18"/>
                          </w:rPr>
                          <w:t>万元。</w:t>
                        </w:r>
                      </w:p>
                    </w:tc>
                  </w:tr>
                </w:tbl>
                <w:p>
                  <w:pPr/>
                </w:p>
              </w:txbxContent>
            </v:textbox>
            <w10:wrap type="none"/>
          </v:shape>
        </w:pict>
      </w:r>
      <w:r>
        <w:rPr/>
        <w:t>）</w:t>
      </w:r>
    </w:p>
    <w:p>
      <w:pPr>
        <w:spacing w:after="0" w:line="240" w:lineRule="auto"/>
        <w:jc w:val="left"/>
        <w:sectPr>
          <w:pgSz w:w="11910" w:h="16840"/>
          <w:pgMar w:header="745"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87" w:lineRule="auto" w:before="187"/>
        <w:ind w:left="152" w:right="6899" w:firstLine="0"/>
        <w:jc w:val="left"/>
        <w:rPr>
          <w:rFonts w:ascii="宋体" w:hAnsi="宋体" w:cs="宋体" w:eastAsia="宋体" w:hint="default"/>
          <w:sz w:val="21"/>
          <w:szCs w:val="21"/>
        </w:rPr>
      </w:pPr>
      <w:bookmarkStart w:name="8、其他" w:id="486"/>
      <w:bookmarkEnd w:id="486"/>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七、母公司财务报表主要项目注释" w:id="487"/>
      <w:bookmarkEnd w:id="487"/>
      <w:r>
        <w:rPr>
          <w:rFonts w:ascii="宋体" w:hAnsi="宋体" w:cs="宋体" w:eastAsia="宋体" w:hint="default"/>
          <w:b/>
          <w:bCs/>
          <w:w w:val="100"/>
          <w:sz w:val="21"/>
          <w:szCs w:val="21"/>
        </w:rPr>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bookmarkStart w:name="1、应收票据及应收账款" w:id="488"/>
      <w:bookmarkEnd w:id="48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、应收票据及应收账款</w:t>
      </w:r>
      <w:r>
        <w:rPr>
          <w:rFonts w:ascii="宋体" w:hAnsi="宋体" w:cs="宋体" w:eastAsia="宋体" w:hint="default"/>
          <w:sz w:val="21"/>
          <w:szCs w:val="21"/>
        </w:rPr>
      </w:r>
    </w:p>
    <w:p>
      <w:pPr>
        <w:pStyle w:val="BodyText"/>
        <w:spacing w:line="240" w:lineRule="auto" w:before="105"/>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44,469,075.24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35,549,952.89</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70,671,943.80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72,688,670.23</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115,141,019.04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108,238,623.12</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bookmarkStart w:name="（1）应收票据" w:id="489"/>
      <w:bookmarkEnd w:id="489"/>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982"/>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36,766,885.52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30,387,976.84</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7,702,189.72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5,161,976.05</w:t>
            </w:r>
            <w:r>
              <w:rPr>
                <w:rFonts w:ascii="Times New Roman"/>
                <w:sz w:val="18"/>
              </w:rPr>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44,469,075.24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35,549,952.89</w:t>
            </w:r>
          </w:p>
        </w:tc>
      </w:tr>
    </w:tbl>
    <w:p>
      <w:pPr>
        <w:pStyle w:val="BodyText"/>
        <w:spacing w:line="240" w:lineRule="auto" w:before="49"/>
        <w:ind w:right="982"/>
        <w:jc w:val="left"/>
      </w:pPr>
      <w:r>
        <w:rPr>
          <w:rFonts w:ascii="Times New Roman" w:hAnsi="Times New Roman" w:cs="Times New Roman" w:eastAsia="Times New Roman" w:hint="default"/>
        </w:rPr>
        <w:t>2)</w:t>
      </w:r>
      <w:r>
        <w:rPr/>
        <w:t>期末公司已质押的应收票据</w:t>
      </w:r>
    </w:p>
    <w:p>
      <w:pPr>
        <w:pStyle w:val="BodyText"/>
        <w:spacing w:line="240" w:lineRule="auto" w:before="103"/>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0"/>
        <w:gridCol w:w="4796"/>
      </w:tblGrid>
      <w:tr>
        <w:trPr>
          <w:trHeight w:val="403"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3,163,531.55</w:t>
            </w:r>
            <w:r>
              <w:rPr>
                <w:rFonts w:ascii="Times New Roman"/>
                <w:sz w:val="18"/>
              </w:rPr>
            </w:r>
          </w:p>
        </w:tc>
      </w:tr>
      <w:tr>
        <w:trPr>
          <w:trHeight w:val="402"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3,163,531.55</w:t>
            </w:r>
            <w:r>
              <w:rPr>
                <w:rFonts w:ascii="Times New Roman"/>
                <w:sz w:val="18"/>
              </w:rPr>
            </w:r>
          </w:p>
        </w:tc>
      </w:tr>
    </w:tbl>
    <w:p>
      <w:pPr>
        <w:pStyle w:val="BodyText"/>
        <w:spacing w:line="240" w:lineRule="auto" w:before="49"/>
        <w:ind w:right="982"/>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1"/>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8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34,175,888.52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2,200,000.00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36,375,888.52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bookmarkStart w:name="4)期末公司因出票人未履约而将其转应收账款的票据" w:id="490"/>
      <w:bookmarkEnd w:id="490"/>
      <w:r>
        <w:rPr>
          <w:b w:val="0"/>
          <w:bCs w:val="0"/>
        </w:rPr>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74"/>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239,200.00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239,200.00</w:t>
            </w:r>
          </w:p>
        </w:tc>
      </w:tr>
    </w:tbl>
    <w:p>
      <w:pPr>
        <w:pStyle w:val="BodyText"/>
        <w:spacing w:line="240" w:lineRule="auto" w:before="49"/>
        <w:ind w:right="982"/>
        <w:jc w:val="left"/>
      </w:pPr>
      <w:r>
        <w:rPr/>
        <w:t>其他说明</w:t>
      </w:r>
    </w:p>
    <w:p>
      <w:pPr>
        <w:pStyle w:val="BodyText"/>
        <w:spacing w:line="316" w:lineRule="auto" w:before="115"/>
        <w:ind w:right="1130" w:firstLine="360"/>
        <w:jc w:val="both"/>
      </w:pPr>
      <w:r>
        <w:rPr>
          <w:spacing w:val="-2"/>
        </w:rPr>
        <w:t>银行承兑汇票的承兑人是商业银行，由于商业银行具有较高的信用，银行承兑汇票到期不获支付的可能性较低，故本公</w:t>
      </w:r>
      <w:r>
        <w:rPr/>
        <w:t> </w:t>
      </w:r>
      <w:r>
        <w:rPr>
          <w:spacing w:val="-2"/>
        </w:rPr>
        <w:t>司将已背书或贴现的银行承兑汇票予以终止确认。但如果该等票据到期不获支付，依据《票据法》之规定，公司仍将对持票</w:t>
      </w:r>
      <w:r>
        <w:rPr>
          <w:spacing w:val="-67"/>
        </w:rPr>
        <w:t> </w:t>
      </w:r>
      <w:r>
        <w:rPr>
          <w:spacing w:val="-67"/>
        </w:rPr>
      </w:r>
      <w:r>
        <w:rPr/>
        <w:t>人承担连带责任。</w:t>
      </w:r>
    </w:p>
    <w:p>
      <w:pPr>
        <w:pStyle w:val="BodyText"/>
        <w:spacing w:line="316" w:lineRule="auto" w:before="18"/>
        <w:ind w:right="982" w:firstLine="288"/>
        <w:jc w:val="left"/>
      </w:pPr>
      <w:r>
        <w:rPr/>
        <w:t>商业承兑汇票的承兑人为陕西煤业物资有限责任公司榆林分公司、陕西陕煤韩城矿业有限公司和开滦（集团）有限责任 </w:t>
      </w:r>
      <w:r>
        <w:rPr>
          <w:spacing w:val="-4"/>
        </w:rPr>
        <w:t>公司物资分公司，承兑人具有较好的信用，故本公司将已背书的商业承兑汇票予以终止确认。但如果该等票据到期不获支付，</w:t>
      </w:r>
      <w:r>
        <w:rPr>
          <w:spacing w:val="-44"/>
        </w:rPr>
        <w:t> </w:t>
      </w:r>
      <w:r>
        <w:rPr>
          <w:spacing w:val="-44"/>
        </w:rPr>
      </w:r>
      <w:r>
        <w:rPr/>
        <w:t>依据《票据法》之规定，公司仍将对持票人承担连带责任。</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6"/>
          <w:szCs w:val="16"/>
        </w:rPr>
      </w:pPr>
    </w:p>
    <w:p>
      <w:pPr>
        <w:pStyle w:val="Heading3"/>
        <w:spacing w:line="240" w:lineRule="auto"/>
        <w:ind w:right="982"/>
        <w:jc w:val="left"/>
        <w:rPr>
          <w:b w:val="0"/>
          <w:bCs w:val="0"/>
        </w:rPr>
      </w:pPr>
      <w:bookmarkStart w:name="（2）应收账款" w:id="491"/>
      <w:bookmarkEnd w:id="491"/>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982"/>
        <w:jc w:val="left"/>
      </w:pPr>
      <w:r>
        <w:rPr>
          <w:rFonts w:ascii="Times New Roman" w:hAnsi="Times New Roman" w:cs="Times New Roman" w:eastAsia="Times New Roman" w:hint="default"/>
        </w:rPr>
        <w:t>1)</w:t>
      </w:r>
      <w:r>
        <w:rPr/>
        <w:t>应收账款分类披露</w:t>
      </w:r>
    </w:p>
    <w:p>
      <w:pPr>
        <w:pStyle w:val="BodyText"/>
        <w:spacing w:line="240" w:lineRule="auto" w:before="103"/>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5"/>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4D4D4"/>
          </w:tcPr>
          <w:p>
            <w:pPr/>
          </w:p>
        </w:tc>
        <w:tc>
          <w:tcPr>
            <w:tcW w:w="384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4D4D4"/>
          </w:tcPr>
          <w:p>
            <w:pPr/>
          </w:p>
        </w:tc>
        <w:tc>
          <w:tcPr>
            <w:tcW w:w="153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4D4D4"/>
          </w:tcPr>
          <w:p>
            <w:pPr/>
          </w:p>
        </w:tc>
        <w:tc>
          <w:tcPr>
            <w:tcW w:w="14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
        </w:tc>
      </w:tr>
      <w:tr>
        <w:trPr>
          <w:trHeight w:val="241" w:hRule="exact"/>
        </w:trPr>
        <w:tc>
          <w:tcPr>
            <w:tcW w:w="161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4D4D4"/>
          </w:tcPr>
          <w:p>
            <w:pPr/>
          </w:p>
        </w:tc>
        <w:tc>
          <w:tcPr>
            <w:tcW w:w="1526" w:type="dxa"/>
            <w:gridSpan w:val="2"/>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1416" w:type="dxa"/>
            <w:gridSpan w:val="2"/>
            <w:vMerge/>
            <w:tcBorders>
              <w:left w:val="single" w:sz="4" w:space="0" w:color="000000"/>
              <w:bottom w:val="single" w:sz="4" w:space="0" w:color="000000"/>
              <w:right w:val="single" w:sz="4" w:space="0" w:color="000000"/>
            </w:tcBorders>
            <w:shd w:val="clear" w:color="auto" w:fill="D4D4D4"/>
          </w:tcPr>
          <w:p>
            <w:pPr/>
          </w:p>
        </w:tc>
        <w:tc>
          <w:tcPr>
            <w:tcW w:w="1747" w:type="dxa"/>
            <w:gridSpan w:val="2"/>
            <w:vMerge/>
            <w:tcBorders>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159" w:hRule="exact"/>
        </w:trPr>
        <w:tc>
          <w:tcPr>
            <w:tcW w:w="1612" w:type="dxa"/>
            <w:vMerge/>
            <w:tcBorders>
              <w:left w:val="single" w:sz="4" w:space="0" w:color="000000"/>
              <w:bottom w:val="single" w:sz="5" w:space="0" w:color="FFFFFF"/>
              <w:right w:val="single" w:sz="4" w:space="0" w:color="000000"/>
            </w:tcBorders>
            <w:shd w:val="clear" w:color="auto" w:fill="D4D4D4"/>
          </w:tcPr>
          <w:p>
            <w:pPr/>
          </w:p>
        </w:tc>
        <w:tc>
          <w:tcPr>
            <w:tcW w:w="774" w:type="dxa"/>
            <w:tcBorders>
              <w:top w:val="single" w:sz="4" w:space="0" w:color="000000"/>
              <w:left w:val="single" w:sz="4" w:space="0" w:color="000000"/>
              <w:bottom w:val="single" w:sz="5" w:space="0" w:color="FFFFFF"/>
              <w:right w:val="single" w:sz="4" w:space="0" w:color="000000"/>
            </w:tcBorders>
            <w:shd w:val="clear" w:color="auto" w:fill="D4D4D4"/>
          </w:tcPr>
          <w:p>
            <w:pPr/>
          </w:p>
        </w:tc>
        <w:tc>
          <w:tcPr>
            <w:tcW w:w="761" w:type="dxa"/>
            <w:tcBorders>
              <w:top w:val="single" w:sz="4" w:space="0" w:color="000000"/>
              <w:left w:val="single" w:sz="4" w:space="0" w:color="000000"/>
              <w:bottom w:val="single" w:sz="5" w:space="0" w:color="FFFFFF"/>
              <w:right w:val="single" w:sz="4" w:space="0" w:color="000000"/>
            </w:tcBorders>
            <w:shd w:val="clear" w:color="auto" w:fill="D4D4D4"/>
          </w:tcPr>
          <w:p>
            <w:pPr/>
          </w:p>
        </w:tc>
        <w:tc>
          <w:tcPr>
            <w:tcW w:w="763" w:type="dxa"/>
            <w:tcBorders>
              <w:top w:val="single" w:sz="4" w:space="0" w:color="000000"/>
              <w:left w:val="single" w:sz="4" w:space="0" w:color="000000"/>
              <w:bottom w:val="single" w:sz="5" w:space="0" w:color="FFFFFF"/>
              <w:right w:val="single" w:sz="4" w:space="0" w:color="000000"/>
            </w:tcBorders>
            <w:shd w:val="clear" w:color="auto" w:fill="D4D4D4"/>
          </w:tcPr>
          <w:p>
            <w:pP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50"/>
              <w:ind w:left="287"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4D4D4"/>
          </w:tcPr>
          <w:p>
            <w:pPr/>
          </w:p>
        </w:tc>
        <w:tc>
          <w:tcPr>
            <w:tcW w:w="761"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2" w:type="dxa"/>
            <w:vMerge w:val="restart"/>
            <w:tcBorders>
              <w:top w:val="single" w:sz="5" w:space="0" w:color="FFFFFF"/>
              <w:left w:val="single" w:sz="4" w:space="0" w:color="000000"/>
              <w:right w:val="single" w:sz="4" w:space="0" w:color="000000"/>
            </w:tcBorders>
            <w:shd w:val="clear" w:color="auto" w:fill="D4D4D4"/>
          </w:tcPr>
          <w:p>
            <w:pPr/>
          </w:p>
        </w:tc>
        <w:tc>
          <w:tcPr>
            <w:tcW w:w="774" w:type="dxa"/>
            <w:vMerge w:val="restart"/>
            <w:tcBorders>
              <w:top w:val="single" w:sz="5" w:space="0" w:color="FFFFFF"/>
              <w:left w:val="single" w:sz="4" w:space="0" w:color="000000"/>
              <w:right w:val="single" w:sz="4" w:space="0" w:color="000000"/>
            </w:tcBorders>
            <w:shd w:val="clear" w:color="auto" w:fill="D4D4D4"/>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5"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5"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65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2"/>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612" w:type="dxa"/>
            <w:vMerge/>
            <w:tcBorders>
              <w:left w:val="single" w:sz="4" w:space="0" w:color="000000"/>
              <w:right w:val="single" w:sz="4" w:space="0" w:color="000000"/>
            </w:tcBorders>
            <w:shd w:val="clear" w:color="auto" w:fill="D4D4D4"/>
          </w:tcPr>
          <w:p>
            <w:pPr/>
          </w:p>
        </w:tc>
        <w:tc>
          <w:tcPr>
            <w:tcW w:w="774"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right w:val="single" w:sz="4" w:space="0" w:color="000000"/>
            </w:tcBorders>
            <w:shd w:val="clear" w:color="auto" w:fill="D4D4D4"/>
          </w:tcPr>
          <w:p>
            <w:pPr/>
          </w:p>
        </w:tc>
        <w:tc>
          <w:tcPr>
            <w:tcW w:w="787" w:type="dxa"/>
            <w:vMerge w:val="restart"/>
            <w:tcBorders>
              <w:top w:val="nil" w:sz="6" w:space="0" w:color="auto"/>
              <w:left w:val="single" w:sz="4" w:space="0" w:color="000000"/>
              <w:right w:val="single" w:sz="4" w:space="0" w:color="000000"/>
            </w:tcBorders>
            <w:shd w:val="clear" w:color="auto" w:fill="D4D4D4"/>
          </w:tcPr>
          <w:p>
            <w:pPr/>
          </w:p>
        </w:tc>
        <w:tc>
          <w:tcPr>
            <w:tcW w:w="655"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c>
          <w:tcPr>
            <w:tcW w:w="934" w:type="dxa"/>
            <w:vMerge/>
            <w:tcBorders>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4D4D4"/>
          </w:tcPr>
          <w:p>
            <w:pPr/>
          </w:p>
        </w:tc>
        <w:tc>
          <w:tcPr>
            <w:tcW w:w="774"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87,882,3</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02.03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17,210,3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58.23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19.58%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70,671,94</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3.80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88,854,</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120.43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16,165,45</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0.20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18.19%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72,688,670.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23</w:t>
            </w:r>
          </w:p>
        </w:tc>
      </w:tr>
      <w:tr>
        <w:trPr>
          <w:trHeight w:val="163" w:hRule="exact"/>
        </w:trPr>
        <w:tc>
          <w:tcPr>
            <w:tcW w:w="1612" w:type="dxa"/>
            <w:tcBorders>
              <w:top w:val="single" w:sz="4" w:space="0" w:color="000000"/>
              <w:left w:val="single" w:sz="4" w:space="0" w:color="000000"/>
              <w:bottom w:val="nil" w:sz="6" w:space="0" w:color="auto"/>
              <w:right w:val="single" w:sz="4" w:space="0" w:color="000000"/>
            </w:tcBorders>
            <w:shd w:val="clear" w:color="auto" w:fill="D4D4D4"/>
          </w:tcPr>
          <w:p>
            <w:pPr/>
          </w:p>
        </w:tc>
        <w:tc>
          <w:tcPr>
            <w:tcW w:w="774" w:type="dxa"/>
            <w:vMerge w:val="restart"/>
            <w:tcBorders>
              <w:top w:val="single" w:sz="4" w:space="0" w:color="000000"/>
              <w:left w:val="single" w:sz="9" w:space="0" w:color="D4D4D4"/>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87,882,3</w:t>
            </w:r>
          </w:p>
          <w:p>
            <w:pPr>
              <w:pStyle w:val="TableParagraph"/>
              <w:spacing w:line="240" w:lineRule="auto" w:before="102"/>
              <w:ind w:left="331" w:right="0"/>
              <w:jc w:val="left"/>
              <w:rPr>
                <w:rFonts w:ascii="Times New Roman" w:hAnsi="Times New Roman" w:cs="Times New Roman" w:eastAsia="Times New Roman" w:hint="default"/>
                <w:sz w:val="18"/>
                <w:szCs w:val="18"/>
              </w:rPr>
            </w:pPr>
            <w:r>
              <w:rPr>
                <w:rFonts w:ascii="Times New Roman"/>
                <w:sz w:val="18"/>
              </w:rPr>
              <w:t>02.03</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17,210,3</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58.23</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19.58%</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70,671,94</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3.80</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3"/>
              <w:ind w:left="83" w:right="0"/>
              <w:jc w:val="left"/>
              <w:rPr>
                <w:rFonts w:ascii="Times New Roman" w:hAnsi="Times New Roman" w:cs="Times New Roman" w:eastAsia="Times New Roman" w:hint="default"/>
                <w:sz w:val="18"/>
                <w:szCs w:val="18"/>
              </w:rPr>
            </w:pPr>
            <w:r>
              <w:rPr>
                <w:rFonts w:ascii="Times New Roman"/>
                <w:sz w:val="18"/>
              </w:rPr>
              <w:t>88,854,</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120.43</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16,165,45</w:t>
            </w:r>
          </w:p>
          <w:p>
            <w:pPr>
              <w:pStyle w:val="TableParagraph"/>
              <w:spacing w:line="240" w:lineRule="auto" w:before="102"/>
              <w:ind w:left="467" w:right="0"/>
              <w:jc w:val="left"/>
              <w:rPr>
                <w:rFonts w:ascii="Times New Roman" w:hAnsi="Times New Roman" w:cs="Times New Roman" w:eastAsia="Times New Roman" w:hint="default"/>
                <w:sz w:val="18"/>
                <w:szCs w:val="18"/>
              </w:rPr>
            </w:pPr>
            <w:r>
              <w:rPr>
                <w:rFonts w:ascii="Times New Roman"/>
                <w:sz w:val="18"/>
              </w:rPr>
              <w:t>0.20</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18.19%</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72,688,670.</w:t>
            </w:r>
            <w:r>
              <w:rPr>
                <w:rFonts w:ascii="Times New Roman"/>
                <w:sz w:val="18"/>
              </w:rPr>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23</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4D4D4"/>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4D4D4"/>
          </w:tcPr>
          <w:p>
            <w:pPr/>
          </w:p>
        </w:tc>
        <w:tc>
          <w:tcPr>
            <w:tcW w:w="774" w:type="dxa"/>
            <w:vMerge/>
            <w:tcBorders>
              <w:left w:val="single" w:sz="9" w:space="0" w:color="D4D4D4"/>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4293" w:space="4534"/>
            <w:col w:w="2103"/>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4"/>
        <w:gridCol w:w="2390"/>
        <w:gridCol w:w="2390"/>
      </w:tblGrid>
      <w:tr>
        <w:trPr>
          <w:trHeight w:val="403" w:hRule="exact"/>
        </w:trPr>
        <w:tc>
          <w:tcPr>
            <w:tcW w:w="24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494" w:type="dxa"/>
            <w:vMerge/>
            <w:tcBorders>
              <w:left w:val="single" w:sz="4" w:space="0" w:color="000000"/>
              <w:bottom w:val="single" w:sz="4" w:space="0" w:color="000000"/>
              <w:right w:val="single" w:sz="4" w:space="0" w:color="000000"/>
            </w:tcBorders>
            <w:shd w:val="clear" w:color="auto" w:fill="D4D4D4"/>
          </w:tcPr>
          <w:p>
            <w:pPr/>
          </w:p>
        </w:tc>
        <w:tc>
          <w:tcPr>
            <w:tcW w:w="22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57,141,082.18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2,857,054.12</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57,141,082.18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2,857,054.12</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12,371,629.76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1,237,162.98</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5,935,155.43</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2,374,062.17</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5,786,435.53</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4,629,148.42</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2"/>
        <w:gridCol w:w="2294"/>
        <w:gridCol w:w="2390"/>
        <w:gridCol w:w="2390"/>
      </w:tblGrid>
      <w:tr>
        <w:trPr>
          <w:trHeight w:val="401"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2,675,342.93</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2,140,274.34</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3,972,656.20</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3,972,656.20</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87,882,302.03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17,210,358.22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19.58%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0"/>
        </w:sectPr>
      </w:pPr>
    </w:p>
    <w:p>
      <w:pPr>
        <w:pStyle w:val="BodyText"/>
        <w:spacing w:line="357" w:lineRule="auto" w:before="49"/>
        <w:ind w:right="3717"/>
        <w:jc w:val="left"/>
      </w:pPr>
      <w:r>
        <w:rPr/>
        <w:t>确定该组合依据的说明： 根据应收账款账龄确定组合</w:t>
      </w:r>
    </w:p>
    <w:p>
      <w:pPr>
        <w:pStyle w:val="BodyText"/>
        <w:spacing w:line="240" w:lineRule="auto" w:before="29"/>
        <w:ind w:right="-13"/>
        <w:jc w:val="left"/>
      </w:pPr>
      <w:r>
        <w:rPr/>
        <w:t>组合中，采用余额百分比法计提坏账准备的应收账款：</w:t>
      </w:r>
    </w:p>
    <w:p>
      <w:pPr>
        <w:pStyle w:val="BodyText"/>
        <w:spacing w:line="350" w:lineRule="auto" w:before="115"/>
        <w:ind w:right="19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 </w:t>
      </w:r>
      <w:r>
        <w:rPr>
          <w:rFonts w:ascii="Times New Roman" w:hAnsi="Times New Roman" w:cs="Times New Roman" w:eastAsia="Times New Roman" w:hint="default"/>
        </w:rPr>
        <w:t>2)</w:t>
      </w:r>
      <w:r>
        <w:rPr/>
        <w:t>本期计提、收回或转回的坏账准备情况</w:t>
      </w:r>
    </w:p>
    <w:p>
      <w:pPr>
        <w:pStyle w:val="BodyText"/>
        <w:spacing w:line="340" w:lineRule="auto" w:before="9"/>
        <w:ind w:right="-13"/>
        <w:jc w:val="left"/>
      </w:pPr>
      <w:r>
        <w:rPr/>
        <w:t>本期计提坏账准备金额</w:t>
      </w:r>
      <w:r>
        <w:rPr>
          <w:spacing w:val="-48"/>
        </w:rPr>
        <w:t> </w:t>
      </w:r>
      <w:r>
        <w:rPr>
          <w:rFonts w:ascii="Times New Roman" w:hAnsi="Times New Roman" w:cs="Times New Roman" w:eastAsia="Times New Roman" w:hint="default"/>
        </w:rPr>
        <w:t>1,254,106.22</w:t>
      </w:r>
      <w:r>
        <w:rPr>
          <w:rFonts w:ascii="Times New Roman" w:hAnsi="Times New Roman" w:cs="Times New Roman" w:eastAsia="Times New Roman" w:hint="default"/>
          <w:spacing w:val="-2"/>
        </w:rPr>
        <w:t> </w:t>
      </w:r>
      <w:r>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6050" w:space="2777"/>
            <w:col w:w="2103"/>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6"/>
        <w:gridCol w:w="3101"/>
        <w:gridCol w:w="3089"/>
      </w:tblGrid>
      <w:tr>
        <w:trPr>
          <w:trHeight w:val="403" w:hRule="exact"/>
        </w:trPr>
        <w:tc>
          <w:tcPr>
            <w:tcW w:w="3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0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49"/>
        <w:ind w:right="982"/>
        <w:jc w:val="left"/>
      </w:pPr>
      <w:r>
        <w:rPr>
          <w:rFonts w:ascii="Times New Roman" w:hAnsi="Times New Roman" w:cs="Times New Roman" w:eastAsia="Times New Roman" w:hint="default"/>
        </w:rPr>
        <w:t>3)</w:t>
      </w:r>
      <w:r>
        <w:rPr/>
        <w:t>本期实际核销的应收账款情况</w:t>
      </w:r>
    </w:p>
    <w:p>
      <w:pPr>
        <w:pStyle w:val="BodyText"/>
        <w:spacing w:line="240" w:lineRule="auto" w:before="101"/>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2"/>
        <w:gridCol w:w="4586"/>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209,198.19</w:t>
            </w:r>
          </w:p>
        </w:tc>
      </w:tr>
    </w:tbl>
    <w:p>
      <w:pPr>
        <w:pStyle w:val="BodyText"/>
        <w:spacing w:line="240" w:lineRule="auto" w:before="49"/>
        <w:ind w:right="982"/>
        <w:jc w:val="left"/>
      </w:pPr>
      <w:r>
        <w:rPr/>
        <w:t>其中重要的应收账款核销情况：</w:t>
      </w:r>
    </w:p>
    <w:p>
      <w:pPr>
        <w:pStyle w:val="BodyText"/>
        <w:spacing w:line="240" w:lineRule="auto" w:before="115"/>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0"/>
        <w:gridCol w:w="1553"/>
        <w:gridCol w:w="1550"/>
        <w:gridCol w:w="1615"/>
        <w:gridCol w:w="1615"/>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08"/>
              <w:jc w:val="righ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淮矿现代物流有限责 任公司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196,198.19</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4"/>
              <w:jc w:val="right"/>
              <w:rPr>
                <w:rFonts w:ascii="宋体" w:hAnsi="宋体" w:cs="宋体" w:eastAsia="宋体" w:hint="default"/>
                <w:sz w:val="18"/>
                <w:szCs w:val="18"/>
              </w:rPr>
            </w:pPr>
            <w:r>
              <w:rPr>
                <w:rFonts w:ascii="宋体" w:hAnsi="宋体" w:cs="宋体" w:eastAsia="宋体" w:hint="default"/>
                <w:sz w:val="18"/>
                <w:szCs w:val="18"/>
              </w:rPr>
              <w:t>账款无法收回</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both"/>
              <w:rPr>
                <w:rFonts w:ascii="宋体" w:hAnsi="宋体" w:cs="宋体" w:eastAsia="宋体" w:hint="default"/>
                <w:sz w:val="18"/>
                <w:szCs w:val="18"/>
              </w:rPr>
            </w:pPr>
            <w:r>
              <w:rPr>
                <w:rFonts w:ascii="宋体" w:hAnsi="宋体" w:cs="宋体" w:eastAsia="宋体" w:hint="default"/>
                <w:sz w:val="18"/>
                <w:szCs w:val="18"/>
              </w:rPr>
              <w:t>内蒙古泰升实业集团 有限公司鄂托克旗泰 源煤矿</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34"/>
              <w:jc w:val="right"/>
              <w:rPr>
                <w:rFonts w:ascii="宋体" w:hAnsi="宋体" w:cs="宋体" w:eastAsia="宋体" w:hint="default"/>
                <w:sz w:val="18"/>
                <w:szCs w:val="18"/>
              </w:rPr>
            </w:pPr>
            <w:r>
              <w:rPr>
                <w:rFonts w:ascii="宋体" w:hAnsi="宋体" w:cs="宋体" w:eastAsia="宋体" w:hint="default"/>
                <w:sz w:val="18"/>
                <w:szCs w:val="18"/>
              </w:rPr>
              <w:t>账款无法收回</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209,198.19</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2"/>
        <w:jc w:val="left"/>
      </w:pPr>
      <w:r>
        <w:rPr/>
        <w:t>应收账款核销说明：</w:t>
      </w:r>
    </w:p>
    <w:p>
      <w:pPr>
        <w:pStyle w:val="BodyText"/>
        <w:spacing w:line="240" w:lineRule="auto" w:before="117"/>
        <w:ind w:right="982"/>
        <w:jc w:val="left"/>
      </w:pPr>
      <w:r>
        <w:rPr>
          <w:rFonts w:ascii="Times New Roman" w:hAnsi="Times New Roman" w:cs="Times New Roman" w:eastAsia="Times New Roman" w:hint="default"/>
        </w:rPr>
        <w:t>4)</w:t>
      </w:r>
      <w:r>
        <w:rPr/>
        <w:t>按欠款方归集的期末余额前五名的应收账款情况</w:t>
      </w:r>
    </w:p>
    <w:p>
      <w:pPr>
        <w:spacing w:line="240" w:lineRule="auto" w:before="1"/>
        <w:rPr>
          <w:rFonts w:ascii="宋体" w:hAnsi="宋体" w:cs="宋体" w:eastAsia="宋体" w:hint="default"/>
          <w:sz w:val="7"/>
          <w:szCs w:val="7"/>
        </w:rPr>
      </w:pPr>
    </w:p>
    <w:tbl>
      <w:tblPr>
        <w:tblW w:w="0" w:type="auto"/>
        <w:jc w:val="left"/>
        <w:tblInd w:w="143" w:type="dxa"/>
        <w:tblLayout w:type="fixed"/>
        <w:tblCellMar>
          <w:top w:w="0" w:type="dxa"/>
          <w:left w:w="0" w:type="dxa"/>
          <w:bottom w:w="0" w:type="dxa"/>
          <w:right w:w="0" w:type="dxa"/>
        </w:tblCellMar>
        <w:tblLook w:val="01E0"/>
      </w:tblPr>
      <w:tblGrid>
        <w:gridCol w:w="1570"/>
        <w:gridCol w:w="1843"/>
        <w:gridCol w:w="2551"/>
        <w:gridCol w:w="1702"/>
      </w:tblGrid>
      <w:tr>
        <w:trPr>
          <w:trHeight w:val="353" w:hRule="exact"/>
        </w:trPr>
        <w:tc>
          <w:tcPr>
            <w:tcW w:w="1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55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5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占应收账款余额的比例</w:t>
            </w:r>
            <w:r>
              <w:rPr>
                <w:rFonts w:ascii="Times New Roman" w:hAnsi="Times New Roman" w:cs="Times New Roman" w:eastAsia="Times New Roman" w:hint="default"/>
                <w:sz w:val="18"/>
                <w:szCs w:val="18"/>
              </w:rPr>
              <w:t>(%)</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48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3" w:hRule="exact"/>
        </w:trPr>
        <w:tc>
          <w:tcPr>
            <w:tcW w:w="1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7,567,326.98</w:t>
            </w:r>
            <w:r>
              <w:rPr>
                <w:rFonts w:ascii="Times New Roman"/>
                <w:sz w:val="18"/>
              </w:rPr>
            </w:r>
          </w:p>
        </w:tc>
        <w:tc>
          <w:tcPr>
            <w:tcW w:w="25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8.61</w:t>
            </w:r>
            <w:r>
              <w:rPr>
                <w:rFonts w:ascii="Times New Roman"/>
                <w:sz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387,876.72</w:t>
            </w:r>
          </w:p>
        </w:tc>
      </w:tr>
      <w:tr>
        <w:trPr>
          <w:trHeight w:val="350" w:hRule="exact"/>
        </w:trPr>
        <w:tc>
          <w:tcPr>
            <w:tcW w:w="1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4,443,791.00</w:t>
            </w:r>
            <w:r>
              <w:rPr>
                <w:rFonts w:ascii="Times New Roman"/>
                <w:sz w:val="18"/>
              </w:rPr>
            </w:r>
          </w:p>
        </w:tc>
        <w:tc>
          <w:tcPr>
            <w:tcW w:w="25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5.06</w:t>
            </w:r>
            <w:r>
              <w:rPr>
                <w:rFonts w:ascii="Times New Roman"/>
                <w:sz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222,189.55</w:t>
            </w:r>
          </w:p>
        </w:tc>
      </w:tr>
      <w:tr>
        <w:trPr>
          <w:trHeight w:val="353" w:hRule="exact"/>
        </w:trPr>
        <w:tc>
          <w:tcPr>
            <w:tcW w:w="1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3,913,509.82</w:t>
            </w:r>
            <w:r>
              <w:rPr>
                <w:rFonts w:ascii="Times New Roman"/>
                <w:sz w:val="18"/>
              </w:rPr>
            </w:r>
          </w:p>
        </w:tc>
        <w:tc>
          <w:tcPr>
            <w:tcW w:w="25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4.45</w:t>
            </w:r>
            <w:r>
              <w:rPr>
                <w:rFonts w:ascii="Times New Roman"/>
                <w:sz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197,746.43</w:t>
            </w:r>
          </w:p>
        </w:tc>
      </w:tr>
      <w:tr>
        <w:trPr>
          <w:trHeight w:val="353" w:hRule="exact"/>
        </w:trPr>
        <w:tc>
          <w:tcPr>
            <w:tcW w:w="1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3,167,974.63</w:t>
            </w:r>
            <w:r>
              <w:rPr>
                <w:rFonts w:ascii="Times New Roman"/>
                <w:sz w:val="18"/>
              </w:rPr>
            </w:r>
          </w:p>
        </w:tc>
        <w:tc>
          <w:tcPr>
            <w:tcW w:w="25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3.60</w:t>
            </w:r>
            <w:r>
              <w:rPr>
                <w:rFonts w:ascii="Times New Roman"/>
                <w:sz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199,138.73</w:t>
            </w:r>
          </w:p>
        </w:tc>
      </w:tr>
      <w:tr>
        <w:trPr>
          <w:trHeight w:val="350" w:hRule="exact"/>
        </w:trPr>
        <w:tc>
          <w:tcPr>
            <w:tcW w:w="1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2,007,933.68</w:t>
            </w:r>
            <w:r>
              <w:rPr>
                <w:rFonts w:ascii="Times New Roman"/>
                <w:sz w:val="18"/>
              </w:rPr>
            </w:r>
          </w:p>
        </w:tc>
        <w:tc>
          <w:tcPr>
            <w:tcW w:w="25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2.28</w:t>
            </w:r>
            <w:r>
              <w:rPr>
                <w:rFonts w:ascii="Times New Roman"/>
                <w:sz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100,396.68</w:t>
            </w:r>
          </w:p>
        </w:tc>
      </w:tr>
      <w:tr>
        <w:trPr>
          <w:trHeight w:val="353" w:hRule="exact"/>
        </w:trPr>
        <w:tc>
          <w:tcPr>
            <w:tcW w:w="1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21,100,536.11</w:t>
            </w:r>
          </w:p>
        </w:tc>
        <w:tc>
          <w:tcPr>
            <w:tcW w:w="25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24.01</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1,107,348.11</w:t>
            </w:r>
            <w:r>
              <w:rPr>
                <w:rFonts w:ascii="Times New Roman"/>
                <w:sz w:val="18"/>
              </w:rPr>
            </w:r>
          </w:p>
        </w:tc>
      </w:tr>
    </w:tbl>
    <w:p>
      <w:pPr>
        <w:pStyle w:val="BodyText"/>
        <w:spacing w:line="240" w:lineRule="auto" w:before="8"/>
        <w:ind w:right="982"/>
        <w:jc w:val="left"/>
      </w:pPr>
      <w:r>
        <w:rPr/>
        <w:t>注：本财务报表附注披露的公司期末应收账款金额前</w:t>
      </w:r>
      <w:r>
        <w:rPr>
          <w:rFonts w:ascii="Times New Roman" w:hAnsi="Times New Roman" w:cs="Times New Roman" w:eastAsia="Times New Roman" w:hint="default"/>
        </w:rPr>
        <w:t>5</w:t>
      </w:r>
      <w:r>
        <w:rPr/>
        <w:t>名情况已将受同一实际控制人控制的销售客户合并计算。</w:t>
      </w:r>
    </w:p>
    <w:p>
      <w:pPr>
        <w:spacing w:after="0" w:line="240" w:lineRule="auto"/>
        <w:jc w:val="left"/>
        <w:sectPr>
          <w:type w:val="continuous"/>
          <w:pgSz w:w="11910" w:h="16840"/>
          <w:pgMar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ind w:right="982"/>
        <w:jc w:val="left"/>
      </w:pPr>
      <w:r>
        <w:rPr>
          <w:rFonts w:ascii="Times New Roman" w:hAnsi="Times New Roman" w:cs="Times New Roman" w:eastAsia="Times New Roman" w:hint="default"/>
        </w:rPr>
        <w:t>5)</w:t>
      </w:r>
      <w:r>
        <w:rPr/>
        <w:t>因金融资产转移而终止确认的应收账款</w:t>
      </w:r>
    </w:p>
    <w:p>
      <w:pPr>
        <w:pStyle w:val="BodyText"/>
        <w:spacing w:line="338" w:lineRule="auto" w:before="103"/>
        <w:ind w:right="6824"/>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w:t>
      </w:r>
    </w:p>
    <w:p>
      <w:pPr>
        <w:spacing w:line="240" w:lineRule="auto" w:before="7"/>
        <w:rPr>
          <w:rFonts w:ascii="宋体" w:hAnsi="宋体" w:cs="宋体" w:eastAsia="宋体" w:hint="default"/>
          <w:sz w:val="21"/>
          <w:szCs w:val="21"/>
        </w:rPr>
      </w:pPr>
    </w:p>
    <w:p>
      <w:pPr>
        <w:pStyle w:val="Heading3"/>
        <w:spacing w:line="240" w:lineRule="auto"/>
        <w:ind w:right="982"/>
        <w:jc w:val="left"/>
        <w:rPr>
          <w:b w:val="0"/>
          <w:bCs w:val="0"/>
        </w:rPr>
      </w:pPr>
      <w:bookmarkStart w:name="2、其他应收款" w:id="492"/>
      <w:bookmarkEnd w:id="492"/>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66,744,355.29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60,768,602.52</w:t>
            </w:r>
            <w:r>
              <w:rPr>
                <w:rFonts w:ascii="Times New Roman"/>
                <w:sz w:val="18"/>
              </w:rPr>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66,744,355.29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60,768,602.52</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bookmarkStart w:name="（1）应收利息" w:id="493"/>
      <w:bookmarkEnd w:id="493"/>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982"/>
        <w:jc w:val="left"/>
      </w:pPr>
      <w:r>
        <w:rPr>
          <w:rFonts w:ascii="Times New Roman" w:hAnsi="Times New Roman" w:cs="Times New Roman" w:eastAsia="Times New Roman" w:hint="default"/>
        </w:rPr>
        <w:t>1)</w:t>
      </w:r>
      <w:r>
        <w:rPr/>
        <w:t>应收利息分类</w:t>
      </w:r>
    </w:p>
    <w:p>
      <w:pPr>
        <w:pStyle w:val="BodyText"/>
        <w:spacing w:line="240" w:lineRule="auto" w:before="101"/>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982"/>
        <w:jc w:val="left"/>
      </w:pPr>
      <w:r>
        <w:rPr>
          <w:rFonts w:ascii="Times New Roman" w:hAnsi="Times New Roman" w:cs="Times New Roman" w:eastAsia="Times New Roman" w:hint="default"/>
        </w:rPr>
        <w:t>2)</w:t>
      </w:r>
      <w:r>
        <w:rPr/>
        <w:t>重要逾期利息</w:t>
      </w:r>
    </w:p>
    <w:p>
      <w:pPr>
        <w:pStyle w:val="BodyText"/>
        <w:spacing w:line="240" w:lineRule="auto" w:before="101"/>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3"/>
        <w:gridCol w:w="1915"/>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bookmarkStart w:name="（2）应收股利" w:id="494"/>
      <w:bookmarkEnd w:id="494"/>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982"/>
        <w:jc w:val="left"/>
      </w:pPr>
      <w:r>
        <w:rPr>
          <w:rFonts w:ascii="Times New Roman" w:hAnsi="Times New Roman" w:cs="Times New Roman" w:eastAsia="Times New Roman" w:hint="default"/>
        </w:rPr>
        <w:t>1)</w:t>
      </w:r>
      <w:r>
        <w:rPr/>
        <w:t>应收股利</w:t>
      </w:r>
    </w:p>
    <w:p>
      <w:pPr>
        <w:pStyle w:val="BodyText"/>
        <w:spacing w:line="240" w:lineRule="auto" w:before="101"/>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982"/>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1"/>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3"/>
        <w:gridCol w:w="1915"/>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82"/>
        <w:jc w:val="left"/>
        <w:rPr>
          <w:b w:val="0"/>
          <w:bCs w:val="0"/>
        </w:rPr>
      </w:pPr>
      <w:bookmarkStart w:name="（3）其他应收款" w:id="495"/>
      <w:bookmarkEnd w:id="495"/>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982"/>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3"/>
        <w:gridCol w:w="1524"/>
        <w:gridCol w:w="1526"/>
        <w:gridCol w:w="787"/>
        <w:gridCol w:w="1416"/>
        <w:gridCol w:w="1747"/>
        <w:gridCol w:w="920"/>
      </w:tblGrid>
      <w:tr>
        <w:trPr>
          <w:trHeight w:val="401" w:hRule="exact"/>
        </w:trPr>
        <w:tc>
          <w:tcPr>
            <w:tcW w:w="163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8"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4"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633" w:type="dxa"/>
            <w:vMerge/>
            <w:tcBorders>
              <w:left w:val="single" w:sz="4" w:space="0" w:color="000000"/>
              <w:bottom w:val="single" w:sz="4" w:space="0" w:color="000000"/>
              <w:right w:val="single" w:sz="4" w:space="0" w:color="000000"/>
            </w:tcBorders>
            <w:shd w:val="clear" w:color="auto" w:fill="D4D4D4"/>
          </w:tcPr>
          <w:p>
            <w:pPr/>
          </w:p>
        </w:tc>
        <w:tc>
          <w:tcPr>
            <w:tcW w:w="15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5"/>
        <w:gridCol w:w="761"/>
        <w:gridCol w:w="814"/>
        <w:gridCol w:w="934"/>
        <w:gridCol w:w="931"/>
      </w:tblGrid>
      <w:tr>
        <w:trPr>
          <w:trHeight w:val="161" w:hRule="exact"/>
        </w:trPr>
        <w:tc>
          <w:tcPr>
            <w:tcW w:w="1612" w:type="dxa"/>
            <w:vMerge w:val="restart"/>
            <w:tcBorders>
              <w:top w:val="single" w:sz="4" w:space="0" w:color="000000"/>
              <w:left w:val="single" w:sz="4" w:space="0" w:color="000000"/>
              <w:right w:val="single" w:sz="4" w:space="0" w:color="000000"/>
            </w:tcBorders>
            <w:shd w:val="clear" w:color="auto" w:fill="D4D4D4"/>
          </w:tcPr>
          <w:p>
            <w:pPr/>
          </w:p>
        </w:tc>
        <w:tc>
          <w:tcPr>
            <w:tcW w:w="774" w:type="dxa"/>
            <w:tcBorders>
              <w:top w:val="single" w:sz="4" w:space="0" w:color="000000"/>
              <w:left w:val="single" w:sz="4" w:space="0" w:color="000000"/>
              <w:bottom w:val="nil" w:sz="6" w:space="0" w:color="auto"/>
              <w:right w:val="single" w:sz="4" w:space="0" w:color="000000"/>
            </w:tcBorders>
            <w:shd w:val="clear" w:color="auto" w:fill="D4D4D4"/>
          </w:tcPr>
          <w:p>
            <w:pPr/>
          </w:p>
        </w:tc>
        <w:tc>
          <w:tcPr>
            <w:tcW w:w="761" w:type="dxa"/>
            <w:tcBorders>
              <w:top w:val="single" w:sz="4" w:space="0" w:color="000000"/>
              <w:left w:val="single" w:sz="4" w:space="0" w:color="000000"/>
              <w:bottom w:val="nil" w:sz="6" w:space="0" w:color="auto"/>
              <w:right w:val="single" w:sz="4" w:space="0" w:color="000000"/>
            </w:tcBorders>
            <w:shd w:val="clear" w:color="auto" w:fill="D4D4D4"/>
          </w:tcPr>
          <w:p>
            <w:pPr/>
          </w:p>
        </w:tc>
        <w:tc>
          <w:tcPr>
            <w:tcW w:w="763" w:type="dxa"/>
            <w:tcBorders>
              <w:top w:val="single" w:sz="4" w:space="0" w:color="000000"/>
              <w:left w:val="single" w:sz="4" w:space="0" w:color="000000"/>
              <w:bottom w:val="nil" w:sz="6" w:space="0" w:color="auto"/>
              <w:right w:val="single" w:sz="4" w:space="0" w:color="000000"/>
            </w:tcBorders>
            <w:shd w:val="clear" w:color="auto" w:fill="D4D4D4"/>
          </w:tcPr>
          <w:p>
            <w:pP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87"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single" w:sz="4" w:space="0" w:color="000000"/>
              <w:left w:val="single" w:sz="4" w:space="0" w:color="000000"/>
              <w:right w:val="single" w:sz="4" w:space="0" w:color="000000"/>
            </w:tcBorders>
            <w:shd w:val="clear" w:color="auto" w:fill="D4D4D4"/>
          </w:tcPr>
          <w:p>
            <w:pPr/>
          </w:p>
        </w:tc>
        <w:tc>
          <w:tcPr>
            <w:tcW w:w="655" w:type="dxa"/>
            <w:tcBorders>
              <w:top w:val="single" w:sz="4" w:space="0" w:color="000000"/>
              <w:left w:val="single" w:sz="4" w:space="0" w:color="000000"/>
              <w:bottom w:val="nil" w:sz="6" w:space="0" w:color="auto"/>
              <w:right w:val="single" w:sz="4" w:space="0" w:color="000000"/>
            </w:tcBorders>
            <w:shd w:val="clear" w:color="auto" w:fill="D4D4D4"/>
          </w:tcPr>
          <w:p>
            <w:pPr/>
          </w:p>
        </w:tc>
        <w:tc>
          <w:tcPr>
            <w:tcW w:w="761"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1" w:type="dxa"/>
            <w:vMerge w:val="restart"/>
            <w:tcBorders>
              <w:top w:val="single" w:sz="4" w:space="0" w:color="000000"/>
              <w:left w:val="single" w:sz="4" w:space="0" w:color="000000"/>
              <w:right w:val="single" w:sz="4" w:space="0" w:color="000000"/>
            </w:tcBorders>
            <w:shd w:val="clear" w:color="auto" w:fill="D4D4D4"/>
          </w:tcPr>
          <w:p>
            <w:pPr/>
          </w:p>
        </w:tc>
      </w:tr>
      <w:tr>
        <w:trPr>
          <w:trHeight w:val="391" w:hRule="exact"/>
        </w:trPr>
        <w:tc>
          <w:tcPr>
            <w:tcW w:w="1612" w:type="dxa"/>
            <w:vMerge/>
            <w:tcBorders>
              <w:left w:val="single" w:sz="4" w:space="0" w:color="000000"/>
              <w:right w:val="single" w:sz="4" w:space="0" w:color="000000"/>
            </w:tcBorders>
            <w:shd w:val="clear" w:color="auto" w:fill="D4D4D4"/>
          </w:tcPr>
          <w:p>
            <w:pPr/>
          </w:p>
        </w:tc>
        <w:tc>
          <w:tcPr>
            <w:tcW w:w="77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4D4D4"/>
          </w:tcPr>
          <w:p>
            <w:pPr/>
          </w:p>
        </w:tc>
        <w:tc>
          <w:tcPr>
            <w:tcW w:w="787" w:type="dxa"/>
            <w:vMerge/>
            <w:tcBorders>
              <w:left w:val="single" w:sz="4" w:space="0" w:color="000000"/>
              <w:right w:val="single" w:sz="4" w:space="0" w:color="000000"/>
            </w:tcBorders>
            <w:shd w:val="clear" w:color="auto" w:fill="D4D4D4"/>
          </w:tcPr>
          <w:p>
            <w:pPr/>
          </w:p>
        </w:tc>
        <w:tc>
          <w:tcPr>
            <w:tcW w:w="65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right w:val="single" w:sz="4" w:space="0" w:color="000000"/>
            </w:tcBorders>
            <w:shd w:val="clear" w:color="auto" w:fill="D4D4D4"/>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4D4D4"/>
          </w:tcPr>
          <w:p>
            <w:pPr/>
          </w:p>
        </w:tc>
        <w:tc>
          <w:tcPr>
            <w:tcW w:w="774"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2" w:right="14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68,429,0</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43.69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97.11%</w:t>
            </w:r>
            <w:r>
              <w:rPr>
                <w:rFonts w:ascii="Times New Roman"/>
                <w:sz w:val="18"/>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3,421,45</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2.18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65,007,59</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1.51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62,067,</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387.66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96.84%</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3,103,369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58,964,018.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28</w:t>
            </w: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2,039,80</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7.26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2.89%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303,043.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14.86%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1,736,763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2,024,7</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92.89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3.16%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220,208.6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10.88%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1,804,584.2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163" w:hRule="exact"/>
        </w:trPr>
        <w:tc>
          <w:tcPr>
            <w:tcW w:w="1612" w:type="dxa"/>
            <w:tcBorders>
              <w:top w:val="single" w:sz="4" w:space="0" w:color="000000"/>
              <w:left w:val="single" w:sz="4" w:space="0" w:color="000000"/>
              <w:bottom w:val="nil" w:sz="6" w:space="0" w:color="auto"/>
              <w:right w:val="single" w:sz="4" w:space="0" w:color="000000"/>
            </w:tcBorders>
            <w:shd w:val="clear" w:color="auto" w:fill="D4D4D4"/>
          </w:tcPr>
          <w:p>
            <w:pPr/>
          </w:p>
        </w:tc>
        <w:tc>
          <w:tcPr>
            <w:tcW w:w="774" w:type="dxa"/>
            <w:vMerge w:val="restart"/>
            <w:tcBorders>
              <w:top w:val="single" w:sz="4" w:space="0" w:color="000000"/>
              <w:left w:val="single" w:sz="9" w:space="0" w:color="D4D4D4"/>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70,468,8</w:t>
            </w:r>
          </w:p>
          <w:p>
            <w:pPr>
              <w:pStyle w:val="TableParagraph"/>
              <w:spacing w:line="240" w:lineRule="auto" w:before="102"/>
              <w:ind w:left="331" w:right="0"/>
              <w:jc w:val="left"/>
              <w:rPr>
                <w:rFonts w:ascii="Times New Roman" w:hAnsi="Times New Roman" w:cs="Times New Roman" w:eastAsia="Times New Roman" w:hint="default"/>
                <w:sz w:val="18"/>
                <w:szCs w:val="18"/>
              </w:rPr>
            </w:pPr>
            <w:r>
              <w:rPr>
                <w:rFonts w:ascii="Times New Roman"/>
                <w:sz w:val="18"/>
              </w:rPr>
              <w:t>50.95</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3,724,49</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5.66</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5.29%</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66,744,35</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5.29</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3"/>
              <w:ind w:left="83" w:right="0"/>
              <w:jc w:val="left"/>
              <w:rPr>
                <w:rFonts w:ascii="Times New Roman" w:hAnsi="Times New Roman" w:cs="Times New Roman" w:eastAsia="Times New Roman" w:hint="default"/>
                <w:sz w:val="18"/>
                <w:szCs w:val="18"/>
              </w:rPr>
            </w:pPr>
            <w:r>
              <w:rPr>
                <w:rFonts w:ascii="Times New Roman"/>
                <w:sz w:val="18"/>
              </w:rPr>
              <w:t>64,092,</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180.55</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3,323,578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.03</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5.19%</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60,768,602.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52</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4D4D4"/>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4D4D4"/>
          </w:tcPr>
          <w:p>
            <w:pPr/>
          </w:p>
        </w:tc>
        <w:tc>
          <w:tcPr>
            <w:tcW w:w="774" w:type="dxa"/>
            <w:vMerge/>
            <w:tcBorders>
              <w:left w:val="single" w:sz="9" w:space="0" w:color="D4D4D4"/>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0"/>
        </w:sectPr>
      </w:pPr>
    </w:p>
    <w:p>
      <w:pPr>
        <w:pStyle w:val="BodyText"/>
        <w:spacing w:line="240" w:lineRule="auto" w:before="49"/>
        <w:ind w:right="-20"/>
        <w:jc w:val="left"/>
      </w:pPr>
      <w:r>
        <w:rPr/>
        <w:t>期末单项金额重大并单项计提坏账准备的其他应收款：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4473" w:space="4354"/>
            <w:col w:w="2103"/>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4"/>
        <w:gridCol w:w="1836"/>
        <w:gridCol w:w="1913"/>
        <w:gridCol w:w="1913"/>
        <w:gridCol w:w="1915"/>
      </w:tblGrid>
      <w:tr>
        <w:trPr>
          <w:trHeight w:val="401" w:hRule="exact"/>
        </w:trPr>
        <w:tc>
          <w:tcPr>
            <w:tcW w:w="19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7"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94" w:type="dxa"/>
            <w:vMerge/>
            <w:tcBorders>
              <w:left w:val="single" w:sz="4" w:space="0" w:color="000000"/>
              <w:bottom w:val="single" w:sz="4" w:space="0" w:color="000000"/>
              <w:right w:val="single" w:sz="4" w:space="0" w:color="000000"/>
            </w:tcBorders>
            <w:shd w:val="clear" w:color="auto" w:fill="D4D4D4"/>
          </w:tcPr>
          <w:p>
            <w:pPr/>
          </w:p>
        </w:tc>
        <w:tc>
          <w:tcPr>
            <w:tcW w:w="1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1025"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徐州五洋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49,523,402.84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2,476,170.14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7"/>
              <w:jc w:val="both"/>
              <w:rPr>
                <w:rFonts w:ascii="宋体" w:hAnsi="宋体" w:cs="宋体" w:eastAsia="宋体" w:hint="default"/>
                <w:sz w:val="18"/>
                <w:szCs w:val="18"/>
              </w:rPr>
            </w:pPr>
            <w:r>
              <w:rPr>
                <w:rFonts w:ascii="宋体" w:hAnsi="宋体" w:cs="宋体" w:eastAsia="宋体" w:hint="default"/>
                <w:sz w:val="18"/>
                <w:szCs w:val="18"/>
              </w:rPr>
              <w:t>系公司之全资子公司， 坏账风险较小，按余额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计提坏账准备</w:t>
            </w:r>
          </w:p>
        </w:tc>
      </w:tr>
      <w:tr>
        <w:trPr>
          <w:trHeight w:val="1027"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惠邦租赁</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18,905,640.85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945,282.04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6" w:right="19"/>
              <w:jc w:val="both"/>
              <w:rPr>
                <w:rFonts w:ascii="宋体" w:hAnsi="宋体" w:cs="宋体" w:eastAsia="宋体" w:hint="default"/>
                <w:sz w:val="18"/>
                <w:szCs w:val="18"/>
              </w:rPr>
            </w:pPr>
            <w:r>
              <w:rPr>
                <w:rFonts w:ascii="宋体" w:hAnsi="宋体" w:cs="宋体" w:eastAsia="宋体" w:hint="default"/>
                <w:sz w:val="18"/>
                <w:szCs w:val="18"/>
              </w:rPr>
              <w:t>系公司子公司，坏账风 </w:t>
            </w:r>
            <w:r>
              <w:rPr>
                <w:rFonts w:ascii="宋体" w:hAnsi="宋体" w:cs="宋体" w:eastAsia="宋体" w:hint="default"/>
                <w:spacing w:val="-7"/>
                <w:sz w:val="18"/>
                <w:szCs w:val="18"/>
              </w:rPr>
              <w:t>险较小，按余额的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计 提坏账准备</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68,429,043.69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3,421,452.18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80" w:left="980" w:right="0"/>
        </w:sectPr>
      </w:pPr>
    </w:p>
    <w:p>
      <w:pPr>
        <w:pStyle w:val="BodyText"/>
        <w:spacing w:line="240" w:lineRule="auto" w:before="49"/>
        <w:ind w:right="-20"/>
        <w:jc w:val="left"/>
      </w:pPr>
      <w:r>
        <w:rPr/>
        <w:t>组合中，按账龄分析法计提坏账准备的其他应收款：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4293" w:space="4534"/>
            <w:col w:w="2103"/>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2"/>
        <w:gridCol w:w="2294"/>
        <w:gridCol w:w="2390"/>
        <w:gridCol w:w="2390"/>
      </w:tblGrid>
      <w:tr>
        <w:trPr>
          <w:trHeight w:val="403" w:hRule="exact"/>
        </w:trPr>
        <w:tc>
          <w:tcPr>
            <w:tcW w:w="249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492" w:type="dxa"/>
            <w:vMerge/>
            <w:tcBorders>
              <w:left w:val="single" w:sz="4" w:space="0" w:color="000000"/>
              <w:bottom w:val="single" w:sz="4" w:space="0" w:color="000000"/>
              <w:right w:val="single" w:sz="4" w:space="0" w:color="000000"/>
            </w:tcBorders>
            <w:shd w:val="clear" w:color="auto" w:fill="D4D4D4"/>
          </w:tcPr>
          <w:p>
            <w:pPr/>
          </w:p>
        </w:tc>
        <w:tc>
          <w:tcPr>
            <w:tcW w:w="22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1,032,869.61</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51,643.48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1,032,869.61</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51,643.48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801,600.00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80,160.00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12,947.00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5,178.80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40.00%</w:t>
            </w:r>
          </w:p>
        </w:tc>
      </w:tr>
      <w:tr>
        <w:trPr>
          <w:trHeight w:val="401"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128,300.00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102,640.00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3,347.30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2,677.84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60,743.35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60,743.35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2,039,807.26</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303,043.47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14.86%</w:t>
            </w:r>
          </w:p>
        </w:tc>
      </w:tr>
    </w:tbl>
    <w:p>
      <w:pPr>
        <w:pStyle w:val="BodyText"/>
        <w:spacing w:line="240" w:lineRule="auto" w:before="49"/>
        <w:ind w:right="982"/>
        <w:jc w:val="left"/>
      </w:pPr>
      <w:r>
        <w:rPr/>
        <w:t>确定该组合依据的说明：</w:t>
      </w:r>
    </w:p>
    <w:p>
      <w:pPr>
        <w:spacing w:after="0" w:line="240" w:lineRule="auto"/>
        <w:jc w:val="left"/>
        <w:sectPr>
          <w:type w:val="continuous"/>
          <w:pgSz w:w="11910" w:h="16840"/>
          <w:pgMar w:top="1060" w:bottom="1180" w:left="980" w:right="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5" w:footer="982" w:top="1060" w:bottom="1180" w:left="980" w:right="0"/>
        </w:sectPr>
      </w:pPr>
    </w:p>
    <w:p>
      <w:pPr>
        <w:pStyle w:val="BodyText"/>
        <w:spacing w:line="360" w:lineRule="auto"/>
        <w:ind w:right="1243"/>
        <w:jc w:val="left"/>
      </w:pPr>
      <w:r>
        <w:rPr/>
        <w:t>根据其他应收款账龄确定组合 组合中，采用余额百分比法计提坏账准备的其他应收款：</w:t>
      </w:r>
    </w:p>
    <w:p>
      <w:pPr>
        <w:pStyle w:val="BodyText"/>
        <w:spacing w:line="340" w:lineRule="auto" w:before="25"/>
        <w:ind w:right="160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1"/>
        <w:ind w:right="124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1243"/>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3"/>
        <w:ind w:right="-12"/>
        <w:jc w:val="left"/>
      </w:pPr>
      <w:r>
        <w:rPr/>
        <w:t>本期计提坏账准备金额</w:t>
      </w:r>
      <w:r>
        <w:rPr>
          <w:spacing w:val="-48"/>
        </w:rPr>
        <w:t> </w:t>
      </w:r>
      <w:r>
        <w:rPr>
          <w:rFonts w:ascii="Times New Roman" w:hAnsi="Times New Roman" w:cs="Times New Roman" w:eastAsia="Times New Roman" w:hint="default"/>
        </w:rPr>
        <w:t>400,917.63</w:t>
      </w:r>
      <w:r>
        <w:rPr>
          <w:rFonts w:ascii="Times New Roman" w:hAnsi="Times New Roman" w:cs="Times New Roman" w:eastAsia="Times New Roman" w:hint="default"/>
          <w:spacing w:val="-2"/>
        </w:rPr>
        <w:t>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0"/>
          <w:szCs w:val="20"/>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5916" w:space="2912"/>
            <w:col w:w="2102"/>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6"/>
        <w:gridCol w:w="3101"/>
        <w:gridCol w:w="3089"/>
      </w:tblGrid>
      <w:tr>
        <w:trPr>
          <w:trHeight w:val="402" w:hRule="exact"/>
        </w:trPr>
        <w:tc>
          <w:tcPr>
            <w:tcW w:w="3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0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0"/>
        <w:ind w:right="982"/>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1"/>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1"/>
        <w:gridCol w:w="4586"/>
      </w:tblGrid>
      <w:tr>
        <w:trPr>
          <w:trHeight w:val="401"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982"/>
        <w:jc w:val="left"/>
      </w:pPr>
      <w:r>
        <w:rPr/>
        <w:t>其中重要的其他应收款核销情况：</w:t>
      </w:r>
    </w:p>
    <w:p>
      <w:pPr>
        <w:pStyle w:val="BodyText"/>
        <w:spacing w:line="240" w:lineRule="auto" w:before="11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0"/>
        <w:gridCol w:w="1553"/>
        <w:gridCol w:w="1550"/>
        <w:gridCol w:w="1615"/>
        <w:gridCol w:w="1615"/>
      </w:tblGrid>
      <w:tr>
        <w:trPr>
          <w:trHeight w:val="715" w:hRule="exact"/>
        </w:trPr>
        <w:tc>
          <w:tcPr>
            <w:tcW w:w="1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type w:val="continuous"/>
          <w:pgSz w:w="11910" w:h="16840"/>
          <w:pgMar w:top="1060" w:bottom="1180" w:left="980" w:right="0"/>
        </w:sectPr>
      </w:pPr>
    </w:p>
    <w:p>
      <w:pPr>
        <w:pStyle w:val="BodyText"/>
        <w:spacing w:line="240" w:lineRule="auto" w:before="49"/>
        <w:ind w:right="-18"/>
        <w:jc w:val="left"/>
      </w:pPr>
      <w:r>
        <w:rPr/>
        <w:t>其他应收款核销说明：</w:t>
      </w:r>
    </w:p>
    <w:p>
      <w:pPr>
        <w:pStyle w:val="BodyText"/>
        <w:spacing w:line="240" w:lineRule="auto" w:before="115"/>
        <w:ind w:right="-18"/>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2825" w:space="6003"/>
            <w:col w:w="2102"/>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7"/>
        <w:gridCol w:w="3101"/>
        <w:gridCol w:w="3101"/>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应收代付款及暂借款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69,810,391.78</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63,432,987.66</w:t>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145,924.00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155,674.00</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512,535.17</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503,518.89</w:t>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70,468,850.95</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64,092,180.55</w:t>
            </w:r>
          </w:p>
        </w:tc>
      </w:tr>
    </w:tbl>
    <w:p>
      <w:pPr>
        <w:pStyle w:val="BodyText"/>
        <w:spacing w:line="240" w:lineRule="auto" w:before="49"/>
        <w:ind w:right="982"/>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0"/>
        <w:gridCol w:w="1553"/>
        <w:gridCol w:w="1550"/>
        <w:gridCol w:w="1615"/>
        <w:gridCol w:w="1615"/>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83" w:right="7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徐州五洋</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应收代付款及暂借 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49,523,402.84</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70.28%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2,476,170.14</w:t>
            </w:r>
            <w:r>
              <w:rPr>
                <w:rFonts w:ascii="Times New Roman"/>
                <w:sz w:val="18"/>
              </w:rPr>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安徽惠邦融资租赁有 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应收代付款及暂借 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18,905,640.85</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26.83%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945,282.04</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东莞市伟创华鑫自动 化设备有限公司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应收代付款及暂借 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284,000.00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0.40%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14,200.00</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东莞市伟创华鑫自动 化设备有限公司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应收代付款及暂借 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801,600.00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1.14%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80,160.00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85"/>
        <w:gridCol w:w="1550"/>
        <w:gridCol w:w="1553"/>
        <w:gridCol w:w="1550"/>
        <w:gridCol w:w="1615"/>
        <w:gridCol w:w="1615"/>
      </w:tblGrid>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中国矿业大学</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128,300.00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0.18%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102,640.00</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抚州五洋智慧交通产 业发展有限公司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4"/>
              <w:jc w:val="left"/>
              <w:rPr>
                <w:rFonts w:ascii="宋体" w:hAnsi="宋体" w:cs="宋体" w:eastAsia="宋体" w:hint="default"/>
                <w:sz w:val="18"/>
                <w:szCs w:val="18"/>
              </w:rPr>
            </w:pPr>
            <w:r>
              <w:rPr>
                <w:rFonts w:ascii="宋体" w:hAnsi="宋体" w:cs="宋体" w:eastAsia="宋体" w:hint="default"/>
                <w:sz w:val="18"/>
                <w:szCs w:val="18"/>
              </w:rPr>
              <w:t>应收代付款及暂借 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113,833.50</w:t>
            </w:r>
            <w:r>
              <w:rPr>
                <w:rFonts w:ascii="Times New Roman"/>
                <w:sz w:val="18"/>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0.16%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5,691.68</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69,756,777.19</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98.99%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3,624,143.86</w:t>
            </w:r>
            <w:r>
              <w:rPr>
                <w:rFonts w:ascii="Times New Roman"/>
                <w:sz w:val="18"/>
              </w:rPr>
            </w:r>
          </w:p>
        </w:tc>
      </w:tr>
    </w:tbl>
    <w:p>
      <w:pPr>
        <w:pStyle w:val="BodyText"/>
        <w:spacing w:line="240" w:lineRule="auto" w:before="49"/>
        <w:ind w:right="982"/>
        <w:jc w:val="left"/>
      </w:pPr>
      <w:r>
        <w:rPr>
          <w:rFonts w:ascii="Times New Roman" w:hAnsi="Times New Roman" w:cs="Times New Roman" w:eastAsia="Times New Roman" w:hint="default"/>
        </w:rPr>
        <w:t>6)</w:t>
      </w:r>
      <w:r>
        <w:rPr/>
        <w:t>涉及政府补助的应收款项</w:t>
      </w:r>
    </w:p>
    <w:p>
      <w:pPr>
        <w:pStyle w:val="BodyText"/>
        <w:spacing w:line="240" w:lineRule="auto" w:before="101"/>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4"/>
        <w:gridCol w:w="1865"/>
        <w:gridCol w:w="1867"/>
        <w:gridCol w:w="1867"/>
        <w:gridCol w:w="1944"/>
      </w:tblGrid>
      <w:tr>
        <w:trPr>
          <w:trHeight w:val="713" w:hRule="exact"/>
        </w:trPr>
        <w:tc>
          <w:tcPr>
            <w:tcW w:w="20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698" w:right="65"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49"/>
        <w:ind w:right="982"/>
        <w:jc w:val="left"/>
      </w:pPr>
      <w:r>
        <w:rPr>
          <w:rFonts w:ascii="Times New Roman" w:hAnsi="Times New Roman" w:cs="Times New Roman" w:eastAsia="Times New Roman" w:hint="default"/>
        </w:rPr>
        <w:t>7)</w:t>
      </w:r>
      <w:r>
        <w:rPr/>
        <w:t>因金融资产转移而终止确认的其他应收款</w:t>
      </w:r>
    </w:p>
    <w:p>
      <w:pPr>
        <w:pStyle w:val="BodyText"/>
        <w:spacing w:line="338" w:lineRule="auto" w:before="103"/>
        <w:ind w:right="6644"/>
        <w:jc w:val="left"/>
      </w:pPr>
      <w:r>
        <w:rPr>
          <w:rFonts w:ascii="Times New Roman" w:hAnsi="Times New Roman" w:cs="Times New Roman" w:eastAsia="Times New Roman" w:hint="default"/>
        </w:rPr>
        <w:t>8)</w:t>
      </w:r>
      <w:r>
        <w:rPr/>
        <w:t>转移其他应收款且继续涉入形成的资产、负债金额</w:t>
      </w:r>
      <w:r>
        <w:rPr>
          <w:w w:val="99"/>
        </w:rPr>
        <w:t> </w:t>
      </w:r>
      <w:r>
        <w:rPr/>
        <w:t>其他说明：</w:t>
      </w:r>
    </w:p>
    <w:p>
      <w:pPr>
        <w:spacing w:line="240" w:lineRule="auto" w:before="7"/>
        <w:rPr>
          <w:rFonts w:ascii="宋体" w:hAnsi="宋体" w:cs="宋体" w:eastAsia="宋体" w:hint="default"/>
          <w:sz w:val="21"/>
          <w:szCs w:val="21"/>
        </w:rPr>
      </w:pPr>
    </w:p>
    <w:p>
      <w:pPr>
        <w:pStyle w:val="Heading3"/>
        <w:spacing w:line="240" w:lineRule="auto"/>
        <w:ind w:right="982"/>
        <w:jc w:val="left"/>
        <w:rPr>
          <w:b w:val="0"/>
          <w:bCs w:val="0"/>
        </w:rPr>
      </w:pPr>
      <w:bookmarkStart w:name="3、长期股权投资" w:id="496"/>
      <w:bookmarkEnd w:id="496"/>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5"/>
        <w:gridCol w:w="1379"/>
        <w:gridCol w:w="1368"/>
        <w:gridCol w:w="1366"/>
        <w:gridCol w:w="1368"/>
        <w:gridCol w:w="1366"/>
        <w:gridCol w:w="1368"/>
      </w:tblGrid>
      <w:tr>
        <w:trPr>
          <w:trHeight w:val="204" w:hRule="exact"/>
        </w:trPr>
        <w:tc>
          <w:tcPr>
            <w:tcW w:w="1345" w:type="dxa"/>
            <w:tcBorders>
              <w:top w:val="single" w:sz="4" w:space="0" w:color="000000"/>
              <w:left w:val="single" w:sz="4" w:space="0" w:color="000000"/>
              <w:bottom w:val="nil" w:sz="6" w:space="0" w:color="auto"/>
              <w:right w:val="single" w:sz="4" w:space="0" w:color="000000"/>
            </w:tcBorders>
            <w:shd w:val="clear" w:color="auto" w:fill="D4D4D4"/>
          </w:tcPr>
          <w:p>
            <w:pPr/>
          </w:p>
        </w:tc>
        <w:tc>
          <w:tcPr>
            <w:tcW w:w="411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2" w:type="dxa"/>
            <w:gridSpan w:val="3"/>
            <w:vMerge/>
            <w:tcBorders>
              <w:left w:val="single" w:sz="4" w:space="0" w:color="000000"/>
              <w:bottom w:val="single" w:sz="4" w:space="0" w:color="000000"/>
              <w:right w:val="single" w:sz="4" w:space="0" w:color="000000"/>
            </w:tcBorders>
            <w:shd w:val="clear" w:color="auto" w:fill="D4D4D4"/>
          </w:tcPr>
          <w:p>
            <w:pPr/>
          </w:p>
        </w:tc>
        <w:tc>
          <w:tcPr>
            <w:tcW w:w="4102" w:type="dxa"/>
            <w:gridSpan w:val="3"/>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1345" w:type="dxa"/>
            <w:vMerge/>
            <w:tcBorders>
              <w:left w:val="single" w:sz="4" w:space="0" w:color="000000"/>
              <w:bottom w:val="nil" w:sz="6" w:space="0" w:color="auto"/>
              <w:right w:val="single" w:sz="4" w:space="0" w:color="000000"/>
            </w:tcBorders>
            <w:shd w:val="clear" w:color="auto" w:fill="D4D4D4"/>
          </w:tcPr>
          <w:p>
            <w:pPr/>
          </w:p>
        </w:tc>
        <w:tc>
          <w:tcPr>
            <w:tcW w:w="137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5" w:type="dxa"/>
            <w:tcBorders>
              <w:top w:val="nil" w:sz="6" w:space="0" w:color="auto"/>
              <w:left w:val="single" w:sz="4" w:space="0" w:color="000000"/>
              <w:bottom w:val="single" w:sz="4" w:space="0" w:color="000000"/>
              <w:right w:val="single" w:sz="4" w:space="0" w:color="000000"/>
            </w:tcBorders>
            <w:shd w:val="clear" w:color="auto" w:fill="D4D4D4"/>
          </w:tcPr>
          <w:p>
            <w:pPr/>
          </w:p>
        </w:tc>
        <w:tc>
          <w:tcPr>
            <w:tcW w:w="1379"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1,077,901,188.92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1,077,901,188.92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1,054,133,688.92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1,054,133,688.92</w:t>
            </w:r>
          </w:p>
        </w:tc>
      </w:tr>
      <w:tr>
        <w:trPr>
          <w:trHeight w:val="715"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6,473,592.16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6,473,592.16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7,506,212.67</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7,506,212.67</w:t>
            </w:r>
            <w:r>
              <w:rPr>
                <w:rFonts w:ascii="Times New Roman"/>
                <w:sz w:val="18"/>
              </w:rPr>
            </w:r>
          </w:p>
        </w:tc>
      </w:tr>
      <w:tr>
        <w:trPr>
          <w:trHeight w:val="401"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1,084,374,781.08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1,084,374,781.08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1,061,639,901.59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1,061,639,901.59</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bookmarkStart w:name="（1）对子公司投资" w:id="497"/>
      <w:bookmarkEnd w:id="497"/>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7"/>
        <w:gridCol w:w="1337"/>
        <w:gridCol w:w="1334"/>
        <w:gridCol w:w="1334"/>
        <w:gridCol w:w="1334"/>
        <w:gridCol w:w="1390"/>
        <w:gridCol w:w="1390"/>
      </w:tblGrid>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599"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徐州五洋</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29,596,828.85</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29,596,828.85</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五岳科技</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8,929,235.70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8,929,235.70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天沃重工</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27,820,852.54</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27,820,852.54</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伟创自动化</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657,648,703.83</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657,648,703.83</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泰壬科技</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7,344,000.00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7,344,000.00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安徽惠邦</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华逸奇</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30,921,568.00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30,921,568.00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联合智能</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682,500.00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1" w:right="0"/>
              <w:jc w:val="left"/>
              <w:rPr>
                <w:rFonts w:ascii="Times New Roman" w:hAnsi="Times New Roman" w:cs="Times New Roman" w:eastAsia="Times New Roman" w:hint="default"/>
                <w:sz w:val="18"/>
                <w:szCs w:val="18"/>
              </w:rPr>
            </w:pPr>
            <w:r>
              <w:rPr>
                <w:rFonts w:ascii="Times New Roman"/>
                <w:sz w:val="18"/>
              </w:rPr>
              <w:t>682,500.00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弘毅华浩</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3" w:right="0"/>
              <w:jc w:val="left"/>
              <w:rPr>
                <w:rFonts w:ascii="Times New Roman" w:hAnsi="Times New Roman" w:cs="Times New Roman" w:eastAsia="Times New Roman" w:hint="default"/>
                <w:sz w:val="18"/>
                <w:szCs w:val="18"/>
              </w:rPr>
            </w:pPr>
            <w:r>
              <w:rPr>
                <w:rFonts w:ascii="Times New Roman"/>
                <w:sz w:val="18"/>
              </w:rPr>
              <w:t>11,850,000.00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13,040,000.00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天辰智能</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250,000,000.00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250,000,000.00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47"/>
        <w:gridCol w:w="1337"/>
        <w:gridCol w:w="1334"/>
        <w:gridCol w:w="1334"/>
        <w:gridCol w:w="1334"/>
        <w:gridCol w:w="1390"/>
        <w:gridCol w:w="1390"/>
      </w:tblGrid>
      <w:tr>
        <w:trPr>
          <w:trHeight w:val="40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徐州疌盛</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抚州五洋</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2,100,000.00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2,100,000.00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1,054,133,688.92</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24,450,000.00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1" w:right="0"/>
              <w:jc w:val="left"/>
              <w:rPr>
                <w:rFonts w:ascii="Times New Roman" w:hAnsi="Times New Roman" w:cs="Times New Roman" w:eastAsia="Times New Roman" w:hint="default"/>
                <w:sz w:val="18"/>
                <w:szCs w:val="18"/>
              </w:rPr>
            </w:pPr>
            <w:r>
              <w:rPr>
                <w:rFonts w:ascii="Times New Roman"/>
                <w:sz w:val="18"/>
              </w:rPr>
              <w:t>682,500.00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1,077,901,188.92</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bookmarkStart w:name="（2）对联营、合营企业投资" w:id="498"/>
      <w:bookmarkEnd w:id="498"/>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799"/>
        <w:gridCol w:w="797"/>
        <w:gridCol w:w="799"/>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2"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福建比硕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7,506,212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-1,032,62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0.51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6,473,592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7,506,212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-1,032,62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0.51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6,473,592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7,506,212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-1,032,62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0.51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6,473,592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.16</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bookmarkStart w:name="（3）其他说明" w:id="499"/>
      <w:bookmarkEnd w:id="499"/>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bookmarkStart w:name="4、营业收入和营业成本" w:id="500"/>
      <w:bookmarkEnd w:id="500"/>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5"/>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4D4D4"/>
          </w:tcPr>
          <w:p>
            <w:pPr/>
          </w:p>
        </w:tc>
        <w:tc>
          <w:tcPr>
            <w:tcW w:w="374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9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8" w:type="dxa"/>
            <w:gridSpan w:val="2"/>
            <w:vMerge/>
            <w:tcBorders>
              <w:left w:val="single" w:sz="4" w:space="0" w:color="000000"/>
              <w:bottom w:val="single" w:sz="4" w:space="0" w:color="000000"/>
              <w:right w:val="single" w:sz="4" w:space="0" w:color="000000"/>
            </w:tcBorders>
            <w:shd w:val="clear" w:color="auto" w:fill="D4D4D4"/>
          </w:tcPr>
          <w:p>
            <w:pPr/>
          </w:p>
        </w:tc>
        <w:tc>
          <w:tcPr>
            <w:tcW w:w="3828" w:type="dxa"/>
            <w:gridSpan w:val="2"/>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1996" w:type="dxa"/>
            <w:vMerge/>
            <w:tcBorders>
              <w:left w:val="single" w:sz="4" w:space="0" w:color="000000"/>
              <w:bottom w:val="nil" w:sz="6" w:space="0" w:color="auto"/>
              <w:right w:val="single" w:sz="4" w:space="0" w:color="000000"/>
            </w:tcBorders>
            <w:shd w:val="clear" w:color="auto" w:fill="D4D4D4"/>
          </w:tcPr>
          <w:p>
            <w:pPr/>
          </w:p>
        </w:tc>
        <w:tc>
          <w:tcPr>
            <w:tcW w:w="183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4" w:hRule="exact"/>
        </w:trPr>
        <w:tc>
          <w:tcPr>
            <w:tcW w:w="1996" w:type="dxa"/>
            <w:tcBorders>
              <w:top w:val="nil" w:sz="6" w:space="0" w:color="auto"/>
              <w:left w:val="single" w:sz="4" w:space="0" w:color="000000"/>
              <w:bottom w:val="single" w:sz="4" w:space="0" w:color="000000"/>
              <w:right w:val="single" w:sz="4" w:space="0" w:color="000000"/>
            </w:tcBorders>
            <w:shd w:val="clear" w:color="auto" w:fill="D4D4D4"/>
          </w:tcPr>
          <w:p>
            <w:pPr/>
          </w:p>
        </w:tc>
        <w:tc>
          <w:tcPr>
            <w:tcW w:w="1835"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110,171,680.08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62,668,043.69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97,156,997.35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55,275,570.48</w:t>
            </w: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3,698,111.80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3,369,749.89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508,649.92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140,540.54</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113,869,791.88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66,037,793.58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97,665,647.27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55,416,111.02</w:t>
            </w:r>
            <w:r>
              <w:rPr>
                <w:rFonts w:ascii="Times New Roman"/>
                <w:sz w:val="18"/>
              </w:rPr>
            </w:r>
          </w:p>
        </w:tc>
      </w:tr>
    </w:tbl>
    <w:p>
      <w:pPr>
        <w:pStyle w:val="BodyText"/>
        <w:spacing w:line="240" w:lineRule="auto" w:before="49"/>
        <w:ind w:right="982"/>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82"/>
        <w:jc w:val="left"/>
        <w:rPr>
          <w:b w:val="0"/>
          <w:bCs w:val="0"/>
        </w:rPr>
      </w:pPr>
      <w:bookmarkStart w:name="5、投资收益" w:id="501"/>
      <w:bookmarkEnd w:id="501"/>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1"/>
        <w:gridCol w:w="3071"/>
        <w:gridCol w:w="3185"/>
      </w:tblGrid>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-1,032,620.51</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-1,447,265.16</w:t>
            </w:r>
            <w:r>
              <w:rPr>
                <w:rFonts w:ascii="Times New Roman"/>
                <w:sz w:val="18"/>
              </w:rPr>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-135,302.41</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24"/>
        <w:gridCol w:w="3060"/>
        <w:gridCol w:w="3185"/>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2,356,878.11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2,383,987.32</w:t>
            </w:r>
            <w:r>
              <w:rPr>
                <w:rFonts w:ascii="Times New Roman"/>
                <w:sz w:val="18"/>
              </w:rPr>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1,188,955.19</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936,722.16</w:t>
            </w:r>
          </w:p>
        </w:tc>
      </w:tr>
    </w:tbl>
    <w:p>
      <w:pPr>
        <w:spacing w:line="240" w:lineRule="auto" w:before="3"/>
        <w:rPr>
          <w:rFonts w:ascii="宋体" w:hAnsi="宋体" w:cs="宋体" w:eastAsia="宋体" w:hint="default"/>
          <w:sz w:val="19"/>
          <w:szCs w:val="19"/>
        </w:rPr>
      </w:pPr>
    </w:p>
    <w:p>
      <w:pPr>
        <w:pStyle w:val="Heading3"/>
        <w:spacing w:line="240" w:lineRule="auto" w:before="36"/>
        <w:ind w:right="982"/>
        <w:jc w:val="left"/>
        <w:rPr>
          <w:b w:val="0"/>
          <w:bCs w:val="0"/>
        </w:rPr>
      </w:pPr>
      <w:bookmarkStart w:name="6、其他" w:id="502"/>
      <w:bookmarkEnd w:id="502"/>
      <w:r>
        <w:rPr>
          <w:b w:val="0"/>
          <w:bCs w:val="0"/>
        </w:rPr>
      </w: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982"/>
        <w:jc w:val="left"/>
        <w:rPr>
          <w:b w:val="0"/>
          <w:bCs w:val="0"/>
        </w:rPr>
      </w:pPr>
      <w:bookmarkStart w:name="十八、补充资料" w:id="503"/>
      <w:bookmarkEnd w:id="503"/>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82"/>
        <w:jc w:val="left"/>
        <w:rPr>
          <w:b w:val="0"/>
          <w:bCs w:val="0"/>
        </w:rPr>
      </w:pPr>
      <w:bookmarkStart w:name="1、当期非经常性损益明细表" w:id="504"/>
      <w:bookmarkEnd w:id="504"/>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1"/>
        <w:gridCol w:w="3071"/>
        <w:gridCol w:w="3185"/>
      </w:tblGrid>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481,508.30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37"/>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17,632,410.56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3,948,515.59</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-2,600,891.54</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5,960.05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2,923,852.58</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72,131.47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4D4D4"/>
              <w:bottom w:val="single" w:sz="4" w:space="0" w:color="000000"/>
              <w:right w:val="single" w:sz="10" w:space="0" w:color="D4D4D4"/>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16,471,518.91</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2"/>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161"/>
        <w:jc w:val="left"/>
      </w:pPr>
      <w:r>
        <w:rPr/>
        <w:t>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spacing w:val="-4"/>
        </w:rPr>
        <w:t>号</w:t>
      </w:r>
      <w:r>
        <w:rPr>
          <w:rFonts w:ascii="Times New Roman" w:hAnsi="Times New Roman" w:cs="Times New Roman" w:eastAsia="Times New Roman" w:hint="default"/>
          <w:spacing w:val="-4"/>
        </w:rPr>
        <w:t>——</w:t>
      </w:r>
      <w:r>
        <w:rPr>
          <w:spacing w:val="-4"/>
        </w:rPr>
        <w:t>非经常性损益》中列举的非经常性损益项目界定为经常性损益的项目，应</w:t>
      </w:r>
      <w:r>
        <w:rPr>
          <w:spacing w:val="-41"/>
        </w:rPr>
        <w:t> </w:t>
      </w:r>
      <w:r>
        <w:rPr/>
        <w:t>说明原因。</w:t>
      </w:r>
    </w:p>
    <w:p>
      <w:pPr>
        <w:pStyle w:val="BodyText"/>
        <w:spacing w:line="240" w:lineRule="auto" w:before="72"/>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82"/>
        <w:jc w:val="left"/>
        <w:rPr>
          <w:b w:val="0"/>
          <w:bCs w:val="0"/>
        </w:rPr>
      </w:pPr>
      <w:bookmarkStart w:name="2、净资产收益率及每股收益" w:id="505"/>
      <w:bookmarkEnd w:id="505"/>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0"/>
        <w:gridCol w:w="3082"/>
        <w:gridCol w:w="1913"/>
        <w:gridCol w:w="1913"/>
      </w:tblGrid>
      <w:tr>
        <w:trPr>
          <w:trHeight w:val="206" w:hRule="exact"/>
        </w:trPr>
        <w:tc>
          <w:tcPr>
            <w:tcW w:w="2650" w:type="dxa"/>
            <w:tcBorders>
              <w:top w:val="single" w:sz="4" w:space="0" w:color="000000"/>
              <w:left w:val="single" w:sz="4" w:space="0" w:color="000000"/>
              <w:bottom w:val="nil" w:sz="6" w:space="0" w:color="auto"/>
              <w:right w:val="single" w:sz="4" w:space="0" w:color="000000"/>
            </w:tcBorders>
            <w:shd w:val="clear" w:color="auto" w:fill="D4D4D4"/>
          </w:tcPr>
          <w:p>
            <w:pPr/>
          </w:p>
        </w:tc>
        <w:tc>
          <w:tcPr>
            <w:tcW w:w="3082" w:type="dxa"/>
            <w:tcBorders>
              <w:top w:val="single" w:sz="4" w:space="0" w:color="000000"/>
              <w:left w:val="single" w:sz="4" w:space="0" w:color="000000"/>
              <w:bottom w:val="nil" w:sz="6" w:space="0" w:color="auto"/>
              <w:right w:val="single" w:sz="4" w:space="0" w:color="000000"/>
            </w:tcBorders>
            <w:shd w:val="clear" w:color="auto" w:fill="D4D4D4"/>
          </w:tcPr>
          <w:p>
            <w:pPr/>
          </w:p>
        </w:tc>
        <w:tc>
          <w:tcPr>
            <w:tcW w:w="38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265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2650" w:type="dxa"/>
            <w:vMerge/>
            <w:tcBorders>
              <w:left w:val="single" w:sz="4" w:space="0" w:color="000000"/>
              <w:bottom w:val="nil" w:sz="6" w:space="0" w:color="auto"/>
              <w:right w:val="single" w:sz="4" w:space="0" w:color="000000"/>
            </w:tcBorders>
            <w:shd w:val="clear" w:color="auto" w:fill="D4D4D4"/>
          </w:tcPr>
          <w:p>
            <w:pPr/>
          </w:p>
        </w:tc>
        <w:tc>
          <w:tcPr>
            <w:tcW w:w="3082" w:type="dxa"/>
            <w:vMerge/>
            <w:tcBorders>
              <w:left w:val="single" w:sz="4" w:space="0" w:color="000000"/>
              <w:bottom w:val="nil" w:sz="6" w:space="0" w:color="auto"/>
              <w:right w:val="single" w:sz="4" w:space="0" w:color="000000"/>
            </w:tcBorders>
            <w:shd w:val="clear" w:color="auto" w:fill="D4D4D4"/>
          </w:tcPr>
          <w:p>
            <w:pP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0" w:type="dxa"/>
            <w:tcBorders>
              <w:top w:val="nil" w:sz="6" w:space="0" w:color="auto"/>
              <w:left w:val="single" w:sz="4" w:space="0" w:color="000000"/>
              <w:bottom w:val="single" w:sz="4" w:space="0" w:color="000000"/>
              <w:right w:val="single" w:sz="4" w:space="0" w:color="000000"/>
            </w:tcBorders>
            <w:shd w:val="clear" w:color="auto" w:fill="D4D4D4"/>
          </w:tcPr>
          <w:p>
            <w:pPr/>
          </w:p>
        </w:tc>
        <w:tc>
          <w:tcPr>
            <w:tcW w:w="3082"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0.18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0.18</w:t>
            </w:r>
            <w:r>
              <w:rPr>
                <w:rFonts w:ascii="Times New Roman"/>
                <w:sz w:val="18"/>
              </w:rPr>
            </w:r>
          </w:p>
        </w:tc>
      </w:tr>
      <w:tr>
        <w:trPr>
          <w:trHeight w:val="715"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0.16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0.16</w:t>
            </w:r>
            <w:r>
              <w:rPr>
                <w:rFonts w:ascii="Times New Roman"/>
                <w:sz w:val="18"/>
              </w:rPr>
            </w:r>
          </w:p>
        </w:tc>
      </w:tr>
    </w:tbl>
    <w:p>
      <w:pPr>
        <w:spacing w:line="240" w:lineRule="auto" w:before="3"/>
        <w:rPr>
          <w:rFonts w:ascii="宋体" w:hAnsi="宋体" w:cs="宋体" w:eastAsia="宋体" w:hint="default"/>
          <w:b/>
          <w:bCs/>
          <w:sz w:val="19"/>
          <w:szCs w:val="19"/>
        </w:rPr>
      </w:pPr>
    </w:p>
    <w:p>
      <w:pPr>
        <w:pStyle w:val="Heading3"/>
        <w:spacing w:line="240" w:lineRule="auto" w:before="36"/>
        <w:ind w:right="982"/>
        <w:jc w:val="left"/>
        <w:rPr>
          <w:b w:val="0"/>
          <w:bCs w:val="0"/>
        </w:rPr>
      </w:pPr>
      <w:bookmarkStart w:name="3、境内外会计准则下会计数据差异" w:id="506"/>
      <w:bookmarkEnd w:id="506"/>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2"/>
        <w:jc w:val="left"/>
        <w:rPr>
          <w:b w:val="0"/>
          <w:bCs w:val="0"/>
        </w:rPr>
      </w:pPr>
      <w:bookmarkStart w:name="（1）同时按照国际会计准则与按中国会计准则披露的财务报告中净利润和净资产差异情况" w:id="507"/>
      <w:bookmarkEnd w:id="507"/>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982"/>
        <w:jc w:val="left"/>
        <w:rPr>
          <w:b w:val="0"/>
          <w:bCs w:val="0"/>
        </w:rPr>
      </w:pPr>
      <w:bookmarkStart w:name="（2）同时按照境外会计准则与按中国会计准则披露的财务报告中净利润和净资产差异情况" w:id="508"/>
      <w:bookmarkEnd w:id="508"/>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59" w:lineRule="auto"/>
        <w:ind w:right="982"/>
        <w:jc w:val="left"/>
        <w:rPr>
          <w:b w:val="0"/>
          <w:bCs w:val="0"/>
        </w:rPr>
      </w:pPr>
      <w:bookmarkStart w:name="（3）境内外会计准则下会计数据差异原因说明，对已经境外审计机构审计的数据进行差异" w:id="509"/>
      <w:bookmarkEnd w:id="509"/>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82"/>
        <w:jc w:val="left"/>
        <w:rPr>
          <w:b w:val="0"/>
          <w:bCs w:val="0"/>
        </w:rPr>
      </w:pPr>
      <w:bookmarkStart w:name="4、其他" w:id="510"/>
      <w:bookmarkEnd w:id="510"/>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5" w:footer="982" w:top="1060" w:bottom="1180" w:left="98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284" w:right="982"/>
        <w:jc w:val="left"/>
        <w:rPr>
          <w:b w:val="0"/>
          <w:bCs w:val="0"/>
        </w:rPr>
      </w:pPr>
      <w:bookmarkStart w:name="_TOC_250000" w:id="511"/>
      <w:bookmarkStart w:name="第十二节 备查文件目录" w:id="512"/>
      <w:r>
        <w:rPr>
          <w:b w:val="0"/>
          <w:bCs w:val="0"/>
        </w:rPr>
      </w:r>
      <w:r>
        <w:rPr/>
        <w:t>第十二节</w:t>
      </w:r>
      <w:r>
        <w:rPr>
          <w:spacing w:val="-5"/>
        </w:rPr>
        <w:t> </w:t>
      </w:r>
      <w:r>
        <w:rPr/>
        <w:t>备查文件目录</w:t>
      </w:r>
      <w:bookmarkEnd w:id="511"/>
      <w:r>
        <w:rPr>
          <w:b w:val="0"/>
          <w:bCs w:val="0"/>
        </w:rPr>
      </w:r>
    </w:p>
    <w:p>
      <w:pPr>
        <w:spacing w:line="240" w:lineRule="auto" w:before="6"/>
        <w:rPr>
          <w:rFonts w:ascii="宋体" w:hAnsi="宋体" w:cs="宋体" w:eastAsia="宋体" w:hint="default"/>
          <w:b/>
          <w:bCs/>
          <w:sz w:val="42"/>
          <w:szCs w:val="42"/>
        </w:rPr>
      </w:pPr>
    </w:p>
    <w:p>
      <w:pPr>
        <w:pStyle w:val="BodyText"/>
        <w:spacing w:line="312" w:lineRule="auto" w:before="0"/>
        <w:ind w:right="2474"/>
        <w:jc w:val="left"/>
      </w:pPr>
      <w:r>
        <w:rPr/>
        <w:t>一、载有公司负责人、主管会计工作负责人、会计机构负责人（会计主管人员）签名并盖章的财务报表。 二、载有天健会计师事务所（特殊普通合伙）盖章、注册会计师签名并盖章的审计报告原件。 三、载有公司法定代表人签名的</w:t>
      </w:r>
      <w:r>
        <w:rPr>
          <w:rFonts w:ascii="Times New Roman" w:hAnsi="Times New Roman" w:cs="Times New Roman" w:eastAsia="Times New Roman" w:hint="default"/>
        </w:rPr>
        <w:t>2018</w:t>
      </w:r>
      <w:r>
        <w:rPr/>
        <w:t>年年度报告文本原件。 四、报告期内在中国证监会指定信息披露载体上公开披露过的所有公司文件的正本及公告的原稿。</w:t>
      </w:r>
    </w:p>
    <w:p>
      <w:pPr>
        <w:spacing w:line="240" w:lineRule="auto" w:before="7"/>
        <w:rPr>
          <w:rFonts w:ascii="宋体" w:hAnsi="宋体" w:cs="宋体" w:eastAsia="宋体" w:hint="default"/>
          <w:sz w:val="25"/>
          <w:szCs w:val="25"/>
        </w:rPr>
      </w:pPr>
    </w:p>
    <w:p>
      <w:pPr>
        <w:pStyle w:val="BodyText"/>
        <w:spacing w:line="240" w:lineRule="auto" w:before="0"/>
        <w:ind w:right="982"/>
        <w:jc w:val="left"/>
      </w:pPr>
      <w:r>
        <w:rPr/>
        <w:t>以上备查文件的备置地点：公司证券事务部。</w:t>
      </w:r>
    </w:p>
    <w:sectPr>
      <w:pgSz w:w="11910" w:h="16840"/>
      <w:pgMar w:header="745" w:footer="982" w:top="1060" w:bottom="118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52488" type="#_x0000_t75" stroked="false">
          <v:imagedata r:id="rId1" o:title=""/>
        </v:shape>
      </w:pict>
    </w:r>
    <w:r>
      <w:rPr/>
      <w:pict>
        <v:shape style="position:absolute;margin-left:533pt;margin-top:795.517944pt;width:6.5pt;height:11pt;mso-position-horizontal-relative:page;mso-position-vertical-relative:page;z-index:-1052464"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52440" type="#_x0000_t75" stroked="false">
          <v:imagedata r:id="rId1" o:title=""/>
        </v:shape>
      </w:pict>
    </w:r>
    <w:r>
      <w:rPr/>
      <w:pict>
        <v:shape style="position:absolute;margin-left:527.559998pt;margin-top:781.837891pt;width:13.15pt;height:11pt;mso-position-horizontal-relative:page;mso-position-vertical-relative:page;z-index:-105241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52392" type="#_x0000_t75" stroked="false">
          <v:imagedata r:id="rId1" o:title=""/>
        </v:shape>
      </w:pict>
    </w:r>
    <w:r>
      <w:rPr/>
      <w:pict>
        <v:shape style="position:absolute;margin-left:524pt;margin-top:781.837891pt;width:15.7pt;height:11pt;mso-position-horizontal-relative:page;mso-position-vertical-relative:page;z-index:-1052368"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52344" type="#_x0000_t75" stroked="false">
          <v:imagedata r:id="rId1" o:title=""/>
        </v:shape>
      </w:pict>
    </w:r>
    <w:r>
      <w:rPr/>
      <w:pict>
        <v:shape style="position:absolute;margin-left:523pt;margin-top:781.837891pt;width:17.7pt;height:11pt;mso-position-horizontal-relative:page;mso-position-vertical-relative:page;z-index:-105232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52296" type="#_x0000_t75" stroked="false">
          <v:imagedata r:id="rId1" o:title=""/>
        </v:shape>
      </w:pict>
    </w:r>
    <w:r>
      <w:rPr/>
      <w:pict>
        <v:shape style="position:absolute;margin-left:523.359985pt;margin-top:781.837891pt;width:17.3pt;height:11pt;mso-position-horizontal-relative:page;mso-position-vertical-relative:page;z-index:-105227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52248" type="#_x0000_t75" stroked="false">
          <v:imagedata r:id="rId1" o:title=""/>
        </v:shape>
      </w:pict>
    </w:r>
    <w:r>
      <w:rPr/>
      <w:pict>
        <v:shape style="position:absolute;margin-left:523pt;margin-top:781.837891pt;width:17.7pt;height:11pt;mso-position-horizontal-relative:page;mso-position-vertical-relative:page;z-index:-105222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08pt;margin-top:36.265610pt;width:231.7pt;height:11.5pt;mso-position-horizontal-relative:page;mso-position-vertical-relative:page;z-index:-1052512" type="#_x0000_t202" filled="false" stroked="false">
          <v:textbox inset="0,0,0,0">
            <w:txbxContent>
              <w:p>
                <w:pPr>
                  <w:pStyle w:val="BodyText"/>
                  <w:spacing w:line="214" w:lineRule="exact" w:before="0"/>
                  <w:ind w:left="20" w:right="0"/>
                  <w:jc w:val="left"/>
                </w:pPr>
                <w:r>
                  <w:rPr/>
                  <w:t>江苏五洋停车产业集团股份有限公司</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spacing w:before="44"/>
      <w:ind w:left="152"/>
    </w:pPr>
    <w:rPr>
      <w:rFonts w:ascii="宋体" w:hAnsi="宋体" w:eastAsia="宋体"/>
      <w:sz w:val="18"/>
      <w:szCs w:val="18"/>
    </w:rPr>
  </w:style>
  <w:style w:styleId="Heading1" w:type="paragraph">
    <w:name w:val="Heading 1"/>
    <w:basedOn w:val="Normal"/>
    <w:uiPriority w:val="1"/>
    <w:qFormat/>
    <w:pPr>
      <w:ind w:left="133"/>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ind w:left="152" w:firstLine="324"/>
      <w:outlineLvl w:val="4"/>
    </w:pPr>
    <w:rPr>
      <w:rFonts w:ascii="宋体" w:hAnsi="宋体" w:eastAsia="宋体"/>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wuyangkeji.com/" TargetMode="External"/><Relationship Id="rId10" Type="http://schemas.openxmlformats.org/officeDocument/2006/relationships/hyperlink" Target="mailto:wuyangsh@163.com" TargetMode="External"/><Relationship Id="rId11" Type="http://schemas.openxmlformats.org/officeDocument/2006/relationships/hyperlink" Target="mailto:1002926635@qq.com" TargetMode="External"/><Relationship Id="rId12" Type="http://schemas.openxmlformats.org/officeDocument/2006/relationships/hyperlink" Target="http://www.cninfo.com.cn/" TargetMode="External"/><Relationship Id="rId13" Type="http://schemas.openxmlformats.org/officeDocument/2006/relationships/image" Target="media/image3.png"/><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江苏五洋停车产业集团股份有限公司</dc:creator>
  <dc:title>江苏五洋停车产业集团股份有限公司2018年年度报告全文</dc:title>
  <dcterms:created xsi:type="dcterms:W3CDTF">2020-05-05T00:20:01Z</dcterms:created>
  <dcterms:modified xsi:type="dcterms:W3CDTF">2020-05-05T00:20:01Z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2019-04-18T00:00:00Z</vt:filetime>
  </property>
  <property fmtid="{D5CDD505-2E9C-101B-9397-08002B2CF9AE}" pid="3" name="Creator">
    <vt:lpwstr>Acrobat PDFMaker 10.1 Word 版</vt:lpwstr>
  </property>
  <property fmtid="{D5CDD505-2E9C-101B-9397-08002B2CF9AE}" pid="4" name="LastSaved">
    <vt:filetime>2020-05-04T00:00:00Z</vt:filetime>
  </property>
</Properties>
</file>