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3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411063" cy="6572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063" cy="65722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94" w:right="1477" w:firstLine="0"/>
        <w:jc w:val="center"/>
        <w:rPr>
          <w:rFonts w:ascii="宋体" w:hAnsi="宋体" w:cs="宋体" w:eastAsia="宋体" w:hint="default"/>
          <w:sz w:val="36"/>
          <w:szCs w:val="36"/>
        </w:rPr>
      </w:pPr>
      <w:r>
        <w:rPr>
          <w:rFonts w:ascii="宋体" w:hAnsi="宋体" w:cs="宋体" w:eastAsia="宋体" w:hint="default"/>
          <w:b/>
          <w:bCs/>
          <w:sz w:val="36"/>
          <w:szCs w:val="36"/>
        </w:rPr>
        <w:t>江苏五洋停车产业集团股份有限公司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4" w:right="14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494" w:right="147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986"/>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公司负责人侯友夫、主管会计工作负责人王兆勇及会计机构负责人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王侠声明：保证年度报告中财务报告的真实、准确、完整。</w:t>
      </w:r>
      <w:r>
        <w:rPr>
          <w:rFonts w:ascii="宋体" w:hAnsi="宋体" w:cs="宋体" w:eastAsia="宋体" w:hint="default"/>
          <w:sz w:val="28"/>
          <w:szCs w:val="28"/>
        </w:rPr>
      </w:r>
    </w:p>
    <w:p>
      <w:pPr>
        <w:spacing w:before="148"/>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tabs>
          <w:tab w:pos="1413" w:val="left" w:leader="none"/>
        </w:tabs>
        <w:spacing w:line="448" w:lineRule="auto" w:before="0"/>
        <w:ind w:left="714" w:right="991"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1</w:t>
      </w:r>
      <w:r>
        <w:rPr>
          <w:rFonts w:ascii="宋体" w:hAnsi="宋体" w:cs="宋体" w:eastAsia="宋体" w:hint="default"/>
          <w:b/>
          <w:bCs/>
          <w:spacing w:val="-1"/>
          <w:sz w:val="28"/>
          <w:szCs w:val="28"/>
        </w:rPr>
        <w:t>、</w:t>
        <w:tab/>
      </w:r>
      <w:r>
        <w:rPr>
          <w:rFonts w:ascii="宋体" w:hAnsi="宋体" w:cs="宋体" w:eastAsia="宋体" w:hint="default"/>
          <w:b/>
          <w:bCs/>
          <w:sz w:val="28"/>
          <w:szCs w:val="28"/>
        </w:rPr>
        <w:t>并购整合的风险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并购重组一方面带来公司快速扩张，另一方面也带来整合的难度。多年来，</w:t>
      </w:r>
      <w:r>
        <w:rPr>
          <w:rFonts w:ascii="宋体" w:hAnsi="宋体" w:cs="宋体" w:eastAsia="宋体" w:hint="default"/>
          <w:spacing w:val="-2"/>
          <w:sz w:val="28"/>
          <w:szCs w:val="28"/>
        </w:rPr>
      </w: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公司虽已积累了一定的管理经验，建立了适应公司当前发展状况的管理体系和</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管理制度。并购重组使公司客户和服务领域将更加广泛，技术创新要求将加快，</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公司现有的管理架构和流程可能无法完全适应业务扩大带来的变化。公司需不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断调整管理体系和资源配置，来满足资产规模扩大后对管理体系和管理团队的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要求，否则，公司的生产经营和业绩提升将可能受到一定影响。公司一方面加</w:t>
      </w:r>
      <w:r>
        <w:rPr>
          <w:rFonts w:ascii="宋体" w:hAnsi="宋体" w:cs="宋体" w:eastAsia="宋体" w:hint="default"/>
          <w:b/>
          <w:bCs/>
          <w:w w:val="99"/>
          <w:sz w:val="28"/>
          <w:szCs w:val="28"/>
        </w:rPr>
        <w:t> </w:t>
      </w:r>
      <w:r>
        <w:rPr>
          <w:rFonts w:ascii="宋体" w:hAnsi="宋体" w:cs="宋体" w:eastAsia="宋体" w:hint="default"/>
          <w:b/>
          <w:bCs/>
          <w:sz w:val="28"/>
          <w:szCs w:val="28"/>
        </w:rPr>
        <w:t>强子公司管控制度建设，另一方面加大企业文化等方面整合力度。</w:t>
      </w:r>
      <w:r>
        <w:rPr>
          <w:rFonts w:ascii="宋体" w:hAnsi="宋体" w:cs="宋体" w:eastAsia="宋体" w:hint="default"/>
          <w:sz w:val="28"/>
          <w:szCs w:val="28"/>
        </w:rPr>
      </w:r>
    </w:p>
    <w:p>
      <w:pPr>
        <w:tabs>
          <w:tab w:pos="1413" w:val="left" w:leader="none"/>
        </w:tabs>
        <w:spacing w:line="448" w:lineRule="auto" w:before="162"/>
        <w:ind w:left="714" w:right="1136" w:firstLine="0"/>
        <w:jc w:val="left"/>
        <w:rPr>
          <w:rFonts w:ascii="宋体" w:hAnsi="宋体" w:cs="宋体" w:eastAsia="宋体" w:hint="default"/>
          <w:sz w:val="28"/>
          <w:szCs w:val="28"/>
        </w:rPr>
      </w:pPr>
      <w:r>
        <w:rPr>
          <w:rFonts w:ascii="Times New Roman" w:hAnsi="Times New Roman" w:cs="Times New Roman" w:eastAsia="Times New Roman" w:hint="default"/>
          <w:b/>
          <w:bCs/>
          <w:spacing w:val="-1"/>
          <w:sz w:val="28"/>
          <w:szCs w:val="28"/>
        </w:rPr>
        <w:t>2</w:t>
      </w:r>
      <w:r>
        <w:rPr>
          <w:rFonts w:ascii="宋体" w:hAnsi="宋体" w:cs="宋体" w:eastAsia="宋体" w:hint="default"/>
          <w:b/>
          <w:bCs/>
          <w:spacing w:val="-1"/>
          <w:sz w:val="28"/>
          <w:szCs w:val="28"/>
        </w:rPr>
        <w:t>、</w:t>
        <w:tab/>
      </w:r>
      <w:r>
        <w:rPr>
          <w:rFonts w:ascii="宋体" w:hAnsi="宋体" w:cs="宋体" w:eastAsia="宋体" w:hint="default"/>
          <w:b/>
          <w:bCs/>
          <w:sz w:val="28"/>
          <w:szCs w:val="28"/>
        </w:rPr>
        <w:t>商誉减值的风险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并购重组和对外投资形成的商誉不作摊销处理，但需在未来每年年度终了</w:t>
      </w:r>
      <w:r>
        <w:rPr>
          <w:rFonts w:ascii="宋体" w:hAnsi="宋体" w:cs="宋体" w:eastAsia="宋体" w:hint="default"/>
          <w:spacing w:val="2"/>
          <w:sz w:val="28"/>
          <w:szCs w:val="28"/>
        </w:rPr>
      </w:r>
    </w:p>
    <w:p>
      <w:pPr>
        <w:spacing w:line="398" w:lineRule="auto" w:before="14"/>
        <w:ind w:left="152" w:right="1133" w:firstLine="0"/>
        <w:jc w:val="both"/>
        <w:rPr>
          <w:rFonts w:ascii="宋体" w:hAnsi="宋体" w:cs="宋体" w:eastAsia="宋体" w:hint="default"/>
          <w:sz w:val="28"/>
          <w:szCs w:val="28"/>
        </w:rPr>
      </w:pPr>
      <w:r>
        <w:rPr>
          <w:rFonts w:ascii="宋体" w:hAnsi="宋体" w:cs="宋体" w:eastAsia="宋体" w:hint="default"/>
          <w:b/>
          <w:bCs/>
          <w:sz w:val="28"/>
          <w:szCs w:val="28"/>
        </w:rPr>
        <w:t>进行减值测试。</w:t>
      </w:r>
      <w:r>
        <w:rPr>
          <w:rFonts w:ascii="Times New Roman" w:hAnsi="Times New Roman" w:cs="Times New Roman" w:eastAsia="Times New Roman" w:hint="default"/>
          <w:b/>
          <w:bCs/>
          <w:sz w:val="28"/>
          <w:szCs w:val="28"/>
        </w:rPr>
        <w:t>2017 </w:t>
      </w:r>
      <w:r>
        <w:rPr>
          <w:rFonts w:ascii="宋体" w:hAnsi="宋体" w:cs="宋体" w:eastAsia="宋体" w:hint="default"/>
          <w:b/>
          <w:bCs/>
          <w:sz w:val="28"/>
          <w:szCs w:val="28"/>
        </w:rPr>
        <w:t>年公司完成重大资产重组收购天辰智能</w:t>
      </w:r>
      <w:r>
        <w:rPr>
          <w:rFonts w:ascii="宋体" w:hAnsi="宋体" w:cs="宋体" w:eastAsia="宋体" w:hint="default"/>
          <w:b/>
          <w:bCs/>
          <w:spacing w:val="-63"/>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股权，如天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辰智能未来经营状况未达预期，则存在商誉减值的风险，商誉减值会直接影响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公司的经营业绩，减少公司的当期利润，若一旦集中计提大额的商誉减值，将</w:t>
      </w:r>
      <w:r>
        <w:rPr>
          <w:rFonts w:ascii="宋体" w:hAnsi="宋体" w:cs="宋体" w:eastAsia="宋体" w:hint="default"/>
          <w:spacing w:val="2"/>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对公司盈利水平产生较大的不利影响。公司一方面充分利用资本和技术平台，</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大力开拓停车场投资建设运营一体化业务，不断开拓新市场；一方面加大并购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重组整合力度，继续加大新产品技术研发力量，保持被收购公司的持续竞争力，</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z w:val="28"/>
          <w:szCs w:val="28"/>
        </w:rPr>
        <w:t>以降低对应的风险。</w:t>
      </w:r>
      <w:r>
        <w:rPr>
          <w:rFonts w:ascii="宋体" w:hAnsi="宋体" w:cs="宋体" w:eastAsia="宋体" w:hint="default"/>
          <w:sz w:val="28"/>
          <w:szCs w:val="28"/>
        </w:rPr>
      </w:r>
    </w:p>
    <w:p>
      <w:pPr>
        <w:tabs>
          <w:tab w:pos="1413" w:val="left" w:leader="none"/>
        </w:tabs>
        <w:spacing w:line="446" w:lineRule="auto" w:before="162"/>
        <w:ind w:left="714" w:right="1132"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pacing w:val="-1"/>
          <w:sz w:val="28"/>
          <w:szCs w:val="28"/>
        </w:rPr>
        <w:t>3</w:t>
      </w:r>
      <w:r>
        <w:rPr>
          <w:rFonts w:ascii="宋体" w:hAnsi="宋体" w:cs="宋体" w:eastAsia="宋体" w:hint="default"/>
          <w:b/>
          <w:bCs/>
          <w:spacing w:val="-1"/>
          <w:sz w:val="28"/>
          <w:szCs w:val="28"/>
        </w:rPr>
        <w:t>、</w:t>
        <w:tab/>
      </w:r>
      <w:r>
        <w:rPr>
          <w:rFonts w:ascii="宋体" w:hAnsi="宋体" w:cs="宋体" w:eastAsia="宋体" w:hint="default"/>
          <w:b/>
          <w:bCs/>
          <w:sz w:val="28"/>
          <w:szCs w:val="28"/>
        </w:rPr>
        <w:t>应收账款的风险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随着公司业务领域和规模地快递扩大，公司应收账款余额增长迅速。</w:t>
      </w:r>
      <w:r>
        <w:rPr>
          <w:rFonts w:ascii="Times New Roman" w:hAnsi="Times New Roman" w:cs="Times New Roman" w:eastAsia="Times New Roman" w:hint="default"/>
          <w:b/>
          <w:bCs/>
          <w:spacing w:val="2"/>
          <w:sz w:val="28"/>
          <w:szCs w:val="28"/>
        </w:rPr>
        <w:t>2019</w:t>
      </w:r>
      <w:r>
        <w:rPr>
          <w:rFonts w:ascii="Times New Roman" w:hAnsi="Times New Roman" w:cs="Times New Roman" w:eastAsia="Times New Roman" w:hint="default"/>
          <w:spacing w:val="2"/>
          <w:sz w:val="28"/>
          <w:szCs w:val="28"/>
        </w:rPr>
      </w:r>
    </w:p>
    <w:p>
      <w:pPr>
        <w:spacing w:line="358" w:lineRule="exact" w:before="0"/>
        <w:ind w:left="152" w:right="986" w:firstLine="0"/>
        <w:jc w:val="left"/>
        <w:rPr>
          <w:rFonts w:ascii="宋体" w:hAnsi="宋体" w:cs="宋体" w:eastAsia="宋体" w:hint="default"/>
          <w:sz w:val="28"/>
          <w:szCs w:val="28"/>
        </w:rPr>
      </w:pPr>
      <w:r>
        <w:rPr>
          <w:rFonts w:ascii="宋体" w:hAnsi="宋体" w:cs="宋体" w:eastAsia="宋体" w:hint="default"/>
          <w:b/>
          <w:bCs/>
          <w:sz w:val="28"/>
          <w:szCs w:val="28"/>
        </w:rPr>
        <w:t>年 </w:t>
      </w:r>
      <w:r>
        <w:rPr>
          <w:rFonts w:ascii="Times New Roman" w:hAnsi="Times New Roman" w:cs="Times New Roman" w:eastAsia="Times New Roman" w:hint="default"/>
          <w:b/>
          <w:bCs/>
          <w:sz w:val="28"/>
          <w:szCs w:val="28"/>
        </w:rPr>
        <w:t>12 </w:t>
      </w:r>
      <w:r>
        <w:rPr>
          <w:rFonts w:ascii="宋体" w:hAnsi="宋体" w:cs="宋体" w:eastAsia="宋体" w:hint="default"/>
          <w:b/>
          <w:bCs/>
          <w:sz w:val="28"/>
          <w:szCs w:val="28"/>
        </w:rPr>
        <w:t>月 </w:t>
      </w:r>
      <w:r>
        <w:rPr>
          <w:rFonts w:ascii="Times New Roman" w:hAnsi="Times New Roman" w:cs="Times New Roman" w:eastAsia="Times New Roman" w:hint="default"/>
          <w:b/>
          <w:bCs/>
          <w:sz w:val="28"/>
          <w:szCs w:val="28"/>
        </w:rPr>
        <w:t>31 </w:t>
      </w:r>
      <w:r>
        <w:rPr>
          <w:rFonts w:ascii="宋体" w:hAnsi="宋体" w:cs="宋体" w:eastAsia="宋体" w:hint="default"/>
          <w:b/>
          <w:bCs/>
          <w:sz w:val="28"/>
          <w:szCs w:val="28"/>
        </w:rPr>
        <w:t>日公司应收账款账面价值 </w:t>
      </w:r>
      <w:r>
        <w:rPr>
          <w:rFonts w:ascii="Times New Roman" w:hAnsi="Times New Roman" w:cs="Times New Roman" w:eastAsia="Times New Roman" w:hint="default"/>
          <w:b/>
          <w:bCs/>
          <w:sz w:val="28"/>
          <w:szCs w:val="28"/>
        </w:rPr>
        <w:t>79,512.43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万元，占期末总资产的比例为</w:t>
      </w:r>
      <w:r>
        <w:rPr>
          <w:rFonts w:ascii="宋体" w:hAnsi="宋体" w:cs="宋体" w:eastAsia="宋体" w:hint="default"/>
          <w:sz w:val="28"/>
          <w:szCs w:val="28"/>
        </w:rPr>
      </w:r>
    </w:p>
    <w:p>
      <w:pPr>
        <w:spacing w:line="403" w:lineRule="auto" w:before="236"/>
        <w:ind w:left="152" w:right="1131"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28.38%</w:t>
      </w:r>
      <w:r>
        <w:rPr>
          <w:rFonts w:ascii="宋体" w:hAnsi="宋体" w:cs="宋体" w:eastAsia="宋体" w:hint="default"/>
          <w:b/>
          <w:bCs/>
          <w:sz w:val="28"/>
          <w:szCs w:val="28"/>
        </w:rPr>
        <w:t>，应收账款的增长对公司现金流状况产生一定影响。如果公司的客户出</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现经营危机或者财务状况发生重大变化，公司仍可能面临一定的流动性风险或</w:t>
      </w:r>
      <w:r>
        <w:rPr>
          <w:rFonts w:ascii="宋体" w:hAnsi="宋体" w:cs="宋体" w:eastAsia="宋体" w:hint="default"/>
          <w:b/>
          <w:bCs/>
          <w:w w:val="99"/>
          <w:sz w:val="28"/>
          <w:szCs w:val="28"/>
        </w:rPr>
        <w:t> </w:t>
      </w:r>
      <w:r>
        <w:rPr>
          <w:rFonts w:ascii="宋体" w:hAnsi="宋体" w:cs="宋体" w:eastAsia="宋体" w:hint="default"/>
          <w:b/>
          <w:bCs/>
          <w:spacing w:val="2"/>
          <w:sz w:val="28"/>
          <w:szCs w:val="28"/>
        </w:rPr>
        <w:t>坏账风险。公司将加大应收账款的催收力度，加强客户信用管理，严格控制新</w:t>
      </w:r>
      <w:r>
        <w:rPr>
          <w:rFonts w:ascii="宋体" w:hAnsi="宋体" w:cs="宋体" w:eastAsia="宋体" w:hint="default"/>
          <w:b/>
          <w:bCs/>
          <w:w w:val="99"/>
          <w:sz w:val="28"/>
          <w:szCs w:val="28"/>
        </w:rPr>
        <w:t> </w:t>
      </w:r>
      <w:r>
        <w:rPr>
          <w:rFonts w:ascii="宋体" w:hAnsi="宋体" w:cs="宋体" w:eastAsia="宋体" w:hint="default"/>
          <w:b/>
          <w:bCs/>
          <w:spacing w:val="2"/>
          <w:sz w:val="28"/>
          <w:szCs w:val="28"/>
        </w:rPr>
        <w:t>增业务可能带来的坏账风险，同时加强销售人员的合同风险意识培训，将应收</w:t>
      </w:r>
      <w:r>
        <w:rPr>
          <w:rFonts w:ascii="宋体" w:hAnsi="宋体" w:cs="宋体" w:eastAsia="宋体" w:hint="default"/>
          <w:b/>
          <w:bCs/>
          <w:w w:val="99"/>
          <w:sz w:val="28"/>
          <w:szCs w:val="28"/>
        </w:rPr>
        <w:t> </w:t>
      </w:r>
      <w:r>
        <w:rPr>
          <w:rFonts w:ascii="宋体" w:hAnsi="宋体" w:cs="宋体" w:eastAsia="宋体" w:hint="default"/>
          <w:b/>
          <w:bCs/>
          <w:spacing w:val="2"/>
          <w:sz w:val="28"/>
          <w:szCs w:val="28"/>
        </w:rPr>
        <w:t>账款的催收列为销售区域的业绩考核指标之一，以保证公司应收账款得到有效</w:t>
      </w:r>
      <w:r>
        <w:rPr>
          <w:rFonts w:ascii="宋体" w:hAnsi="宋体" w:cs="宋体" w:eastAsia="宋体" w:hint="default"/>
          <w:b/>
          <w:bCs/>
          <w:w w:val="99"/>
          <w:sz w:val="28"/>
          <w:szCs w:val="28"/>
        </w:rPr>
        <w:t> </w:t>
      </w:r>
      <w:r>
        <w:rPr>
          <w:rFonts w:ascii="宋体" w:hAnsi="宋体" w:cs="宋体" w:eastAsia="宋体" w:hint="default"/>
          <w:b/>
          <w:bCs/>
          <w:sz w:val="28"/>
          <w:szCs w:val="28"/>
        </w:rPr>
        <w:t>控制。</w:t>
      </w:r>
      <w:r>
        <w:rPr>
          <w:rFonts w:ascii="宋体" w:hAnsi="宋体" w:cs="宋体" w:eastAsia="宋体" w:hint="default"/>
          <w:sz w:val="28"/>
          <w:szCs w:val="28"/>
        </w:rPr>
      </w:r>
    </w:p>
    <w:p>
      <w:pPr>
        <w:spacing w:before="168"/>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715630489</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2" w:right="986"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6"/>
        <w:ind w:left="152" w:right="986" w:firstLine="0"/>
        <w:jc w:val="left"/>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94" w:right="147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10">
            <w:r>
              <w:rPr/>
              <w:t>第三节</w:t>
            </w:r>
            <w:r>
              <w:rPr>
                <w:spacing w:val="-18"/>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8"/>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8"/>
              </w:rPr>
              <w:t> </w:t>
            </w:r>
            <w:r>
              <w:rPr/>
              <w:t>重要事项</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8"/>
              </w:rPr>
              <w:t> </w:t>
            </w:r>
            <w:r>
              <w:rPr/>
              <w:t>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8"/>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8"/>
              </w:rPr>
              <w:t> </w:t>
            </w:r>
            <w:r>
              <w:rPr/>
              <w:t>可转换公司债券相关情况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8"/>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第十节</w:t>
            </w:r>
            <w:r>
              <w:rPr>
                <w:spacing w:val="-18"/>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8"/>
              </w:rPr>
              <w:t> </w:t>
            </w:r>
            <w:r>
              <w:rPr/>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8"/>
              </w:rPr>
              <w:t> </w:t>
            </w:r>
            <w:r>
              <w:rPr/>
              <w:t>备查文件目录</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494" w:right="147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公司、股份公司、五洋停车、本公司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侯友夫、蔡敏、寿招爱</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徐州五洋科技有限公司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江苏天沃重工科技有限公司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江苏五岳科技实业有限公司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广东伟创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广东伟创五洋智能设备有限公司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合肥伟创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合肥市伟创自动化设备有限公司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伟创华鑫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东莞市伟创华鑫自动化设备有限公司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北京伟创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北京伟创停车场管理有限公司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沈阳恒信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沈阳市五洋恒信泊车有限公司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昆明伟创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昆明五洋伟创停车服务有限公司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江西泰壬科技有限公司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青云市政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南昌市青云市政运营有限公司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安徽惠邦融资租赁有限公司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北京华逸奇科贸有限公司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同方佰宜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福建比硕停车运营股份有限公司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抚州五洋智慧交通产业发展有限公司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徐州疌盛五洋智能装备产业基金合伙企业（有限合伙）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五洋智慧交通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五洋智慧交通产业（徐州）有限公司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重庆鸿达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重庆鸿达智慧城市发展有限公司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北京泊创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北京泊创科技有限公司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长安停车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长安停车投资管理（上海）有限公司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迈泊停车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迈泊停车管理（上海）有限公司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986"/>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五洋停车</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300420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五洋停车</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Wuyang Parking Industry Group</w:t>
            </w:r>
            <w:r>
              <w:rPr>
                <w:rFonts w:ascii="Times New Roman"/>
                <w:spacing w:val="-25"/>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侯友夫</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江苏省徐州市铜山新区工业园珠江路北、银山路东</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21116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江苏省徐州市铜山新区工业园珠江路北、银山路东</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21116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http://www.wuyangkeji.com/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wuyangsh@163.com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毛立军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历娜</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74"/>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 北、银山路东</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74"/>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 北、银山路东</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0516-83501768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0516-83501768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1002926635@qq.com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wuyangsh@163.com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2">
              <w:r>
                <w:rPr>
                  <w:rFonts w:ascii="Times New Roman" w:hAnsi="Times New Roman" w:cs="Times New Roman" w:eastAsia="Times New Roman" w:hint="default"/>
                  <w:sz w:val="18"/>
                  <w:szCs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r>
        <w:rPr/>
        <w:t>四、其他有关资料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李正卫、梁政洪</w:t>
            </w:r>
          </w:p>
        </w:tc>
      </w:tr>
    </w:tbl>
    <w:p>
      <w:pPr>
        <w:pStyle w:val="BodyText"/>
        <w:spacing w:line="240" w:lineRule="auto" w:before="49"/>
        <w:ind w:right="986"/>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公司是否需追溯调整或重述以前年度会计数据</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1,291,377,836.40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1,002,076,417.42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754,572,739.63</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155,397,825.80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130,995,099.47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77,566,911.73</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145,728,075.49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114,523,580.56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68,212,156.64</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28,221,016.60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-82,205,187.66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-46,725,632.50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2,801,808,195.43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2,202,631,796.57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1,986,362,485.14</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1,677,228,033.83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1,548,308,536.12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1,446,874,167.52</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243,021,664.66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314,460,392.54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318,805,951.30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415,089,827.90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35,313,586.63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45,879,173.02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39,368,719.59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34,836,346.56</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31,473,512.29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44,440,048.55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38,354,962.96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31,459,551.69</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-56,745,098.12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17,231,384.66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29,919,982.21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37,814,747.85</w:t>
            </w:r>
          </w:p>
        </w:tc>
      </w:tr>
    </w:tbl>
    <w:p>
      <w:pPr>
        <w:pStyle w:val="BodyText"/>
        <w:spacing w:line="240" w:lineRule="auto" w:before="49"/>
        <w:ind w:right="986"/>
        <w:jc w:val="left"/>
      </w:pPr>
      <w:r>
        <w:rPr/>
        <w:t>上述财务指标或其加总数是否与公司已披露季度报告、半年度报告相关财务指标存在重大差异</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6"/>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986"/>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82,885.35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481,508.30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-62,882.95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10,751,061.97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17,632,410.56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4,415,489.44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1,072,333.62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3,948,515.59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7,126,450.43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-459,337.06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-2,600,891.54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-203,853.17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5,960.05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1,683,798.25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2,923,852.58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1,761,331.61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93,395.32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72,131.47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159,117.05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9,669,750.31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16,471,518.91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9,354,755.09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986"/>
        <w:jc w:val="left"/>
        <w:rPr>
          <w:b w:val="0"/>
          <w:bCs w:val="0"/>
        </w:rPr>
      </w:pPr>
      <w:bookmarkStart w:name="_TOC_250010" w:id="3"/>
      <w:r>
        <w:rPr/>
        <w:t>第三节公司业务概要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360"/>
        <w:jc w:val="both"/>
      </w:pPr>
      <w:r>
        <w:rPr>
          <w:spacing w:val="-2"/>
        </w:rPr>
        <w:t>公司定位投资建设制造运营一体化服务商，公司制造业务包括张紧装置、制动装置、给料机和两站及机制砂、工业机器</w:t>
      </w:r>
      <w:r>
        <w:rPr/>
        <w:t> </w:t>
      </w:r>
      <w:r>
        <w:rPr>
          <w:spacing w:val="-2"/>
        </w:rPr>
        <w:t>人成套生产线、智能化机械式停车设备、物流及智能仓储系统；公司投资运营业务包括城市停车资源获取及停车场的运营管</w:t>
      </w:r>
      <w:r>
        <w:rPr>
          <w:spacing w:val="-63"/>
        </w:rPr>
        <w:t> </w:t>
      </w:r>
      <w:r>
        <w:rPr>
          <w:spacing w:val="-63"/>
        </w:rPr>
      </w:r>
      <w:r>
        <w:rPr/>
        <w:t>理。</w:t>
      </w:r>
    </w:p>
    <w:p>
      <w:pPr>
        <w:pStyle w:val="BodyText"/>
        <w:spacing w:line="300" w:lineRule="auto" w:before="19"/>
        <w:ind w:left="513" w:right="986"/>
        <w:jc w:val="left"/>
      </w:pPr>
      <w:r>
        <w:rPr>
          <w:rFonts w:ascii="Times New Roman" w:hAnsi="Times New Roman" w:cs="Times New Roman" w:eastAsia="Times New Roman" w:hint="default"/>
        </w:rPr>
        <w:t>1</w:t>
      </w:r>
      <w:r>
        <w:rPr/>
        <w:t>、主要产品及用途 </w:t>
      </w:r>
      <w:r>
        <w:rPr>
          <w:spacing w:val="-2"/>
        </w:rPr>
        <w:t>公司自主研发的张紧装置、制动装置、给料机含有多项技术优势，广泛应用于矿山开采、建筑、港口、码头、电力、水</w:t>
      </w:r>
    </w:p>
    <w:p>
      <w:pPr>
        <w:pStyle w:val="BodyText"/>
        <w:spacing w:line="316" w:lineRule="auto" w:before="31"/>
        <w:ind w:left="513" w:right="1033" w:hanging="361"/>
        <w:jc w:val="left"/>
      </w:pPr>
      <w:r>
        <w:rPr/>
        <w:t>泥、制造、钢铁等领域。 智能机械式停车设备作为机电一体化的特种设备，主要产品分为垂直升降式、升降横移式、垂直循环式、平面移动式、</w:t>
      </w:r>
    </w:p>
    <w:p>
      <w:pPr>
        <w:pStyle w:val="BodyText"/>
        <w:spacing w:line="300" w:lineRule="auto" w:before="19"/>
        <w:ind w:right="986"/>
        <w:jc w:val="left"/>
      </w:pPr>
      <w:r>
        <w:rPr/>
        <w:t>简易升降式、</w:t>
      </w:r>
      <w:r>
        <w:rPr>
          <w:rFonts w:ascii="Times New Roman" w:hAnsi="Times New Roman" w:cs="Times New Roman" w:eastAsia="Times New Roman" w:hint="default"/>
        </w:rPr>
        <w:t>AGV</w:t>
      </w:r>
      <w:r>
        <w:rPr/>
        <w:t>智能机器人、巷道堆垛类等，主要运用于房地产业、商业服务设施和城市交通等领域，国内需求庞大，</w:t>
      </w:r>
      <w:r>
        <w:rPr>
          <w:spacing w:val="-31"/>
        </w:rPr>
        <w:t> </w:t>
      </w:r>
      <w:r>
        <w:rPr>
          <w:spacing w:val="-31"/>
        </w:rPr>
      </w:r>
      <w:r>
        <w:rPr/>
        <w:t>公司产品种类齐全，市场占有率高。</w:t>
      </w:r>
    </w:p>
    <w:p>
      <w:pPr>
        <w:pStyle w:val="BodyText"/>
        <w:spacing w:line="316" w:lineRule="auto" w:before="31"/>
        <w:ind w:right="1034" w:firstLine="360"/>
        <w:jc w:val="left"/>
      </w:pPr>
      <w:r>
        <w:rPr>
          <w:spacing w:val="-2"/>
        </w:rPr>
        <w:t>混凝土搅拌站、干混砂浆搅拌站和机制砂业务得益于公司在散料搬运上的技术优势，对粉状原料的取料、输送、给料工</w:t>
      </w:r>
      <w:r>
        <w:rPr/>
        <w:t> 序精准度高、运行稳定，配合精确的电子式称量方式以及工业计算机控制系统，具有高效的运行效率，主要运用建筑领域。</w:t>
      </w:r>
    </w:p>
    <w:p>
      <w:pPr>
        <w:pStyle w:val="BodyText"/>
        <w:spacing w:line="300" w:lineRule="auto" w:before="19"/>
        <w:ind w:right="1117" w:firstLine="360"/>
        <w:jc w:val="left"/>
      </w:pPr>
      <w:r>
        <w:rPr>
          <w:spacing w:val="-1"/>
        </w:rPr>
        <w:t>工业机器人成套生产线是指将多个工业机器人本体共同运用在自动化生产线上，生产线的主控</w:t>
      </w:r>
      <w:r>
        <w:rPr>
          <w:rFonts w:ascii="Times New Roman" w:hAnsi="Times New Roman" w:cs="Times New Roman" w:eastAsia="Times New Roman" w:hint="default"/>
          <w:spacing w:val="-1"/>
        </w:rPr>
        <w:t>PLC</w:t>
      </w:r>
      <w:r>
        <w:rPr>
          <w:spacing w:val="-1"/>
        </w:rPr>
        <w:t>通过信号、数据交换</w:t>
      </w:r>
      <w:r>
        <w:rPr/>
        <w:t> 对工业机器人实行控制，以满足整条生产流程工艺需求，主要用于电器、电子等产品自动化生产。</w:t>
      </w:r>
    </w:p>
    <w:p>
      <w:pPr>
        <w:pStyle w:val="BodyText"/>
        <w:spacing w:line="312" w:lineRule="auto" w:before="31"/>
        <w:ind w:right="1034" w:firstLine="360"/>
        <w:jc w:val="left"/>
      </w:pPr>
      <w:r>
        <w:rPr>
          <w:spacing w:val="-2"/>
        </w:rPr>
        <w:t>物流及仓储自动化成套设备是综合运用软件技术、互联网技术、自动分拣技术、无线射频技术等科技手段和设备对货物</w:t>
      </w:r>
      <w:r>
        <w:rPr/>
        <w:t> 的进出、库存、分拣、包装、配送及其信息进行有效的计划、执行和控制的物流活动。主要运用于仓储货物的进出、分拣、 </w:t>
      </w:r>
      <w:r>
        <w:rPr>
          <w:spacing w:val="-2"/>
        </w:rPr>
        <w:t>输送及信息收集，主要应用物流和仓储领域，市场容量大，前景广阔。公司重点对产品软件系统</w:t>
      </w:r>
      <w:r>
        <w:rPr>
          <w:rFonts w:ascii="Times New Roman" w:hAnsi="Times New Roman" w:cs="Times New Roman" w:eastAsia="Times New Roman" w:hint="default"/>
          <w:spacing w:val="-2"/>
        </w:rPr>
        <w:t>——</w:t>
      </w:r>
      <w:r>
        <w:rPr>
          <w:spacing w:val="-2"/>
        </w:rPr>
        <w:t>智能仓储管理系统和智</w:t>
      </w:r>
      <w:r>
        <w:rPr>
          <w:spacing w:val="-63"/>
        </w:rPr>
        <w:t> </w:t>
      </w:r>
      <w:r>
        <w:rPr/>
        <w:t>能仓储设备控制系统进行研发，进一步提升物流及仓储自动化成套设备智能化程度。</w:t>
      </w:r>
    </w:p>
    <w:p>
      <w:pPr>
        <w:pStyle w:val="BodyText"/>
        <w:spacing w:line="240" w:lineRule="auto" w:before="22"/>
        <w:ind w:left="513" w:right="986"/>
        <w:jc w:val="left"/>
      </w:pPr>
      <w:r>
        <w:rPr>
          <w:rFonts w:ascii="Times New Roman" w:hAnsi="Times New Roman" w:cs="Times New Roman" w:eastAsia="Times New Roman" w:hint="default"/>
        </w:rPr>
        <w:t>2</w:t>
      </w:r>
      <w:r>
        <w:rPr/>
        <w:t>、经营模式</w:t>
      </w:r>
    </w:p>
    <w:p>
      <w:pPr>
        <w:pStyle w:val="BodyText"/>
        <w:spacing w:line="300" w:lineRule="auto" w:before="63"/>
        <w:ind w:left="513" w:right="1132"/>
        <w:jc w:val="left"/>
      </w:pPr>
      <w:r>
        <w:rPr/>
        <w:t>（</w:t>
      </w:r>
      <w:r>
        <w:rPr>
          <w:rFonts w:ascii="Times New Roman" w:hAnsi="Times New Roman" w:cs="Times New Roman" w:eastAsia="Times New Roman" w:hint="default"/>
        </w:rPr>
        <w:t>1</w:t>
      </w:r>
      <w:r>
        <w:rPr/>
        <w:t>）制造端 公司采取</w:t>
      </w:r>
      <w:r>
        <w:rPr>
          <w:rFonts w:ascii="Times New Roman" w:hAnsi="Times New Roman" w:cs="Times New Roman" w:eastAsia="Times New Roman" w:hint="default"/>
        </w:rPr>
        <w:t>“</w:t>
      </w:r>
      <w:r>
        <w:rPr/>
        <w:t>高端产品制造</w:t>
      </w:r>
      <w:r>
        <w:rPr>
          <w:rFonts w:ascii="Times New Roman" w:hAnsi="Times New Roman" w:cs="Times New Roman" w:eastAsia="Times New Roman" w:hint="default"/>
        </w:rPr>
        <w:t>+</w:t>
      </w:r>
      <w:r>
        <w:rPr/>
        <w:t>专业化运营服务</w:t>
      </w:r>
      <w:r>
        <w:rPr>
          <w:rFonts w:ascii="Times New Roman" w:hAnsi="Times New Roman" w:cs="Times New Roman" w:eastAsia="Times New Roman" w:hint="default"/>
        </w:rPr>
        <w:t>”</w:t>
      </w:r>
      <w:r>
        <w:rPr/>
        <w:t>的经营模式。采用以销定产、按单生产的生产模式，依据客户的具体需求，</w:t>
      </w:r>
    </w:p>
    <w:p>
      <w:pPr>
        <w:pStyle w:val="BodyText"/>
        <w:spacing w:line="316" w:lineRule="auto" w:before="13"/>
        <w:ind w:right="1130"/>
        <w:jc w:val="both"/>
      </w:pPr>
      <w:r>
        <w:rPr>
          <w:spacing w:val="-2"/>
        </w:rPr>
        <w:t>设计合同产品，并依据设计图纸对产品各个零件部件进行生产组装，经检验合格的产品交付给客户，并根据客户需要为其提</w:t>
      </w:r>
      <w:r>
        <w:rPr>
          <w:spacing w:val="-63"/>
        </w:rPr>
        <w:t> </w:t>
      </w:r>
      <w:r>
        <w:rPr>
          <w:spacing w:val="-63"/>
        </w:rPr>
      </w:r>
      <w:r>
        <w:rPr>
          <w:spacing w:val="-2"/>
        </w:rPr>
        <w:t>供现场安装和调试服务。销售采用直销模式，不存在经销商销售产品的情况，公司直接与客户签订购销合同，明确产品的技</w:t>
      </w:r>
      <w:r>
        <w:rPr>
          <w:spacing w:val="-65"/>
        </w:rPr>
        <w:t> </w:t>
      </w:r>
      <w:r>
        <w:rPr>
          <w:spacing w:val="-65"/>
        </w:rPr>
      </w:r>
      <w:r>
        <w:rPr>
          <w:spacing w:val="-2"/>
        </w:rPr>
        <w:t>术要求、交货期限、运送方式及付款条件等条款后，按照合同要求组织生产、发货、安装、验收、收款。并通过售后服务以</w:t>
      </w:r>
      <w:r>
        <w:rPr>
          <w:spacing w:val="-65"/>
        </w:rPr>
        <w:t> </w:t>
      </w:r>
      <w:r>
        <w:rPr>
          <w:spacing w:val="-65"/>
        </w:rPr>
      </w:r>
      <w:r>
        <w:rPr>
          <w:spacing w:val="-2"/>
        </w:rPr>
        <w:t>及定期年检维护与客户的关系，在实现产品销售后，公司安排销售人员和技术人员分别进行定期回访和售后产品维护，增强</w:t>
      </w:r>
      <w:r>
        <w:rPr>
          <w:spacing w:val="-66"/>
        </w:rPr>
        <w:t> </w:t>
      </w:r>
      <w:r>
        <w:rPr>
          <w:spacing w:val="-66"/>
        </w:rPr>
      </w:r>
      <w:r>
        <w:rPr/>
        <w:t>与客户合作的稳定性和品牌认知度，并且在新产品开发成功后积极主动向老客户进行推介。</w:t>
      </w:r>
    </w:p>
    <w:p>
      <w:pPr>
        <w:pStyle w:val="BodyText"/>
        <w:spacing w:line="300" w:lineRule="auto" w:before="19"/>
        <w:ind w:left="513" w:right="986"/>
        <w:jc w:val="left"/>
      </w:pPr>
      <w:r>
        <w:rPr/>
        <w:t>（</w:t>
      </w:r>
      <w:r>
        <w:rPr>
          <w:rFonts w:ascii="Times New Roman" w:hAnsi="Times New Roman" w:cs="Times New Roman" w:eastAsia="Times New Roman" w:hint="default"/>
        </w:rPr>
        <w:t>2</w:t>
      </w:r>
      <w:r>
        <w:rPr/>
        <w:t>）运营端 </w:t>
      </w:r>
      <w:r>
        <w:rPr>
          <w:spacing w:val="-1"/>
        </w:rPr>
        <w:t>公司采取</w:t>
      </w:r>
      <w:r>
        <w:rPr>
          <w:rFonts w:ascii="Times New Roman" w:hAnsi="Times New Roman" w:cs="Times New Roman" w:eastAsia="Times New Roman" w:hint="default"/>
          <w:spacing w:val="-1"/>
        </w:rPr>
        <w:t>“</w:t>
      </w:r>
      <w:r>
        <w:rPr>
          <w:spacing w:val="-1"/>
        </w:rPr>
        <w:t>投资</w:t>
      </w:r>
      <w:r>
        <w:rPr>
          <w:rFonts w:ascii="Times New Roman" w:hAnsi="Times New Roman" w:cs="Times New Roman" w:eastAsia="Times New Roman" w:hint="default"/>
          <w:spacing w:val="-1"/>
        </w:rPr>
        <w:t>+</w:t>
      </w:r>
      <w:r>
        <w:rPr>
          <w:spacing w:val="-1"/>
        </w:rPr>
        <w:t>建设</w:t>
      </w:r>
      <w:r>
        <w:rPr>
          <w:rFonts w:ascii="Times New Roman" w:hAnsi="Times New Roman" w:cs="Times New Roman" w:eastAsia="Times New Roman" w:hint="default"/>
          <w:spacing w:val="-1"/>
        </w:rPr>
        <w:t>+</w:t>
      </w:r>
      <w:r>
        <w:rPr>
          <w:spacing w:val="-1"/>
        </w:rPr>
        <w:t>运营</w:t>
      </w:r>
      <w:r>
        <w:rPr>
          <w:rFonts w:ascii="Times New Roman" w:hAnsi="Times New Roman" w:cs="Times New Roman" w:eastAsia="Times New Roman" w:hint="default"/>
          <w:spacing w:val="-1"/>
        </w:rPr>
        <w:t>”</w:t>
      </w:r>
      <w:r>
        <w:rPr>
          <w:spacing w:val="-1"/>
        </w:rPr>
        <w:t>的经营模式，依托智能制造优势，探索互联网</w:t>
      </w:r>
      <w:r>
        <w:rPr>
          <w:rFonts w:ascii="Times New Roman" w:hAnsi="Times New Roman" w:cs="Times New Roman" w:eastAsia="Times New Roman" w:hint="default"/>
          <w:spacing w:val="-1"/>
        </w:rPr>
        <w:t>+</w:t>
      </w:r>
      <w:r>
        <w:rPr>
          <w:spacing w:val="-1"/>
        </w:rPr>
        <w:t>停车资源模式，积极参与智慧城市建设，努</w:t>
      </w:r>
    </w:p>
    <w:p>
      <w:pPr>
        <w:pStyle w:val="BodyText"/>
        <w:spacing w:line="316" w:lineRule="auto" w:before="13"/>
        <w:ind w:left="513" w:right="986" w:hanging="361"/>
        <w:jc w:val="left"/>
      </w:pPr>
      <w:r>
        <w:rPr/>
        <w:t>力打造城市级停车产业投资、建设、运营一体化的新模式。 </w:t>
      </w:r>
      <w:r>
        <w:rPr>
          <w:spacing w:val="-2"/>
        </w:rPr>
        <w:t>公司的停车资源主要分为三大类，即维保车位、权益车位和联盟车位。公司通过维保车位与客户维持了长期稳定的合作</w:t>
      </w:r>
    </w:p>
    <w:p>
      <w:pPr>
        <w:pStyle w:val="BodyText"/>
        <w:spacing w:line="312" w:lineRule="auto" w:before="19"/>
        <w:ind w:right="1034"/>
        <w:jc w:val="left"/>
      </w:pPr>
      <w:r>
        <w:rPr>
          <w:spacing w:val="-2"/>
        </w:rPr>
        <w:t>关系。权益车位分为两类：一是公司通过投资地方政府公共停车场建设或和非政府业主共同建设停车场的方式获取的停车资</w:t>
      </w:r>
      <w:r>
        <w:rPr>
          <w:spacing w:val="-64"/>
        </w:rPr>
        <w:t> </w:t>
      </w:r>
      <w:r>
        <w:rPr>
          <w:spacing w:val="-64"/>
        </w:rPr>
      </w:r>
      <w:r>
        <w:rPr>
          <w:spacing w:val="-2"/>
        </w:rPr>
        <w:t>源，公司积极主动地向停车场建设及停车产业运营管理服务的领域延伸，公司已在福建、辽宁、云南、江西等省份投资建设</w:t>
      </w:r>
      <w:r>
        <w:rPr>
          <w:spacing w:val="-67"/>
        </w:rPr>
        <w:t> </w:t>
      </w:r>
      <w:r>
        <w:rPr>
          <w:spacing w:val="-67"/>
        </w:rPr>
      </w:r>
      <w:r>
        <w:rPr>
          <w:spacing w:val="-2"/>
        </w:rPr>
        <w:t>了多个智慧停车项目；二是公司通过购买车位权益资质的方式获取停车资源，</w:t>
      </w:r>
      <w:r>
        <w:rPr>
          <w:rFonts w:ascii="Times New Roman" w:hAnsi="Times New Roman" w:cs="Times New Roman" w:eastAsia="Times New Roman" w:hint="default"/>
          <w:spacing w:val="-2"/>
        </w:rPr>
        <w:t>2019</w:t>
      </w:r>
      <w:r>
        <w:rPr>
          <w:spacing w:val="-2"/>
        </w:rPr>
        <w:t>年公司通过产业基金对长安停车进行整体</w:t>
      </w:r>
      <w:r>
        <w:rPr>
          <w:spacing w:val="-61"/>
        </w:rPr>
        <w:t> </w:t>
      </w:r>
      <w:r>
        <w:rPr>
          <w:spacing w:val="-61"/>
        </w:rPr>
      </w:r>
      <w:r>
        <w:rPr/>
        <w:t>收购。公司对停车资源的整合将采取</w:t>
      </w:r>
      <w:r>
        <w:rPr>
          <w:rFonts w:ascii="Times New Roman" w:hAnsi="Times New Roman" w:cs="Times New Roman" w:eastAsia="Times New Roman" w:hint="default"/>
        </w:rPr>
        <w:t>“</w:t>
      </w:r>
      <w:r>
        <w:rPr/>
        <w:t>轻重结合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以点带面</w:t>
      </w:r>
      <w:r>
        <w:rPr>
          <w:rFonts w:ascii="Times New Roman" w:hAnsi="Times New Roman" w:cs="Times New Roman" w:eastAsia="Times New Roman" w:hint="default"/>
        </w:rPr>
        <w:t>”</w:t>
      </w:r>
      <w:r>
        <w:rPr/>
        <w:t>，对于时间长和经营价值高的停车资源，公司将采取整体经营 权收购，从而获得长期的经营性收入，采取重资产投入。联盟车位是公司在拥有长期停车资源的区域，将自身的管理平台、 管理技术、管理经验输出，从而联盟其他社会停车场，采取的是轻资产模式拓展。</w:t>
      </w:r>
    </w:p>
    <w:p>
      <w:pPr>
        <w:pStyle w:val="BodyText"/>
        <w:spacing w:line="309" w:lineRule="auto" w:before="22"/>
        <w:ind w:right="1034" w:firstLine="360"/>
        <w:jc w:val="left"/>
      </w:pPr>
      <w:r>
        <w:rPr>
          <w:rFonts w:ascii="Times New Roman" w:hAnsi="Times New Roman" w:cs="Times New Roman" w:eastAsia="Times New Roman" w:hint="default"/>
          <w:spacing w:val="-2"/>
        </w:rPr>
        <w:t>2019</w:t>
      </w:r>
      <w:r>
        <w:rPr>
          <w:spacing w:val="-2"/>
        </w:rPr>
        <w:t>年徐州疌盛五洋智能装备产业基金合伙企业（有限合伙）成立，通过该产业基金对长安停车进行整体收购，以此为</w:t>
      </w:r>
      <w:r>
        <w:rPr/>
        <w:t> 契机，构建五洋停车投资运营板块，设区域公司，组建专业的投资团队、技术支持团队、专业运营团队，实现投资、建设、 运营专业化分工，切实推进公司从装备制造商向投资建设运营一体化服务转变。</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left="513" w:right="986"/>
        <w:jc w:val="left"/>
      </w:pPr>
      <w:r>
        <w:rPr>
          <w:rFonts w:ascii="Times New Roman" w:hAnsi="Times New Roman" w:cs="Times New Roman" w:eastAsia="Times New Roman" w:hint="default"/>
        </w:rPr>
        <w:t>3</w:t>
      </w:r>
      <w:r>
        <w:rPr/>
        <w:t>、主要业绩驱动因素 </w:t>
      </w:r>
      <w:r>
        <w:rPr>
          <w:spacing w:val="-1"/>
        </w:rPr>
        <w:t>报告期内，公司实现营业收入</w:t>
      </w:r>
      <w:r>
        <w:rPr>
          <w:rFonts w:ascii="Times New Roman" w:hAnsi="Times New Roman" w:cs="Times New Roman" w:eastAsia="Times New Roman" w:hint="default"/>
          <w:spacing w:val="-1"/>
        </w:rPr>
        <w:t>129,137.78</w:t>
      </w:r>
      <w:r>
        <w:rPr>
          <w:spacing w:val="-1"/>
        </w:rPr>
        <w:t>万元，同比增长</w:t>
      </w:r>
      <w:r>
        <w:rPr>
          <w:rFonts w:ascii="Times New Roman" w:hAnsi="Times New Roman" w:cs="Times New Roman" w:eastAsia="Times New Roman" w:hint="default"/>
          <w:spacing w:val="-1"/>
        </w:rPr>
        <w:t>28.87%</w:t>
      </w:r>
      <w:r>
        <w:rPr>
          <w:spacing w:val="-1"/>
        </w:rPr>
        <w:t>；归属于上市公司股东的净利润</w:t>
      </w:r>
      <w:r>
        <w:rPr>
          <w:rFonts w:ascii="Times New Roman" w:hAnsi="Times New Roman" w:cs="Times New Roman" w:eastAsia="Times New Roman" w:hint="default"/>
          <w:spacing w:val="-1"/>
        </w:rPr>
        <w:t>15,539.78</w:t>
      </w:r>
      <w:r>
        <w:rPr>
          <w:spacing w:val="-1"/>
        </w:rPr>
        <w:t>万元，同比增</w:t>
      </w:r>
    </w:p>
    <w:p>
      <w:pPr>
        <w:pStyle w:val="BodyText"/>
        <w:spacing w:line="240" w:lineRule="auto" w:before="13"/>
        <w:ind w:right="986"/>
        <w:jc w:val="left"/>
      </w:pPr>
      <w:r>
        <w:rPr/>
        <w:t>长</w:t>
      </w:r>
      <w:r>
        <w:rPr>
          <w:rFonts w:ascii="Times New Roman" w:hAnsi="Times New Roman" w:cs="Times New Roman" w:eastAsia="Times New Roman" w:hint="default"/>
        </w:rPr>
        <w:t>18.63%</w:t>
      </w:r>
      <w:r>
        <w:rPr/>
        <w:t>；归属于上市公司股东的扣除非经常性损益后净利润为</w:t>
      </w:r>
      <w:r>
        <w:rPr>
          <w:rFonts w:ascii="Times New Roman" w:hAnsi="Times New Roman" w:cs="Times New Roman" w:eastAsia="Times New Roman" w:hint="default"/>
        </w:rPr>
        <w:t>14,572.81</w:t>
      </w:r>
      <w:r>
        <w:rPr/>
        <w:t>万元，同比增长</w:t>
      </w:r>
      <w:r>
        <w:rPr>
          <w:rFonts w:ascii="Times New Roman" w:hAnsi="Times New Roman" w:cs="Times New Roman" w:eastAsia="Times New Roman" w:hint="default"/>
        </w:rPr>
        <w:t>27.25%</w:t>
      </w:r>
      <w:r>
        <w:rPr/>
        <w:t>。业绩增长的原因如下：</w:t>
      </w:r>
    </w:p>
    <w:p>
      <w:pPr>
        <w:pStyle w:val="BodyText"/>
        <w:spacing w:line="314" w:lineRule="auto" w:before="63"/>
        <w:ind w:right="1130" w:firstLine="360"/>
        <w:jc w:val="both"/>
      </w:pPr>
      <w:r>
        <w:rPr/>
        <w:t>（</w:t>
      </w:r>
      <w:r>
        <w:rPr>
          <w:rFonts w:ascii="Times New Roman" w:hAnsi="Times New Roman" w:cs="Times New Roman" w:eastAsia="Times New Roman" w:hint="default"/>
        </w:rPr>
        <w:t>1</w:t>
      </w:r>
      <w:r>
        <w:rPr/>
        <w:t>）随着汽车保有量持续增长，停车难问题已是各级政府必须解决的民生问题，立体停车业务是解决城市停车泊位供 </w:t>
      </w:r>
      <w:r>
        <w:rPr>
          <w:spacing w:val="-2"/>
        </w:rPr>
        <w:t>给有效手段，智能停车快速发展态势锐不可档，原有以房地产商配套建设为主的格局逐步转变，政府和社会资本为投资主体</w:t>
      </w:r>
      <w:r>
        <w:rPr>
          <w:spacing w:val="-63"/>
        </w:rPr>
        <w:t> </w:t>
      </w:r>
      <w:r>
        <w:rPr>
          <w:spacing w:val="-63"/>
        </w:rPr>
      </w:r>
      <w:r>
        <w:rPr>
          <w:spacing w:val="-2"/>
        </w:rPr>
        <w:t>的停车场建设步伐越来越快，立体停车市场步入快速发展轨道。报告期内，智能机械式停车设备销售增幅明显。仓储物流业</w:t>
      </w:r>
      <w:r>
        <w:rPr>
          <w:spacing w:val="-64"/>
        </w:rPr>
        <w:t> </w:t>
      </w:r>
      <w:r>
        <w:rPr>
          <w:spacing w:val="-64"/>
        </w:rPr>
      </w:r>
      <w:r>
        <w:rPr>
          <w:spacing w:val="-2"/>
        </w:rPr>
        <w:t>务市场容量巨大，公司立足控制技术优势，加大技术研发投入，做精做专搬运器、穿梭车等核心装置，增强市场竞争力，扩</w:t>
      </w:r>
      <w:r>
        <w:rPr>
          <w:spacing w:val="-70"/>
        </w:rPr>
        <w:t> </w:t>
      </w:r>
      <w:r>
        <w:rPr>
          <w:spacing w:val="-70"/>
        </w:rPr>
      </w:r>
      <w:r>
        <w:rPr/>
        <w:t>大市场占有率。</w:t>
      </w:r>
    </w:p>
    <w:p>
      <w:pPr>
        <w:pStyle w:val="BodyText"/>
        <w:spacing w:line="300" w:lineRule="auto" w:before="20"/>
        <w:ind w:right="1133" w:firstLine="360"/>
        <w:jc w:val="both"/>
      </w:pPr>
      <w:r>
        <w:rPr/>
        <w:t>（</w:t>
      </w:r>
      <w:r>
        <w:rPr>
          <w:rFonts w:ascii="Times New Roman" w:hAnsi="Times New Roman" w:cs="Times New Roman" w:eastAsia="Times New Roman" w:hint="default"/>
        </w:rPr>
        <w:t>2</w:t>
      </w:r>
      <w:r>
        <w:rPr/>
        <w:t>）报告期内，公司金融服务业、停车场运营等业务收入有所增长，公司依据围绕公司</w:t>
      </w:r>
      <w:r>
        <w:rPr>
          <w:rFonts w:ascii="Times New Roman" w:hAnsi="Times New Roman" w:cs="Times New Roman" w:eastAsia="Times New Roman" w:hint="default"/>
        </w:rPr>
        <w:t>“</w:t>
      </w:r>
      <w:r>
        <w:rPr/>
        <w:t>智造</w:t>
      </w:r>
      <w:r>
        <w:rPr>
          <w:rFonts w:ascii="Times New Roman" w:hAnsi="Times New Roman" w:cs="Times New Roman" w:eastAsia="Times New Roman" w:hint="default"/>
        </w:rPr>
        <w:t>+</w:t>
      </w:r>
      <w:r>
        <w:rPr/>
        <w:t>停车资源</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的发 展战略，加快实施产业布局，大力发展停车产业，为公司主营业务的持续增长奠定了良好的基础。</w:t>
      </w:r>
    </w:p>
    <w:p>
      <w:pPr>
        <w:pStyle w:val="BodyText"/>
        <w:spacing w:line="312" w:lineRule="auto" w:before="31"/>
        <w:ind w:right="1131" w:firstLine="360"/>
        <w:jc w:val="both"/>
      </w:pPr>
      <w:r>
        <w:rPr>
          <w:spacing w:val="-2"/>
        </w:rPr>
        <w:t>报告期内主营业务未发生重大改变。制造端公司主要通过定制化的方式销售获得订单，一般采取</w:t>
      </w:r>
      <w:r>
        <w:rPr>
          <w:rFonts w:ascii="Times New Roman" w:hAnsi="Times New Roman" w:cs="Times New Roman" w:eastAsia="Times New Roman" w:hint="default"/>
          <w:spacing w:val="-2"/>
        </w:rPr>
        <w:t>“</w:t>
      </w:r>
      <w:r>
        <w:rPr>
          <w:spacing w:val="-2"/>
        </w:rPr>
        <w:t>设计</w:t>
      </w:r>
      <w:r>
        <w:rPr>
          <w:rFonts w:ascii="Times New Roman" w:hAnsi="Times New Roman" w:cs="Times New Roman" w:eastAsia="Times New Roman" w:hint="default"/>
          <w:spacing w:val="-2"/>
        </w:rPr>
        <w:t>-</w:t>
      </w:r>
      <w:r>
        <w:rPr>
          <w:spacing w:val="-2"/>
        </w:rPr>
        <w:t>生产</w:t>
      </w:r>
      <w:r>
        <w:rPr>
          <w:rFonts w:ascii="Times New Roman" w:hAnsi="Times New Roman" w:cs="Times New Roman" w:eastAsia="Times New Roman" w:hint="default"/>
          <w:spacing w:val="-2"/>
        </w:rPr>
        <w:t>-</w:t>
      </w:r>
      <w:r>
        <w:rPr>
          <w:spacing w:val="-2"/>
        </w:rPr>
        <w:t>销售</w:t>
      </w:r>
      <w:r>
        <w:rPr>
          <w:rFonts w:ascii="Times New Roman" w:hAnsi="Times New Roman" w:cs="Times New Roman" w:eastAsia="Times New Roman" w:hint="default"/>
          <w:spacing w:val="-2"/>
        </w:rPr>
        <w:t>-</w:t>
      </w:r>
      <w:r>
        <w:rPr>
          <w:spacing w:val="-2"/>
        </w:rPr>
        <w:t>售后</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的经营模式，依据市场需求趋势以及客户订单需求进行设计，通过客户认可后组织生产及安装，并持续进行售后服务；运营</w:t>
      </w:r>
      <w:r>
        <w:rPr>
          <w:spacing w:val="-64"/>
        </w:rPr>
        <w:t> </w:t>
      </w:r>
      <w:r>
        <w:rPr>
          <w:spacing w:val="-64"/>
        </w:rPr>
      </w:r>
      <w:r>
        <w:rPr>
          <w:spacing w:val="-2"/>
        </w:rPr>
        <w:t>端公司主要依托装备制造和资本双重优势，通过股权并购和合资共建等方式获取停车资源，通过运营平台实现专业化的运营</w:t>
      </w:r>
      <w:r>
        <w:rPr>
          <w:spacing w:val="-64"/>
        </w:rPr>
        <w:t> </w:t>
      </w:r>
      <w:r>
        <w:rPr>
          <w:spacing w:val="-64"/>
        </w:rPr>
      </w:r>
      <w:r>
        <w:rPr/>
        <w:t>管理。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2"/>
        <w:spacing w:line="240" w:lineRule="auto"/>
        <w:ind w:right="986"/>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投资重庆鸿达导致股权投资较期初增加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19.04%</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在建工程达到预定使用状态转为固定资产导致固定资产较期初增加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40.62%</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无形资产摊销导致无形资产较期初减少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5.65%</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在建工程达到预定使用状态转为固定资产导致在建工程较期初减少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80.60%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银行理财产品分类为交易性金融资产</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应收票据分类为应收款项融资导致应收票据期末数为零</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应收票据分类为应收款项融资导致增加 </w:t>
            </w:r>
            <w:r>
              <w:rPr>
                <w:rFonts w:ascii="Times New Roman" w:hAnsi="Times New Roman" w:cs="Times New Roman" w:eastAsia="Times New Roman" w:hint="default"/>
                <w:sz w:val="18"/>
                <w:szCs w:val="18"/>
              </w:rPr>
              <w:t>5,064.43 </w:t>
            </w:r>
            <w:r>
              <w:rPr>
                <w:rFonts w:ascii="宋体" w:hAnsi="宋体" w:cs="宋体" w:eastAsia="宋体" w:hint="default"/>
                <w:sz w:val="18"/>
                <w:szCs w:val="18"/>
              </w:rPr>
              <w:t>万元</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往来款增加导致其他应收款较期初增加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55.56%</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订单增加、业务增长导致存货较期初增加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44.33%</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一年内到期的长期应收款款项减少导致一年内到期的非流动资产较期初减少</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69.71%</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银行理财产品重分类导致其他流动资产较期初减少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88.15%</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融资租赁业务增长导致长期应收款较期初增加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363.87%</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股权转让款增加导致其他非流动资产较期初长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222.72%</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五洋智慧交通投资款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3" w:firstLine="360"/>
        <w:jc w:val="both"/>
      </w:pPr>
      <w:r>
        <w:rPr/>
        <w:t>公司始终致力于散料搬运自动化解决方案及智能装备制造技术的研发与应用，为客户提供优质的产品与服务；通过</w:t>
      </w:r>
      <w:r>
        <w:rPr>
          <w:rFonts w:ascii="Times New Roman" w:hAnsi="Times New Roman" w:cs="Times New Roman" w:eastAsia="Times New Roman" w:hint="default"/>
        </w:rPr>
        <w:t>“</w:t>
      </w:r>
      <w:r>
        <w:rPr/>
        <w:t>智 能制造</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投资运营</w:t>
      </w:r>
      <w:r>
        <w:rPr>
          <w:rFonts w:ascii="Times New Roman" w:hAnsi="Times New Roman" w:cs="Times New Roman" w:eastAsia="Times New Roman" w:hint="default"/>
        </w:rPr>
        <w:t>”</w:t>
      </w:r>
      <w:r>
        <w:rPr/>
        <w:t>双轮驱动，全产业布局智慧停车市场，形成公司特有的核心竞争力。报告期内，公司核心竞争力得到</w:t>
      </w:r>
      <w:r>
        <w:rPr>
          <w:spacing w:val="-60"/>
        </w:rPr>
        <w:t> </w:t>
      </w:r>
      <w:r>
        <w:rPr>
          <w:spacing w:val="-60"/>
        </w:rPr>
      </w:r>
      <w:r>
        <w:rPr/>
        <w:t>进一步巩固和增强，为提升公司管理水平及长远发展奠定了夯实的基础。主要有以下几个方面：</w:t>
      </w:r>
    </w:p>
    <w:p>
      <w:pPr>
        <w:pStyle w:val="BodyText"/>
        <w:spacing w:line="300" w:lineRule="auto" w:before="31"/>
        <w:ind w:left="441" w:right="986" w:firstLine="72"/>
        <w:jc w:val="left"/>
      </w:pPr>
      <w:r>
        <w:rPr>
          <w:rFonts w:ascii="Times New Roman" w:hAnsi="Times New Roman" w:cs="Times New Roman" w:eastAsia="Times New Roman" w:hint="default"/>
        </w:rPr>
        <w:t>1</w:t>
      </w:r>
      <w:r>
        <w:rPr/>
        <w:t>、产品核心技术优势 </w:t>
      </w:r>
      <w:r>
        <w:rPr>
          <w:spacing w:val="-1"/>
        </w:rPr>
        <w:t>公司生产的张紧装置主要采用了快速液压制动技术、输送带张力自适应控制技术、不停机移动机尾张紧技术，通过上述</w:t>
      </w:r>
    </w:p>
    <w:p>
      <w:pPr>
        <w:pStyle w:val="BodyText"/>
        <w:spacing w:line="314" w:lineRule="auto" w:before="31"/>
        <w:ind w:right="986"/>
        <w:jc w:val="left"/>
      </w:pPr>
      <w:r>
        <w:rPr>
          <w:spacing w:val="-4"/>
        </w:rPr>
        <w:t>技术的运用，张紧装置在提高散料搬运系统工作效率和可靠性方面优势比较明显；公司生产的制动装置运用了柔性制动技术，</w:t>
      </w:r>
      <w:r>
        <w:rPr>
          <w:spacing w:val="-42"/>
        </w:rPr>
        <w:t> </w:t>
      </w:r>
      <w:r>
        <w:rPr>
          <w:spacing w:val="-42"/>
        </w:rPr>
      </w:r>
      <w:r>
        <w:rPr>
          <w:spacing w:val="-2"/>
        </w:rPr>
        <w:t>通过柔性制动技术的运用，公司生产的制动装置在保障散料搬运系统运行可靠性方面优势较为突出，不仅可保证制动减速度</w:t>
      </w:r>
      <w:r>
        <w:rPr>
          <w:spacing w:val="-64"/>
        </w:rPr>
        <w:t> </w:t>
      </w:r>
      <w:r>
        <w:rPr>
          <w:spacing w:val="-64"/>
        </w:rPr>
      </w:r>
      <w:r>
        <w:rPr/>
        <w:t>保持在</w:t>
      </w:r>
      <w:r>
        <w:rPr>
          <w:rFonts w:ascii="Times New Roman" w:hAnsi="Times New Roman" w:cs="Times New Roman" w:eastAsia="Times New Roman" w:hint="default"/>
        </w:rPr>
        <w:t>0.1</w:t>
      </w:r>
      <w:r>
        <w:rPr/>
        <w:t>～</w:t>
      </w:r>
      <w:r>
        <w:rPr>
          <w:rFonts w:ascii="Times New Roman" w:hAnsi="Times New Roman" w:cs="Times New Roman" w:eastAsia="Times New Roman" w:hint="default"/>
        </w:rPr>
        <w:t>0.3m/s2</w:t>
      </w:r>
      <w:r>
        <w:rPr/>
        <w:t>范围内，而且防止制动过程中减速度出现突变时导致的输送带张力的减小，避免了由制动减速度不当所</w:t>
      </w:r>
      <w:r>
        <w:rPr>
          <w:spacing w:val="-79"/>
        </w:rPr>
        <w:t> </w:t>
      </w:r>
      <w:r>
        <w:rPr>
          <w:spacing w:val="-79"/>
        </w:rPr>
      </w:r>
      <w:r>
        <w:rPr>
          <w:spacing w:val="-2"/>
        </w:rPr>
        <w:t>造成的断带以及物料堆积等恶性事故的发生；公司生产的给料机，通过防窜仓技术的运用，能够预防窜仓事故的发生，有效</w:t>
      </w:r>
      <w:r>
        <w:rPr>
          <w:spacing w:val="-64"/>
        </w:rPr>
        <w:t> </w:t>
      </w:r>
      <w:r>
        <w:rPr>
          <w:spacing w:val="-64"/>
        </w:rPr>
      </w:r>
      <w:r>
        <w:rPr/>
        <w:t>地控制并减小了窜仓事故对运输设备造成的严重损坏以及对工作人员生命安全的危害。</w:t>
      </w:r>
    </w:p>
    <w:p>
      <w:pPr>
        <w:pStyle w:val="BodyText"/>
        <w:spacing w:line="314" w:lineRule="auto" w:before="20"/>
        <w:ind w:right="1044" w:firstLine="288"/>
        <w:jc w:val="both"/>
      </w:pPr>
      <w:r>
        <w:rPr/>
        <w:t>伟创自动化拥有涵盖升降横移类、垂直升降类、垂直循环类、水平循环类、多层循环类、平面移动类、巷道堆垛类、简 </w:t>
      </w:r>
      <w:r>
        <w:rPr>
          <w:spacing w:val="-2"/>
        </w:rPr>
        <w:t>易升降类、汽车升降机全部九类机械式停车设备制造资质，是少数拥有全部机械式停车设备制造资质的企业。凭借多年来技</w:t>
      </w:r>
      <w:r>
        <w:rPr>
          <w:spacing w:val="-63"/>
        </w:rPr>
        <w:t> </w:t>
      </w:r>
      <w:r>
        <w:rPr>
          <w:spacing w:val="-63"/>
        </w:rPr>
      </w:r>
      <w:r>
        <w:rPr>
          <w:spacing w:val="-2"/>
        </w:rPr>
        <w:t>术沉淀和项目经验积累，伟创自动化目前已成为国内重要机械式停车设备制造商。伟创自动化生产工业机器人装备主要包括</w:t>
      </w:r>
      <w:r>
        <w:rPr>
          <w:spacing w:val="-64"/>
        </w:rPr>
        <w:t> </w:t>
      </w:r>
      <w:r>
        <w:rPr>
          <w:spacing w:val="-64"/>
        </w:rPr>
      </w:r>
      <w:r>
        <w:rPr/>
        <w:t>各式机械手、升降机、移载机、平移旋转机构等。工业机器人本体及配件连接，通过</w:t>
      </w:r>
      <w:r>
        <w:rPr>
          <w:rFonts w:ascii="Times New Roman" w:hAnsi="Times New Roman" w:cs="Times New Roman" w:eastAsia="Times New Roman" w:hint="default"/>
        </w:rPr>
        <w:t>PLC</w:t>
      </w:r>
      <w:r>
        <w:rPr/>
        <w:t>完成指令输入，组件控制及信息收 </w:t>
      </w:r>
      <w:r>
        <w:rPr>
          <w:spacing w:val="-4"/>
        </w:rPr>
        <w:t>集，并与上位机（如工控机、人机界面等）生产系统软件进行对接，并由上位机统一控制，共同协调作用完成某一特定功能。</w:t>
      </w:r>
    </w:p>
    <w:p>
      <w:pPr>
        <w:pStyle w:val="BodyText"/>
        <w:spacing w:line="316" w:lineRule="auto" w:before="20"/>
        <w:ind w:right="1132" w:firstLine="288"/>
        <w:jc w:val="both"/>
      </w:pPr>
      <w:r>
        <w:rPr>
          <w:spacing w:val="-1"/>
        </w:rPr>
        <w:t>伟创自动化生产的物流及仓储自动化成套设备主要运用于仓储货物的进出、分拣、输送及信息收集，重点对产品软件系</w:t>
      </w:r>
      <w:r>
        <w:rPr/>
        <w:t> 统</w:t>
      </w:r>
      <w:r>
        <w:rPr>
          <w:rFonts w:ascii="Times New Roman" w:hAnsi="Times New Roman" w:cs="Times New Roman" w:eastAsia="Times New Roman" w:hint="default"/>
        </w:rPr>
        <w:t>——</w:t>
      </w:r>
      <w:r>
        <w:rPr/>
        <w:t>智能仓储管理系统和智能仓储设备控制系统进行研发，物流及仓储自动化成套设备智能化程度进一步提升。</w:t>
      </w:r>
    </w:p>
    <w:p>
      <w:pPr>
        <w:pStyle w:val="BodyText"/>
        <w:spacing w:line="316" w:lineRule="auto" w:before="0"/>
        <w:ind w:right="1132" w:firstLine="288"/>
        <w:jc w:val="both"/>
      </w:pPr>
      <w:r>
        <w:rPr>
          <w:spacing w:val="-1"/>
        </w:rPr>
        <w:t>天辰智能拥有升降横移类、简易升降类、垂直循环类、平面移动类机械式停车设备制造资质，凭借多年来技术沉淀和项</w:t>
      </w:r>
      <w:r>
        <w:rPr/>
        <w:t> 目经验积累，智能搬运器性能稳定，拥有完全自主知识产权，质优价廉，一定程度上增强了产品的市场竞争力。</w:t>
      </w:r>
    </w:p>
    <w:p>
      <w:pPr>
        <w:pStyle w:val="BodyText"/>
        <w:spacing w:line="316" w:lineRule="auto" w:before="19"/>
        <w:ind w:right="1034" w:firstLine="288"/>
        <w:jc w:val="left"/>
      </w:pPr>
      <w:r>
        <w:rPr/>
        <w:t>公司控股孙公司同方佰宜以高安全、高可靠性和大容量固态存储作为研发出发点，拥有完全的自主研发能力，并承接了 一系列的安全固态存储解决方案，研发了系列安全固态存储产品。公司的固态存储产品广泛应用于航空、航海、工业控制、 车载和军工等领域，并能够针对用户需求提供定制化的固态存储解决方案。</w:t>
      </w:r>
    </w:p>
    <w:p>
      <w:pPr>
        <w:pStyle w:val="BodyText"/>
        <w:spacing w:line="312" w:lineRule="auto" w:before="19"/>
        <w:ind w:right="1051" w:firstLine="360"/>
        <w:jc w:val="both"/>
      </w:pPr>
      <w:r>
        <w:rPr>
          <w:spacing w:val="-2"/>
        </w:rPr>
        <w:t>公司控股孙公司同方佰宜</w:t>
      </w:r>
      <w:r>
        <w:rPr>
          <w:rFonts w:ascii="Times New Roman" w:hAnsi="Times New Roman" w:cs="Times New Roman" w:eastAsia="Times New Roman" w:hint="default"/>
          <w:spacing w:val="-2"/>
        </w:rPr>
        <w:t>2013</w:t>
      </w:r>
      <w:r>
        <w:rPr>
          <w:spacing w:val="-2"/>
        </w:rPr>
        <w:t>年开始大力进军无人艇领域，经过多年发展，公司现已形成了专业的技术团队，在无人艇</w:t>
      </w:r>
      <w:r>
        <w:rPr/>
        <w:t> </w:t>
      </w:r>
      <w:r>
        <w:rPr>
          <w:spacing w:val="-2"/>
        </w:rPr>
        <w:t>控制领域也达到了领先的地位。公司在船舶避碰系统、基于电子海图的无人艇全局路径规划系统、高精度的无人艇姿态、位</w:t>
      </w:r>
      <w:r>
        <w:rPr>
          <w:spacing w:val="-66"/>
        </w:rPr>
        <w:t> </w:t>
      </w:r>
      <w:r>
        <w:rPr>
          <w:spacing w:val="-66"/>
        </w:rPr>
      </w:r>
      <w:r>
        <w:rPr>
          <w:spacing w:val="-2"/>
        </w:rPr>
        <w:t>置测量和控制系统、三维仿真平台系统及无人靶艇脱靶量测量系统等相关技术研发取得重大进展。在靶艇的研制过程中，公</w:t>
      </w:r>
      <w:r>
        <w:rPr>
          <w:spacing w:val="-63"/>
        </w:rPr>
        <w:t> </w:t>
      </w:r>
      <w:r>
        <w:rPr>
          <w:spacing w:val="-63"/>
        </w:rPr>
      </w:r>
      <w:r>
        <w:rPr/>
        <w:t>司积累了宝贵的海洋试验数据和工程经验，同时也看到了无人艇在港口安防、水利检查、海岸巡查等领域的巨大应用潜力。</w:t>
      </w:r>
    </w:p>
    <w:p>
      <w:pPr>
        <w:pStyle w:val="BodyText"/>
        <w:spacing w:line="316" w:lineRule="auto" w:before="22"/>
        <w:ind w:right="1133" w:firstLine="360"/>
        <w:jc w:val="both"/>
      </w:pPr>
      <w:r>
        <w:rPr>
          <w:spacing w:val="-2"/>
        </w:rPr>
        <w:t>公司控股公司北京泊创科技，实现停车管理平台、停车收费终端的软件和硬件开发和应用。公司参股公司长安停车（西</w:t>
      </w:r>
      <w:r>
        <w:rPr/>
        <w:t> 安）有限公司</w:t>
      </w:r>
      <w:r>
        <w:rPr>
          <w:rFonts w:ascii="Times New Roman" w:hAnsi="Times New Roman" w:cs="Times New Roman" w:eastAsia="Times New Roman" w:hint="default"/>
        </w:rPr>
        <w:t>“</w:t>
      </w:r>
      <w:r>
        <w:rPr/>
        <w:t>以停车即服务</w:t>
      </w:r>
      <w:r>
        <w:rPr>
          <w:rFonts w:ascii="Times New Roman" w:hAnsi="Times New Roman" w:cs="Times New Roman" w:eastAsia="Times New Roman" w:hint="default"/>
        </w:rPr>
        <w:t>”</w:t>
      </w:r>
      <w:r>
        <w:rPr/>
        <w:t>为理念，提供</w:t>
      </w:r>
      <w:r>
        <w:rPr>
          <w:rFonts w:ascii="Times New Roman" w:hAnsi="Times New Roman" w:cs="Times New Roman" w:eastAsia="Times New Roman" w:hint="default"/>
        </w:rPr>
        <w:t>“</w:t>
      </w:r>
      <w:r>
        <w:rPr/>
        <w:t>综合化</w:t>
      </w:r>
      <w:r>
        <w:rPr>
          <w:rFonts w:ascii="Times New Roman" w:hAnsi="Times New Roman" w:cs="Times New Roman" w:eastAsia="Times New Roman" w:hint="default"/>
        </w:rPr>
        <w:t>—</w:t>
      </w:r>
      <w:r>
        <w:rPr/>
        <w:t>定制化</w:t>
      </w:r>
      <w:r>
        <w:rPr>
          <w:rFonts w:ascii="Times New Roman" w:hAnsi="Times New Roman" w:cs="Times New Roman" w:eastAsia="Times New Roman" w:hint="default"/>
        </w:rPr>
        <w:t>”</w:t>
      </w:r>
      <w:r>
        <w:rPr/>
        <w:t>的城市级智慧停车解决方案。</w:t>
      </w:r>
    </w:p>
    <w:p>
      <w:pPr>
        <w:pStyle w:val="BodyText"/>
        <w:spacing w:line="300" w:lineRule="auto" w:before="0"/>
        <w:ind w:left="441" w:right="1105"/>
        <w:jc w:val="left"/>
      </w:pPr>
      <w:r>
        <w:rPr>
          <w:rFonts w:ascii="Times New Roman" w:hAnsi="Times New Roman" w:cs="Times New Roman" w:eastAsia="Times New Roman" w:hint="default"/>
        </w:rPr>
        <w:t>2</w:t>
      </w:r>
      <w:r>
        <w:rPr/>
        <w:t>、方案设计专业化优势 散料搬运核心装置及设备的应用条件和环境各不相同，个性化需求较强，因此对设计能力要求较高。为适应客户需求，</w:t>
      </w:r>
    </w:p>
    <w:p>
      <w:pPr>
        <w:pStyle w:val="BodyText"/>
        <w:spacing w:line="319" w:lineRule="auto" w:before="31"/>
        <w:ind w:right="986"/>
        <w:jc w:val="left"/>
      </w:pPr>
      <w:r>
        <w:rPr>
          <w:spacing w:val="-2"/>
        </w:rPr>
        <w:t>公司十分注重对带式输送机整机特性的研究，在设计理念和辅助设计软件方面不断开拓创新，在行业中较早地将动态优化设</w:t>
      </w:r>
      <w:r>
        <w:rPr>
          <w:spacing w:val="-63"/>
        </w:rPr>
        <w:t> </w:t>
      </w:r>
      <w:r>
        <w:rPr>
          <w:spacing w:val="-63"/>
        </w:rPr>
      </w:r>
      <w:r>
        <w:rPr/>
        <w:t>计的理论研究应用到生产经营中，并利用已有的设计经验自主开发了带式输送机设计分析系统，应用于辅助设计工作。</w:t>
      </w:r>
    </w:p>
    <w:p>
      <w:pPr>
        <w:pStyle w:val="BodyText"/>
        <w:spacing w:line="309" w:lineRule="auto" w:before="17"/>
        <w:ind w:right="1130" w:firstLine="288"/>
        <w:jc w:val="both"/>
      </w:pPr>
      <w:r>
        <w:rPr>
          <w:spacing w:val="-1"/>
        </w:rPr>
        <w:t>机械停车技术中心对未来战略发展产品进行技术研发和验证，并根据项目现场实际情况和已签订合同中客户的特定需求</w:t>
      </w:r>
      <w:r>
        <w:rPr/>
        <w:t> </w:t>
      </w:r>
      <w:r>
        <w:rPr>
          <w:spacing w:val="-2"/>
        </w:rPr>
        <w:t>进行产品设计，以质量和有竞争力的价格优势作为研发设计策略，开发出系列满足客户特定需求的非标准化产品。机械停车</w:t>
      </w:r>
      <w:r>
        <w:rPr>
          <w:spacing w:val="-63"/>
        </w:rPr>
        <w:t> </w:t>
      </w:r>
      <w:r>
        <w:rPr>
          <w:spacing w:val="-63"/>
        </w:rPr>
      </w:r>
      <w:r>
        <w:rPr/>
        <w:t>软件事业部系公司为实现工业</w:t>
      </w:r>
      <w:r>
        <w:rPr>
          <w:rFonts w:ascii="Times New Roman" w:hAnsi="Times New Roman" w:cs="Times New Roman" w:eastAsia="Times New Roman" w:hint="default"/>
        </w:rPr>
        <w:t>4.0</w:t>
      </w:r>
      <w:r>
        <w:rPr/>
        <w:t>概念中信息化突破而设立的部门，软件事业部聘请具备专业技能且经验丰富的软件程序开</w:t>
      </w:r>
      <w:r>
        <w:rPr>
          <w:spacing w:val="-44"/>
        </w:rPr>
        <w:t> </w:t>
      </w:r>
      <w:r>
        <w:rPr>
          <w:spacing w:val="-44"/>
        </w:rPr>
      </w:r>
      <w:r>
        <w:rPr>
          <w:spacing w:val="-1"/>
        </w:rPr>
        <w:t>发人员对产品进行软件研发，由于伟创自动化本体产品均通过</w:t>
      </w:r>
      <w:r>
        <w:rPr>
          <w:rFonts w:ascii="Times New Roman" w:hAnsi="Times New Roman" w:cs="Times New Roman" w:eastAsia="Times New Roman" w:hint="default"/>
          <w:spacing w:val="-1"/>
        </w:rPr>
        <w:t>PLC</w:t>
      </w:r>
      <w:r>
        <w:rPr>
          <w:spacing w:val="-1"/>
        </w:rPr>
        <w:t>预留有信息采集、信息交互的各类数据接口，伟创自动化</w:t>
      </w:r>
      <w:r>
        <w:rPr/>
        <w:t> 计划与客户进行软件系统合作研发，使集成完整的工业</w:t>
      </w:r>
      <w:r>
        <w:rPr>
          <w:rFonts w:ascii="Times New Roman" w:hAnsi="Times New Roman" w:cs="Times New Roman" w:eastAsia="Times New Roman" w:hint="default"/>
        </w:rPr>
        <w:t>4.0</w:t>
      </w:r>
      <w:r>
        <w:rPr/>
        <w:t>解决方案成为可能。</w:t>
      </w:r>
    </w:p>
    <w:p>
      <w:pPr>
        <w:pStyle w:val="BodyText"/>
        <w:spacing w:line="240" w:lineRule="auto" w:before="5"/>
        <w:ind w:left="513" w:right="986"/>
        <w:jc w:val="left"/>
      </w:pPr>
      <w:r>
        <w:rPr>
          <w:rFonts w:ascii="Times New Roman" w:hAnsi="Times New Roman" w:cs="Times New Roman" w:eastAsia="Times New Roman" w:hint="default"/>
        </w:rPr>
        <w:t>3</w:t>
      </w:r>
      <w:r>
        <w:rPr/>
        <w:t>、综合服务专业化优势</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1" w:firstLine="288"/>
        <w:jc w:val="both"/>
      </w:pPr>
      <w:r>
        <w:rPr>
          <w:spacing w:val="-1"/>
        </w:rPr>
        <w:t>在高端散料搬运核心装置及设备市场的竞争中，客户关注的不仅仅是产品本身，更加关注企业提供系统解决方案等配套</w:t>
      </w:r>
      <w:r>
        <w:rPr/>
        <w:t> </w:t>
      </w:r>
      <w:r>
        <w:rPr>
          <w:spacing w:val="-2"/>
        </w:rPr>
        <w:t>服务的能力，因此公司依靠技术支持，提供从售前到售后的持续服务，不断完善专业化综合服务，将专业化综合服务能力转</w:t>
      </w:r>
      <w:r>
        <w:rPr>
          <w:spacing w:val="-65"/>
        </w:rPr>
        <w:t> </w:t>
      </w:r>
      <w:r>
        <w:rPr>
          <w:spacing w:val="-65"/>
        </w:rPr>
      </w:r>
      <w:r>
        <w:rPr/>
        <w:t>化为核心竞争力之一。</w:t>
      </w:r>
    </w:p>
    <w:p>
      <w:pPr>
        <w:pStyle w:val="BodyText"/>
        <w:spacing w:line="316" w:lineRule="auto" w:before="17"/>
        <w:ind w:right="1128" w:firstLine="360"/>
        <w:jc w:val="both"/>
      </w:pPr>
      <w:r>
        <w:rPr>
          <w:spacing w:val="-2"/>
        </w:rPr>
        <w:t>随着伟创自动化和天辰智能并购完成，公司在机械停车行业构建南有伟创自动化、北有天辰智能南北双核格局，建立和</w:t>
      </w:r>
      <w:r>
        <w:rPr/>
        <w:t> </w:t>
      </w:r>
      <w:r>
        <w:rPr>
          <w:spacing w:val="-2"/>
        </w:rPr>
        <w:t>完善销售、技术和售后服务网络，公司凭借其多年深耕行业的丰富经验和强大的技术储备，第一时间了解客户需求，并为客</w:t>
      </w:r>
      <w:r>
        <w:rPr>
          <w:spacing w:val="-64"/>
        </w:rPr>
        <w:t> </w:t>
      </w:r>
      <w:r>
        <w:rPr>
          <w:spacing w:val="-64"/>
        </w:rPr>
      </w:r>
      <w:r>
        <w:rPr>
          <w:spacing w:val="-2"/>
        </w:rPr>
        <w:t>户提供专业、及时的解决方案和服务。设立有售后服务部门，并在全国范围内设立办事处，负责对客户所购设备发生的问题</w:t>
      </w:r>
      <w:r>
        <w:rPr>
          <w:spacing w:val="-65"/>
        </w:rPr>
        <w:t> </w:t>
      </w:r>
      <w:r>
        <w:rPr>
          <w:spacing w:val="-65"/>
        </w:rPr>
      </w:r>
      <w:r>
        <w:rPr/>
        <w:t>进行及时反馈和解决，并分配专人产品进行售后专业维修、保养以及机械式停车设备年检。</w:t>
      </w:r>
    </w:p>
    <w:p>
      <w:pPr>
        <w:pStyle w:val="BodyText"/>
        <w:spacing w:line="300" w:lineRule="auto" w:before="19"/>
        <w:ind w:left="513" w:right="986"/>
        <w:jc w:val="left"/>
      </w:pPr>
      <w:r>
        <w:rPr>
          <w:rFonts w:ascii="Times New Roman" w:hAnsi="Times New Roman" w:cs="Times New Roman" w:eastAsia="Times New Roman" w:hint="default"/>
        </w:rPr>
        <w:t>4</w:t>
      </w:r>
      <w:r>
        <w:rPr/>
        <w:t>、运营管理专业化优势 </w:t>
      </w:r>
      <w:r>
        <w:rPr>
          <w:spacing w:val="-2"/>
        </w:rPr>
        <w:t>公司收购长安停车投资管理（上海）有限公司后，专业打造五洋停车运营品牌</w:t>
      </w:r>
      <w:r>
        <w:rPr>
          <w:rFonts w:ascii="Times New Roman" w:hAnsi="Times New Roman" w:cs="Times New Roman" w:eastAsia="Times New Roman" w:hint="default"/>
          <w:spacing w:val="-2"/>
        </w:rPr>
        <w:t>“</w:t>
      </w:r>
      <w:r>
        <w:rPr>
          <w:spacing w:val="-2"/>
        </w:rPr>
        <w:t>迈泊停车</w:t>
      </w:r>
      <w:r>
        <w:rPr>
          <w:rFonts w:ascii="Times New Roman" w:hAnsi="Times New Roman" w:cs="Times New Roman" w:eastAsia="Times New Roman" w:hint="default"/>
          <w:spacing w:val="-2"/>
        </w:rPr>
        <w:t>”</w:t>
      </w:r>
      <w:r>
        <w:rPr>
          <w:spacing w:val="-2"/>
        </w:rPr>
        <w:t>。迈泊停车致力成为最有运营</w:t>
      </w:r>
    </w:p>
    <w:p>
      <w:pPr>
        <w:pStyle w:val="BodyText"/>
        <w:spacing w:line="312" w:lineRule="auto" w:before="13"/>
        <w:ind w:right="1034"/>
        <w:jc w:val="left"/>
      </w:pPr>
      <w:r>
        <w:rPr/>
        <w:t>力的停车场资产管理企业之一，目前管理车位将近</w:t>
      </w:r>
      <w:r>
        <w:rPr>
          <w:rFonts w:ascii="Times New Roman" w:hAnsi="Times New Roman" w:cs="Times New Roman" w:eastAsia="Times New Roman" w:hint="default"/>
        </w:rPr>
        <w:t>2</w:t>
      </w:r>
      <w:r>
        <w:rPr/>
        <w:t>万个，车位主要集中在上海、北京、天津，且均为长期租赁的资产。核</w:t>
      </w:r>
      <w:r>
        <w:rPr>
          <w:spacing w:val="-83"/>
        </w:rPr>
        <w:t> </w:t>
      </w:r>
      <w:r>
        <w:rPr>
          <w:spacing w:val="-83"/>
        </w:rPr>
      </w:r>
      <w:r>
        <w:rPr/>
        <w:t>心运营能力由团队、工具、商业开发组成，团队是核心运营力的基石，工具是核心运营能力的手段，商业开发为资产赋能， </w:t>
      </w:r>
      <w:r>
        <w:rPr>
          <w:spacing w:val="-2"/>
        </w:rPr>
        <w:t>提升核心运营力，迈泊停车具有专业化运营管理团队、成熟商业停车场运营管理工具及平台、商业开发增值模式不断成熟和</w:t>
      </w:r>
      <w:r>
        <w:rPr>
          <w:spacing w:val="-63"/>
        </w:rPr>
        <w:t> </w:t>
      </w:r>
      <w:r>
        <w:rPr>
          <w:spacing w:val="-63"/>
        </w:rPr>
      </w:r>
      <w:r>
        <w:rPr/>
        <w:t>优化。</w:t>
      </w:r>
    </w:p>
    <w:p>
      <w:pPr>
        <w:pStyle w:val="BodyText"/>
        <w:spacing w:line="300" w:lineRule="auto" w:before="23"/>
        <w:ind w:left="441" w:right="1105"/>
        <w:jc w:val="left"/>
      </w:pPr>
      <w:r>
        <w:rPr>
          <w:rFonts w:ascii="Times New Roman" w:hAnsi="Times New Roman" w:cs="Times New Roman" w:eastAsia="Times New Roman" w:hint="default"/>
        </w:rPr>
        <w:t>5</w:t>
      </w:r>
      <w:r>
        <w:rPr/>
        <w:t>、营销网络和服务优势 通过营销网络与服务中心建设，继续推进全国销售网点的重点布局，进一步扩大产品市场份额，并积极开拓新兴市场，</w:t>
      </w:r>
    </w:p>
    <w:p>
      <w:pPr>
        <w:pStyle w:val="BodyText"/>
        <w:spacing w:line="316" w:lineRule="auto" w:before="31"/>
        <w:ind w:right="986"/>
        <w:jc w:val="left"/>
      </w:pPr>
      <w:r>
        <w:rPr>
          <w:spacing w:val="-4"/>
        </w:rPr>
        <w:t>实现市场销售量的稳步增长。并对现有产品进行改良和优化，加大新技术新产品投放市场力度，持续扩大产品在技术、性能、</w:t>
      </w:r>
      <w:r>
        <w:rPr>
          <w:spacing w:val="-46"/>
        </w:rPr>
        <w:t> </w:t>
      </w:r>
      <w:r>
        <w:rPr>
          <w:spacing w:val="-46"/>
        </w:rPr>
      </w:r>
      <w:r>
        <w:rPr>
          <w:spacing w:val="-2"/>
        </w:rPr>
        <w:t>质量等方面的优势，占据更大的市场份额。公司以市场为导向，效益最大化为出发点，通过合理布局，投资建设生产基地和</w:t>
      </w:r>
      <w:r>
        <w:rPr>
          <w:spacing w:val="-67"/>
        </w:rPr>
        <w:t> </w:t>
      </w:r>
      <w:r>
        <w:rPr>
          <w:spacing w:val="-67"/>
        </w:rPr>
      </w:r>
      <w:r>
        <w:rPr/>
        <w:t>优化现有生产线，满足新增产能需求。</w:t>
      </w:r>
    </w:p>
    <w:p>
      <w:pPr>
        <w:pStyle w:val="BodyText"/>
        <w:spacing w:line="300" w:lineRule="auto" w:before="19"/>
        <w:ind w:left="441" w:right="986"/>
        <w:jc w:val="left"/>
      </w:pPr>
      <w:r>
        <w:rPr>
          <w:rFonts w:ascii="Times New Roman" w:hAnsi="Times New Roman" w:cs="Times New Roman" w:eastAsia="Times New Roman" w:hint="default"/>
        </w:rPr>
        <w:t>6</w:t>
      </w:r>
      <w:r>
        <w:rPr/>
        <w:t>、资本和资金优势 </w:t>
      </w:r>
      <w:r>
        <w:rPr>
          <w:spacing w:val="-1"/>
        </w:rPr>
        <w:t>充分发挥产业基金和私募基金管理人的优势。依托江苏徐州老工业基地产业发展基金（有限合伙）成立徐州疌盛五洋智</w:t>
      </w:r>
    </w:p>
    <w:p>
      <w:pPr>
        <w:pStyle w:val="BodyText"/>
        <w:spacing w:line="300" w:lineRule="auto" w:before="31"/>
        <w:ind w:right="1131"/>
        <w:jc w:val="both"/>
      </w:pPr>
      <w:r>
        <w:rPr>
          <w:spacing w:val="-2"/>
        </w:rPr>
        <w:t>能装备产业基金合伙企业（有限合伙），一期注册资本</w:t>
      </w:r>
      <w:r>
        <w:rPr>
          <w:rFonts w:ascii="Times New Roman" w:hAnsi="Times New Roman" w:cs="Times New Roman" w:eastAsia="Times New Roman" w:hint="default"/>
          <w:spacing w:val="-2"/>
        </w:rPr>
        <w:t>5.02</w:t>
      </w:r>
      <w:r>
        <w:rPr>
          <w:spacing w:val="-2"/>
        </w:rPr>
        <w:t>亿元，总体规模</w:t>
      </w:r>
      <w:r>
        <w:rPr>
          <w:rFonts w:ascii="Times New Roman" w:hAnsi="Times New Roman" w:cs="Times New Roman" w:eastAsia="Times New Roman" w:hint="default"/>
          <w:spacing w:val="-2"/>
        </w:rPr>
        <w:t>10.02</w:t>
      </w:r>
      <w:r>
        <w:rPr>
          <w:spacing w:val="-2"/>
        </w:rPr>
        <w:t>亿元，该基金为五洋智能装备产业发展提供</w:t>
      </w:r>
      <w:r>
        <w:rPr>
          <w:spacing w:val="-58"/>
        </w:rPr>
        <w:t> </w:t>
      </w:r>
      <w:r>
        <w:rPr>
          <w:spacing w:val="-58"/>
        </w:rPr>
      </w:r>
      <w:r>
        <w:rPr/>
        <w:t>资本支持；长安停车</w:t>
      </w:r>
      <w:r>
        <w:rPr>
          <w:rFonts w:ascii="Times New Roman" w:hAnsi="Times New Roman" w:cs="Times New Roman" w:eastAsia="Times New Roman" w:hint="default"/>
        </w:rPr>
        <w:t>---</w:t>
      </w:r>
      <w:r>
        <w:rPr/>
        <w:t>其他类私募基金管理人牌照，管理基金规模</w:t>
      </w:r>
      <w:r>
        <w:rPr>
          <w:rFonts w:ascii="Times New Roman" w:hAnsi="Times New Roman" w:cs="Times New Roman" w:eastAsia="Times New Roman" w:hint="default"/>
        </w:rPr>
        <w:t>2.8</w:t>
      </w:r>
      <w:r>
        <w:rPr/>
        <w:t>亿元，为五洋停车资产的融资提供私募基金平台。惠</w:t>
      </w:r>
      <w:r>
        <w:rPr>
          <w:spacing w:val="-42"/>
        </w:rPr>
        <w:t> </w:t>
      </w:r>
      <w:r>
        <w:rPr>
          <w:spacing w:val="-42"/>
        </w:rPr>
      </w:r>
      <w:r>
        <w:rPr/>
        <w:t>邦融资租赁业务不断开拓，为公司产品销售提供融资租赁专业化服务平台，提升公司产品的市场竞争力。</w:t>
      </w:r>
    </w:p>
    <w:p>
      <w:pPr>
        <w:pStyle w:val="BodyText"/>
        <w:spacing w:line="300" w:lineRule="auto" w:before="31"/>
        <w:ind w:left="441" w:right="986"/>
        <w:jc w:val="left"/>
      </w:pPr>
      <w:r>
        <w:rPr>
          <w:rFonts w:ascii="Times New Roman" w:hAnsi="Times New Roman" w:cs="Times New Roman" w:eastAsia="Times New Roman" w:hint="default"/>
        </w:rPr>
        <w:t>7</w:t>
      </w:r>
      <w:r>
        <w:rPr/>
        <w:t>、合作模式多元化优势 </w:t>
      </w:r>
      <w:r>
        <w:rPr>
          <w:spacing w:val="-2"/>
        </w:rPr>
        <w:t>公司依托资本和机械停车装备制造优势，通过</w:t>
      </w:r>
      <w:r>
        <w:rPr>
          <w:rFonts w:ascii="Times New Roman" w:hAnsi="Times New Roman" w:cs="Times New Roman" w:eastAsia="Times New Roman" w:hint="default"/>
          <w:spacing w:val="-2"/>
        </w:rPr>
        <w:t>“</w:t>
      </w:r>
      <w:r>
        <w:rPr>
          <w:spacing w:val="-2"/>
        </w:rPr>
        <w:t>智造</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，大力发展混合所有制经济体，采取</w:t>
      </w:r>
      <w:r>
        <w:rPr>
          <w:rFonts w:ascii="Times New Roman" w:hAnsi="Times New Roman" w:cs="Times New Roman" w:eastAsia="Times New Roman" w:hint="default"/>
          <w:spacing w:val="-2"/>
        </w:rPr>
        <w:t>BOT</w:t>
      </w:r>
      <w:r>
        <w:rPr>
          <w:spacing w:val="-2"/>
        </w:rPr>
        <w:t>、</w:t>
      </w:r>
      <w:r>
        <w:rPr>
          <w:rFonts w:ascii="Times New Roman" w:hAnsi="Times New Roman" w:cs="Times New Roman" w:eastAsia="Times New Roman" w:hint="default"/>
          <w:spacing w:val="-2"/>
        </w:rPr>
        <w:t>EPC</w:t>
      </w:r>
      <w:r>
        <w:rPr>
          <w:spacing w:val="-2"/>
        </w:rPr>
        <w:t>、</w:t>
      </w:r>
    </w:p>
    <w:p>
      <w:pPr>
        <w:pStyle w:val="BodyText"/>
        <w:spacing w:line="316" w:lineRule="auto" w:before="13"/>
        <w:ind w:right="986"/>
        <w:jc w:val="left"/>
      </w:pPr>
      <w:r>
        <w:rPr>
          <w:spacing w:val="-2"/>
        </w:rPr>
        <w:t>融资租赁和股权收购等多种方式，积极拓展商业停车场和城市级智慧停车产业的投资、建设、运营业务，快速切入智慧城市</w:t>
      </w:r>
      <w:r>
        <w:rPr>
          <w:spacing w:val="-64"/>
        </w:rPr>
        <w:t> </w:t>
      </w:r>
      <w:r>
        <w:rPr>
          <w:spacing w:val="-64"/>
        </w:rPr>
      </w:r>
      <w:r>
        <w:rPr/>
        <w:t>停车领域，做大做强公司停车场投资运营板块，为公司快速成长奠定基础。</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986"/>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before="0"/>
        <w:ind w:right="1130" w:firstLine="360"/>
        <w:jc w:val="both"/>
      </w:pPr>
      <w:r>
        <w:rPr>
          <w:rFonts w:ascii="Times New Roman" w:hAnsi="Times New Roman" w:cs="Times New Roman" w:eastAsia="Times New Roman" w:hint="default"/>
          <w:spacing w:val="-1"/>
        </w:rPr>
        <w:t>2019</w:t>
      </w:r>
      <w:r>
        <w:rPr>
          <w:spacing w:val="-1"/>
        </w:rPr>
        <w:t>年，公司通过</w:t>
      </w:r>
      <w:r>
        <w:rPr>
          <w:rFonts w:ascii="Times New Roman" w:hAnsi="Times New Roman" w:cs="Times New Roman" w:eastAsia="Times New Roman" w:hint="default"/>
          <w:spacing w:val="-1"/>
        </w:rPr>
        <w:t>“</w:t>
      </w:r>
      <w:r>
        <w:rPr>
          <w:spacing w:val="-1"/>
        </w:rPr>
        <w:t>智能制造</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投资运营</w:t>
      </w:r>
      <w:r>
        <w:rPr>
          <w:rFonts w:ascii="Times New Roman" w:hAnsi="Times New Roman" w:cs="Times New Roman" w:eastAsia="Times New Roman" w:hint="default"/>
          <w:spacing w:val="-1"/>
        </w:rPr>
        <w:t>”</w:t>
      </w:r>
      <w:r>
        <w:rPr>
          <w:spacing w:val="-1"/>
        </w:rPr>
        <w:t>双轮驱动，实现</w:t>
      </w:r>
      <w:r>
        <w:rPr>
          <w:rFonts w:ascii="Times New Roman" w:hAnsi="Times New Roman" w:cs="Times New Roman" w:eastAsia="Times New Roman" w:hint="default"/>
          <w:spacing w:val="-1"/>
        </w:rPr>
        <w:t>“</w:t>
      </w:r>
      <w:r>
        <w:rPr>
          <w:spacing w:val="-1"/>
        </w:rPr>
        <w:t>智造</w:t>
      </w:r>
      <w:r>
        <w:rPr>
          <w:rFonts w:ascii="Times New Roman" w:hAnsi="Times New Roman" w:cs="Times New Roman" w:eastAsia="Times New Roman" w:hint="default"/>
          <w:spacing w:val="-1"/>
        </w:rPr>
        <w:t>+</w:t>
      </w:r>
      <w:r>
        <w:rPr>
          <w:spacing w:val="-1"/>
        </w:rPr>
        <w:t>停车资源</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的公司战略和年度经营目标，顺应</w:t>
      </w:r>
      <w:r>
        <w:rPr/>
        <w:t> </w:t>
      </w:r>
      <w:r>
        <w:rPr>
          <w:spacing w:val="-2"/>
        </w:rPr>
        <w:t>机械式立体停车设备行业和智能装备行业市场变化，在巩固和发展机械式立体停车设备、散料搬运核心部件、物流及智能仓</w:t>
      </w:r>
      <w:r>
        <w:rPr>
          <w:spacing w:val="-63"/>
        </w:rPr>
        <w:t> </w:t>
      </w:r>
      <w:r>
        <w:rPr>
          <w:spacing w:val="-63"/>
        </w:rPr>
      </w:r>
      <w:r>
        <w:rPr>
          <w:spacing w:val="-2"/>
        </w:rPr>
        <w:t>储等制造板块的同时，大力推进停车场投资建设运营一体化业务，公司经营业绩实现持续增长，展现了公司整体的竞争实力</w:t>
      </w:r>
      <w:r>
        <w:rPr>
          <w:spacing w:val="-63"/>
        </w:rPr>
        <w:t> </w:t>
      </w:r>
      <w:r>
        <w:rPr>
          <w:spacing w:val="-63"/>
        </w:rPr>
      </w:r>
      <w:r>
        <w:rPr/>
        <w:t>和经营发展的良好态势。</w:t>
      </w:r>
    </w:p>
    <w:p>
      <w:pPr>
        <w:pStyle w:val="BodyText"/>
        <w:spacing w:line="307" w:lineRule="auto" w:before="22"/>
        <w:ind w:right="1131" w:firstLine="360"/>
        <w:jc w:val="both"/>
      </w:pPr>
      <w:r>
        <w:rPr>
          <w:spacing w:val="-2"/>
        </w:rPr>
        <w:t>报告期内，公司经营质量与盈利能力大幅提升，逾期货款、存货及成本费用有效管控，资产质量显著提高，公司实现营</w:t>
      </w:r>
      <w:r>
        <w:rPr/>
        <w:t> </w:t>
      </w:r>
      <w:r>
        <w:rPr>
          <w:spacing w:val="-1"/>
        </w:rPr>
        <w:t>业收入</w:t>
      </w:r>
      <w:r>
        <w:rPr>
          <w:rFonts w:ascii="Times New Roman" w:hAnsi="Times New Roman" w:cs="Times New Roman" w:eastAsia="Times New Roman" w:hint="default"/>
          <w:spacing w:val="-1"/>
        </w:rPr>
        <w:t>129,137.78</w:t>
      </w:r>
      <w:r>
        <w:rPr>
          <w:spacing w:val="-1"/>
        </w:rPr>
        <w:t>万元，同比增长</w:t>
      </w:r>
      <w:r>
        <w:rPr>
          <w:rFonts w:ascii="Times New Roman" w:hAnsi="Times New Roman" w:cs="Times New Roman" w:eastAsia="Times New Roman" w:hint="default"/>
          <w:spacing w:val="-1"/>
        </w:rPr>
        <w:t>28.87%</w:t>
      </w:r>
      <w:r>
        <w:rPr>
          <w:spacing w:val="-1"/>
        </w:rPr>
        <w:t>；实现归属于上市公司股东的净利润</w:t>
      </w:r>
      <w:r>
        <w:rPr>
          <w:rFonts w:ascii="Times New Roman" w:hAnsi="Times New Roman" w:cs="Times New Roman" w:eastAsia="Times New Roman" w:hint="default"/>
          <w:spacing w:val="-1"/>
        </w:rPr>
        <w:t>15,539.78</w:t>
      </w:r>
      <w:r>
        <w:rPr>
          <w:spacing w:val="-1"/>
        </w:rPr>
        <w:t>万元，同比增长</w:t>
      </w:r>
      <w:r>
        <w:rPr>
          <w:rFonts w:ascii="Times New Roman" w:hAnsi="Times New Roman" w:cs="Times New Roman" w:eastAsia="Times New Roman" w:hint="default"/>
          <w:spacing w:val="-1"/>
        </w:rPr>
        <w:t>18.63%</w:t>
      </w:r>
      <w:r>
        <w:rPr>
          <w:spacing w:val="-1"/>
        </w:rPr>
        <w:t>；归属于上市</w:t>
      </w:r>
      <w:r>
        <w:rPr>
          <w:spacing w:val="-52"/>
        </w:rPr>
        <w:t> </w:t>
      </w:r>
      <w:r>
        <w:rPr>
          <w:spacing w:val="-52"/>
        </w:rPr>
      </w:r>
      <w:r>
        <w:rPr/>
        <w:t>公司股东的扣除非经常性损益的净利润</w:t>
      </w:r>
      <w:r>
        <w:rPr>
          <w:rFonts w:ascii="Times New Roman" w:hAnsi="Times New Roman" w:cs="Times New Roman" w:eastAsia="Times New Roman" w:hint="default"/>
        </w:rPr>
        <w:t>14,572.81</w:t>
      </w:r>
      <w:r>
        <w:rPr/>
        <w:t>万元，同比增长</w:t>
      </w:r>
      <w:r>
        <w:rPr>
          <w:rFonts w:ascii="Times New Roman" w:hAnsi="Times New Roman" w:cs="Times New Roman" w:eastAsia="Times New Roman" w:hint="default"/>
        </w:rPr>
        <w:t>27.25%</w:t>
      </w:r>
      <w:r>
        <w:rPr/>
        <w:t>；机械式立体停车设备板块实现营业收入</w:t>
      </w:r>
      <w:r>
        <w:rPr>
          <w:rFonts w:ascii="Times New Roman" w:hAnsi="Times New Roman" w:cs="Times New Roman" w:eastAsia="Times New Roman" w:hint="default"/>
        </w:rPr>
        <w:t>81,714.93</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万元，占营业收入的</w:t>
      </w:r>
      <w:r>
        <w:rPr>
          <w:rFonts w:ascii="Times New Roman" w:hAnsi="Times New Roman" w:cs="Times New Roman" w:eastAsia="Times New Roman" w:hint="default"/>
        </w:rPr>
        <w:t>63.28%</w:t>
      </w:r>
      <w:r>
        <w:rPr/>
        <w:t>，实现同比增长</w:t>
      </w:r>
      <w:r>
        <w:rPr>
          <w:rFonts w:ascii="Times New Roman" w:hAnsi="Times New Roman" w:cs="Times New Roman" w:eastAsia="Times New Roman" w:hint="default"/>
        </w:rPr>
        <w:t>31.50%</w:t>
      </w:r>
      <w:r>
        <w:rPr/>
        <w:t>。</w:t>
      </w:r>
    </w:p>
    <w:p>
      <w:pPr>
        <w:pStyle w:val="BodyText"/>
        <w:spacing w:line="240" w:lineRule="auto" w:before="7"/>
        <w:ind w:left="513" w:right="986"/>
        <w:jc w:val="left"/>
      </w:pPr>
      <w:r>
        <w:rPr>
          <w:rFonts w:ascii="Times New Roman" w:hAnsi="Times New Roman" w:cs="Times New Roman" w:eastAsia="Times New Roman" w:hint="default"/>
        </w:rPr>
        <w:t>2019</w:t>
      </w:r>
      <w:r>
        <w:rPr/>
        <w:t>年公司重点工作：</w:t>
      </w:r>
    </w:p>
    <w:p>
      <w:pPr>
        <w:pStyle w:val="BodyText"/>
        <w:spacing w:line="240" w:lineRule="auto" w:before="63"/>
        <w:ind w:left="513" w:right="986"/>
        <w:jc w:val="left"/>
      </w:pPr>
      <w:r>
        <w:rPr/>
        <w:t>（一）重点业务板块持续发力</w:t>
      </w:r>
    </w:p>
    <w:p>
      <w:pPr>
        <w:pStyle w:val="BodyText"/>
        <w:spacing w:line="300" w:lineRule="auto" w:before="76"/>
        <w:ind w:left="513" w:right="986"/>
        <w:jc w:val="left"/>
      </w:pPr>
      <w:r>
        <w:rPr>
          <w:rFonts w:ascii="Times New Roman" w:hAnsi="Times New Roman" w:cs="Times New Roman" w:eastAsia="Times New Roman" w:hint="default"/>
        </w:rPr>
        <w:t>1</w:t>
      </w:r>
      <w:r>
        <w:rPr/>
        <w:t>、机械式立体停车设备销售持续快速增长 </w:t>
      </w:r>
      <w:r>
        <w:rPr>
          <w:spacing w:val="-2"/>
        </w:rPr>
        <w:t>报告期内，依托伟创自动化和天辰智能的行业地位，充分发挥资本和技术优势，在机械式立体停车设备行业取得长足的</w:t>
      </w:r>
    </w:p>
    <w:p>
      <w:pPr>
        <w:pStyle w:val="BodyText"/>
        <w:spacing w:line="300" w:lineRule="auto" w:before="31"/>
        <w:ind w:right="1134"/>
        <w:jc w:val="both"/>
      </w:pPr>
      <w:r>
        <w:rPr/>
        <w:t>发展。</w:t>
      </w:r>
      <w:r>
        <w:rPr>
          <w:rFonts w:ascii="Times New Roman" w:hAnsi="Times New Roman" w:cs="Times New Roman" w:eastAsia="Times New Roman" w:hint="default"/>
        </w:rPr>
        <w:t>2019</w:t>
      </w:r>
      <w:r>
        <w:rPr/>
        <w:t>年，公司机械式立体停车设备销售同比增长</w:t>
      </w:r>
      <w:r>
        <w:rPr>
          <w:rFonts w:ascii="Times New Roman" w:hAnsi="Times New Roman" w:cs="Times New Roman" w:eastAsia="Times New Roman" w:hint="default"/>
        </w:rPr>
        <w:t>31.50%</w:t>
      </w:r>
      <w:r>
        <w:rPr/>
        <w:t>，持续保持快速发展势头。以适应政府公共需求为主导的市</w:t>
      </w:r>
      <w:r>
        <w:rPr>
          <w:spacing w:val="-20"/>
        </w:rPr>
        <w:t> </w:t>
      </w:r>
      <w:r>
        <w:rPr>
          <w:spacing w:val="-20"/>
        </w:rPr>
      </w:r>
      <w:r>
        <w:rPr/>
        <w:t>场销售结构，体现政策红利逐步得以兑现。</w:t>
      </w:r>
    </w:p>
    <w:p>
      <w:pPr>
        <w:pStyle w:val="BodyText"/>
        <w:spacing w:line="240" w:lineRule="auto" w:before="31"/>
        <w:ind w:left="513" w:right="986"/>
        <w:jc w:val="left"/>
      </w:pPr>
      <w:r>
        <w:rPr>
          <w:rFonts w:ascii="Times New Roman" w:hAnsi="Times New Roman" w:cs="Times New Roman" w:eastAsia="Times New Roman" w:hint="default"/>
        </w:rPr>
        <w:t>2</w:t>
      </w:r>
      <w:r>
        <w:rPr/>
        <w:t>、公司停车产业一体化布局初具规模</w:t>
      </w:r>
    </w:p>
    <w:p>
      <w:pPr>
        <w:pStyle w:val="BodyText"/>
        <w:spacing w:line="304" w:lineRule="auto" w:before="63"/>
        <w:ind w:right="1131" w:firstLine="360"/>
        <w:jc w:val="both"/>
      </w:pPr>
      <w:r>
        <w:rPr>
          <w:rFonts w:ascii="Times New Roman" w:hAnsi="Times New Roman" w:cs="Times New Roman" w:eastAsia="Times New Roman" w:hint="default"/>
          <w:spacing w:val="-2"/>
        </w:rPr>
        <w:t>2018</w:t>
      </w:r>
      <w:r>
        <w:rPr>
          <w:spacing w:val="-2"/>
        </w:rPr>
        <w:t>年初，公司制定了</w:t>
      </w:r>
      <w:r>
        <w:rPr>
          <w:rFonts w:ascii="Times New Roman" w:hAnsi="Times New Roman" w:cs="Times New Roman" w:eastAsia="Times New Roman" w:hint="default"/>
          <w:spacing w:val="-2"/>
        </w:rPr>
        <w:t>“</w:t>
      </w:r>
      <w:r>
        <w:rPr>
          <w:spacing w:val="-2"/>
        </w:rPr>
        <w:t>智造</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中长期战略，公司确立了以获取停车资源为发展业务的关键点，公司的</w:t>
      </w:r>
      <w:r>
        <w:rPr/>
        <w:t> </w:t>
      </w:r>
      <w:r>
        <w:rPr>
          <w:spacing w:val="-2"/>
        </w:rPr>
        <w:t>停车资源包含三大块，一是维保类停车资源，通过设备的销售来扩大规模；二是权益类停车资源，通过停车场投资来扩大规</w:t>
      </w:r>
      <w:r>
        <w:rPr>
          <w:spacing w:val="-65"/>
        </w:rPr>
        <w:t> </w:t>
      </w:r>
      <w:r>
        <w:rPr>
          <w:spacing w:val="-65"/>
        </w:rPr>
      </w:r>
      <w:r>
        <w:rPr/>
        <w:t>模；三是联盟类停车资源，通过使用公司的智慧停车云平台来扩大规模。继全资并购伟创自动化、天辰智能后，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spacing w:val="-84"/>
        </w:rPr>
        <w:t> </w:t>
      </w:r>
      <w:r>
        <w:rPr/>
        <w:t>公司控股的疌盛产业基金收购长安停车，至此，公司成为停车场投资、建设、制造、运营一体化服务商，公司</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和</w:t>
      </w:r>
      <w:r>
        <w:rPr>
          <w:rFonts w:ascii="Times New Roman" w:hAnsi="Times New Roman" w:cs="Times New Roman" w:eastAsia="Times New Roman" w:hint="default"/>
        </w:rPr>
        <w:t>“</w:t>
      </w:r>
      <w:r>
        <w:rPr/>
        <w:t>投资运营</w:t>
      </w:r>
      <w:r>
        <w:rPr>
          <w:rFonts w:ascii="Times New Roman" w:hAnsi="Times New Roman" w:cs="Times New Roman" w:eastAsia="Times New Roman" w:hint="default"/>
        </w:rPr>
        <w:t>”</w:t>
      </w:r>
      <w:r>
        <w:rPr/>
        <w:t>双轮驱动战略真正形成。</w:t>
      </w:r>
    </w:p>
    <w:p>
      <w:pPr>
        <w:pStyle w:val="BodyText"/>
        <w:spacing w:line="300" w:lineRule="auto" w:before="9"/>
        <w:ind w:left="513" w:right="986"/>
        <w:jc w:val="left"/>
      </w:pPr>
      <w:r>
        <w:rPr>
          <w:rFonts w:ascii="Times New Roman" w:hAnsi="Times New Roman" w:cs="Times New Roman" w:eastAsia="Times New Roman" w:hint="default"/>
        </w:rPr>
        <w:t>3</w:t>
      </w:r>
      <w:r>
        <w:rPr/>
        <w:t>、散料搬运核心装置板块和混凝土搅拌站板块快速增长 </w:t>
      </w:r>
      <w:r>
        <w:rPr>
          <w:spacing w:val="5"/>
        </w:rPr>
        <w:t>煤炭行业供给侧改革成效显著，对煤炭搬运输送设备的需求日益增长，报告期内，公司散料搬运装置板块实现销售</w:t>
      </w:r>
    </w:p>
    <w:p>
      <w:pPr>
        <w:pStyle w:val="BodyText"/>
        <w:spacing w:line="300" w:lineRule="auto" w:before="31"/>
        <w:ind w:right="1135"/>
        <w:jc w:val="both"/>
      </w:pPr>
      <w:r>
        <w:rPr>
          <w:rFonts w:ascii="Times New Roman" w:hAnsi="Times New Roman" w:cs="Times New Roman" w:eastAsia="Times New Roman" w:hint="default"/>
          <w:spacing w:val="-1"/>
        </w:rPr>
        <w:t>11,447.38</w:t>
      </w:r>
      <w:r>
        <w:rPr>
          <w:spacing w:val="-1"/>
        </w:rPr>
        <w:t>万元，同比增长</w:t>
      </w:r>
      <w:r>
        <w:rPr>
          <w:rFonts w:ascii="Times New Roman" w:hAnsi="Times New Roman" w:cs="Times New Roman" w:eastAsia="Times New Roman" w:hint="default"/>
          <w:spacing w:val="-1"/>
        </w:rPr>
        <w:t>2.49%</w:t>
      </w:r>
      <w:r>
        <w:rPr>
          <w:spacing w:val="-1"/>
        </w:rPr>
        <w:t>；受下游基建需求拉动、国家加强环境治理、设备更新需求增长，混凝土搅拌站行业实现销</w:t>
      </w:r>
      <w:r>
        <w:rPr>
          <w:spacing w:val="-46"/>
        </w:rPr>
        <w:t> </w:t>
      </w:r>
      <w:r>
        <w:rPr>
          <w:spacing w:val="-46"/>
        </w:rPr>
      </w:r>
      <w:r>
        <w:rPr/>
        <w:t>售收入</w:t>
      </w:r>
      <w:r>
        <w:rPr>
          <w:rFonts w:ascii="Times New Roman" w:hAnsi="Times New Roman" w:cs="Times New Roman" w:eastAsia="Times New Roman" w:hint="default"/>
        </w:rPr>
        <w:t>11,386.53</w:t>
      </w:r>
      <w:r>
        <w:rPr/>
        <w:t>万元，同比增长</w:t>
      </w:r>
      <w:r>
        <w:rPr>
          <w:rFonts w:ascii="Times New Roman" w:hAnsi="Times New Roman" w:cs="Times New Roman" w:eastAsia="Times New Roman" w:hint="default"/>
        </w:rPr>
        <w:t>50.10%</w:t>
      </w:r>
      <w:r>
        <w:rPr/>
        <w:t>。</w:t>
      </w:r>
    </w:p>
    <w:p>
      <w:pPr>
        <w:pStyle w:val="BodyText"/>
        <w:spacing w:line="300" w:lineRule="auto" w:before="13"/>
        <w:ind w:left="513" w:right="986"/>
        <w:jc w:val="left"/>
      </w:pPr>
      <w:r>
        <w:rPr>
          <w:rFonts w:ascii="Times New Roman" w:hAnsi="Times New Roman" w:cs="Times New Roman" w:eastAsia="Times New Roman" w:hint="default"/>
        </w:rPr>
        <w:t>4</w:t>
      </w:r>
      <w:r>
        <w:rPr/>
        <w:t>、物流及智能仓储系统板块新一轮增长 </w:t>
      </w:r>
      <w:r>
        <w:rPr>
          <w:spacing w:val="-1"/>
        </w:rPr>
        <w:t>随着物流行业的快速发展，对智能仓储的需求日益增长，报告期，板块实现销售收入</w:t>
      </w:r>
      <w:r>
        <w:rPr>
          <w:rFonts w:ascii="Times New Roman" w:hAnsi="Times New Roman" w:cs="Times New Roman" w:eastAsia="Times New Roman" w:hint="default"/>
          <w:spacing w:val="-1"/>
        </w:rPr>
        <w:t>20,638.83</w:t>
      </w:r>
      <w:r>
        <w:rPr>
          <w:spacing w:val="-1"/>
        </w:rPr>
        <w:t>万元，同比增长</w:t>
      </w:r>
      <w:r>
        <w:rPr>
          <w:rFonts w:ascii="Times New Roman" w:hAnsi="Times New Roman" w:cs="Times New Roman" w:eastAsia="Times New Roman" w:hint="default"/>
          <w:spacing w:val="-1"/>
        </w:rPr>
        <w:t>19.05%</w:t>
      </w:r>
      <w:r>
        <w:rPr>
          <w:spacing w:val="-1"/>
        </w:rPr>
        <w:t>。</w:t>
      </w:r>
    </w:p>
    <w:p>
      <w:pPr>
        <w:pStyle w:val="BodyText"/>
        <w:spacing w:line="316" w:lineRule="auto" w:before="13"/>
        <w:ind w:right="1131"/>
        <w:jc w:val="both"/>
      </w:pPr>
      <w:r>
        <w:rPr>
          <w:spacing w:val="-2"/>
        </w:rPr>
        <w:t>公司在智能仓储业务方面取得重大突破，与国内著名的电商物流企业京东、唯品会、苏宁、当当等建立和持续保持业务合作</w:t>
      </w:r>
      <w:r>
        <w:rPr>
          <w:spacing w:val="-64"/>
        </w:rPr>
        <w:t> </w:t>
      </w:r>
      <w:r>
        <w:rPr>
          <w:spacing w:val="-64"/>
        </w:rPr>
      </w:r>
      <w:r>
        <w:rPr/>
        <w:t>关系。</w:t>
      </w:r>
    </w:p>
    <w:p>
      <w:pPr>
        <w:pStyle w:val="BodyText"/>
        <w:spacing w:line="316" w:lineRule="auto" w:before="19"/>
        <w:ind w:left="513" w:right="986"/>
        <w:jc w:val="left"/>
      </w:pPr>
      <w:r>
        <w:rPr/>
        <w:t>（二）研发创新能力不断提升 </w:t>
      </w:r>
      <w:r>
        <w:rPr>
          <w:spacing w:val="-2"/>
        </w:rPr>
        <w:t>公司深入实施创新驱动发展战略，着力提升自主研发创新能力，把握市场趋势，积极展开公司未来新业务、新应用领域</w:t>
      </w:r>
    </w:p>
    <w:p>
      <w:pPr>
        <w:pStyle w:val="BodyText"/>
        <w:spacing w:line="300" w:lineRule="auto" w:before="19"/>
        <w:ind w:left="513" w:right="1113" w:hanging="361"/>
        <w:jc w:val="left"/>
      </w:pPr>
      <w:r>
        <w:rPr/>
        <w:t>的重要布局。报告期内，公司强化技术革新和产品升级，加大新技术和新产品的研发投入，研发费用占销售收入</w:t>
      </w:r>
      <w:r>
        <w:rPr>
          <w:rFonts w:ascii="Times New Roman" w:hAnsi="Times New Roman" w:cs="Times New Roman" w:eastAsia="Times New Roman" w:hint="default"/>
        </w:rPr>
        <w:t>5.66%</w:t>
      </w:r>
      <w:r>
        <w:rPr/>
        <w:t>。 主要围绕研究院</w:t>
      </w:r>
      <w:r>
        <w:rPr>
          <w:rFonts w:ascii="Times New Roman" w:hAnsi="Times New Roman" w:cs="Times New Roman" w:eastAsia="Times New Roman" w:hint="default"/>
        </w:rPr>
        <w:t>/</w:t>
      </w:r>
      <w:r>
        <w:rPr/>
        <w:t>省级工程技术中心</w:t>
      </w:r>
      <w:r>
        <w:rPr>
          <w:rFonts w:ascii="Times New Roman" w:hAnsi="Times New Roman" w:cs="Times New Roman" w:eastAsia="Times New Roman" w:hint="default"/>
        </w:rPr>
        <w:t>/</w:t>
      </w:r>
      <w:r>
        <w:rPr/>
        <w:t>城市级智慧停车服务平台研发实验室博士后流动站、智能立体车库研发实验室、充</w:t>
      </w:r>
    </w:p>
    <w:p>
      <w:pPr>
        <w:pStyle w:val="BodyText"/>
        <w:spacing w:line="309" w:lineRule="auto" w:before="13"/>
        <w:ind w:right="1130"/>
        <w:jc w:val="both"/>
      </w:pPr>
      <w:r>
        <w:rPr/>
        <w:t>电大巴库研发实验室、</w:t>
      </w:r>
      <w:r>
        <w:rPr>
          <w:rFonts w:ascii="Times New Roman" w:hAnsi="Times New Roman" w:cs="Times New Roman" w:eastAsia="Times New Roman" w:hint="default"/>
        </w:rPr>
        <w:t>AGV</w:t>
      </w:r>
      <w:r>
        <w:rPr/>
        <w:t>智能停车研发实验室、立体车库工业互联管理系统研发实验室建设，及面向智慧矿山的带式输</w:t>
      </w:r>
      <w:r>
        <w:rPr>
          <w:spacing w:val="-35"/>
        </w:rPr>
        <w:t> </w:t>
      </w:r>
      <w:r>
        <w:rPr>
          <w:spacing w:val="-35"/>
        </w:rPr>
      </w:r>
      <w:r>
        <w:rPr>
          <w:spacing w:val="-2"/>
        </w:rPr>
        <w:t>送机智能装备及安全技术研发与产业化、井下防爆型变频张紧控制技术研发、变频张紧控制技术研发、张紧卷带一体控制技</w:t>
      </w:r>
      <w:r>
        <w:rPr>
          <w:spacing w:val="-63"/>
        </w:rPr>
        <w:t> </w:t>
      </w:r>
      <w:r>
        <w:rPr>
          <w:spacing w:val="-63"/>
        </w:rPr>
      </w:r>
      <w:r>
        <w:rPr/>
        <w:t>术研发、机制砂及石膏砂浆项目研发。</w:t>
      </w:r>
    </w:p>
    <w:p>
      <w:pPr>
        <w:pStyle w:val="BodyText"/>
        <w:spacing w:line="300" w:lineRule="auto" w:before="24"/>
        <w:ind w:right="1126" w:firstLine="360"/>
        <w:jc w:val="both"/>
        <w:rPr>
          <w:rFonts w:ascii="Times New Roman" w:hAnsi="Times New Roman" w:cs="Times New Roman" w:eastAsia="Times New Roman" w:hint="default"/>
        </w:rPr>
      </w:pPr>
      <w:r>
        <w:rPr>
          <w:spacing w:val="-2"/>
        </w:rPr>
        <w:t>公司进一步加强了科技成果申报和知识产权保护，加快公司核心竞争能力的提升。</w:t>
      </w:r>
      <w:r>
        <w:rPr>
          <w:rFonts w:ascii="Times New Roman" w:hAnsi="Times New Roman" w:cs="Times New Roman" w:eastAsia="Times New Roman" w:hint="default"/>
          <w:spacing w:val="-2"/>
        </w:rPr>
        <w:t>2019</w:t>
      </w:r>
      <w:r>
        <w:rPr>
          <w:spacing w:val="-2"/>
        </w:rPr>
        <w:t>年公司共申请专利</w:t>
      </w:r>
      <w:r>
        <w:rPr>
          <w:rFonts w:ascii="Times New Roman" w:hAnsi="Times New Roman" w:cs="Times New Roman" w:eastAsia="Times New Roman" w:hint="default"/>
          <w:spacing w:val="-2"/>
        </w:rPr>
        <w:t>50</w:t>
      </w:r>
      <w:r>
        <w:rPr>
          <w:spacing w:val="-2"/>
        </w:rPr>
        <w:t>项（其中发</w:t>
      </w:r>
      <w:r>
        <w:rPr/>
        <w:t> </w:t>
      </w:r>
      <w:r>
        <w:rPr>
          <w:spacing w:val="-2"/>
        </w:rPr>
        <w:t>明专利</w:t>
      </w:r>
      <w:r>
        <w:rPr>
          <w:rFonts w:ascii="Times New Roman" w:hAnsi="Times New Roman" w:cs="Times New Roman" w:eastAsia="Times New Roman" w:hint="default"/>
          <w:spacing w:val="-2"/>
        </w:rPr>
        <w:t>22</w:t>
      </w:r>
      <w:r>
        <w:rPr>
          <w:spacing w:val="-2"/>
        </w:rPr>
        <w:t>项），授权专利</w:t>
      </w:r>
      <w:r>
        <w:rPr>
          <w:rFonts w:ascii="Times New Roman" w:hAnsi="Times New Roman" w:cs="Times New Roman" w:eastAsia="Times New Roman" w:hint="default"/>
          <w:spacing w:val="-2"/>
        </w:rPr>
        <w:t>38</w:t>
      </w:r>
      <w:r>
        <w:rPr>
          <w:spacing w:val="-2"/>
        </w:rPr>
        <w:t>项。</w:t>
      </w:r>
      <w:r>
        <w:rPr>
          <w:rFonts w:ascii="Times New Roman" w:hAnsi="Times New Roman" w:cs="Times New Roman" w:eastAsia="Times New Roman" w:hint="default"/>
          <w:spacing w:val="-2"/>
        </w:rPr>
        <w:t>2019</w:t>
      </w:r>
      <w:r>
        <w:rPr>
          <w:spacing w:val="-2"/>
        </w:rPr>
        <w:t>年，依托子公司伟创自动化的</w:t>
      </w:r>
      <w:r>
        <w:rPr>
          <w:rFonts w:ascii="Times New Roman" w:hAnsi="Times New Roman" w:cs="Times New Roman" w:eastAsia="Times New Roman" w:hint="default"/>
          <w:spacing w:val="-2"/>
        </w:rPr>
        <w:t>“</w:t>
      </w:r>
      <w:r>
        <w:rPr>
          <w:spacing w:val="-2"/>
        </w:rPr>
        <w:t>广东智能立体停车设备工程技术研究中心</w:t>
      </w:r>
      <w:r>
        <w:rPr>
          <w:rFonts w:ascii="Times New Roman" w:hAnsi="Times New Roman" w:cs="Times New Roman" w:eastAsia="Times New Roman" w:hint="default"/>
          <w:spacing w:val="-2"/>
        </w:rPr>
        <w:t>”</w:t>
      </w:r>
      <w:r>
        <w:rPr>
          <w:spacing w:val="-2"/>
        </w:rPr>
        <w:t>共完成了前瞻</w:t>
      </w:r>
      <w:r>
        <w:rPr>
          <w:spacing w:val="-44"/>
        </w:rPr>
        <w:t> </w:t>
      </w:r>
      <w:r>
        <w:rPr/>
        <w:t>性研发项目</w:t>
      </w:r>
      <w:r>
        <w:rPr>
          <w:rFonts w:ascii="Times New Roman" w:hAnsi="Times New Roman" w:cs="Times New Roman" w:eastAsia="Times New Roman" w:hint="default"/>
        </w:rPr>
        <w:t>65</w:t>
      </w:r>
      <w:r>
        <w:rPr/>
        <w:t>项。为了满足未来新能源汽车充电的需要，研发了新能源汽车立体车库充电技术；开发了载车板式搬运</w:t>
      </w:r>
      <w:r>
        <w:rPr>
          <w:rFonts w:ascii="Times New Roman" w:hAnsi="Times New Roman" w:cs="Times New Roman" w:eastAsia="Times New Roman" w:hint="default"/>
        </w:rPr>
        <w:t>AGV</w:t>
      </w:r>
    </w:p>
    <w:p>
      <w:pPr>
        <w:spacing w:after="0" w:line="300"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ind w:right="986"/>
        <w:jc w:val="left"/>
      </w:pPr>
      <w:r>
        <w:rPr/>
        <w:t>机器人，载车板式搬运不受任何汽车轴距及汽车底盘高度的限制。截至报告期末，公司及各子公司合计拥有已授权有效专利</w:t>
      </w:r>
    </w:p>
    <w:p>
      <w:pPr>
        <w:pStyle w:val="BodyText"/>
        <w:spacing w:line="240" w:lineRule="auto" w:before="77"/>
        <w:ind w:right="986"/>
        <w:jc w:val="left"/>
      </w:pPr>
      <w:r>
        <w:rPr>
          <w:rFonts w:ascii="Times New Roman" w:hAnsi="Times New Roman" w:cs="Times New Roman" w:eastAsia="Times New Roman" w:hint="default"/>
        </w:rPr>
        <w:t>366</w:t>
      </w:r>
      <w:r>
        <w:rPr/>
        <w:t>项（其中发明专利</w:t>
      </w:r>
      <w:r>
        <w:rPr>
          <w:rFonts w:ascii="Times New Roman" w:hAnsi="Times New Roman" w:cs="Times New Roman" w:eastAsia="Times New Roman" w:hint="default"/>
        </w:rPr>
        <w:t>69</w:t>
      </w:r>
      <w:r>
        <w:rPr/>
        <w:t>项，实用新型专利</w:t>
      </w:r>
      <w:r>
        <w:rPr>
          <w:rFonts w:ascii="Times New Roman" w:hAnsi="Times New Roman" w:cs="Times New Roman" w:eastAsia="Times New Roman" w:hint="default"/>
        </w:rPr>
        <w:t>292</w:t>
      </w:r>
      <w:r>
        <w:rPr/>
        <w:t>项</w:t>
      </w:r>
      <w:r>
        <w:rPr>
          <w:rFonts w:ascii="Times New Roman" w:hAnsi="Times New Roman" w:cs="Times New Roman" w:eastAsia="Times New Roman" w:hint="default"/>
        </w:rPr>
        <w:t>,</w:t>
      </w:r>
      <w:r>
        <w:rPr/>
        <w:t>外观专利</w:t>
      </w:r>
      <w:r>
        <w:rPr>
          <w:rFonts w:ascii="Times New Roman" w:hAnsi="Times New Roman" w:cs="Times New Roman" w:eastAsia="Times New Roman" w:hint="default"/>
        </w:rPr>
        <w:t>5</w:t>
      </w:r>
      <w:r>
        <w:rPr/>
        <w:t>项），拥有软件著作权</w:t>
      </w:r>
      <w:r>
        <w:rPr>
          <w:rFonts w:ascii="Times New Roman" w:hAnsi="Times New Roman" w:cs="Times New Roman" w:eastAsia="Times New Roman" w:hint="default"/>
        </w:rPr>
        <w:t>28</w:t>
      </w:r>
      <w:r>
        <w:rPr/>
        <w:t>项。</w:t>
      </w:r>
    </w:p>
    <w:p>
      <w:pPr>
        <w:pStyle w:val="BodyText"/>
        <w:spacing w:line="240" w:lineRule="auto" w:before="63"/>
        <w:ind w:left="513" w:right="986"/>
        <w:jc w:val="left"/>
      </w:pPr>
      <w:r>
        <w:rPr/>
        <w:t>（三）并购整合工作不断深化</w:t>
      </w:r>
    </w:p>
    <w:p>
      <w:pPr>
        <w:pStyle w:val="BodyText"/>
        <w:spacing w:line="309" w:lineRule="auto" w:before="76"/>
        <w:ind w:right="986" w:firstLine="360"/>
        <w:jc w:val="left"/>
      </w:pPr>
      <w:r>
        <w:rPr>
          <w:rFonts w:ascii="Times New Roman" w:hAnsi="Times New Roman" w:cs="Times New Roman" w:eastAsia="Times New Roman" w:hint="default"/>
        </w:rPr>
        <w:t>2015</w:t>
      </w:r>
      <w:r>
        <w:rPr/>
        <w:t>年公司并购深圳市伟创自动化设备有限公司，</w:t>
      </w:r>
      <w:r>
        <w:rPr>
          <w:rFonts w:ascii="Times New Roman" w:hAnsi="Times New Roman" w:cs="Times New Roman" w:eastAsia="Times New Roman" w:hint="default"/>
        </w:rPr>
        <w:t>2017</w:t>
      </w:r>
      <w:r>
        <w:rPr/>
        <w:t>年公司并购山东天辰智能停车有限公司，形成了</w:t>
      </w:r>
      <w:r>
        <w:rPr>
          <w:rFonts w:ascii="Times New Roman" w:hAnsi="Times New Roman" w:cs="Times New Roman" w:eastAsia="Times New Roman" w:hint="default"/>
        </w:rPr>
        <w:t>“</w:t>
      </w:r>
      <w:r>
        <w:rPr/>
        <w:t>南伟创，北天 </w:t>
      </w:r>
      <w:r>
        <w:rPr>
          <w:spacing w:val="-2"/>
        </w:rPr>
        <w:t>辰</w:t>
      </w:r>
      <w:r>
        <w:rPr>
          <w:rFonts w:ascii="Times New Roman" w:hAnsi="Times New Roman" w:cs="Times New Roman" w:eastAsia="Times New Roman" w:hint="default"/>
          <w:spacing w:val="-2"/>
        </w:rPr>
        <w:t>”</w:t>
      </w:r>
      <w:r>
        <w:rPr>
          <w:spacing w:val="-2"/>
        </w:rPr>
        <w:t>的机械式立体停车设备行业格局。报告期内，公司进一步整合收购的两家企业，在充分发挥两家公司主观能动性的同时，</w:t>
      </w:r>
      <w:r>
        <w:rPr>
          <w:spacing w:val="-53"/>
        </w:rPr>
        <w:t> </w:t>
      </w:r>
      <w:r>
        <w:rPr>
          <w:spacing w:val="-53"/>
        </w:rPr>
      </w:r>
      <w:r>
        <w:rPr>
          <w:spacing w:val="-2"/>
        </w:rPr>
        <w:t>注重两家公司协同效应的发挥，在采购、生产、运输、研发、销售等方面进行整合，使得业绩快速增长。着力打造五大生产</w:t>
      </w:r>
      <w:r>
        <w:rPr>
          <w:spacing w:val="-71"/>
        </w:rPr>
        <w:t> </w:t>
      </w:r>
      <w:r>
        <w:rPr>
          <w:spacing w:val="-71"/>
        </w:rPr>
      </w:r>
      <w:r>
        <w:rPr>
          <w:spacing w:val="-2"/>
        </w:rPr>
        <w:t>基地建设，实现五大基地同时向单一订单供货；供应链一体化，实现规模化和板块化整体采购；逐步实现车库安装、服务一</w:t>
      </w:r>
      <w:r>
        <w:rPr>
          <w:spacing w:val="-67"/>
        </w:rPr>
        <w:t> </w:t>
      </w:r>
      <w:r>
        <w:rPr>
          <w:spacing w:val="-67"/>
        </w:rPr>
      </w:r>
      <w:r>
        <w:rPr/>
        <w:t>体化布局。</w:t>
      </w:r>
    </w:p>
    <w:p>
      <w:pPr>
        <w:pStyle w:val="BodyText"/>
        <w:spacing w:line="300" w:lineRule="auto" w:before="24"/>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月，公司控股的疌盛产业基金收购了长安停车投资管理（上海）有限公司，构建五洋停车投资运营板块，实现 运营板块管理团队、投资团队、运营团队、技术团队专业化分工与合作。</w:t>
      </w:r>
    </w:p>
    <w:p>
      <w:pPr>
        <w:pStyle w:val="BodyText"/>
        <w:spacing w:line="316" w:lineRule="auto" w:before="31"/>
        <w:ind w:left="513" w:right="1127"/>
        <w:jc w:val="left"/>
      </w:pPr>
      <w:r>
        <w:rPr/>
        <w:t>（四）产业与平台发展实力不断巩固 </w:t>
      </w:r>
      <w:r>
        <w:rPr>
          <w:spacing w:val="-1"/>
        </w:rPr>
        <w:t>乘政策东风，践行</w:t>
      </w:r>
      <w:r>
        <w:rPr>
          <w:rFonts w:ascii="Times New Roman" w:hAnsi="Times New Roman" w:cs="Times New Roman" w:eastAsia="Times New Roman" w:hint="default"/>
          <w:spacing w:val="-1"/>
        </w:rPr>
        <w:t>“</w:t>
      </w:r>
      <w:r>
        <w:rPr>
          <w:spacing w:val="-1"/>
        </w:rPr>
        <w:t>智能制造</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投资运营</w:t>
      </w:r>
      <w:r>
        <w:rPr>
          <w:rFonts w:ascii="Times New Roman" w:hAnsi="Times New Roman" w:cs="Times New Roman" w:eastAsia="Times New Roman" w:hint="default"/>
          <w:spacing w:val="-1"/>
        </w:rPr>
        <w:t>”</w:t>
      </w:r>
      <w:r>
        <w:rPr>
          <w:spacing w:val="-1"/>
        </w:rPr>
        <w:t>双轮战略，公司围绕五大生产基地建设、人才团队建设、新产品新技术研发</w:t>
      </w:r>
    </w:p>
    <w:p>
      <w:pPr>
        <w:pStyle w:val="BodyText"/>
        <w:spacing w:line="235" w:lineRule="exact" w:before="0"/>
        <w:ind w:right="986"/>
        <w:jc w:val="left"/>
      </w:pPr>
      <w:r>
        <w:rPr/>
        <w:t>和重点实验室建设、集团供应链体系和信息化体系建设等，夯实公司产业和平台基础，保证公司可持续性快速发展。</w:t>
      </w:r>
    </w:p>
    <w:p>
      <w:pPr>
        <w:pStyle w:val="BodyText"/>
        <w:spacing w:line="316" w:lineRule="auto" w:before="77"/>
        <w:ind w:left="532" w:right="986" w:hanging="20"/>
        <w:jc w:val="left"/>
      </w:pPr>
      <w:r>
        <w:rPr/>
        <w:t>（五）稳健发展，回报股东 公司积极开展投资者关系管理工作，着力维护市场稳定，保障全体股东利益。报告期内，认真履行信息披露义务，不</w:t>
      </w:r>
    </w:p>
    <w:p>
      <w:pPr>
        <w:pStyle w:val="BodyText"/>
        <w:spacing w:line="316" w:lineRule="auto" w:before="19"/>
        <w:ind w:right="986"/>
        <w:jc w:val="left"/>
      </w:pPr>
      <w:r>
        <w:rPr>
          <w:spacing w:val="-2"/>
        </w:rPr>
        <w:t>断提高信息披露质量，并在遵守规定的前提下，通过投资者热线、互动易平台、机构投资者交流会、业绩说明会等方式保障</w:t>
      </w:r>
      <w:r>
        <w:rPr>
          <w:spacing w:val="-67"/>
        </w:rPr>
        <w:t> </w:t>
      </w:r>
      <w:r>
        <w:rPr>
          <w:spacing w:val="-67"/>
        </w:rPr>
      </w:r>
      <w:r>
        <w:rPr/>
        <w:t>了投资者与公司的畅通互动与交流，增强了公司运作透明度。</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98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1,291,377,836.40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1,002,076,417.42</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28.87%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1,254,626,144.75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97.15%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986,295,062.18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98.43%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27.21%</w:t>
            </w:r>
          </w:p>
        </w:tc>
      </w:tr>
      <w:tr>
        <w:trPr>
          <w:trHeight w:val="71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6"/>
              <w:jc w:val="left"/>
              <w:rPr>
                <w:rFonts w:ascii="宋体" w:hAnsi="宋体" w:cs="宋体" w:eastAsia="宋体" w:hint="default"/>
                <w:sz w:val="18"/>
                <w:szCs w:val="18"/>
              </w:rPr>
            </w:pPr>
            <w:r>
              <w:rPr>
                <w:rFonts w:ascii="宋体" w:hAnsi="宋体" w:cs="宋体" w:eastAsia="宋体" w:hint="default"/>
                <w:sz w:val="18"/>
                <w:szCs w:val="18"/>
              </w:rPr>
              <w:t>其他电子设备制造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10,199,370.47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5,334,838.13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0.53%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91.18%</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6,996,141.53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3,157,622.45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121.56%</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5,172,367.87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2,192,735.09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135.89%</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14,383,811.78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5,096,159.57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散料搬运核心装置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114,473,797.14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111,694,400.68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113,865,281.15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75,860,014.71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2,749,497.76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3,975,914.47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主体车库及其安装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817,149,271.55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621,405,350.29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31.50%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成套生产线及安装 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206,388,297.15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173,359,382.03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固态电子盘及其他 存储设备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10,199,370.47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5,334,838.13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91.18%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6,996,141.53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3,157,622.45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5,172,367.87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2,192,735.09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14,383,811.78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5,096,159.57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129,751,203.29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95,830,008.67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114,368,333.94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106,883,125.46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494,649,911.23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328,136,497.26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306,075,584.02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274,860,036.02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11,965,617.68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6,906,277.41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110,827,522.72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111,384,842.59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123,739,663.52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78,075,630.01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58.49%</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1,138,011,365.84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749,627,603.25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主体车库及其安 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817,149,271.55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534,084,552.47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成套生产线及安 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206,388,297.15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153,526,698.80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散料搬运核心装 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114,473,797.14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62,016,351.98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126,425,706.63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81,268,459.21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90,778,524.35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59,574,898.18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429,544,008.93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281,317,377.22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299,108,010.89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206,188,946.67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7,859,560.50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5,133,459.89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82,083,495.36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48,518,765.84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102,212,059.18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67,625,696.24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r>
    </w:tbl>
    <w:p>
      <w:pPr>
        <w:pStyle w:val="BodyText"/>
        <w:spacing w:line="240" w:lineRule="auto" w:before="49"/>
        <w:ind w:right="98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散料搬运核心装备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-11.76%</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27.59%</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主体车库及其安装 服务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31.74%</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32.97%</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成套生产线及其安 装服务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16.79%</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986"/>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年度车库、生产线及搅拌站等专业设备订单较好，销量及销售额有较大提升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98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10034"/>
        <w:jc w:val="left"/>
      </w:pPr>
      <w:r>
        <w:rPr/>
        <w:t>产品分类 产品分类</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611,702,416.51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468,277,929.26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71.89%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112,883,324.15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84,403,256.83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123,931,591.75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98,680,639.16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848,517,332.41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651,361,825.25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570"/>
        <w:gridCol w:w="1275"/>
        <w:gridCol w:w="1560"/>
        <w:gridCol w:w="1560"/>
        <w:gridCol w:w="1560"/>
        <w:gridCol w:w="1133"/>
      </w:tblGrid>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32"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五洋智慧交通</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7,040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6400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90.91%</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北京泊创</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20.46</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182,291,089.64</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57,485,088.80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41,986,209.33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34,264,529.91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27,078,450.00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21,476,811.60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182,291,089.64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14.11%</w:t>
            </w:r>
          </w:p>
        </w:tc>
      </w:tr>
    </w:tbl>
    <w:p>
      <w:pPr>
        <w:pStyle w:val="BodyText"/>
        <w:spacing w:line="240" w:lineRule="auto" w:before="49"/>
        <w:ind w:right="986"/>
        <w:jc w:val="left"/>
      </w:pPr>
      <w:r>
        <w:rPr/>
        <w:t>主要客户其他情况说明</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155,126,159.18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55,042,939.82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47,007,151.27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26,637,132.45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14,322,188.90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12,116,746.74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155,126,159.18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18.21%</w:t>
            </w:r>
          </w:p>
        </w:tc>
      </w:tr>
    </w:tbl>
    <w:p>
      <w:pPr>
        <w:pStyle w:val="BodyText"/>
        <w:spacing w:line="240" w:lineRule="auto" w:before="49"/>
        <w:ind w:right="986"/>
        <w:jc w:val="left"/>
      </w:pPr>
      <w:r>
        <w:rPr/>
        <w:t>主要供应商其他情况说明</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60" w:right="0"/>
              <w:jc w:val="left"/>
              <w:rPr>
                <w:rFonts w:ascii="Times New Roman" w:hAnsi="Times New Roman" w:cs="Times New Roman" w:eastAsia="Times New Roman" w:hint="default"/>
                <w:sz w:val="18"/>
                <w:szCs w:val="18"/>
              </w:rPr>
            </w:pPr>
            <w:r>
              <w:rPr>
                <w:rFonts w:ascii="Times New Roman"/>
                <w:sz w:val="18"/>
              </w:rPr>
              <w:t>89,940,224.85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75,507,986.44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66,372,988.94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59,789,097.09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12,883,413.63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5,784,266.68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122.73%</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借款增加导致财务费用较上年增长</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122.73%</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73,046,221.98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59,234,455.97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left="0" w:right="2091"/>
        <w:jc w:val="right"/>
      </w:pPr>
      <w:r>
        <w:rPr/>
        <w:pict>
          <v:shape style="position:absolute;margin-left:56.279999pt;margin-top:-19.008312pt;width:431.05pt;height:163.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6"/>
                    <w:gridCol w:w="1711"/>
                    <w:gridCol w:w="1441"/>
                    <w:gridCol w:w="2955"/>
                    <w:gridCol w:w="1906"/>
                  </w:tblGrid>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功用和目标</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对公司未来的影响</w:t>
                        </w:r>
                      </w:p>
                    </w:tc>
                  </w:tr>
                  <w:tr>
                    <w:trPr>
                      <w:trHeight w:val="128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9"/>
                          <w:jc w:val="left"/>
                          <w:rPr>
                            <w:rFonts w:ascii="宋体" w:hAnsi="宋体" w:cs="宋体" w:eastAsia="宋体" w:hint="default"/>
                            <w:sz w:val="18"/>
                            <w:szCs w:val="18"/>
                          </w:rPr>
                        </w:pPr>
                        <w:r>
                          <w:rPr>
                            <w:rFonts w:ascii="宋体" w:hAnsi="宋体" w:cs="宋体" w:eastAsia="宋体" w:hint="default"/>
                            <w:sz w:val="18"/>
                            <w:szCs w:val="18"/>
                          </w:rPr>
                          <w:t>横向推升式汽车智 能搬运器</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22"/>
                          <w:jc w:val="both"/>
                          <w:rPr>
                            <w:rFonts w:ascii="宋体" w:hAnsi="宋体" w:cs="宋体" w:eastAsia="宋体" w:hint="default"/>
                            <w:sz w:val="18"/>
                            <w:szCs w:val="18"/>
                          </w:rPr>
                        </w:pPr>
                        <w:r>
                          <w:rPr>
                            <w:rFonts w:ascii="宋体" w:hAnsi="宋体" w:cs="宋体" w:eastAsia="宋体" w:hint="default"/>
                            <w:spacing w:val="-3"/>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已经投入批量生</w:t>
                        </w:r>
                        <w:r>
                          <w:rPr>
                            <w:rFonts w:ascii="宋体" w:hAnsi="宋体" w:cs="宋体" w:eastAsia="宋体" w:hint="default"/>
                            <w:spacing w:val="-64"/>
                            <w:sz w:val="18"/>
                            <w:szCs w:val="18"/>
                          </w:rPr>
                          <w:t> </w:t>
                        </w:r>
                        <w:r>
                          <w:rPr>
                            <w:rFonts w:ascii="宋体" w:hAnsi="宋体" w:cs="宋体" w:eastAsia="宋体" w:hint="default"/>
                            <w:sz w:val="18"/>
                            <w:szCs w:val="18"/>
                          </w:rPr>
                          <w:t>产</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jc w:val="both"/>
                          <w:rPr>
                            <w:rFonts w:ascii="宋体" w:hAnsi="宋体" w:cs="宋体" w:eastAsia="宋体" w:hint="default"/>
                            <w:sz w:val="18"/>
                            <w:szCs w:val="18"/>
                          </w:rPr>
                        </w:pPr>
                        <w:r>
                          <w:rPr>
                            <w:rFonts w:ascii="宋体" w:hAnsi="宋体" w:cs="宋体" w:eastAsia="宋体" w:hint="default"/>
                            <w:spacing w:val="3"/>
                            <w:sz w:val="18"/>
                            <w:szCs w:val="18"/>
                          </w:rPr>
                          <w:t>作用与四点举升梳齿交换汽车智能搬</w:t>
                        </w:r>
                        <w:r>
                          <w:rPr>
                            <w:rFonts w:ascii="宋体" w:hAnsi="宋体" w:cs="宋体" w:eastAsia="宋体" w:hint="default"/>
                            <w:sz w:val="18"/>
                            <w:szCs w:val="18"/>
                          </w:rPr>
                          <w:t> </w:t>
                        </w:r>
                        <w:r>
                          <w:rPr>
                            <w:rFonts w:ascii="宋体" w:hAnsi="宋体" w:cs="宋体" w:eastAsia="宋体" w:hint="default"/>
                            <w:spacing w:val="3"/>
                            <w:sz w:val="18"/>
                            <w:szCs w:val="18"/>
                          </w:rPr>
                          <w:t>运器相同，只是搬运器运行方向为横</w:t>
                        </w:r>
                        <w:r>
                          <w:rPr>
                            <w:rFonts w:ascii="宋体" w:hAnsi="宋体" w:cs="宋体" w:eastAsia="宋体" w:hint="default"/>
                            <w:sz w:val="18"/>
                            <w:szCs w:val="18"/>
                          </w:rPr>
                          <w:t> </w:t>
                        </w:r>
                        <w:r>
                          <w:rPr>
                            <w:rFonts w:ascii="宋体" w:hAnsi="宋体" w:cs="宋体" w:eastAsia="宋体" w:hint="default"/>
                            <w:spacing w:val="3"/>
                            <w:sz w:val="18"/>
                            <w:szCs w:val="18"/>
                          </w:rPr>
                          <w:t>向移动，从车辆侧面进入车底搬运，</w:t>
                        </w:r>
                        <w:r>
                          <w:rPr>
                            <w:rFonts w:ascii="宋体" w:hAnsi="宋体" w:cs="宋体" w:eastAsia="宋体" w:hint="default"/>
                            <w:sz w:val="18"/>
                            <w:szCs w:val="18"/>
                          </w:rPr>
                          <w:t> 达到国内领先水平</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0"/>
                          <w:jc w:val="left"/>
                          <w:rPr>
                            <w:rFonts w:ascii="宋体" w:hAnsi="宋体" w:cs="宋体" w:eastAsia="宋体" w:hint="default"/>
                            <w:sz w:val="18"/>
                            <w:szCs w:val="18"/>
                          </w:rPr>
                        </w:pPr>
                        <w:r>
                          <w:rPr>
                            <w:rFonts w:ascii="宋体" w:hAnsi="宋体" w:cs="宋体" w:eastAsia="宋体" w:hint="default"/>
                            <w:sz w:val="18"/>
                            <w:szCs w:val="18"/>
                          </w:rPr>
                          <w:t>增加品种，提高竞争力 </w:t>
                        </w:r>
                        <w:r>
                          <w:rPr>
                            <w:rFonts w:ascii="宋体" w:hAnsi="宋体" w:cs="宋体" w:eastAsia="宋体" w:hint="default"/>
                            <w:spacing w:val="9"/>
                            <w:sz w:val="18"/>
                            <w:szCs w:val="18"/>
                          </w:rPr>
                          <w:t>并在特定空间下有结构</w:t>
                        </w:r>
                        <w:r>
                          <w:rPr>
                            <w:rFonts w:ascii="宋体" w:hAnsi="宋体" w:cs="宋体" w:eastAsia="宋体" w:hint="default"/>
                            <w:spacing w:val="9"/>
                            <w:sz w:val="18"/>
                            <w:szCs w:val="18"/>
                          </w:rPr>
                          <w:t> </w:t>
                        </w:r>
                        <w:r>
                          <w:rPr>
                            <w:rFonts w:ascii="宋体" w:hAnsi="宋体" w:cs="宋体" w:eastAsia="宋体" w:hint="default"/>
                            <w:sz w:val="18"/>
                            <w:szCs w:val="18"/>
                          </w:rPr>
                          <w:t>上优势</w:t>
                        </w:r>
                      </w:p>
                    </w:tc>
                  </w:tr>
                  <w:tr>
                    <w:trPr>
                      <w:trHeight w:val="97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9"/>
                          <w:jc w:val="left"/>
                          <w:rPr>
                            <w:rFonts w:ascii="宋体" w:hAnsi="宋体" w:cs="宋体" w:eastAsia="宋体" w:hint="default"/>
                            <w:sz w:val="18"/>
                            <w:szCs w:val="18"/>
                          </w:rPr>
                        </w:pPr>
                        <w:r>
                          <w:rPr>
                            <w:rFonts w:ascii="宋体" w:hAnsi="宋体" w:cs="宋体" w:eastAsia="宋体" w:hint="default"/>
                            <w:sz w:val="18"/>
                            <w:szCs w:val="18"/>
                          </w:rPr>
                          <w:t>重型车提升移行搬 运设备研发应用</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自主研发，已经完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成研发，导入订单</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pacing w:val="3"/>
                            <w:sz w:val="18"/>
                            <w:szCs w:val="18"/>
                          </w:rPr>
                          <w:t>适用于商用车（大巴、清洁车、货车</w:t>
                        </w:r>
                        <w:r>
                          <w:rPr>
                            <w:rFonts w:ascii="宋体" w:hAnsi="宋体" w:cs="宋体" w:eastAsia="宋体" w:hint="default"/>
                            <w:sz w:val="18"/>
                            <w:szCs w:val="18"/>
                          </w:rPr>
                          <w:t> </w:t>
                        </w:r>
                        <w:r>
                          <w:rPr>
                            <w:rFonts w:ascii="宋体" w:hAnsi="宋体" w:cs="宋体" w:eastAsia="宋体" w:hint="default"/>
                            <w:spacing w:val="3"/>
                            <w:sz w:val="18"/>
                            <w:szCs w:val="18"/>
                          </w:rPr>
                          <w:t>及其他类似车辆）的搬运，解决了商</w:t>
                        </w:r>
                        <w:r>
                          <w:rPr>
                            <w:rFonts w:ascii="宋体" w:hAnsi="宋体" w:cs="宋体" w:eastAsia="宋体" w:hint="default"/>
                            <w:sz w:val="18"/>
                            <w:szCs w:val="18"/>
                          </w:rPr>
                          <w:t> 用车的立体车库的技术瓶颈。</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拓展了新的领域，带来 </w:t>
                        </w:r>
                        <w:r>
                          <w:rPr>
                            <w:rFonts w:ascii="宋体" w:hAnsi="宋体" w:cs="宋体" w:eastAsia="宋体" w:hint="default"/>
                            <w:sz w:val="18"/>
                            <w:szCs w:val="18"/>
                          </w:rPr>
                          <w:t>新的利润增长点。</w:t>
                        </w:r>
                      </w:p>
                    </w:tc>
                  </w:tr>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ZNC03A-0000</w:t>
                        </w:r>
                        <w:r>
                          <w:rPr>
                            <w:rFonts w:ascii="宋体" w:hAnsi="宋体" w:cs="宋体" w:eastAsia="宋体" w:hint="default"/>
                            <w:sz w:val="18"/>
                            <w:szCs w:val="18"/>
                          </w:rPr>
                          <w:t>伸缩</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齿式智能中跑车</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自主研发，已经完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成研发，导入订单</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实现伸缩式搬运器对原有产品进行优</w:t>
                        </w:r>
                        <w:r>
                          <w:rPr>
                            <w:rFonts w:ascii="宋体" w:hAnsi="宋体" w:cs="宋体" w:eastAsia="宋体" w:hint="default"/>
                            <w:sz w:val="18"/>
                            <w:szCs w:val="18"/>
                          </w:rPr>
                          <w:t> </w:t>
                        </w:r>
                        <w:r>
                          <w:rPr>
                            <w:rFonts w:ascii="宋体" w:hAnsi="宋体" w:cs="宋体" w:eastAsia="宋体" w:hint="default"/>
                            <w:spacing w:val="3"/>
                            <w:sz w:val="18"/>
                            <w:szCs w:val="18"/>
                          </w:rPr>
                          <w:t>化升级，并做标准化处理，增加不同</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9"/>
                            <w:sz w:val="18"/>
                            <w:szCs w:val="18"/>
                          </w:rPr>
                          <w:t>丰富产品线，提高产品 科技含量，增强品牌竞</w:t>
                        </w:r>
                        <w:r>
                          <w:rPr>
                            <w:rFonts w:ascii="宋体" w:hAnsi="宋体" w:cs="宋体" w:eastAsia="宋体" w:hint="default"/>
                            <w:sz w:val="18"/>
                            <w:szCs w:val="18"/>
                          </w:rPr>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0"/>
        <w:ind w:left="0" w:right="2091"/>
        <w:jc w:val="right"/>
      </w:pPr>
      <w:r>
        <w:rPr/>
        <w:pict>
          <v:shape style="position:absolute;margin-left:56.279999pt;margin-top:-83.228287pt;width:431.05pt;height:52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6"/>
                    <w:gridCol w:w="1711"/>
                    <w:gridCol w:w="1441"/>
                    <w:gridCol w:w="2955"/>
                    <w:gridCol w:w="1906"/>
                  </w:tblGrid>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产品间的互换性，使产品更适合批量</w:t>
                        </w:r>
                        <w:r>
                          <w:rPr>
                            <w:rFonts w:ascii="宋体" w:hAnsi="宋体" w:cs="宋体" w:eastAsia="宋体" w:hint="default"/>
                            <w:sz w:val="18"/>
                            <w:szCs w:val="18"/>
                          </w:rPr>
                          <w:t> 化生产。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争力。</w:t>
                        </w:r>
                      </w:p>
                    </w:tc>
                  </w:tr>
                  <w:tr>
                    <w:trPr>
                      <w:trHeight w:val="97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9"/>
                          <w:jc w:val="left"/>
                          <w:rPr>
                            <w:rFonts w:ascii="宋体" w:hAnsi="宋体" w:cs="宋体" w:eastAsia="宋体" w:hint="default"/>
                            <w:sz w:val="18"/>
                            <w:szCs w:val="18"/>
                          </w:rPr>
                        </w:pPr>
                        <w:r>
                          <w:rPr>
                            <w:rFonts w:ascii="宋体" w:hAnsi="宋体" w:cs="宋体" w:eastAsia="宋体" w:hint="default"/>
                            <w:sz w:val="18"/>
                            <w:szCs w:val="18"/>
                          </w:rPr>
                          <w:t>十层升降横移类机 械式停车设备</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自主研发，已经完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成研发，导入订单</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实现更高的车辆停放密度和空间利用</w:t>
                        </w:r>
                        <w:r>
                          <w:rPr>
                            <w:rFonts w:ascii="宋体" w:hAnsi="宋体" w:cs="宋体" w:eastAsia="宋体" w:hint="default"/>
                            <w:sz w:val="18"/>
                            <w:szCs w:val="18"/>
                          </w:rPr>
                          <w:t> 率。</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both"/>
                          <w:rPr>
                            <w:rFonts w:ascii="宋体" w:hAnsi="宋体" w:cs="宋体" w:eastAsia="宋体" w:hint="default"/>
                            <w:sz w:val="18"/>
                            <w:szCs w:val="18"/>
                          </w:rPr>
                        </w:pPr>
                        <w:r>
                          <w:rPr>
                            <w:rFonts w:ascii="宋体" w:hAnsi="宋体" w:cs="宋体" w:eastAsia="宋体" w:hint="default"/>
                            <w:spacing w:val="9"/>
                            <w:sz w:val="18"/>
                            <w:szCs w:val="18"/>
                          </w:rPr>
                          <w:t>丰富产品线，提高产品 科技含量，增强品牌竞 </w:t>
                        </w:r>
                        <w:r>
                          <w:rPr>
                            <w:rFonts w:ascii="宋体" w:hAnsi="宋体" w:cs="宋体" w:eastAsia="宋体" w:hint="default"/>
                            <w:sz w:val="18"/>
                            <w:szCs w:val="18"/>
                          </w:rPr>
                          <w:t>争力。</w:t>
                        </w:r>
                      </w:p>
                    </w:tc>
                  </w:tr>
                  <w:tr>
                    <w:trPr>
                      <w:trHeight w:val="972"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4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层巷道堆垛类机 械式停车设备</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自主研发，已经完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成研发，导入订单</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3"/>
                            <w:sz w:val="18"/>
                            <w:szCs w:val="18"/>
                          </w:rPr>
                          <w:t>搬运、存取车辆均由堆垛机完成，功</w:t>
                        </w:r>
                        <w:r>
                          <w:rPr>
                            <w:rFonts w:ascii="宋体" w:hAnsi="宋体" w:cs="宋体" w:eastAsia="宋体" w:hint="default"/>
                            <w:sz w:val="18"/>
                            <w:szCs w:val="18"/>
                          </w:rPr>
                          <w:t> </w:t>
                        </w:r>
                        <w:r>
                          <w:rPr>
                            <w:rFonts w:ascii="宋体" w:hAnsi="宋体" w:cs="宋体" w:eastAsia="宋体" w:hint="default"/>
                            <w:spacing w:val="3"/>
                            <w:sz w:val="18"/>
                            <w:szCs w:val="18"/>
                          </w:rPr>
                          <w:t>能与结构集成性高。最高停车层数处</w:t>
                        </w:r>
                        <w:r>
                          <w:rPr>
                            <w:rFonts w:ascii="宋体" w:hAnsi="宋体" w:cs="宋体" w:eastAsia="宋体" w:hint="default"/>
                            <w:sz w:val="18"/>
                            <w:szCs w:val="18"/>
                          </w:rPr>
                          <w:t> 于国内领先水平。</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增加品种，提高竞争力</w:t>
                        </w:r>
                      </w:p>
                    </w:tc>
                  </w:tr>
                  <w:tr>
                    <w:trPr>
                      <w:trHeight w:val="97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高效率车辆回转和传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输立体车库研发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提升存取车效率，改善用户体验</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both"/>
                          <w:rPr>
                            <w:rFonts w:ascii="宋体" w:hAnsi="宋体" w:cs="宋体" w:eastAsia="宋体" w:hint="default"/>
                            <w:sz w:val="18"/>
                            <w:szCs w:val="18"/>
                          </w:rPr>
                        </w:pPr>
                        <w:r>
                          <w:rPr>
                            <w:rFonts w:ascii="宋体" w:hAnsi="宋体" w:cs="宋体" w:eastAsia="宋体" w:hint="default"/>
                            <w:spacing w:val="9"/>
                            <w:sz w:val="18"/>
                            <w:szCs w:val="18"/>
                          </w:rPr>
                          <w:t>提升产品竞争力，抢占 市场份额，夯实行业地 </w:t>
                        </w:r>
                        <w:r>
                          <w:rPr>
                            <w:rFonts w:ascii="宋体" w:hAnsi="宋体" w:cs="宋体" w:eastAsia="宋体" w:hint="default"/>
                            <w:sz w:val="18"/>
                            <w:szCs w:val="18"/>
                          </w:rPr>
                          <w:t>位</w:t>
                        </w:r>
                      </w:p>
                    </w:tc>
                  </w:tr>
                  <w:tr>
                    <w:trPr>
                      <w:trHeight w:val="6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pacing w:val="7"/>
                            <w:sz w:val="18"/>
                            <w:szCs w:val="18"/>
                          </w:rPr>
                          <w:t>基于无线控制的智能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存取立体车库研发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智慧停车系统技术升级，拓宽产品应</w:t>
                        </w:r>
                        <w:r>
                          <w:rPr>
                            <w:rFonts w:ascii="宋体" w:hAnsi="宋体" w:cs="宋体" w:eastAsia="宋体" w:hint="default"/>
                            <w:sz w:val="18"/>
                            <w:szCs w:val="18"/>
                          </w:rPr>
                          <w:t> 用范围。</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0"/>
                          <w:jc w:val="left"/>
                          <w:rPr>
                            <w:rFonts w:ascii="宋体" w:hAnsi="宋体" w:cs="宋体" w:eastAsia="宋体" w:hint="default"/>
                            <w:sz w:val="18"/>
                            <w:szCs w:val="18"/>
                          </w:rPr>
                        </w:pPr>
                        <w:r>
                          <w:rPr>
                            <w:rFonts w:ascii="宋体" w:hAnsi="宋体" w:cs="宋体" w:eastAsia="宋体" w:hint="default"/>
                            <w:spacing w:val="9"/>
                            <w:sz w:val="18"/>
                            <w:szCs w:val="18"/>
                          </w:rPr>
                          <w:t>丰富产品线，提升公司 </w:t>
                        </w:r>
                        <w:r>
                          <w:rPr>
                            <w:rFonts w:ascii="宋体" w:hAnsi="宋体" w:cs="宋体" w:eastAsia="宋体" w:hint="default"/>
                            <w:sz w:val="18"/>
                            <w:szCs w:val="18"/>
                          </w:rPr>
                          <w:t>竞争力。</w:t>
                        </w:r>
                      </w:p>
                    </w:tc>
                  </w:tr>
                  <w:tr>
                    <w:trPr>
                      <w:trHeight w:val="65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链传动式智能提升及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落地立体车库研发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核心技术升级，提升产品性能</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提前储备产品，助力业 </w:t>
                        </w:r>
                        <w:r>
                          <w:rPr>
                            <w:rFonts w:ascii="宋体" w:hAnsi="宋体" w:cs="宋体" w:eastAsia="宋体" w:hint="default"/>
                            <w:sz w:val="18"/>
                            <w:szCs w:val="18"/>
                          </w:rPr>
                          <w:t>务抢占市场份额</w:t>
                        </w:r>
                      </w:p>
                    </w:tc>
                  </w:tr>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7"/>
                            <w:sz w:val="18"/>
                            <w:szCs w:val="18"/>
                          </w:rPr>
                          <w:t>多层车库高效稳定系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统的研发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安全系统技术升级，提升产品稳定性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9"/>
                            <w:sz w:val="18"/>
                            <w:szCs w:val="18"/>
                          </w:rPr>
                          <w:t>提升产品竞争力，创造 </w:t>
                        </w:r>
                        <w:r>
                          <w:rPr>
                            <w:rFonts w:ascii="宋体" w:hAnsi="宋体" w:cs="宋体" w:eastAsia="宋体" w:hint="default"/>
                            <w:sz w:val="18"/>
                            <w:szCs w:val="18"/>
                          </w:rPr>
                          <w:t>新的利润增长点</w:t>
                        </w:r>
                      </w:p>
                    </w:tc>
                  </w:tr>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立体车库车辆定位及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调配系统研发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安全系统技术升级，提升产品稳定性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提升产品竞争力，抢占 </w:t>
                        </w:r>
                        <w:r>
                          <w:rPr>
                            <w:rFonts w:ascii="宋体" w:hAnsi="宋体" w:cs="宋体" w:eastAsia="宋体" w:hint="default"/>
                            <w:sz w:val="18"/>
                            <w:szCs w:val="18"/>
                          </w:rPr>
                          <w:t>市场份额</w:t>
                        </w:r>
                      </w:p>
                    </w:tc>
                  </w:tr>
                  <w:tr>
                    <w:trPr>
                      <w:trHeight w:val="65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车辆高精度检测及定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位的立体车库研发</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提升产品智能化，丰富产品线</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提升产品附加值，创造 </w:t>
                        </w:r>
                        <w:r>
                          <w:rPr>
                            <w:rFonts w:ascii="宋体" w:hAnsi="宋体" w:cs="宋体" w:eastAsia="宋体" w:hint="default"/>
                            <w:sz w:val="18"/>
                            <w:szCs w:val="18"/>
                          </w:rPr>
                          <w:t>新的利润增长点</w:t>
                        </w:r>
                      </w:p>
                    </w:tc>
                  </w:tr>
                  <w:tr>
                    <w:trPr>
                      <w:trHeight w:val="972"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7"/>
                            <w:sz w:val="18"/>
                            <w:szCs w:val="18"/>
                          </w:rPr>
                          <w:t>生产线全自动翻转夹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取设备的研发应用</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2"/>
                          <w:jc w:val="both"/>
                          <w:rPr>
                            <w:rFonts w:ascii="宋体" w:hAnsi="宋体" w:cs="宋体" w:eastAsia="宋体" w:hint="default"/>
                            <w:sz w:val="18"/>
                            <w:szCs w:val="18"/>
                          </w:rPr>
                        </w:pPr>
                        <w:r>
                          <w:rPr>
                            <w:rFonts w:ascii="宋体" w:hAnsi="宋体" w:cs="宋体" w:eastAsia="宋体" w:hint="default"/>
                            <w:spacing w:val="-3"/>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已经投入批量生</w:t>
                        </w:r>
                        <w:r>
                          <w:rPr>
                            <w:rFonts w:ascii="宋体" w:hAnsi="宋体" w:cs="宋体" w:eastAsia="宋体" w:hint="default"/>
                            <w:spacing w:val="-64"/>
                            <w:sz w:val="18"/>
                            <w:szCs w:val="18"/>
                          </w:rPr>
                          <w:t> </w:t>
                        </w:r>
                        <w:r>
                          <w:rPr>
                            <w:rFonts w:ascii="宋体" w:hAnsi="宋体" w:cs="宋体" w:eastAsia="宋体" w:hint="default"/>
                            <w:sz w:val="18"/>
                            <w:szCs w:val="18"/>
                          </w:rPr>
                          <w:t>产</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提升自动化设备智能化，助力智能装</w:t>
                        </w:r>
                        <w:r>
                          <w:rPr>
                            <w:rFonts w:ascii="宋体" w:hAnsi="宋体" w:cs="宋体" w:eastAsia="宋体" w:hint="default"/>
                            <w:sz w:val="18"/>
                            <w:szCs w:val="18"/>
                          </w:rPr>
                          <w:t> 备技术升级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9"/>
                            <w:sz w:val="18"/>
                            <w:szCs w:val="18"/>
                          </w:rPr>
                          <w:t>提升产品附加值，创造 </w:t>
                        </w:r>
                        <w:r>
                          <w:rPr>
                            <w:rFonts w:ascii="宋体" w:hAnsi="宋体" w:cs="宋体" w:eastAsia="宋体" w:hint="default"/>
                            <w:sz w:val="18"/>
                            <w:szCs w:val="18"/>
                          </w:rPr>
                          <w:t>新的利润增长点</w:t>
                        </w:r>
                      </w:p>
                    </w:tc>
                  </w:tr>
                  <w:tr>
                    <w:trPr>
                      <w:trHeight w:val="65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7"/>
                            <w:sz w:val="18"/>
                            <w:szCs w:val="18"/>
                          </w:rPr>
                          <w:t>生产线智能入箱及开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箱装置的研发应用</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
                          <w:jc w:val="left"/>
                          <w:rPr>
                            <w:rFonts w:ascii="宋体" w:hAnsi="宋体" w:cs="宋体" w:eastAsia="宋体" w:hint="default"/>
                            <w:sz w:val="18"/>
                            <w:szCs w:val="18"/>
                          </w:rPr>
                        </w:pPr>
                        <w:r>
                          <w:rPr>
                            <w:rFonts w:ascii="宋体" w:hAnsi="宋体" w:cs="宋体" w:eastAsia="宋体" w:hint="default"/>
                            <w:spacing w:val="-3"/>
                            <w:sz w:val="18"/>
                            <w:szCs w:val="18"/>
                          </w:rPr>
                          <w:t>自主研发，已投入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工程实际应用</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0"/>
                          <w:jc w:val="left"/>
                          <w:rPr>
                            <w:rFonts w:ascii="宋体" w:hAnsi="宋体" w:cs="宋体" w:eastAsia="宋体" w:hint="default"/>
                            <w:sz w:val="18"/>
                            <w:szCs w:val="18"/>
                          </w:rPr>
                        </w:pPr>
                        <w:r>
                          <w:rPr>
                            <w:rFonts w:ascii="宋体" w:hAnsi="宋体" w:cs="宋体" w:eastAsia="宋体" w:hint="default"/>
                            <w:spacing w:val="3"/>
                            <w:sz w:val="18"/>
                            <w:szCs w:val="18"/>
                          </w:rPr>
                          <w:t>完美实现机器替代人工，助力产业升</w:t>
                        </w:r>
                        <w:r>
                          <w:rPr>
                            <w:rFonts w:ascii="宋体" w:hAnsi="宋体" w:cs="宋体" w:eastAsia="宋体" w:hint="default"/>
                            <w:sz w:val="18"/>
                            <w:szCs w:val="18"/>
                          </w:rPr>
                          <w:t> 级</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0"/>
                          <w:jc w:val="left"/>
                          <w:rPr>
                            <w:rFonts w:ascii="宋体" w:hAnsi="宋体" w:cs="宋体" w:eastAsia="宋体" w:hint="default"/>
                            <w:sz w:val="18"/>
                            <w:szCs w:val="18"/>
                          </w:rPr>
                        </w:pPr>
                        <w:r>
                          <w:rPr>
                            <w:rFonts w:ascii="宋体" w:hAnsi="宋体" w:cs="宋体" w:eastAsia="宋体" w:hint="default"/>
                            <w:spacing w:val="9"/>
                            <w:sz w:val="18"/>
                            <w:szCs w:val="18"/>
                          </w:rPr>
                          <w:t>开拓新的市场领域，创 </w:t>
                        </w:r>
                        <w:r>
                          <w:rPr>
                            <w:rFonts w:ascii="宋体" w:hAnsi="宋体" w:cs="宋体" w:eastAsia="宋体" w:hint="default"/>
                            <w:sz w:val="18"/>
                            <w:szCs w:val="18"/>
                          </w:rPr>
                          <w:t>造新的利润增长点</w:t>
                        </w:r>
                      </w:p>
                    </w:tc>
                  </w:tr>
                  <w:tr>
                    <w:trPr>
                      <w:trHeight w:val="190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7"/>
                            <w:sz w:val="18"/>
                            <w:szCs w:val="18"/>
                          </w:rPr>
                          <w:t>升降伸缩式梳齿机械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式停车设备</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2"/>
                          <w:jc w:val="both"/>
                          <w:rPr>
                            <w:rFonts w:ascii="宋体" w:hAnsi="宋体" w:cs="宋体" w:eastAsia="宋体" w:hint="default"/>
                            <w:sz w:val="18"/>
                            <w:szCs w:val="18"/>
                          </w:rPr>
                        </w:pPr>
                        <w:r>
                          <w:rPr>
                            <w:rFonts w:ascii="宋体" w:hAnsi="宋体" w:cs="宋体" w:eastAsia="宋体" w:hint="default"/>
                            <w:spacing w:val="-3"/>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已经投入批量生</w:t>
                        </w:r>
                        <w:r>
                          <w:rPr>
                            <w:rFonts w:ascii="宋体" w:hAnsi="宋体" w:cs="宋体" w:eastAsia="宋体" w:hint="default"/>
                            <w:spacing w:val="-64"/>
                            <w:sz w:val="18"/>
                            <w:szCs w:val="18"/>
                          </w:rPr>
                          <w:t> </w:t>
                        </w:r>
                        <w:r>
                          <w:rPr>
                            <w:rFonts w:ascii="宋体" w:hAnsi="宋体" w:cs="宋体" w:eastAsia="宋体" w:hint="default"/>
                            <w:sz w:val="18"/>
                            <w:szCs w:val="18"/>
                          </w:rPr>
                          <w:t>产</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伸缩式梳齿搬运器，相比非伸缩式性</w:t>
                        </w:r>
                        <w:r>
                          <w:rPr>
                            <w:rFonts w:ascii="宋体" w:hAnsi="宋体" w:cs="宋体" w:eastAsia="宋体" w:hint="default"/>
                            <w:sz w:val="18"/>
                            <w:szCs w:val="18"/>
                          </w:rPr>
                          <w:t> 能更优越 </w:t>
                        </w:r>
                        <w:r>
                          <w:rPr>
                            <w:rFonts w:ascii="宋体" w:hAnsi="宋体" w:cs="宋体" w:eastAsia="宋体" w:hint="default"/>
                            <w:spacing w:val="3"/>
                            <w:sz w:val="18"/>
                            <w:szCs w:val="18"/>
                          </w:rPr>
                          <w:t>降低设备层高，同样层数的设备总高</w:t>
                        </w:r>
                        <w:r>
                          <w:rPr>
                            <w:rFonts w:ascii="宋体" w:hAnsi="宋体" w:cs="宋体" w:eastAsia="宋体" w:hint="default"/>
                            <w:sz w:val="18"/>
                            <w:szCs w:val="18"/>
                          </w:rPr>
                          <w:t> 度低，减少空间占用，也降低成本 </w:t>
                        </w:r>
                        <w:r>
                          <w:rPr>
                            <w:rFonts w:ascii="宋体" w:hAnsi="宋体" w:cs="宋体" w:eastAsia="宋体" w:hint="default"/>
                            <w:spacing w:val="3"/>
                            <w:sz w:val="18"/>
                            <w:szCs w:val="18"/>
                          </w:rPr>
                          <w:t>该结构也克服了导轨不等高时引起的</w:t>
                        </w:r>
                        <w:r>
                          <w:rPr>
                            <w:rFonts w:ascii="宋体" w:hAnsi="宋体" w:cs="宋体" w:eastAsia="宋体" w:hint="default"/>
                            <w:sz w:val="18"/>
                            <w:szCs w:val="18"/>
                          </w:rPr>
                          <w:t> </w:t>
                        </w:r>
                        <w:r>
                          <w:rPr>
                            <w:rFonts w:ascii="宋体" w:hAnsi="宋体" w:cs="宋体" w:eastAsia="宋体" w:hint="default"/>
                            <w:spacing w:val="-2"/>
                            <w:sz w:val="18"/>
                            <w:szCs w:val="18"/>
                          </w:rPr>
                          <w:t>搬运器滚轮打滑，搬运器走不动现象</w:t>
                        </w:r>
                        <w:r>
                          <w:rPr>
                            <w:rFonts w:ascii="Times New Roman" w:hAnsi="Times New Roman" w:cs="Times New Roman" w:eastAsia="Times New Roman" w:hint="default"/>
                            <w:spacing w:val="-2"/>
                            <w:sz w:val="18"/>
                            <w:szCs w:val="18"/>
                          </w:rPr>
                          <w:t>"</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both"/>
                          <w:rPr>
                            <w:rFonts w:ascii="宋体" w:hAnsi="宋体" w:cs="宋体" w:eastAsia="宋体" w:hint="default"/>
                            <w:sz w:val="18"/>
                            <w:szCs w:val="18"/>
                          </w:rPr>
                        </w:pPr>
                        <w:r>
                          <w:rPr>
                            <w:rFonts w:ascii="宋体" w:hAnsi="宋体" w:cs="宋体" w:eastAsia="宋体" w:hint="default"/>
                            <w:sz w:val="18"/>
                            <w:szCs w:val="18"/>
                          </w:rPr>
                          <w:t>该</w:t>
                        </w:r>
                        <w:r>
                          <w:rPr>
                            <w:rFonts w:ascii="宋体" w:hAnsi="宋体" w:cs="宋体" w:eastAsia="宋体" w:hint="default"/>
                            <w:spacing w:val="-57"/>
                            <w:sz w:val="18"/>
                            <w:szCs w:val="18"/>
                          </w:rPr>
                          <w:t> </w:t>
                        </w:r>
                        <w:r>
                          <w:rPr>
                            <w:rFonts w:ascii="宋体" w:hAnsi="宋体" w:cs="宋体" w:eastAsia="宋体" w:hint="default"/>
                            <w:sz w:val="18"/>
                            <w:szCs w:val="18"/>
                          </w:rPr>
                          <w:t>技</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7"/>
                            <w:sz w:val="18"/>
                            <w:szCs w:val="18"/>
                          </w:rPr>
                          <w:t> </w:t>
                        </w:r>
                        <w:r>
                          <w:rPr>
                            <w:rFonts w:ascii="宋体" w:hAnsi="宋体" w:cs="宋体" w:eastAsia="宋体" w:hint="default"/>
                            <w:sz w:val="18"/>
                            <w:szCs w:val="18"/>
                          </w:rPr>
                          <w:t>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领</w:t>
                        </w:r>
                        <w:r>
                          <w:rPr>
                            <w:rFonts w:ascii="宋体" w:hAnsi="宋体" w:cs="宋体" w:eastAsia="宋体" w:hint="default"/>
                            <w:spacing w:val="-60"/>
                            <w:sz w:val="18"/>
                            <w:szCs w:val="18"/>
                          </w:rPr>
                          <w:t> </w:t>
                        </w:r>
                        <w:r>
                          <w:rPr>
                            <w:rFonts w:ascii="宋体" w:hAnsi="宋体" w:cs="宋体" w:eastAsia="宋体" w:hint="default"/>
                            <w:sz w:val="18"/>
                            <w:szCs w:val="18"/>
                          </w:rPr>
                          <w:t>先</w:t>
                        </w:r>
                        <w:r>
                          <w:rPr>
                            <w:rFonts w:ascii="宋体" w:hAnsi="宋体" w:cs="宋体" w:eastAsia="宋体" w:hint="default"/>
                            <w:spacing w:val="-57"/>
                            <w:sz w:val="18"/>
                            <w:szCs w:val="18"/>
                          </w:rPr>
                          <w:t> </w:t>
                        </w:r>
                        <w:r>
                          <w:rPr>
                            <w:rFonts w:ascii="宋体" w:hAnsi="宋体" w:cs="宋体" w:eastAsia="宋体" w:hint="default"/>
                            <w:sz w:val="18"/>
                            <w:szCs w:val="18"/>
                          </w:rPr>
                          <w:t>水</w:t>
                        </w:r>
                        <w:r>
                          <w:rPr>
                            <w:rFonts w:ascii="宋体" w:hAnsi="宋体" w:cs="宋体" w:eastAsia="宋体" w:hint="default"/>
                            <w:sz w:val="18"/>
                            <w:szCs w:val="18"/>
                          </w:rPr>
                          <w:t> </w:t>
                        </w:r>
                        <w:r>
                          <w:rPr>
                            <w:rFonts w:ascii="宋体" w:hAnsi="宋体" w:cs="宋体" w:eastAsia="宋体" w:hint="default"/>
                            <w:spacing w:val="9"/>
                            <w:sz w:val="18"/>
                            <w:szCs w:val="18"/>
                          </w:rPr>
                          <w:t>平，只极少数技术力量</w:t>
                        </w:r>
                        <w:r>
                          <w:rPr>
                            <w:rFonts w:ascii="宋体" w:hAnsi="宋体" w:cs="宋体" w:eastAsia="宋体" w:hint="default"/>
                            <w:spacing w:val="9"/>
                            <w:sz w:val="18"/>
                            <w:szCs w:val="18"/>
                          </w:rPr>
                          <w:t> 较强的企业才有，显示 了公司的技术水平，提 </w:t>
                        </w:r>
                        <w:r>
                          <w:rPr>
                            <w:rFonts w:ascii="宋体" w:hAnsi="宋体" w:cs="宋体" w:eastAsia="宋体" w:hint="default"/>
                            <w:sz w:val="18"/>
                            <w:szCs w:val="18"/>
                          </w:rPr>
                          <w:t>升公司的形象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986"/>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73,046,221.98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59,234,455.97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51,498,201.48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1,398,083.92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r>
    </w:tbl>
    <w:p>
      <w:pPr>
        <w:pStyle w:val="BodyText"/>
        <w:spacing w:line="240" w:lineRule="auto" w:before="49"/>
        <w:ind w:right="986"/>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1,207,582,378.34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1,026,947,439.12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1,179,361,361.74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1,109,152,626.78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28,221,016.60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-82,205,187.66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7,225,313.62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40,284,168.50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-82.06%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274,287,624.42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94,700,696.64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-267,062,310.80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-54,416,528.14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390.77%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437,871,379.73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141,248,611.12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187,873,184.53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102,174,578.91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83.87%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249,998,195.20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39,074,032.21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11,156,994.74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-97,547,683.90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相关数据同比发生重大变动的主要影响因素说明</w:t>
      </w:r>
    </w:p>
    <w:p>
      <w:pPr>
        <w:pStyle w:val="BodyText"/>
        <w:spacing w:line="328" w:lineRule="auto" w:before="115"/>
        <w:ind w:right="3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经营活动现金流发生重大变化主要因素是本期销售商品、提供劳务收到的现金增长所致； 投资活动现金流发生重大变化主要因素是本期投资支付的现金增长所致；</w:t>
      </w:r>
    </w:p>
    <w:p>
      <w:pPr>
        <w:pStyle w:val="BodyText"/>
        <w:spacing w:line="240" w:lineRule="auto" w:before="10"/>
        <w:ind w:right="986"/>
        <w:jc w:val="left"/>
      </w:pPr>
      <w:r>
        <w:rPr/>
        <w:t>筹资活动现金流发生重大变化主要因素是本期子公司吸收少数股东投资收到的现金、取得借款收到的现金增长所致。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before="0"/>
        <w:ind w:right="986"/>
        <w:jc w:val="left"/>
      </w:pPr>
      <w:r>
        <w:rPr/>
        <w:t>报告期内公司经营活动产生的现金净流量与本年度净利润存在重大差异的原因说明</w:t>
      </w:r>
    </w:p>
    <w:p>
      <w:pPr>
        <w:pStyle w:val="BodyText"/>
        <w:spacing w:line="340" w:lineRule="auto" w:before="115"/>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主要是支付其他与经营活动有关的现金增加导致报告期内公司经营活动产生的净流量与本年度净利润存在重大差异</w:t>
      </w:r>
    </w:p>
    <w:p>
      <w:pPr>
        <w:spacing w:line="240" w:lineRule="auto" w:before="6"/>
        <w:rPr>
          <w:rFonts w:ascii="宋体" w:hAnsi="宋体" w:cs="宋体" w:eastAsia="宋体" w:hint="default"/>
          <w:sz w:val="19"/>
          <w:szCs w:val="19"/>
        </w:rPr>
      </w:pPr>
    </w:p>
    <w:p>
      <w:pPr>
        <w:pStyle w:val="Heading2"/>
        <w:spacing w:line="240" w:lineRule="auto"/>
        <w:ind w:right="986"/>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12" w:right="0"/>
              <w:jc w:val="left"/>
              <w:rPr>
                <w:rFonts w:ascii="Times New Roman" w:hAnsi="Times New Roman" w:cs="Times New Roman" w:eastAsia="Times New Roman" w:hint="default"/>
                <w:sz w:val="18"/>
                <w:szCs w:val="18"/>
              </w:rPr>
            </w:pPr>
            <w:r>
              <w:rPr>
                <w:rFonts w:ascii="Times New Roman"/>
                <w:sz w:val="18"/>
              </w:rPr>
              <w:t>-311,245.81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-0.18%</w:t>
            </w:r>
          </w:p>
        </w:tc>
        <w:tc>
          <w:tcPr>
            <w:tcW w:w="2168"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权益法核算的长期股权投 </w:t>
            </w:r>
            <w:r>
              <w:rPr>
                <w:rFonts w:ascii="宋体" w:hAnsi="宋体" w:cs="宋体" w:eastAsia="宋体" w:hint="default"/>
                <w:spacing w:val="-5"/>
                <w:sz w:val="18"/>
                <w:szCs w:val="18"/>
              </w:rPr>
              <w:t>资收益，银行理财产品收益</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-618,393.76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计提商誉减值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788,837.44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罚没收入、无需支付款项</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1,357,495.86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-33,894,363.62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pacing w:val="-5"/>
                <w:sz w:val="18"/>
                <w:szCs w:val="18"/>
              </w:rPr>
              <w:t>按账龄计提应收账款、其他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应收款减值、个别项目计提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减值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134,762,086.2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4.81%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107,746,044.51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-0.08%</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795,124,323.8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28.38%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631,391,344.65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28.67%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-0.29%</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437,040,554.7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15.60%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302,802,265.55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13.75%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1.85%</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7,706,012.73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6,473,592.16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282,312,139.1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10.08%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200,769,175.74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9.11%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10,140,636.58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52,277,662.89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227,727,794.7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8.13%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50,076,584.16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借款增加导致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详见本财务报告第十二节、七、</w:t>
      </w:r>
      <w:r>
        <w:rPr>
          <w:rFonts w:ascii="Times New Roman" w:hAnsi="Times New Roman" w:cs="Times New Roman" w:eastAsia="Times New Roman" w:hint="default"/>
        </w:rPr>
        <w:t>81.</w:t>
      </w:r>
      <w:r>
        <w:rPr/>
        <w:t>所有权或使用权受到限制的资产。</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6"/>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154,466,000.00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22,734,879.49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579.42%</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7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18"/>
              <w:jc w:val="left"/>
              <w:rPr>
                <w:rFonts w:ascii="宋体" w:hAnsi="宋体" w:cs="宋体" w:eastAsia="宋体" w:hint="default"/>
                <w:sz w:val="18"/>
                <w:szCs w:val="18"/>
              </w:rPr>
            </w:pPr>
            <w:r>
              <w:rPr>
                <w:rFonts w:ascii="宋体" w:hAnsi="宋体" w:cs="宋体" w:eastAsia="宋体" w:hint="default"/>
                <w:sz w:val="18"/>
                <w:szCs w:val="18"/>
              </w:rPr>
              <w:t>徐州疌 盛</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非证券 股权投 资及咨 询服务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144,850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59.76%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84"/>
              <w:jc w:val="left"/>
              <w:rPr>
                <w:rFonts w:ascii="宋体" w:hAnsi="宋体" w:cs="宋体" w:eastAsia="宋体" w:hint="default"/>
                <w:sz w:val="18"/>
                <w:szCs w:val="18"/>
              </w:rPr>
            </w:pPr>
            <w:r>
              <w:rPr>
                <w:rFonts w:ascii="宋体" w:hAnsi="宋体" w:cs="宋体" w:eastAsia="宋体" w:hint="default"/>
                <w:sz w:val="18"/>
                <w:szCs w:val="18"/>
              </w:rPr>
              <w:t>自由资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江苏徐 州老工 业基地 产业发 展基金</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永久</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非证券 股权投 资及咨 询服务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65.54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144,850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65.54</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1"/>
        <w:gridCol w:w="870"/>
        <w:gridCol w:w="857"/>
      </w:tblGrid>
      <w:tr>
        <w:trPr>
          <w:trHeight w:val="38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本期已使</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已累计使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闲置两年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63" w:right="67" w:hanging="92"/>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60" w:right="67" w:hanging="92"/>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2" w:right="69"/>
              <w:jc w:val="both"/>
              <w:rPr>
                <w:rFonts w:ascii="宋体" w:hAnsi="宋体" w:cs="宋体" w:eastAsia="宋体" w:hint="default"/>
                <w:sz w:val="18"/>
                <w:szCs w:val="18"/>
              </w:rPr>
            </w:pPr>
            <w:r>
              <w:rPr>
                <w:rFonts w:ascii="宋体" w:hAnsi="宋体" w:cs="宋体" w:eastAsia="宋体" w:hint="default"/>
                <w:sz w:val="18"/>
                <w:szCs w:val="18"/>
              </w:rPr>
              <w:t>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7"/>
              <w:jc w:val="center"/>
              <w:rPr>
                <w:rFonts w:ascii="宋体" w:hAnsi="宋体" w:cs="宋体" w:eastAsia="宋体" w:hint="default"/>
                <w:sz w:val="18"/>
                <w:szCs w:val="18"/>
              </w:rPr>
            </w:pPr>
            <w:r>
              <w:rPr>
                <w:rFonts w:ascii="宋体" w:hAnsi="宋体" w:cs="宋体" w:eastAsia="宋体" w:hint="default"/>
                <w:sz w:val="18"/>
                <w:szCs w:val="18"/>
              </w:rPr>
              <w:t>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71"/>
              <w:jc w:val="both"/>
              <w:rPr>
                <w:rFonts w:ascii="宋体" w:hAnsi="宋体" w:cs="宋体" w:eastAsia="宋体" w:hint="default"/>
                <w:sz w:val="18"/>
                <w:szCs w:val="18"/>
              </w:rPr>
            </w:pPr>
            <w:r>
              <w:rPr>
                <w:rFonts w:ascii="宋体" w:hAnsi="宋体" w:cs="宋体" w:eastAsia="宋体" w:hint="default"/>
                <w:sz w:val="18"/>
                <w:szCs w:val="18"/>
              </w:rPr>
              <w:t>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71"/>
              <w:jc w:val="center"/>
              <w:rPr>
                <w:rFonts w:ascii="宋体" w:hAnsi="宋体" w:cs="宋体" w:eastAsia="宋体" w:hint="default"/>
                <w:sz w:val="18"/>
                <w:szCs w:val="18"/>
              </w:rPr>
            </w:pPr>
            <w:r>
              <w:rPr>
                <w:rFonts w:ascii="宋体" w:hAnsi="宋体" w:cs="宋体" w:eastAsia="宋体" w:hint="default"/>
                <w:sz w:val="18"/>
                <w:szCs w:val="18"/>
              </w:rPr>
              <w:t>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7"/>
              <w:jc w:val="left"/>
              <w:rPr>
                <w:rFonts w:ascii="宋体" w:hAnsi="宋体" w:cs="宋体" w:eastAsia="宋体" w:hint="default"/>
                <w:sz w:val="18"/>
                <w:szCs w:val="18"/>
              </w:rPr>
            </w:pPr>
            <w:r>
              <w:rPr>
                <w:rFonts w:ascii="宋体" w:hAnsi="宋体" w:cs="宋体" w:eastAsia="宋体" w:hint="default"/>
                <w:sz w:val="18"/>
                <w:szCs w:val="18"/>
              </w:rPr>
              <w:t>以上募集 资金金额</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公开发行 人民币普 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13,146.99</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13,419.26</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28,364.87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28,364.87</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46,784.13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09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号文核准，并经贵所同意，本公司由主承销商海通证券股份有限公 司采用网下发行和网上发行相结合的方式，向社会公众公开发行股份人民币普通股股票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万股，发行价为每股人民币</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元，共计募集资金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16,540.00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万元，扣除承销和保荐费用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万元后的募集资金为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14,540.00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万元，已由主承销商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日汇入本公司募集资金监管账户。另减除上网发行费、招股说明书印刷费、审计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费、验资费、律师费、评估费等与发行权益性证券直接相关的新增外部费用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1,393.01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万元后，公司本次募集资金净额为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万元。上述</w:t>
            </w:r>
            <w:r>
              <w:rPr>
                <w:rFonts w:ascii="宋体" w:hAnsi="宋体" w:cs="宋体" w:eastAsia="宋体" w:hint="default"/>
                <w:spacing w:val="-1"/>
                <w:sz w:val="18"/>
                <w:szCs w:val="18"/>
              </w:rPr>
              <w:t>募</w:t>
            </w:r>
            <w:r>
              <w:rPr>
                <w:rFonts w:ascii="宋体" w:hAnsi="宋体" w:cs="宋体" w:eastAsia="宋体" w:hint="default"/>
                <w:sz w:val="18"/>
                <w:szCs w:val="18"/>
              </w:rPr>
              <w:t>集资</w:t>
            </w:r>
            <w:r>
              <w:rPr>
                <w:rFonts w:ascii="宋体" w:hAnsi="宋体" w:cs="宋体" w:eastAsia="宋体" w:hint="default"/>
                <w:spacing w:val="-3"/>
                <w:sz w:val="18"/>
                <w:szCs w:val="18"/>
              </w:rPr>
              <w:t>金</w:t>
            </w:r>
            <w:r>
              <w:rPr>
                <w:rFonts w:ascii="宋体" w:hAnsi="宋体" w:cs="宋体" w:eastAsia="宋体" w:hint="default"/>
                <w:sz w:val="18"/>
                <w:szCs w:val="18"/>
              </w:rPr>
              <w:t>到位情况业经天健会计师事务所（特殊普通合伙）验证，并由其出具《验资报告</w:t>
            </w:r>
            <w:r>
              <w:rPr>
                <w:rFonts w:ascii="宋体" w:hAnsi="宋体" w:cs="宋体" w:eastAsia="宋体" w:hint="default"/>
                <w:spacing w:val="-92"/>
                <w:sz w:val="18"/>
                <w:szCs w:val="18"/>
              </w:rPr>
              <w:t>》</w:t>
            </w:r>
            <w:r>
              <w:rPr>
                <w:rFonts w:ascii="宋体" w:hAnsi="宋体" w:cs="宋体" w:eastAsia="宋体" w:hint="default"/>
                <w:sz w:val="18"/>
                <w:szCs w:val="18"/>
              </w:rPr>
              <w:t>（天健验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9" w:lineRule="auto" w:before="103"/>
              <w:ind w:left="24" w:right="20" w:firstLine="360"/>
              <w:jc w:val="both"/>
              <w:rPr>
                <w:rFonts w:ascii="宋体" w:hAnsi="宋体" w:cs="宋体" w:eastAsia="宋体"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2647</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号文核准，并经贵所同意，本公司由主承销商太平洋证券股份有限</w:t>
            </w:r>
            <w:r>
              <w:rPr>
                <w:rFonts w:ascii="宋体" w:hAnsi="宋体" w:cs="宋体" w:eastAsia="宋体" w:hint="default"/>
                <w:sz w:val="18"/>
                <w:szCs w:val="18"/>
              </w:rPr>
              <w:t> </w:t>
            </w:r>
            <w:r>
              <w:rPr>
                <w:rFonts w:ascii="宋体" w:hAnsi="宋体" w:cs="宋体" w:eastAsia="宋体" w:hint="default"/>
                <w:spacing w:val="-1"/>
                <w:sz w:val="18"/>
                <w:szCs w:val="18"/>
              </w:rPr>
              <w:t>公司采用非公开发行方式向自然人侯友夫、华宝信托有限责任公司、富国基金管理有限公司和金鹰基金管理有限公司发行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6,261,899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47.27 </w:t>
            </w:r>
            <w:r>
              <w:rPr>
                <w:rFonts w:ascii="宋体" w:hAnsi="宋体" w:cs="宋体" w:eastAsia="宋体" w:hint="default"/>
                <w:sz w:val="18"/>
                <w:szCs w:val="18"/>
              </w:rPr>
              <w:t>元，募集资金总额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万元，扣除承销和保荐</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万元后的募集资金为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28,370.00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万元，已由主承销商太平洋证券股份有限公司于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日汇入本公司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募集资金监管账户。另减除验资费、登记费等与发行权益性证券直接相关的新增外部费用</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5.13</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万元后，公司本次募集资金</w:t>
            </w:r>
          </w:p>
          <w:p>
            <w:pPr>
              <w:pStyle w:val="TableParagraph"/>
              <w:spacing w:line="300" w:lineRule="auto" w:before="63"/>
              <w:ind w:left="24" w:right="27"/>
              <w:jc w:val="left"/>
              <w:rPr>
                <w:rFonts w:ascii="宋体" w:hAnsi="宋体" w:cs="宋体" w:eastAsia="宋体" w:hint="default"/>
                <w:sz w:val="18"/>
                <w:szCs w:val="18"/>
              </w:rPr>
            </w:pPr>
            <w:r>
              <w:rPr>
                <w:rFonts w:ascii="宋体" w:hAnsi="宋体" w:cs="宋体" w:eastAsia="宋体" w:hint="default"/>
                <w:sz w:val="18"/>
                <w:szCs w:val="18"/>
              </w:rPr>
              <w:t>净额为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6"/>
                <w:sz w:val="18"/>
                <w:szCs w:val="18"/>
              </w:rPr>
              <w:t>。</w:t>
            </w:r>
            <w:r>
              <w:rPr>
                <w:rFonts w:ascii="宋体" w:hAnsi="宋体" w:cs="宋体" w:eastAsia="宋体" w:hint="default"/>
                <w:sz w:val="18"/>
                <w:szCs w:val="18"/>
              </w:rPr>
              <w:t>上述</w:t>
            </w:r>
            <w:r>
              <w:rPr>
                <w:rFonts w:ascii="宋体" w:hAnsi="宋体" w:cs="宋体" w:eastAsia="宋体" w:hint="default"/>
                <w:spacing w:val="-3"/>
                <w:sz w:val="18"/>
                <w:szCs w:val="18"/>
              </w:rPr>
              <w:t>募</w:t>
            </w:r>
            <w:r>
              <w:rPr>
                <w:rFonts w:ascii="宋体" w:hAnsi="宋体" w:cs="宋体" w:eastAsia="宋体" w:hint="default"/>
                <w:sz w:val="18"/>
                <w:szCs w:val="18"/>
              </w:rPr>
              <w:t>集资金到位情况业经天健会计师事务</w:t>
            </w:r>
            <w:r>
              <w:rPr>
                <w:rFonts w:ascii="宋体" w:hAnsi="宋体" w:cs="宋体" w:eastAsia="宋体" w:hint="default"/>
                <w:spacing w:val="-36"/>
                <w:sz w:val="18"/>
                <w:szCs w:val="18"/>
              </w:rPr>
              <w:t>所</w:t>
            </w:r>
            <w:r>
              <w:rPr>
                <w:rFonts w:ascii="宋体" w:hAnsi="宋体" w:cs="宋体" w:eastAsia="宋体" w:hint="default"/>
                <w:sz w:val="18"/>
                <w:szCs w:val="18"/>
              </w:rPr>
              <w:t>（特殊普通合伙</w:t>
            </w:r>
            <w:r>
              <w:rPr>
                <w:rFonts w:ascii="宋体" w:hAnsi="宋体" w:cs="宋体" w:eastAsia="宋体" w:hint="default"/>
                <w:spacing w:val="-36"/>
                <w:sz w:val="18"/>
                <w:szCs w:val="18"/>
              </w:rPr>
              <w:t>）</w:t>
            </w:r>
            <w:r>
              <w:rPr>
                <w:rFonts w:ascii="宋体" w:hAnsi="宋体" w:cs="宋体" w:eastAsia="宋体" w:hint="default"/>
                <w:sz w:val="18"/>
                <w:szCs w:val="18"/>
              </w:rPr>
              <w:t>验证</w:t>
            </w:r>
            <w:r>
              <w:rPr>
                <w:rFonts w:ascii="宋体" w:hAnsi="宋体" w:cs="宋体" w:eastAsia="宋体" w:hint="default"/>
                <w:spacing w:val="-36"/>
                <w:sz w:val="18"/>
                <w:szCs w:val="18"/>
              </w:rPr>
              <w:t>，</w:t>
            </w:r>
            <w:r>
              <w:rPr>
                <w:rFonts w:ascii="宋体" w:hAnsi="宋体" w:cs="宋体" w:eastAsia="宋体" w:hint="default"/>
                <w:sz w:val="18"/>
                <w:szCs w:val="18"/>
              </w:rPr>
              <w:t>并由其出</w:t>
            </w:r>
            <w:r>
              <w:rPr>
                <w:rFonts w:ascii="宋体" w:hAnsi="宋体" w:cs="宋体" w:eastAsia="宋体" w:hint="default"/>
                <w:spacing w:val="-36"/>
                <w:sz w:val="18"/>
                <w:szCs w:val="18"/>
              </w:rPr>
              <w:t>具</w:t>
            </w:r>
            <w:r>
              <w:rPr>
                <w:rFonts w:ascii="宋体" w:hAnsi="宋体" w:cs="宋体" w:eastAsia="宋体" w:hint="default"/>
                <w:sz w:val="18"/>
                <w:szCs w:val="18"/>
              </w:rPr>
              <w:t>《验资报告</w:t>
            </w:r>
            <w:r>
              <w:rPr>
                <w:rFonts w:ascii="宋体" w:hAnsi="宋体" w:cs="宋体" w:eastAsia="宋体" w:hint="default"/>
                <w:spacing w:val="-128"/>
                <w:sz w:val="18"/>
                <w:szCs w:val="18"/>
              </w:rPr>
              <w:t>》</w:t>
            </w:r>
            <w:r>
              <w:rPr>
                <w:rFonts w:ascii="宋体" w:hAnsi="宋体" w:cs="宋体" w:eastAsia="宋体" w:hint="default"/>
                <w:sz w:val="18"/>
                <w:szCs w:val="18"/>
              </w:rPr>
              <w:t>（天</w:t>
            </w:r>
            <w:r>
              <w:rPr>
                <w:rFonts w:ascii="宋体" w:hAnsi="宋体" w:cs="宋体" w:eastAsia="宋体" w:hint="default"/>
                <w:sz w:val="18"/>
                <w:szCs w:val="18"/>
              </w:rPr>
              <w:t> 健验〔</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51"/>
              <w:ind w:left="24" w:right="20" w:firstLine="360"/>
              <w:jc w:val="both"/>
              <w:rPr>
                <w:rFonts w:ascii="宋体" w:hAnsi="宋体" w:cs="宋体" w:eastAsia="宋体"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1608</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号文核准，并经贵所同意，本公司由主承销商光大证券股份有限公</w:t>
            </w:r>
            <w:r>
              <w:rPr>
                <w:rFonts w:ascii="宋体" w:hAnsi="宋体" w:cs="宋体" w:eastAsia="宋体" w:hint="default"/>
                <w:sz w:val="18"/>
                <w:szCs w:val="18"/>
              </w:rPr>
              <w:t> 司采用非公开发行方式向自然人陈启伟、张宏星、中融基金管理有限公司发行人民币普通股（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8,296,943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发行价为每股人民币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万元，扣除财务顾问费和发行承销费合计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700.00 </w:t>
            </w:r>
            <w:r>
              <w:rPr>
                <w:rFonts w:ascii="宋体" w:hAnsi="宋体" w:cs="宋体" w:eastAsia="宋体" w:hint="default"/>
                <w:sz w:val="18"/>
                <w:szCs w:val="18"/>
              </w:rPr>
              <w:t>万元（含税）后的</w:t>
            </w:r>
          </w:p>
          <w:p>
            <w:pPr>
              <w:pStyle w:val="TableParagraph"/>
              <w:spacing w:line="300" w:lineRule="auto" w:before="13"/>
              <w:ind w:left="24" w:right="22"/>
              <w:jc w:val="left"/>
              <w:rPr>
                <w:rFonts w:ascii="宋体" w:hAnsi="宋体" w:cs="宋体" w:eastAsia="宋体" w:hint="default"/>
                <w:sz w:val="18"/>
                <w:szCs w:val="18"/>
              </w:rPr>
            </w:pPr>
            <w:r>
              <w:rPr>
                <w:rFonts w:ascii="宋体" w:hAnsi="宋体" w:cs="宋体" w:eastAsia="宋体" w:hint="default"/>
                <w:sz w:val="18"/>
                <w:szCs w:val="18"/>
              </w:rPr>
              <w:t>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万元，已由主承销商光大证券股份有限公司于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日汇入本公司募集资金监管账户。上述募</w:t>
            </w:r>
            <w:r>
              <w:rPr>
                <w:rFonts w:ascii="宋体" w:hAnsi="宋体" w:cs="宋体" w:eastAsia="宋体" w:hint="default"/>
                <w:sz w:val="18"/>
                <w:szCs w:val="18"/>
              </w:rPr>
              <w:t> </w:t>
            </w:r>
            <w:r>
              <w:rPr>
                <w:rFonts w:ascii="宋体" w:hAnsi="宋体" w:cs="宋体" w:eastAsia="宋体" w:hint="default"/>
                <w:spacing w:val="-2"/>
                <w:sz w:val="18"/>
                <w:szCs w:val="18"/>
              </w:rPr>
              <w:t>集资金到位情况业经天健会计师事务所（特殊普通合伙）验证，并由其出具《验资报告》（天健验〔</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491</w:t>
            </w:r>
            <w:r>
              <w:rPr>
                <w:rFonts w:ascii="Times New Roman" w:hAnsi="Times New Roman" w:cs="Times New Roman" w:eastAsia="Times New Roman" w:hint="default"/>
                <w:spacing w:val="15"/>
                <w:sz w:val="18"/>
                <w:szCs w:val="18"/>
              </w:rPr>
              <w:t> </w:t>
            </w:r>
            <w:r>
              <w:rPr>
                <w:rFonts w:ascii="宋体" w:hAnsi="宋体" w:cs="宋体" w:eastAsia="宋体" w:hint="default"/>
                <w:spacing w:val="-31"/>
                <w:sz w:val="18"/>
                <w:szCs w:val="18"/>
              </w:rPr>
              <w:t>号）。</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2"/>
        <w:gridCol w:w="725"/>
        <w:gridCol w:w="898"/>
        <w:gridCol w:w="896"/>
        <w:gridCol w:w="727"/>
        <w:gridCol w:w="898"/>
        <w:gridCol w:w="898"/>
        <w:gridCol w:w="727"/>
        <w:gridCol w:w="727"/>
        <w:gridCol w:w="898"/>
        <w:gridCol w:w="727"/>
        <w:gridCol w:w="727"/>
      </w:tblGrid>
      <w:tr>
        <w:trPr>
          <w:trHeight w:val="133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5" w:right="84"/>
              <w:jc w:val="both"/>
              <w:rPr>
                <w:rFonts w:ascii="宋体" w:hAnsi="宋体" w:cs="宋体" w:eastAsia="宋体" w:hint="default"/>
                <w:sz w:val="18"/>
                <w:szCs w:val="18"/>
              </w:rPr>
            </w:pPr>
            <w:r>
              <w:rPr>
                <w:rFonts w:ascii="宋体" w:hAnsi="宋体" w:cs="宋体" w:eastAsia="宋体" w:hint="default"/>
                <w:sz w:val="18"/>
                <w:szCs w:val="18"/>
              </w:rPr>
              <w:t>承诺投 资项目 和超募 资金投</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8" w:right="86"/>
              <w:jc w:val="both"/>
              <w:rPr>
                <w:rFonts w:ascii="宋体" w:hAnsi="宋体" w:cs="宋体" w:eastAsia="宋体" w:hint="default"/>
                <w:sz w:val="18"/>
                <w:szCs w:val="18"/>
              </w:rPr>
            </w:pPr>
            <w:r>
              <w:rPr>
                <w:rFonts w:ascii="宋体" w:hAnsi="宋体" w:cs="宋体" w:eastAsia="宋体" w:hint="default"/>
                <w:sz w:val="18"/>
                <w:szCs w:val="18"/>
              </w:rPr>
              <w:t>项目达 到预定 可使用 状态日</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8" w:right="86"/>
              <w:jc w:val="both"/>
              <w:rPr>
                <w:rFonts w:ascii="宋体" w:hAnsi="宋体" w:cs="宋体" w:eastAsia="宋体" w:hint="default"/>
                <w:sz w:val="18"/>
                <w:szCs w:val="18"/>
              </w:rPr>
            </w:pPr>
            <w:r>
              <w:rPr>
                <w:rFonts w:ascii="宋体" w:hAnsi="宋体" w:cs="宋体" w:eastAsia="宋体" w:hint="default"/>
                <w:sz w:val="18"/>
                <w:szCs w:val="18"/>
              </w:rPr>
              <w:t>项目可 行性是 否发生 重大变</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9"/>
        <w:gridCol w:w="727"/>
        <w:gridCol w:w="727"/>
      </w:tblGrid>
      <w:tr>
        <w:trPr>
          <w:trHeight w:val="36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6"/>
              <w:jc w:val="right"/>
              <w:rPr>
                <w:rFonts w:ascii="宋体" w:hAnsi="宋体" w:cs="宋体" w:eastAsia="宋体" w:hint="default"/>
                <w:sz w:val="18"/>
                <w:szCs w:val="18"/>
              </w:rPr>
            </w:pPr>
            <w:r>
              <w:rPr>
                <w:rFonts w:ascii="宋体" w:hAnsi="宋体" w:cs="宋体" w:eastAsia="宋体" w:hint="default"/>
                <w:sz w:val="18"/>
                <w:szCs w:val="18"/>
              </w:rPr>
              <w:t>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6"/>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散料搬 运核心 装置及 设备扩 产项目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7,553.99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7,553.99</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7,667.8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2,263.07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散料搬 运设备 研发中 心建设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1,942</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2,008.39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营销网 络与服 务中心 建设项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2,248</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2,340.07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其他与 主营业 务相关 的营运 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1,403</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收购深 圳市伟 创自动 化设备 有限公 司项目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28,364.87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28,364.87</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28,364.87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7,535.21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31,609.99</w:t>
            </w:r>
            <w:r>
              <w:rPr>
                <w:rFonts w:ascii="Times New Roman"/>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收购山 东天辰 智能停 车有限 公司项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4,235.13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9,815.17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46,511.86</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46,511.86</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46,784.13</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46,473.76</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23" w:type="dxa"/>
            <w:vMerge/>
            <w:tcBorders>
              <w:left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9"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46,784.13</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46,473.76</w:t>
            </w:r>
            <w:r>
              <w:rPr>
                <w:rFonts w:ascii="Times New Roman"/>
                <w:sz w:val="18"/>
              </w:rPr>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146.659988pt;width:442.05pt;height:54.6pt;mso-position-horizontal-relative:page;mso-position-vertical-relative:page;z-index:-1177360" coordorigin="1860,2933" coordsize="8841,1092">
            <v:shape style="position:absolute;left:1860;top:2933;width:8841;height:1092" coordorigin="1860,2933" coordsize="8841,1092" path="m1860,4025l10701,4025,10701,2933,1860,2933,1860,40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258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2" w:right="-31"/>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日，公司第二届董事会第五次会议审议通过了《关于使用募集资金置换已预先投入募投项目自筹资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2"/>
                <w:sz w:val="18"/>
                <w:szCs w:val="18"/>
              </w:rPr>
              <w:t>》</w:t>
            </w:r>
            <w:r>
              <w:rPr>
                <w:rFonts w:ascii="宋体" w:hAnsi="宋体" w:cs="宋体" w:eastAsia="宋体" w:hint="default"/>
                <w:sz w:val="18"/>
                <w:szCs w:val="18"/>
              </w:rPr>
              <w:t>，同意使用募集资</w:t>
            </w:r>
            <w:r>
              <w:rPr>
                <w:rFonts w:ascii="宋体" w:hAnsi="宋体" w:cs="宋体" w:eastAsia="宋体" w:hint="default"/>
                <w:spacing w:val="2"/>
                <w:sz w:val="18"/>
                <w:szCs w:val="18"/>
              </w:rPr>
              <w:t>金</w:t>
            </w:r>
            <w:r>
              <w:rPr>
                <w:rFonts w:ascii="宋体" w:hAnsi="宋体" w:cs="宋体" w:eastAsia="宋体" w:hint="default"/>
                <w:sz w:val="18"/>
                <w:szCs w:val="18"/>
              </w:rPr>
              <w:t>置换公司预先投入募集资金项目建设的自筹资金共计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万元，其中：散料</w:t>
            </w:r>
          </w:p>
          <w:p>
            <w:pPr>
              <w:pStyle w:val="TableParagraph"/>
              <w:spacing w:line="300"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搬运核心装置及设备扩产项目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6,318.14 </w:t>
            </w:r>
            <w:r>
              <w:rPr>
                <w:rFonts w:ascii="宋体" w:hAnsi="宋体" w:cs="宋体" w:eastAsia="宋体" w:hint="default"/>
                <w:sz w:val="18"/>
                <w:szCs w:val="18"/>
              </w:rPr>
              <w:t>万元，散料搬运设备研发中心建设项目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207.82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司完成了上述置换。</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8"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67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left"/>
              <w:rPr>
                <w:rFonts w:ascii="宋体" w:hAnsi="宋体" w:cs="宋体" w:eastAsia="宋体" w:hint="default"/>
                <w:sz w:val="18"/>
                <w:szCs w:val="18"/>
              </w:rPr>
            </w:pPr>
            <w:r>
              <w:rPr>
                <w:rFonts w:ascii="宋体" w:hAnsi="宋体" w:cs="宋体" w:eastAsia="宋体" w:hint="default"/>
                <w:sz w:val="18"/>
                <w:szCs w:val="18"/>
              </w:rPr>
              <w:t>动资金 情况</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97" w:lineRule="auto"/>
              <w:ind w:left="24" w:right="20"/>
              <w:jc w:val="left"/>
              <w:rPr>
                <w:rFonts w:ascii="宋体" w:hAnsi="宋体" w:cs="宋体" w:eastAsia="宋体" w:hint="default"/>
                <w:sz w:val="18"/>
                <w:szCs w:val="18"/>
              </w:rPr>
            </w:pPr>
            <w:r>
              <w:rPr>
                <w:rFonts w:ascii="宋体" w:hAnsi="宋体" w:cs="宋体" w:eastAsia="宋体" w:hint="default"/>
                <w:sz w:val="18"/>
                <w:szCs w:val="18"/>
              </w:rPr>
              <w:t>利息收入结余。募集资金专户余额转入公司自有资金账户，并于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日对募集资金专项账户办理了注 销手续。</w:t>
            </w:r>
          </w:p>
        </w:tc>
      </w:tr>
      <w:tr>
        <w:trPr>
          <w:trHeight w:val="165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986"/>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5"/>
        <w:gridCol w:w="1043"/>
        <w:gridCol w:w="1046"/>
      </w:tblGrid>
      <w:tr>
        <w:trPr>
          <w:trHeight w:val="402"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484.509979pt;width:102.9pt;height:46.8pt;mso-position-horizontal-relative:page;mso-position-vertical-relative:page;z-index:-117733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before="0"/>
                    <w:ind w:left="0" w:right="0"/>
                    <w:jc w:val="left"/>
                  </w:pPr>
                  <w:r>
                    <w:rPr/>
                    <w:t>研发、制造、</w:t>
                  </w:r>
                </w:p>
              </w:txbxContent>
            </v:textbox>
            <w10:wrap type="none"/>
          </v:shape>
        </w:pict>
      </w:r>
      <w:r>
        <w:rPr/>
        <w:pict>
          <v:group style="position:absolute;margin-left:221.690002pt;margin-top:484.509979pt;width:51.85pt;height:46.8pt;mso-position-horizontal-relative:page;mso-position-vertical-relative:page;z-index:-1177312" coordorigin="4434,9690" coordsize="1037,936">
            <v:shape style="position:absolute;left:4434;top:9690;width:1037;height:936" coordorigin="4434,9690" coordsize="1037,936" path="m4434,10626l5471,10626,5471,9690,4434,9690,4434,106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散料搬运核 心装置的研 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111,335,406.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24,411,701.0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43,208,625.3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-1,250,617.3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-1,257,460.9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6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混凝土搅拌 站及干混砂 浆搅拌站研 发、生产销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151,053,534.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54,693,411.6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131,433,146.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15,471,779.9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13,361,341.6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管型母线的 研发、生产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8,126,418.74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5,987,566.84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3,603,834.04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-1,855,078.3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-1,855,078.3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258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left"/>
              <w:rPr>
                <w:rFonts w:ascii="宋体" w:hAnsi="宋体" w:cs="宋体" w:eastAsia="宋体" w:hint="default"/>
                <w:sz w:val="18"/>
                <w:szCs w:val="18"/>
              </w:rPr>
            </w:pPr>
            <w:r>
              <w:rPr>
                <w:rFonts w:ascii="宋体" w:hAnsi="宋体" w:cs="宋体" w:eastAsia="宋体" w:hint="default"/>
                <w:sz w:val="18"/>
                <w:szCs w:val="18"/>
              </w:rPr>
              <w:t>工业机器人 成套生产 线、智能化 机械式停车 设备、物流 及智能仓储 的研发、生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1,164,140,03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586,305,564.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779,507,427.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83,294,747.2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78,484,929.5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258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机械式停车 设备、自动 收费系统、 立体仓库设 备、自动化 物流设备的</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4" w:right="0"/>
              <w:jc w:val="both"/>
              <w:rPr>
                <w:rFonts w:ascii="宋体" w:hAnsi="宋体" w:cs="宋体" w:eastAsia="宋体" w:hint="default"/>
                <w:sz w:val="18"/>
                <w:szCs w:val="18"/>
              </w:rPr>
            </w:pPr>
            <w:r>
              <w:rPr>
                <w:rFonts w:ascii="宋体" w:hAnsi="宋体" w:cs="宋体" w:eastAsia="宋体" w:hint="default"/>
                <w:sz w:val="18"/>
                <w:szCs w:val="18"/>
              </w:rPr>
              <w:t>销售及安装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398,016,511.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177,220,773.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276,980,588.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49,186,428.9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42,351,428.2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军用电子盘 和无人艇业 务研发、生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25,555,246.4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14,056,554.7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10,199,370.4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-1,290,627.8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-1,290,627.8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停车场的投 资、建设、 运营业务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10,985,643.8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10,582,166.2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77,132.10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-873,820.63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-874,020.63</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both"/>
              <w:rPr>
                <w:rFonts w:ascii="宋体" w:hAnsi="宋体" w:cs="宋体" w:eastAsia="宋体" w:hint="default"/>
                <w:sz w:val="18"/>
                <w:szCs w:val="18"/>
              </w:rPr>
            </w:pPr>
            <w:r>
              <w:rPr>
                <w:rFonts w:ascii="宋体" w:hAnsi="宋体" w:cs="宋体" w:eastAsia="宋体" w:hint="default"/>
                <w:sz w:val="18"/>
                <w:szCs w:val="18"/>
              </w:rPr>
              <w:t>停车场、车 库投资、建 设、运营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16,192,595.6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11,225,300.6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1,511,063.17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-1,445,683.1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-1,465,683.1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融资租赁业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 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105,510,898.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51,067,800.6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10,138,562.4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5,675,310.10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4,273,074.13</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停车场建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12,410,489.9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12,147,635.1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100,815.16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-805,678.97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-805,678.97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设、运营、 管理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非证券股权 投资及咨询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50200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257,495,377.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257,145,869.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864,100.71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-1,800,218.8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-1,766,867.5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0"/>
        <w:jc w:val="both"/>
      </w:pPr>
      <w:r>
        <w:rPr/>
        <w:t>报告期内取得和处置子公司的情况</w:t>
      </w:r>
    </w:p>
    <w:p>
      <w:pPr>
        <w:pStyle w:val="BodyText"/>
        <w:spacing w:line="338" w:lineRule="auto" w:before="11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986"/>
        <w:jc w:val="left"/>
      </w:pPr>
      <w:r>
        <w:rPr/>
        <w:t>（一）行业格局和趋势</w:t>
      </w:r>
    </w:p>
    <w:p>
      <w:pPr>
        <w:pStyle w:val="BodyText"/>
        <w:spacing w:line="300" w:lineRule="auto" w:before="76"/>
        <w:ind w:left="513" w:right="986"/>
        <w:jc w:val="left"/>
      </w:pPr>
      <w:r>
        <w:rPr>
          <w:rFonts w:ascii="Times New Roman" w:hAnsi="Times New Roman" w:cs="Times New Roman" w:eastAsia="Times New Roman" w:hint="default"/>
        </w:rPr>
        <w:t>1</w:t>
      </w:r>
      <w:r>
        <w:rPr/>
        <w:t>、政策利好不断出台，助推停车行业快速发展 </w:t>
      </w:r>
      <w:r>
        <w:rPr>
          <w:spacing w:val="-2"/>
        </w:rPr>
        <w:t>政策推动，我国停车产业快速发展时代来临。</w:t>
      </w:r>
      <w:r>
        <w:rPr>
          <w:rFonts w:ascii="Times New Roman" w:hAnsi="Times New Roman" w:cs="Times New Roman" w:eastAsia="Times New Roman" w:hint="default"/>
          <w:spacing w:val="-2"/>
        </w:rPr>
        <w:t>2010</w:t>
      </w:r>
      <w:r>
        <w:rPr>
          <w:spacing w:val="-2"/>
        </w:rPr>
        <w:t>年以后，随着我国汽车行业的快速发展，机械停车制造业随之进入加</w:t>
      </w:r>
    </w:p>
    <w:p>
      <w:pPr>
        <w:pStyle w:val="BodyText"/>
        <w:spacing w:line="300" w:lineRule="auto" w:before="13"/>
        <w:ind w:right="1128"/>
        <w:jc w:val="both"/>
      </w:pPr>
      <w:r>
        <w:rPr>
          <w:spacing w:val="-2"/>
        </w:rPr>
        <w:t>速发展阶段，特别是</w:t>
      </w:r>
      <w:r>
        <w:rPr>
          <w:rFonts w:ascii="Times New Roman" w:hAnsi="Times New Roman" w:cs="Times New Roman" w:eastAsia="Times New Roman" w:hint="default"/>
          <w:spacing w:val="-2"/>
        </w:rPr>
        <w:t>2015</w:t>
      </w:r>
      <w:r>
        <w:rPr>
          <w:spacing w:val="-2"/>
        </w:rPr>
        <w:t>年以来，国家陆续出台了一系列政策，给予了机械式停车设备行业从融资、规划、建设、经营、管</w:t>
      </w:r>
      <w:r>
        <w:rPr>
          <w:spacing w:val="-71"/>
        </w:rPr>
        <w:t> </w:t>
      </w:r>
      <w:r>
        <w:rPr>
          <w:spacing w:val="-71"/>
        </w:rPr>
      </w:r>
      <w:r>
        <w:rPr>
          <w:spacing w:val="-3"/>
        </w:rPr>
        <w:t>理等各个方面比较大的扶持力度，充分利用市场的资源配置功能，以期提高城市土地资源集约化利用水平，切实缓解城市</w:t>
      </w:r>
      <w:r>
        <w:rPr>
          <w:rFonts w:ascii="Times New Roman" w:hAnsi="Times New Roman" w:cs="Times New Roman" w:eastAsia="Times New Roman" w:hint="default"/>
          <w:spacing w:val="-3"/>
        </w:rPr>
        <w:t>“</w:t>
      </w:r>
      <w:r>
        <w:rPr>
          <w:spacing w:val="-3"/>
        </w:rPr>
        <w:t>停</w:t>
      </w:r>
      <w:r>
        <w:rPr>
          <w:spacing w:val="-84"/>
        </w:rPr>
        <w:t> </w:t>
      </w:r>
      <w:r>
        <w:rPr/>
        <w:t>车难</w:t>
      </w:r>
      <w:r>
        <w:rPr>
          <w:rFonts w:ascii="Times New Roman" w:hAnsi="Times New Roman" w:cs="Times New Roman" w:eastAsia="Times New Roman" w:hint="default"/>
        </w:rPr>
        <w:t>”</w:t>
      </w:r>
      <w:r>
        <w:rPr/>
        <w:t>问题。</w:t>
      </w:r>
    </w:p>
    <w:p>
      <w:pPr>
        <w:pStyle w:val="BodyText"/>
        <w:spacing w:line="300" w:lineRule="auto" w:before="13"/>
        <w:ind w:right="1134" w:firstLine="360"/>
        <w:jc w:val="both"/>
      </w:pPr>
      <w:r>
        <w:rPr>
          <w:spacing w:val="-2"/>
        </w:rPr>
        <w:t>首先，在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月，由国家</w:t>
      </w:r>
      <w:r>
        <w:rPr>
          <w:rFonts w:ascii="Times New Roman" w:hAnsi="Times New Roman" w:cs="Times New Roman" w:eastAsia="Times New Roman" w:hint="default"/>
          <w:spacing w:val="-2"/>
        </w:rPr>
        <w:t>7</w:t>
      </w:r>
      <w:r>
        <w:rPr>
          <w:spacing w:val="-2"/>
        </w:rPr>
        <w:t>部委联合出台了《关于加强城市停车设施建设的指导意见》，明确了吸引社会资本、推进</w:t>
      </w:r>
      <w:r>
        <w:rPr/>
        <w:t> 停车产业化、坚持集约挖潜，充分发掘城市地上和地下空间资源，坚持建管同步，加强违法行为治理建设。</w:t>
      </w:r>
    </w:p>
    <w:p>
      <w:pPr>
        <w:pStyle w:val="BodyText"/>
        <w:spacing w:line="307" w:lineRule="auto" w:before="31"/>
        <w:ind w:right="1128" w:firstLine="360"/>
        <w:jc w:val="both"/>
      </w:pPr>
      <w:r>
        <w:rPr/>
        <w:t>同时针对停车场建设初期投入高，收益小，回收期长的特点，社会投资建设停车场的积极性不高，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月国家发改 </w:t>
      </w:r>
      <w:r>
        <w:rPr>
          <w:spacing w:val="-2"/>
        </w:rPr>
        <w:t>委发布了《城市停车场建设专项债券发行指引》，将极大的解决停车设施建设的资金来源难题；同时针对机动车停放服务收</w:t>
      </w:r>
      <w:r>
        <w:rPr>
          <w:spacing w:val="-64"/>
        </w:rPr>
        <w:t> </w:t>
      </w:r>
      <w:r>
        <w:rPr>
          <w:spacing w:val="-64"/>
        </w:rPr>
      </w:r>
      <w:r>
        <w:rPr>
          <w:spacing w:val="-2"/>
        </w:rPr>
        <w:t>费等问题，</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月发改委住建部发布《关于进一步完善机动车停放服务收费政策的指导意见》，有利促进了停车投资建</w:t>
      </w:r>
      <w:r>
        <w:rPr>
          <w:spacing w:val="-60"/>
        </w:rPr>
        <w:t> </w:t>
      </w:r>
      <w:r>
        <w:rPr>
          <w:spacing w:val="-60"/>
        </w:rPr>
      </w:r>
      <w:r>
        <w:rPr/>
        <w:t>设、停车资源配置效率和产业升级等。</w:t>
      </w:r>
    </w:p>
    <w:p>
      <w:pPr>
        <w:pStyle w:val="BodyText"/>
        <w:spacing w:line="309" w:lineRule="auto" w:before="26"/>
        <w:ind w:right="1130" w:firstLine="360"/>
        <w:jc w:val="both"/>
      </w:pPr>
      <w:r>
        <w:rPr/>
        <w:t>在建设方面，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月，住房和城乡建设部印发《城市停车设施规划导则》，降低停车设施建设运营主体和投资规模 </w:t>
      </w:r>
      <w:r>
        <w:rPr>
          <w:spacing w:val="-2"/>
        </w:rPr>
        <w:t>的准入标准，简化投资建设、经营手续办理程序，减免相关行政事业性收费，全面放开社会资本全额投资新建停车设施的收</w:t>
      </w:r>
      <w:r>
        <w:rPr>
          <w:spacing w:val="-64"/>
        </w:rPr>
        <w:t> </w:t>
      </w:r>
      <w:r>
        <w:rPr>
          <w:spacing w:val="-64"/>
        </w:rPr>
      </w:r>
      <w:r>
        <w:rPr/>
        <w:t>费。</w:t>
      </w:r>
    </w:p>
    <w:p>
      <w:pPr>
        <w:pStyle w:val="BodyText"/>
        <w:spacing w:line="309" w:lineRule="auto" w:before="24"/>
        <w:ind w:right="1134" w:firstLine="360"/>
        <w:jc w:val="both"/>
      </w:pPr>
      <w:r>
        <w:rPr/>
        <w:t>针对停车场建设土地问题，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月，住房和城乡建设部、国土资源部印发《关于进一步完善城市停车场规划建设及 </w:t>
      </w:r>
      <w:r>
        <w:rPr>
          <w:spacing w:val="-2"/>
        </w:rPr>
        <w:t>用地政策的通知》，在土地政策上，从土地供应计划安排、供地方式选择、土地价格确定、存量用地盘活、土地供后监管等</w:t>
      </w:r>
      <w:r>
        <w:rPr>
          <w:spacing w:val="-73"/>
        </w:rPr>
        <w:t> </w:t>
      </w:r>
      <w:r>
        <w:rPr>
          <w:spacing w:val="-73"/>
        </w:rPr>
      </w:r>
      <w:r>
        <w:rPr/>
        <w:t>多个方面，给出了具体的政策安排并明确了管理要求。</w:t>
      </w:r>
    </w:p>
    <w:p>
      <w:pPr>
        <w:pStyle w:val="BodyText"/>
        <w:spacing w:line="300" w:lineRule="auto" w:before="24"/>
        <w:ind w:right="986"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月，国家发改委发布《加快城市停车场建设近期工作要点与任务分工》，对规划、细则、财政支持、停车资源、</w:t>
      </w:r>
      <w:r>
        <w:rPr/>
        <w:t> 停车数据库等方面进行了全面细致的要求，提出要加快高新技术在停车领域的应用和推动停车与互联网融合的发展。</w:t>
      </w:r>
      <w:r>
        <w:rPr>
          <w:rFonts w:ascii="Times New Roman" w:hAnsi="Times New Roman" w:cs="Times New Roman" w:eastAsia="Times New Roman" w:hint="default"/>
        </w:rPr>
        <w:t>2016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11</w:t>
      </w:r>
      <w:r>
        <w:rPr/>
        <w:t>月，国家发改委发布《关于开展城市停车场试点示范工作的通知》，重点提到了推动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停车</w:t>
      </w:r>
      <w:r>
        <w:rPr>
          <w:rFonts w:ascii="Times New Roman" w:hAnsi="Times New Roman" w:cs="Times New Roman" w:eastAsia="Times New Roman" w:hint="default"/>
        </w:rPr>
        <w:t>”</w:t>
      </w:r>
      <w:r>
        <w:rPr/>
        <w:t>发展，通过国家政</w:t>
      </w:r>
      <w:r>
        <w:rPr>
          <w:spacing w:val="-76"/>
        </w:rPr>
        <w:t> </w:t>
      </w:r>
      <w:r>
        <w:rPr>
          <w:spacing w:val="-76"/>
        </w:rPr>
      </w:r>
      <w:r>
        <w:rPr/>
        <w:t>策、资金扶持大力引进社会资本，创新金融服务模式。</w:t>
      </w:r>
    </w:p>
    <w:p>
      <w:pPr>
        <w:pStyle w:val="BodyText"/>
        <w:spacing w:line="300" w:lineRule="auto" w:before="31"/>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月，国务院发布《关于完善促进消费体制机制进一步激发居民消费潜力的若干意见》，明确提到要构架更加成 熟的消费细分市场，壮大消费新增长点，住行消费方面特意提出要加强城市停车场和新能源汽车充电设施建设。</w:t>
      </w:r>
    </w:p>
    <w:p>
      <w:pPr>
        <w:pStyle w:val="BodyText"/>
        <w:spacing w:line="309" w:lineRule="auto" w:before="31"/>
        <w:ind w:right="986" w:firstLine="360"/>
        <w:jc w:val="left"/>
      </w:pPr>
      <w:r>
        <w:rPr/>
        <w:t>地方政府政策也在不断出台推动产业发展。</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月，深圳市发改委等</w:t>
      </w:r>
      <w:r>
        <w:rPr>
          <w:rFonts w:ascii="Times New Roman" w:hAnsi="Times New Roman" w:cs="Times New Roman" w:eastAsia="Times New Roman" w:hint="default"/>
        </w:rPr>
        <w:t>7</w:t>
      </w:r>
      <w:r>
        <w:rPr/>
        <w:t>部门联合下发《深圳市加强停车设施建设工 </w:t>
      </w:r>
      <w:r>
        <w:rPr>
          <w:spacing w:val="-2"/>
        </w:rPr>
        <w:t>作实施意见》，明确提出深圳市作为国家城市停车场建设第一批试点示范城市之一，将重点在停车信息平台建设及公共设施</w:t>
      </w:r>
      <w:r>
        <w:rPr>
          <w:spacing w:val="-66"/>
        </w:rPr>
        <w:t> </w:t>
      </w:r>
      <w:r>
        <w:rPr>
          <w:spacing w:val="-66"/>
        </w:rPr>
      </w:r>
      <w:r>
        <w:rPr>
          <w:spacing w:val="-4"/>
        </w:rPr>
        <w:t>集中区停车设施建设上进行试点，通过用地保障、简化审批、投融资模式、智能化、标准体系等创新模式缓解停车供需矛盾，</w:t>
      </w:r>
      <w:r>
        <w:rPr>
          <w:spacing w:val="-45"/>
        </w:rPr>
        <w:t> </w:t>
      </w:r>
      <w:r>
        <w:rPr>
          <w:spacing w:val="-45"/>
        </w:rPr>
      </w:r>
      <w:r>
        <w:rPr/>
        <w:t>推动停车产业链发展。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月，北京市政府颁布《北京市机动车停车管理条例》，该条例从政府的角度肯定了智慧停车</w:t>
      </w:r>
      <w:r>
        <w:rPr>
          <w:spacing w:val="-85"/>
        </w:rPr>
        <w:t> </w:t>
      </w:r>
      <w:r>
        <w:rPr>
          <w:spacing w:val="-85"/>
        </w:rPr>
      </w:r>
      <w:r>
        <w:rPr/>
        <w:t>的意义。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月，深圳市发改委等</w:t>
      </w:r>
      <w:r>
        <w:rPr>
          <w:rFonts w:ascii="Times New Roman" w:hAnsi="Times New Roman" w:cs="Times New Roman" w:eastAsia="Times New Roman" w:hint="default"/>
        </w:rPr>
        <w:t>7</w:t>
      </w:r>
      <w:r>
        <w:rPr/>
        <w:t>部门联合下发《深圳市机械式立体停车设施管理暂行办法的通知》，明确提到要鼓</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励社会资本参与停车场建设，大幅简化立体车库报建审批手续，突破行政审批限制。</w:t>
      </w:r>
    </w:p>
    <w:p>
      <w:pPr>
        <w:pStyle w:val="BodyText"/>
        <w:spacing w:line="300" w:lineRule="auto" w:before="77"/>
        <w:ind w:right="986"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日，中共中央政治局会议召开，释放出多个重磅信号。在投资领域，会议提出要深入挖掘存量消费与投资，</w:t>
      </w:r>
      <w:r>
        <w:rPr/>
        <w:t> </w:t>
      </w:r>
      <w:r>
        <w:rPr>
          <w:rFonts w:ascii="Times New Roman" w:hAnsi="Times New Roman" w:cs="Times New Roman" w:eastAsia="Times New Roman" w:hint="default"/>
        </w:rPr>
        <w:t>"</w:t>
      </w:r>
      <w:r>
        <w:rPr/>
        <w:t>城市停车场</w:t>
      </w:r>
      <w:r>
        <w:rPr>
          <w:rFonts w:ascii="Times New Roman" w:hAnsi="Times New Roman" w:cs="Times New Roman" w:eastAsia="Times New Roman" w:hint="default"/>
        </w:rPr>
        <w:t>"</w:t>
      </w:r>
      <w:r>
        <w:rPr/>
        <w:t>作为补短板工程首次被提及，同时被提及的还有</w:t>
      </w:r>
      <w:r>
        <w:rPr>
          <w:rFonts w:ascii="Times New Roman" w:hAnsi="Times New Roman" w:cs="Times New Roman" w:eastAsia="Times New Roman" w:hint="default"/>
        </w:rPr>
        <w:t>"</w:t>
      </w:r>
      <w:r>
        <w:rPr/>
        <w:t>信息网络</w:t>
      </w:r>
      <w:r>
        <w:rPr>
          <w:rFonts w:ascii="Times New Roman" w:hAnsi="Times New Roman" w:cs="Times New Roman" w:eastAsia="Times New Roman" w:hint="default"/>
        </w:rPr>
        <w:t>"</w:t>
      </w:r>
      <w:r>
        <w:rPr/>
        <w:t>等新型基础设施建设，使人们对智慧停车产业再次 关注；</w:t>
      </w:r>
    </w:p>
    <w:p>
      <w:pPr>
        <w:pStyle w:val="BodyText"/>
        <w:spacing w:line="300" w:lineRule="auto" w:before="31"/>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月，国务院常务会议提出加快地方政府专项债券发行使用的措施，根据地方重大项目建设需要，按规定提前下 达明年专项债部分新增额度，确保明年初即可使用见效，并扩大使用范围，包括城市停车场等交通基础设施。</w:t>
      </w:r>
    </w:p>
    <w:p>
      <w:pPr>
        <w:pStyle w:val="BodyText"/>
        <w:spacing w:line="300" w:lineRule="auto" w:before="31"/>
        <w:ind w:left="513" w:right="986"/>
        <w:jc w:val="left"/>
      </w:pPr>
      <w:r>
        <w:rPr>
          <w:rFonts w:ascii="Times New Roman" w:hAnsi="Times New Roman" w:cs="Times New Roman" w:eastAsia="Times New Roman" w:hint="default"/>
        </w:rPr>
        <w:t>2</w:t>
      </w:r>
      <w:r>
        <w:rPr/>
        <w:t>、智能制造未来制造业的主攻方向 </w:t>
      </w:r>
      <w:r>
        <w:rPr>
          <w:spacing w:val="-2"/>
        </w:rPr>
        <w:t>自</w:t>
      </w:r>
      <w:r>
        <w:rPr>
          <w:rFonts w:ascii="Times New Roman" w:hAnsi="Times New Roman" w:cs="Times New Roman" w:eastAsia="Times New Roman" w:hint="default"/>
          <w:spacing w:val="-2"/>
        </w:rPr>
        <w:t>2015</w:t>
      </w:r>
      <w:r>
        <w:rPr>
          <w:spacing w:val="-2"/>
        </w:rPr>
        <w:t>年国务院发布《中国制造</w:t>
      </w:r>
      <w:r>
        <w:rPr>
          <w:rFonts w:ascii="Times New Roman" w:hAnsi="Times New Roman" w:cs="Times New Roman" w:eastAsia="Times New Roman" w:hint="default"/>
          <w:spacing w:val="-2"/>
        </w:rPr>
        <w:t>2025</w:t>
      </w:r>
      <w:r>
        <w:rPr>
          <w:spacing w:val="-2"/>
        </w:rPr>
        <w:t>》，确定发展世界制造业强国的战略目标以来，国家已经出台了一系列的相关政策</w:t>
      </w:r>
    </w:p>
    <w:p>
      <w:pPr>
        <w:pStyle w:val="BodyText"/>
        <w:spacing w:line="309" w:lineRule="auto" w:before="13"/>
        <w:ind w:right="1130"/>
        <w:jc w:val="both"/>
      </w:pPr>
      <w:r>
        <w:rPr>
          <w:spacing w:val="-2"/>
        </w:rPr>
        <w:t>对高端智能产品、高新技术企业、先进装备制造业等进行扶持，从产品、企业和行业三个层面来鼓励工业机器人及其相关行</w:t>
      </w:r>
      <w:r>
        <w:rPr>
          <w:spacing w:val="-64"/>
        </w:rPr>
        <w:t> </w:t>
      </w:r>
      <w:r>
        <w:rPr>
          <w:spacing w:val="-64"/>
        </w:rPr>
      </w:r>
      <w:r>
        <w:rPr>
          <w:spacing w:val="-2"/>
        </w:rPr>
        <w:t>业发展。</w:t>
      </w:r>
      <w:r>
        <w:rPr>
          <w:rFonts w:ascii="Times New Roman" w:hAnsi="Times New Roman" w:cs="Times New Roman" w:eastAsia="Times New Roman" w:hint="default"/>
          <w:spacing w:val="-2"/>
        </w:rPr>
        <w:t>2016</w:t>
      </w:r>
      <w:r>
        <w:rPr>
          <w:spacing w:val="-2"/>
        </w:rPr>
        <w:t>年以来，国家各省市政府围绕高端制造发布多项产业促进政策，全面落实相关产业发展。智能制造是未来制造</w:t>
      </w:r>
      <w:r>
        <w:rPr>
          <w:spacing w:val="-61"/>
        </w:rPr>
        <w:t> </w:t>
      </w:r>
      <w:r>
        <w:rPr>
          <w:spacing w:val="-61"/>
        </w:rPr>
      </w:r>
      <w:r>
        <w:rPr/>
        <w:t>业的主攻方向，是各国抢占科技与市场制高点的关键入口，其市场发展空间十分广阔。</w:t>
      </w:r>
    </w:p>
    <w:p>
      <w:pPr>
        <w:pStyle w:val="BodyText"/>
        <w:spacing w:line="316" w:lineRule="auto" w:before="24"/>
        <w:ind w:left="513" w:right="986"/>
        <w:jc w:val="left"/>
      </w:pPr>
      <w:r>
        <w:rPr/>
        <w:t>（二）发展战略 </w:t>
      </w:r>
      <w:r>
        <w:rPr>
          <w:spacing w:val="-2"/>
        </w:rPr>
        <w:t>通过实施</w:t>
      </w:r>
      <w:r>
        <w:rPr>
          <w:rFonts w:ascii="Times New Roman" w:hAnsi="Times New Roman" w:cs="Times New Roman" w:eastAsia="Times New Roman" w:hint="default"/>
          <w:spacing w:val="-2"/>
        </w:rPr>
        <w:t>“</w:t>
      </w:r>
      <w:r>
        <w:rPr>
          <w:spacing w:val="-2"/>
        </w:rPr>
        <w:t>智造</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的战略，紧紧抓住获取</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的关键要点，通过智能制造、工业物联网的应用开</w:t>
      </w:r>
    </w:p>
    <w:p>
      <w:pPr>
        <w:pStyle w:val="BodyText"/>
        <w:spacing w:line="304" w:lineRule="auto" w:before="0"/>
        <w:ind w:right="1034"/>
        <w:jc w:val="left"/>
      </w:pPr>
      <w:r>
        <w:rPr/>
        <w:t>发、城市级智慧停车云平台的技术研发，进一步提升公司获取停车资源的能力和数量。以</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作为抓手，扩大智造板 块的销售规模，提升机械式立体停车设备的市场占有率，全力打造散料搬运核心装备、信息化自动生产线、智能仓储物流、 </w:t>
      </w:r>
      <w:r>
        <w:rPr>
          <w:spacing w:val="-3"/>
        </w:rPr>
        <w:t>两站及机制砂业务，实现销售收入较快增长；以</w:t>
      </w:r>
      <w:r>
        <w:rPr>
          <w:rFonts w:ascii="Times New Roman" w:hAnsi="Times New Roman" w:cs="Times New Roman" w:eastAsia="Times New Roman" w:hint="default"/>
          <w:spacing w:val="-3"/>
        </w:rPr>
        <w:t>“</w:t>
      </w:r>
      <w:r>
        <w:rPr>
          <w:spacing w:val="-3"/>
        </w:rPr>
        <w:t>投资运营</w:t>
      </w:r>
      <w:r>
        <w:rPr>
          <w:rFonts w:ascii="Times New Roman" w:hAnsi="Times New Roman" w:cs="Times New Roman" w:eastAsia="Times New Roman" w:hint="default"/>
          <w:spacing w:val="-3"/>
        </w:rPr>
        <w:t>”</w:t>
      </w:r>
      <w:r>
        <w:rPr>
          <w:spacing w:val="-3"/>
        </w:rPr>
        <w:t>作为突破，以平台化、规模化实现公司全产业布局智慧停车市场，</w:t>
      </w:r>
      <w:r>
        <w:rPr>
          <w:spacing w:val="-78"/>
        </w:rPr>
        <w:t> </w:t>
      </w:r>
      <w:r>
        <w:rPr>
          <w:spacing w:val="-78"/>
        </w:rPr>
      </w:r>
      <w:r>
        <w:rPr/>
        <w:t>形成公司特有的核心竞争力；以</w:t>
      </w:r>
      <w:r>
        <w:rPr>
          <w:rFonts w:ascii="Times New Roman" w:hAnsi="Times New Roman" w:cs="Times New Roman" w:eastAsia="Times New Roman" w:hint="default"/>
        </w:rPr>
        <w:t>“</w:t>
      </w:r>
      <w:r>
        <w:rPr/>
        <w:t>维保服务</w:t>
      </w:r>
      <w:r>
        <w:rPr>
          <w:rFonts w:ascii="Times New Roman" w:hAnsi="Times New Roman" w:cs="Times New Roman" w:eastAsia="Times New Roman" w:hint="default"/>
        </w:rPr>
        <w:t>”</w:t>
      </w:r>
      <w:r>
        <w:rPr/>
        <w:t>作为契机，增加和提升公司品牌形象，增加设备市场销售规模，拓宽停车资源获 取渠道，通过维保服务收入，培育公司利润新的增长极。</w:t>
      </w:r>
    </w:p>
    <w:p>
      <w:pPr>
        <w:pStyle w:val="BodyText"/>
        <w:spacing w:line="240" w:lineRule="auto" w:before="28"/>
        <w:ind w:left="513" w:right="986"/>
        <w:jc w:val="left"/>
      </w:pPr>
      <w:r>
        <w:rPr/>
        <w:t>（三）</w:t>
      </w:r>
      <w:r>
        <w:rPr>
          <w:rFonts w:ascii="Times New Roman" w:hAnsi="Times New Roman" w:cs="Times New Roman" w:eastAsia="Times New Roman" w:hint="default"/>
        </w:rPr>
        <w:t>2020</w:t>
      </w:r>
      <w:r>
        <w:rPr/>
        <w:t>年经营计划</w:t>
      </w:r>
    </w:p>
    <w:p>
      <w:pPr>
        <w:pStyle w:val="BodyText"/>
        <w:spacing w:line="300" w:lineRule="auto" w:before="63"/>
        <w:ind w:left="513" w:right="986"/>
        <w:jc w:val="left"/>
      </w:pPr>
      <w:r>
        <w:rPr>
          <w:rFonts w:ascii="Times New Roman" w:hAnsi="Times New Roman" w:cs="Times New Roman" w:eastAsia="Times New Roman" w:hint="default"/>
        </w:rPr>
        <w:t>1</w:t>
      </w:r>
      <w:r>
        <w:rPr/>
        <w:t>、停车运营板块再上台阶，增厚对公司利润贡献度 </w:t>
      </w:r>
      <w:r>
        <w:rPr>
          <w:spacing w:val="-2"/>
        </w:rPr>
        <w:t>围绕公司的中长期发展战略，以获取停车资源为发展业务的关键点，具体路径：一是维保类停车资源，通过设备的销售</w:t>
      </w:r>
    </w:p>
    <w:p>
      <w:pPr>
        <w:pStyle w:val="BodyText"/>
        <w:spacing w:line="316" w:lineRule="auto" w:before="31"/>
        <w:ind w:right="986"/>
        <w:jc w:val="left"/>
      </w:pPr>
      <w:r>
        <w:rPr>
          <w:spacing w:val="-2"/>
        </w:rPr>
        <w:t>来扩大规模；二是权益类停车资源，通过停车场投资来扩大规模；三是联盟类停车资源，通过使用公司的智慧停车云平台来</w:t>
      </w:r>
      <w:r>
        <w:rPr>
          <w:spacing w:val="-64"/>
        </w:rPr>
        <w:t> </w:t>
      </w:r>
      <w:r>
        <w:rPr>
          <w:spacing w:val="-64"/>
        </w:rPr>
      </w:r>
      <w:r>
        <w:rPr/>
        <w:t>扩大规模。</w:t>
      </w:r>
    </w:p>
    <w:p>
      <w:pPr>
        <w:pStyle w:val="BodyText"/>
        <w:spacing w:line="309" w:lineRule="auto" w:before="19"/>
        <w:ind w:right="1034" w:firstLine="360"/>
        <w:jc w:val="left"/>
      </w:pPr>
      <w:r>
        <w:rPr/>
        <w:t>疌盛五洋产业基金和长安停车私募基金管理人为获取停车资源提供资本支持。依托装备制造优势，通过股权投资路径， </w:t>
      </w:r>
      <w:r>
        <w:rPr>
          <w:spacing w:val="-2"/>
        </w:rPr>
        <w:t>与地方政府合资共建、</w:t>
      </w:r>
      <w:r>
        <w:rPr>
          <w:rFonts w:ascii="Times New Roman" w:hAnsi="Times New Roman" w:cs="Times New Roman" w:eastAsia="Times New Roman" w:hint="default"/>
          <w:spacing w:val="-2"/>
        </w:rPr>
        <w:t>BOT</w:t>
      </w:r>
      <w:r>
        <w:rPr>
          <w:spacing w:val="-2"/>
        </w:rPr>
        <w:t>等模式，服务地方政府存量停车资源的运营管理和增量停车资源新建；通过股权收购及中长期租</w:t>
      </w:r>
      <w:r>
        <w:rPr>
          <w:spacing w:val="-60"/>
        </w:rPr>
        <w:t> </w:t>
      </w:r>
      <w:r>
        <w:rPr>
          <w:spacing w:val="-60"/>
        </w:rPr>
      </w:r>
      <w:r>
        <w:rPr/>
        <w:t>赁等路径，获取一线城市商业停车场资源。</w:t>
      </w:r>
    </w:p>
    <w:p>
      <w:pPr>
        <w:pStyle w:val="BodyText"/>
        <w:spacing w:line="300" w:lineRule="auto" w:before="24"/>
        <w:ind w:right="986" w:firstLine="360"/>
        <w:jc w:val="left"/>
      </w:pPr>
      <w:r>
        <w:rPr>
          <w:spacing w:val="-1"/>
        </w:rPr>
        <w:t>迈泊停车公司负责公司停车项目运营管理，北京泊创科技及长安停车</w:t>
      </w:r>
      <w:r>
        <w:rPr>
          <w:rFonts w:ascii="Times New Roman" w:hAnsi="Times New Roman" w:cs="Times New Roman" w:eastAsia="Times New Roman" w:hint="default"/>
          <w:spacing w:val="-1"/>
        </w:rPr>
        <w:t>(</w:t>
      </w:r>
      <w:r>
        <w:rPr>
          <w:spacing w:val="-1"/>
        </w:rPr>
        <w:t>西安</w:t>
      </w:r>
      <w:r>
        <w:rPr>
          <w:rFonts w:ascii="Times New Roman" w:hAnsi="Times New Roman" w:cs="Times New Roman" w:eastAsia="Times New Roman" w:hint="default"/>
          <w:spacing w:val="-1"/>
        </w:rPr>
        <w:t>)</w:t>
      </w:r>
      <w:r>
        <w:rPr>
          <w:spacing w:val="-1"/>
        </w:rPr>
        <w:t>公司负责停车场（库）智能设备相关的计算</w:t>
      </w:r>
      <w:r>
        <w:rPr/>
        <w:t> 机软件研究与开发，加强公司智慧停车云平台建设，为联盟更多停车资源提供平台支持。</w:t>
      </w:r>
    </w:p>
    <w:p>
      <w:pPr>
        <w:pStyle w:val="BodyText"/>
        <w:spacing w:line="316" w:lineRule="auto" w:before="31"/>
        <w:ind w:right="986" w:firstLine="360"/>
        <w:jc w:val="left"/>
      </w:pPr>
      <w:r>
        <w:rPr>
          <w:spacing w:val="-2"/>
        </w:rPr>
        <w:t>通过平台化、规模化实现公司全产业布局智慧停车市场，形成公司特有的核心竞争力。公司将继续利用停车资源，创新</w:t>
      </w:r>
      <w:r>
        <w:rPr/>
        <w:t> 业务模式，拓展增长点，增厚停车运营板块对公司利润贡献。</w:t>
      </w:r>
    </w:p>
    <w:p>
      <w:pPr>
        <w:pStyle w:val="BodyText"/>
        <w:spacing w:line="300" w:lineRule="auto" w:before="19"/>
        <w:ind w:left="513" w:right="986"/>
        <w:jc w:val="left"/>
      </w:pPr>
      <w:r>
        <w:rPr>
          <w:rFonts w:ascii="Times New Roman" w:hAnsi="Times New Roman" w:cs="Times New Roman" w:eastAsia="Times New Roman" w:hint="default"/>
        </w:rPr>
        <w:t>2</w:t>
      </w:r>
      <w:r>
        <w:rPr/>
        <w:t>、持续做大做强立体停车装备制造板块，巩固和提升行业地位 </w:t>
      </w:r>
      <w:r>
        <w:rPr>
          <w:spacing w:val="-2"/>
        </w:rPr>
        <w:t>按计划有续推进五大生产基地建设，解决立体停车装备制造产能瓶颈，解决不同区域生产专业化分工问题，实现五个基</w:t>
      </w:r>
    </w:p>
    <w:p>
      <w:pPr>
        <w:pStyle w:val="BodyText"/>
        <w:spacing w:line="316" w:lineRule="auto" w:before="31"/>
        <w:ind w:right="986"/>
        <w:jc w:val="left"/>
      </w:pPr>
      <w:r>
        <w:rPr>
          <w:spacing w:val="-2"/>
        </w:rPr>
        <w:t>地同时对单一订单快速响应，快速实现生产交货，缩短交货周期，加快资产周转率。加大智能化、数字化生产装备投入，提</w:t>
      </w:r>
      <w:r>
        <w:rPr>
          <w:spacing w:val="-70"/>
        </w:rPr>
        <w:t> </w:t>
      </w:r>
      <w:r>
        <w:rPr>
          <w:spacing w:val="-70"/>
        </w:rPr>
      </w:r>
      <w:r>
        <w:rPr/>
        <w:t>高生产效率，提升产品质量和性能的稳定性。</w:t>
      </w:r>
    </w:p>
    <w:p>
      <w:pPr>
        <w:pStyle w:val="BodyText"/>
        <w:spacing w:line="300" w:lineRule="auto" w:before="19"/>
        <w:ind w:left="513" w:right="1113"/>
        <w:jc w:val="left"/>
      </w:pPr>
      <w:r>
        <w:rPr>
          <w:rFonts w:ascii="Times New Roman" w:hAnsi="Times New Roman" w:cs="Times New Roman" w:eastAsia="Times New Roman" w:hint="default"/>
        </w:rPr>
        <w:t>3</w:t>
      </w:r>
      <w:r>
        <w:rPr/>
        <w:t>、持续加大技术研发的投入，保持公司核心竞争力 公司资源研发共享，产品力争做到销售一代、储备一代、研发一代。公司继续围绕研究院</w:t>
      </w:r>
      <w:r>
        <w:rPr>
          <w:rFonts w:ascii="Times New Roman" w:hAnsi="Times New Roman" w:cs="Times New Roman" w:eastAsia="Times New Roman" w:hint="default"/>
        </w:rPr>
        <w:t>/</w:t>
      </w:r>
      <w:r>
        <w:rPr/>
        <w:t>省级工程技术中心</w:t>
      </w:r>
      <w:r>
        <w:rPr>
          <w:rFonts w:ascii="Times New Roman" w:hAnsi="Times New Roman" w:cs="Times New Roman" w:eastAsia="Times New Roman" w:hint="default"/>
        </w:rPr>
        <w:t>/</w:t>
      </w:r>
      <w:r>
        <w:rPr/>
        <w:t>城市级智</w:t>
      </w:r>
    </w:p>
    <w:p>
      <w:pPr>
        <w:pStyle w:val="BodyText"/>
        <w:spacing w:line="309" w:lineRule="auto" w:before="13"/>
        <w:ind w:right="986"/>
        <w:jc w:val="left"/>
      </w:pPr>
      <w:r>
        <w:rPr>
          <w:spacing w:val="-1"/>
        </w:rPr>
        <w:t>慧停车服务平台研发实验室博士后流动站、智能立体车库研发实验室、充电大巴库研发实验室、</w:t>
      </w:r>
      <w:r>
        <w:rPr>
          <w:rFonts w:ascii="Times New Roman" w:hAnsi="Times New Roman" w:cs="Times New Roman" w:eastAsia="Times New Roman" w:hint="default"/>
          <w:spacing w:val="-1"/>
        </w:rPr>
        <w:t>AGV</w:t>
      </w:r>
      <w:r>
        <w:rPr>
          <w:spacing w:val="-1"/>
        </w:rPr>
        <w:t>智能停车研发实验室、</w:t>
      </w:r>
      <w:r>
        <w:rPr>
          <w:spacing w:val="-58"/>
        </w:rPr>
        <w:t> </w:t>
      </w:r>
      <w:r>
        <w:rPr>
          <w:spacing w:val="-58"/>
        </w:rPr>
      </w:r>
      <w:r>
        <w:rPr>
          <w:spacing w:val="-2"/>
        </w:rPr>
        <w:t>立体车库工业互联管理系统研发实验室建设，及面向智慧矿山的带式输送机智能装备及安全技术研发与产业化、井下防爆型</w:t>
      </w:r>
      <w:r>
        <w:rPr>
          <w:spacing w:val="-63"/>
        </w:rPr>
        <w:t> </w:t>
      </w:r>
      <w:r>
        <w:rPr>
          <w:spacing w:val="-63"/>
        </w:rPr>
      </w:r>
      <w:r>
        <w:rPr/>
        <w:t>变频张紧控制技术研发、变频张紧控制技术研发、张紧卷带一体控制技术研发、机制砂及石膏砂浆项目研发及产业化。</w:t>
      </w:r>
    </w:p>
    <w:p>
      <w:pPr>
        <w:pStyle w:val="BodyText"/>
        <w:spacing w:line="300" w:lineRule="auto" w:before="24"/>
        <w:ind w:left="513" w:right="986"/>
        <w:jc w:val="left"/>
      </w:pPr>
      <w:r>
        <w:rPr>
          <w:rFonts w:ascii="Times New Roman" w:hAnsi="Times New Roman" w:cs="Times New Roman" w:eastAsia="Times New Roman" w:hint="default"/>
        </w:rPr>
        <w:t>4</w:t>
      </w:r>
      <w:r>
        <w:rPr/>
        <w:t>、加大维保类业务开拓力度，培育新的利润增长点 </w:t>
      </w:r>
      <w:r>
        <w:rPr>
          <w:spacing w:val="-2"/>
        </w:rPr>
        <w:t>公司通过已销售的立体车库产品，积累了大量的维保车位停车资源。公司通过维保车位与客户维持了长期稳定的合作关</w:t>
      </w:r>
    </w:p>
    <w:p>
      <w:pPr>
        <w:pStyle w:val="BodyText"/>
        <w:spacing w:line="316" w:lineRule="auto" w:before="31"/>
        <w:ind w:left="513" w:right="986" w:hanging="361"/>
        <w:jc w:val="left"/>
      </w:pPr>
      <w:r>
        <w:rPr/>
        <w:t>系，有望持续稳定贡献收入。 </w:t>
      </w:r>
      <w:r>
        <w:rPr>
          <w:spacing w:val="-2"/>
        </w:rPr>
        <w:t>公司可以通过市场营销获取维保资源。公司旗下伟创自动化和天辰智能经过多年发展，已经具备品牌效应，积累了丰富</w:t>
      </w:r>
    </w:p>
    <w:p>
      <w:pPr>
        <w:pStyle w:val="BodyText"/>
        <w:spacing w:line="240" w:lineRule="auto" w:before="18"/>
        <w:ind w:right="986"/>
        <w:jc w:val="left"/>
      </w:pPr>
      <w:r>
        <w:rPr/>
        <w:t>的技术和维修保养经验，并建立完备的售后服务体系，已经形成全国性维保网点。同时公司通过建设和开发立体车库工业互</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1"/>
        <w:jc w:val="both"/>
      </w:pPr>
      <w:r>
        <w:rPr>
          <w:spacing w:val="-2"/>
        </w:rPr>
        <w:t>联管理平台技术体系优势，实现车位运营状态的远程诊断和远程服务，做到实时响应，大力拓展立体车库维保业务，培育公</w:t>
      </w:r>
      <w:r>
        <w:rPr>
          <w:spacing w:val="-64"/>
        </w:rPr>
        <w:t> </w:t>
      </w:r>
      <w:r>
        <w:rPr>
          <w:spacing w:val="-64"/>
        </w:rPr>
      </w:r>
      <w:r>
        <w:rPr/>
        <w:t>司新的利润增长点。</w:t>
      </w:r>
    </w:p>
    <w:p>
      <w:pPr>
        <w:pStyle w:val="BodyText"/>
        <w:spacing w:line="300" w:lineRule="auto" w:before="17"/>
        <w:ind w:left="513" w:right="986"/>
        <w:jc w:val="left"/>
      </w:pPr>
      <w:r>
        <w:rPr>
          <w:rFonts w:ascii="Times New Roman" w:hAnsi="Times New Roman" w:cs="Times New Roman" w:eastAsia="Times New Roman" w:hint="default"/>
        </w:rPr>
        <w:t>5</w:t>
      </w:r>
      <w:r>
        <w:rPr/>
        <w:t>、预算管理为主线，做好年度目标分解和管理工作 </w:t>
      </w:r>
      <w:r>
        <w:rPr>
          <w:spacing w:val="-2"/>
        </w:rPr>
        <w:t>划小核算单元，实行单元目标成本核算，推动全面预算计划管理，逐步建立基于精确的利润和投资回报率指标。认真做</w:t>
      </w:r>
    </w:p>
    <w:p>
      <w:pPr>
        <w:pStyle w:val="BodyText"/>
        <w:spacing w:line="316" w:lineRule="auto" w:before="31"/>
        <w:ind w:right="1131"/>
        <w:jc w:val="both"/>
      </w:pPr>
      <w:r>
        <w:rPr>
          <w:spacing w:val="-2"/>
        </w:rPr>
        <w:t>好公司年度目标的分解工作，把目标、计划、预算和决算工作有机结合好，保证各项工作得到有效的控制和年度目标的实际</w:t>
      </w:r>
      <w:r>
        <w:rPr>
          <w:spacing w:val="-64"/>
        </w:rPr>
        <w:t> </w:t>
      </w:r>
      <w:r>
        <w:rPr>
          <w:spacing w:val="-64"/>
        </w:rPr>
      </w:r>
      <w:r>
        <w:rPr>
          <w:spacing w:val="-2"/>
        </w:rPr>
        <w:t>落实；做好目标、计划、预算、核算和决算的定期检查、考核工作；不断改进监督和审计方式，做好目标计划的跟踪检查和</w:t>
      </w:r>
      <w:r>
        <w:rPr>
          <w:spacing w:val="-72"/>
        </w:rPr>
        <w:t> </w:t>
      </w:r>
      <w:r>
        <w:rPr>
          <w:spacing w:val="-72"/>
        </w:rPr>
      </w:r>
      <w:r>
        <w:rPr/>
        <w:t>审计工作。</w:t>
      </w:r>
    </w:p>
    <w:p>
      <w:pPr>
        <w:pStyle w:val="BodyText"/>
        <w:spacing w:line="300" w:lineRule="auto" w:before="19"/>
        <w:ind w:left="441" w:right="986" w:firstLine="72"/>
        <w:jc w:val="left"/>
      </w:pPr>
      <w:r>
        <w:rPr>
          <w:rFonts w:ascii="Times New Roman" w:hAnsi="Times New Roman" w:cs="Times New Roman" w:eastAsia="Times New Roman" w:hint="default"/>
        </w:rPr>
        <w:t>6</w:t>
      </w:r>
      <w:r>
        <w:rPr/>
        <w:t>、推进管理制度的创新与人才队伍的建设 </w:t>
      </w:r>
      <w:r>
        <w:rPr>
          <w:spacing w:val="-1"/>
        </w:rPr>
        <w:t>公司经营规模持续扩张，业务多元化，集团化管理水平对企业发展有至关重要的影响。</w:t>
      </w:r>
      <w:r>
        <w:rPr>
          <w:rFonts w:ascii="Times New Roman" w:hAnsi="Times New Roman" w:cs="Times New Roman" w:eastAsia="Times New Roman" w:hint="default"/>
          <w:spacing w:val="-1"/>
        </w:rPr>
        <w:t>2020</w:t>
      </w:r>
      <w:r>
        <w:rPr>
          <w:spacing w:val="-1"/>
        </w:rPr>
        <w:t>年公司持续着重完善后备干</w:t>
      </w:r>
    </w:p>
    <w:p>
      <w:pPr>
        <w:pStyle w:val="BodyText"/>
        <w:spacing w:line="316" w:lineRule="auto" w:before="13"/>
        <w:ind w:right="1131"/>
        <w:jc w:val="both"/>
      </w:pPr>
      <w:r>
        <w:rPr>
          <w:spacing w:val="-2"/>
        </w:rPr>
        <w:t>部和人才梯队培养体系；加大高端人才的引进和培养，形成对公司在技术创新、市场推广及运营管理等多角度、深层次发展</w:t>
      </w:r>
      <w:r>
        <w:rPr>
          <w:spacing w:val="-65"/>
        </w:rPr>
        <w:t> </w:t>
      </w:r>
      <w:r>
        <w:rPr>
          <w:spacing w:val="-65"/>
        </w:rPr>
      </w:r>
      <w:r>
        <w:rPr>
          <w:spacing w:val="-2"/>
        </w:rPr>
        <w:t>的支持，促进公司不断踏上发展新台阶。加强企业文化建设，优化绩效考核与激励机制，使员工融入公司发展，发扬共赢的</w:t>
      </w:r>
      <w:r>
        <w:rPr>
          <w:spacing w:val="-67"/>
        </w:rPr>
        <w:t> </w:t>
      </w:r>
      <w:r>
        <w:rPr>
          <w:spacing w:val="-67"/>
        </w:rPr>
      </w:r>
      <w:r>
        <w:rPr/>
        <w:t>团队精神。</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江苏五洋停车产业集团股份有限公司 投资者关系活动记录表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2019-001</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江苏五洋停车产业集团股份有限公司 投资者关系活动记录表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2019-002</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江苏五洋停车产业集团股份有限公司 投资者关系活动记录表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2019-003</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江苏五洋停车产业集团股份有限公司 投资者关系活动记录表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2019-004</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598.98999pt;width:290.95pt;height:20.8pt;mso-position-horizontal-relative:page;mso-position-vertical-relative:page;z-index:-1177288" coordorigin="4856,11980" coordsize="5819,416">
            <v:group style="position:absolute;left:4868;top:11992;width:2;height:392" coordorigin="4868,11992" coordsize="2,392">
              <v:shape style="position:absolute;left:4868;top:11992;width:2;height:392" coordorigin="4868,11992" coordsize="0,392" path="m4868,11992l4868,12383e" filled="false" stroked="true" strokeweight="1.2pt" strokecolor="#ffffff">
                <v:path arrowok="t"/>
              </v:shape>
            </v:group>
            <v:group style="position:absolute;left:4880;top:11992;width:5795;height:392" coordorigin="4880,11992" coordsize="5795,392">
              <v:shape style="position:absolute;left:4880;top:11992;width:5795;height:392" coordorigin="4880,11992" coordsize="5795,392" path="m4880,12383l10675,12383,10675,11992,4880,11992,4880,12383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2"/>
        <w:jc w:val="center"/>
        <w:rPr>
          <w:b w:val="0"/>
          <w:bCs w:val="0"/>
        </w:rPr>
      </w:pPr>
      <w:bookmarkStart w:name="_TOC_250008" w:id="5"/>
      <w:r>
        <w:rPr/>
        <w:t>第五节重要事项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报告期内普通股利润分配政策，特别是现金分红政策的制定、执行或调整情况</w:t>
      </w:r>
    </w:p>
    <w:p>
      <w:pPr>
        <w:pStyle w:val="BodyText"/>
        <w:spacing w:line="338" w:lineRule="auto" w:before="117"/>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报告期内，公司严格按照《公司章程》的规定执行利润分配政策，分红标准和分红比例明确清晰，相关的决策程序和机</w:t>
      </w:r>
    </w:p>
    <w:p>
      <w:pPr>
        <w:pStyle w:val="BodyText"/>
        <w:spacing w:line="316" w:lineRule="auto" w:before="2"/>
        <w:ind w:right="986"/>
        <w:jc w:val="left"/>
      </w:pPr>
      <w:r>
        <w:rPr>
          <w:spacing w:val="-2"/>
        </w:rPr>
        <w:t>制完备。公司独立董事对利润分配事项发表独立意见。公司以详细公告形式向全体股东发出股东大会通知，并提供网络投票</w:t>
      </w:r>
      <w:r>
        <w:rPr>
          <w:spacing w:val="-63"/>
        </w:rPr>
        <w:t> </w:t>
      </w:r>
      <w:r>
        <w:rPr>
          <w:spacing w:val="-63"/>
        </w:rPr>
      </w:r>
      <w:r>
        <w:rPr/>
        <w:t>方式，中小股东有充分表达意见和诉求的机会，充分维护中小股东的合法权益。</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1"/>
        <w:ind w:right="986"/>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715,630,489</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86,828,629.86</w:t>
            </w:r>
          </w:p>
        </w:tc>
      </w:tr>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8"/>
          <w:szCs w:val="28"/>
        </w:rPr>
      </w:pPr>
    </w:p>
    <w:p>
      <w:pPr>
        <w:spacing w:line="715" w:lineRule="exact"/>
        <w:ind w:left="152"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55pt;height:35.8pt;mso-position-horizontal-relative:char;mso-position-vertical-relative:line" type="#_x0000_t202" filled="false" stroked="true" strokeweight=".47998pt" strokecolor="#000000">
            <w10:anchorlock/>
            <v:textbox inset="0,0,0,0">
              <w:txbxContent>
                <w:p>
                  <w:pPr>
                    <w:pStyle w:val="BodyText"/>
                    <w:spacing w:line="300" w:lineRule="auto" w:before="49"/>
                    <w:ind w:left="24" w:right="3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年利润分配预案：公司</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年度不派发现金红利，不送红股，不以资本公积金转增股本，公司的未分配利润结转以 后年度分配。</w:t>
                  </w:r>
                </w:p>
              </w:txbxContent>
            </v:textbox>
          </v:shape>
        </w:pict>
      </w:r>
      <w:r>
        <w:rPr>
          <w:rFonts w:ascii="宋体" w:hAnsi="宋体" w:cs="宋体" w:eastAsia="宋体" w:hint="default"/>
          <w:position w:val="-13"/>
          <w:sz w:val="20"/>
          <w:szCs w:val="20"/>
        </w:rPr>
      </w:r>
    </w:p>
    <w:p>
      <w:pPr>
        <w:pStyle w:val="BodyText"/>
        <w:spacing w:line="319" w:lineRule="auto" w:before="54"/>
        <w:ind w:right="1079"/>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年利润分配方案为：以公司总股本</w:t>
      </w:r>
      <w:r>
        <w:rPr>
          <w:rFonts w:ascii="Times New Roman" w:hAnsi="Times New Roman" w:cs="Times New Roman" w:eastAsia="Times New Roman" w:hint="default"/>
          <w:spacing w:val="-1"/>
        </w:rPr>
        <w:t>511,164,635</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0.6</w:t>
      </w:r>
      <w:r>
        <w:rPr>
          <w:spacing w:val="-1"/>
        </w:rPr>
        <w:t>元（含税），合计派发</w:t>
      </w:r>
      <w:r>
        <w:rPr>
          <w:spacing w:val="-73"/>
        </w:rPr>
        <w:t> </w:t>
      </w:r>
      <w:r>
        <w:rPr>
          <w:spacing w:val="-73"/>
        </w:rPr>
      </w:r>
      <w:r>
        <w:rPr/>
        <w:t>现金红利人民币</w:t>
      </w:r>
      <w:r>
        <w:rPr>
          <w:rFonts w:ascii="Times New Roman" w:hAnsi="Times New Roman" w:cs="Times New Roman" w:eastAsia="Times New Roman" w:hint="default"/>
        </w:rPr>
        <w:t>30,669,878.1</w:t>
      </w:r>
      <w:r>
        <w:rPr/>
        <w:t>元（含税），剩余未分配利润结转下一年度。同时，以资本公积金转增股本，每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w:t>
      </w:r>
    </w:p>
    <w:p>
      <w:pPr>
        <w:pStyle w:val="BodyText"/>
        <w:spacing w:line="300" w:lineRule="auto" w:before="0"/>
        <w:ind w:right="1079"/>
        <w:jc w:val="left"/>
      </w:pPr>
      <w:r>
        <w:rPr/>
        <w:t>方案实施后，公司总股本由</w:t>
      </w:r>
      <w:r>
        <w:rPr>
          <w:rFonts w:ascii="Times New Roman" w:hAnsi="Times New Roman" w:cs="Times New Roman" w:eastAsia="Times New Roman" w:hint="default"/>
        </w:rPr>
        <w:t>511,164,635</w:t>
      </w:r>
      <w:r>
        <w:rPr/>
        <w:t>股增至</w:t>
      </w:r>
      <w:r>
        <w:rPr>
          <w:rFonts w:ascii="Times New Roman" w:hAnsi="Times New Roman" w:cs="Times New Roman" w:eastAsia="Times New Roman" w:hint="default"/>
        </w:rPr>
        <w:t>715,630,489</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年利润分配方案为：以公司总股本</w:t>
      </w:r>
      <w:r>
        <w:rPr>
          <w:rFonts w:ascii="Times New Roman" w:hAnsi="Times New Roman" w:cs="Times New Roman" w:eastAsia="Times New Roman" w:hint="default"/>
        </w:rPr>
        <w:t>715,630,489</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0.37</w:t>
      </w:r>
      <w:r>
        <w:rPr/>
        <w:t>元（含税），合计派</w:t>
      </w:r>
      <w:r>
        <w:rPr>
          <w:spacing w:val="-45"/>
        </w:rPr>
        <w:t> </w:t>
      </w:r>
      <w:r>
        <w:rPr>
          <w:spacing w:val="-45"/>
        </w:rPr>
      </w:r>
      <w:r>
        <w:rPr/>
        <w:t>发现金红利人民币</w:t>
      </w:r>
      <w:r>
        <w:rPr>
          <w:rFonts w:ascii="Times New Roman" w:hAnsi="Times New Roman" w:cs="Times New Roman" w:eastAsia="Times New Roman" w:hint="default"/>
        </w:rPr>
        <w:t>26,478,328.09</w:t>
      </w:r>
      <w:r>
        <w:rPr/>
        <w:t>元（含税），剩余未分配利润结转以后年度；本年度不以资本公积金转增股本，不送红股。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年利润分配预案为：</w:t>
      </w:r>
      <w:r>
        <w:rPr>
          <w:rFonts w:ascii="Times New Roman" w:hAnsi="Times New Roman" w:cs="Times New Roman" w:eastAsia="Times New Roman" w:hint="default"/>
        </w:rPr>
        <w:t>2019</w:t>
      </w:r>
      <w:r>
        <w:rPr/>
        <w:t>年度不派发现金红利，不送红股，不以资本公积金转增股本，公司的未分配利润结转以后</w:t>
      </w:r>
      <w:r>
        <w:rPr>
          <w:spacing w:val="-86"/>
        </w:rPr>
        <w:t> </w:t>
      </w:r>
      <w:r>
        <w:rPr>
          <w:spacing w:val="-86"/>
        </w:rPr>
      </w:r>
      <w:r>
        <w:rPr/>
        <w:t>年度分配。</w:t>
      </w:r>
    </w:p>
    <w:p>
      <w:pPr>
        <w:spacing w:line="240" w:lineRule="auto" w:before="13"/>
        <w:rPr>
          <w:rFonts w:ascii="宋体" w:hAnsi="宋体" w:cs="宋体" w:eastAsia="宋体" w:hint="default"/>
          <w:sz w:val="25"/>
          <w:szCs w:val="25"/>
        </w:rPr>
      </w:pPr>
    </w:p>
    <w:p>
      <w:pPr>
        <w:pStyle w:val="BodyText"/>
        <w:spacing w:line="240" w:lineRule="auto"/>
        <w:ind w:right="986"/>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19"/>
        <w:gridCol w:w="117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FFFFFF"/>
            </w:tcBorders>
            <w:shd w:val="clear" w:color="auto" w:fill="D2D2D2"/>
          </w:tcPr>
          <w:p>
            <w:pPr/>
          </w:p>
        </w:tc>
        <w:tc>
          <w:tcPr>
            <w:tcW w:w="1196" w:type="dxa"/>
            <w:vMerge w:val="restart"/>
            <w:tcBorders>
              <w:top w:val="single" w:sz="4" w:space="0" w:color="000000"/>
              <w:left w:val="single" w:sz="4" w:space="0" w:color="FFFFFF"/>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val="restart"/>
            <w:tcBorders>
              <w:top w:val="nil" w:sz="6" w:space="0" w:color="auto"/>
              <w:left w:val="single" w:sz="4" w:space="0" w:color="FFFFFF"/>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FFFFFF"/>
            </w:tcBorders>
            <w:shd w:val="clear" w:color="auto" w:fill="D2D2D2"/>
          </w:tcPr>
          <w:p>
            <w:pPr/>
          </w:p>
        </w:tc>
        <w:tc>
          <w:tcPr>
            <w:tcW w:w="1196" w:type="dxa"/>
            <w:vMerge/>
            <w:tcBorders>
              <w:left w:val="single" w:sz="4" w:space="0" w:color="FFFFFF"/>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155,397,825.80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26,478,328.09</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130,995,099.47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26,478,328.09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20.21%</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30,669,878.10</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77,566,911.73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30,669,878.10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39.54%</w:t>
            </w:r>
          </w:p>
        </w:tc>
      </w:tr>
    </w:tbl>
    <w:p>
      <w:pPr>
        <w:pStyle w:val="BodyText"/>
        <w:spacing w:line="240" w:lineRule="auto" w:before="49"/>
        <w:ind w:right="986"/>
        <w:jc w:val="left"/>
      </w:pPr>
      <w:r>
        <w:rPr/>
        <w:t>公司报告期内盈利且母公司可供普通股股东分配利润为正但未提出普通股现金红利分配预案</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961" w:hRule="exact"/>
        </w:trPr>
        <w:tc>
          <w:tcPr>
            <w:tcW w:w="4784"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鉴于公司目前处于快速发展阶段，资本性支出较大，同时考 虑到新冠肺炎疫情未来一段时期内对生产经营状况的影响， </w:t>
            </w:r>
            <w:r>
              <w:rPr>
                <w:rFonts w:ascii="宋体" w:hAnsi="宋体" w:cs="宋体" w:eastAsia="宋体" w:hint="default"/>
                <w:spacing w:val="-3"/>
                <w:sz w:val="18"/>
                <w:szCs w:val="18"/>
              </w:rPr>
              <w:t>为了提高公司财务的稳健性，保障公司生产经营的正常运行，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综合考虑公司长远发展规划和短期经营情况后，公司拟定</w:t>
            </w:r>
            <w:r>
              <w:rPr>
                <w:rFonts w:ascii="宋体" w:hAnsi="宋体" w:cs="宋体" w:eastAsia="宋体" w:hint="default"/>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年度不派发现金红利，不送红股，不进行资本公积金转 增股本。</w:t>
            </w:r>
          </w:p>
        </w:tc>
        <w:tc>
          <w:tcPr>
            <w:tcW w:w="47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11"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年度未分配利润累积滚存至下一年度，以满足对外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投资、公司日常经营需要、未来利润分配等需求。</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r>
        <w:rPr/>
        <w:pict>
          <v:group style="position:absolute;margin-left:297.290009pt;margin-top:-78.67437pt;width:236.45pt;height:17.55pt;mso-position-horizontal-relative:page;mso-position-vertical-relative:paragraph;z-index:-1177240" coordorigin="5946,-1573" coordsize="4729,351">
            <v:shape style="position:absolute;left:5946;top:-1573;width:4729;height:351" coordorigin="5946,-1573" coordsize="4729,351" path="m5946,-1223l10675,-1223,10675,-1573,5946,-1573,5946,-1223xe" filled="true" fillcolor="#ffffff" stroked="false">
              <v:path arrowok="t"/>
              <v:fill type="solid"/>
            </v:shape>
            <w10:wrap type="none"/>
          </v:group>
        </w:pict>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98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2"/>
        </w:rPr>
        <w:t> </w:t>
      </w:r>
      <w:r>
        <w:rPr>
          <w:spacing w:val="-62"/>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3"/>
        <w:gridCol w:w="1105"/>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396"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4"/>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自发行完毕 上市之日起 自愿锁定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个月，即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 市交易或者 转让。在锁定 期内，因本次 发行的股份 而产生的任 何股份（包括 但不限于股 份拆细、派送 红股等方式 增持的股份） 也不转让或 上市交易。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187"/>
              <w:jc w:val="both"/>
              <w:rPr>
                <w:rFonts w:ascii="宋体" w:hAnsi="宋体" w:cs="宋体" w:eastAsia="宋体" w:hint="default"/>
                <w:sz w:val="18"/>
                <w:szCs w:val="18"/>
              </w:rPr>
            </w:pPr>
            <w:r>
              <w:rPr>
                <w:rFonts w:ascii="宋体" w:hAnsi="宋体" w:cs="宋体" w:eastAsia="宋体" w:hint="default"/>
                <w:sz w:val="18"/>
                <w:szCs w:val="18"/>
              </w:rPr>
              <w:t>济南天辰机 器集团有限 公司、侯秀 峰、侯玉鹏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在本次交易 中认购的上 市公司股份， 自股份上市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让，之后按照 中国证监会 与深圳证券 交易所的有 关规定执行。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3" w:right="187"/>
              <w:jc w:val="both"/>
              <w:rPr>
                <w:rFonts w:ascii="宋体" w:hAnsi="宋体" w:cs="宋体" w:eastAsia="宋体" w:hint="default"/>
                <w:sz w:val="18"/>
                <w:szCs w:val="18"/>
              </w:rPr>
            </w:pPr>
            <w:r>
              <w:rPr>
                <w:rFonts w:ascii="宋体" w:hAnsi="宋体" w:cs="宋体" w:eastAsia="宋体" w:hint="default"/>
                <w:sz w:val="18"/>
                <w:szCs w:val="18"/>
              </w:rPr>
              <w:t>济南天辰机 器集团有限 公司、侯秀 峰、侯玉鹏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（一）盈利承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诺：天辰智能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312" w:lineRule="auto" w:before="63"/>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 净利润承诺 数分别为 </w:t>
            </w: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p>
          <w:p>
            <w:pPr>
              <w:pStyle w:val="TableParagraph"/>
              <w:spacing w:line="300" w:lineRule="auto" w:before="63"/>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 绩承诺期间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济南天辰机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器集团有限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公司、侯秀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峰、侯玉鹏承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诺，天辰智能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万元。若本次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交易未能如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则盈利承诺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期相应顺延，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即盈利承诺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期调整为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利润承诺数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不低于评估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报告中预测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净利润，实际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盈利补偿测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算期间以此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类推。本协议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所述</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均指扣除非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经常性损益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（二）盈利承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诺补偿方案：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若经合格审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计机构审核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确认，天辰智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能在盈利承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诺期前三个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73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会计年度的 实际净利润 数未能达到 济南天辰机 器集团有限 公司、侯秀 </w:t>
            </w:r>
            <w:r>
              <w:rPr>
                <w:rFonts w:ascii="宋体" w:hAnsi="宋体" w:cs="宋体" w:eastAsia="宋体" w:hint="default"/>
                <w:spacing w:val="-2"/>
                <w:sz w:val="18"/>
                <w:szCs w:val="18"/>
              </w:rPr>
              <w:t>峰、侯玉鹏的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净利润承诺 </w:t>
            </w:r>
            <w:r>
              <w:rPr>
                <w:rFonts w:ascii="宋体" w:hAnsi="宋体" w:cs="宋体" w:eastAsia="宋体" w:hint="default"/>
                <w:spacing w:val="-2"/>
                <w:sz w:val="18"/>
                <w:szCs w:val="18"/>
              </w:rPr>
              <w:t>数，济南天辰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机器集团有 </w:t>
            </w:r>
            <w:r>
              <w:rPr>
                <w:rFonts w:ascii="宋体" w:hAnsi="宋体" w:cs="宋体" w:eastAsia="宋体" w:hint="default"/>
                <w:spacing w:val="-2"/>
                <w:sz w:val="18"/>
                <w:szCs w:val="18"/>
              </w:rPr>
              <w:t>限公司、侯秀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峰、侯玉鹏同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意承担不可 撤销的连带 补偿责任。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本人所持公 司股票在锁 定期满后两 年内减持的， 其减持价格</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（如果因派 发现金红利、 送股、转增股 本、增发新股 等原因进行 除权、除息 的，须按照深 圳证券交易 所的有关规 定作复权处 理）不低于发 行价；在符合 法律法规及 相关规定的 前提下，在所 持股票锁定 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月内不超 </w:t>
            </w:r>
            <w:r>
              <w:rPr>
                <w:rFonts w:ascii="Times New Roman" w:hAnsi="Times New Roman" w:cs="Times New Roman" w:eastAsia="Times New Roman" w:hint="default"/>
                <w:sz w:val="18"/>
                <w:szCs w:val="18"/>
              </w:rPr>
              <w:t>25%</w:t>
            </w:r>
            <w:r>
              <w:rPr>
                <w:rFonts w:ascii="宋体" w:hAnsi="宋体" w:cs="宋体" w:eastAsia="宋体" w:hint="default"/>
                <w:sz w:val="18"/>
                <w:szCs w:val="18"/>
              </w:rPr>
              <w:t>，期满后</w:t>
            </w:r>
          </w:p>
          <w:p>
            <w:pPr>
              <w:pStyle w:val="TableParagraph"/>
              <w:spacing w:line="309"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 超</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；减持</w:t>
            </w:r>
            <w:r>
              <w:rPr>
                <w:rFonts w:ascii="宋体" w:hAnsi="宋体" w:cs="宋体" w:eastAsia="宋体" w:hint="default"/>
                <w:sz w:val="18"/>
                <w:szCs w:val="18"/>
              </w:rPr>
              <w:t> 时，应尽量避 免短期内大 量减持对公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59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司股价造成 下跌性影响， 且须提前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交易日公告； 减持方式为 通过交易系 统或大宗交 易的方式减 持。公司上市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公司股票连</w:t>
            </w:r>
          </w:p>
          <w:p>
            <w:pPr>
              <w:pStyle w:val="TableParagraph"/>
              <w:spacing w:line="300" w:lineRule="auto" w:before="20"/>
              <w:ind w:left="23" w:right="96"/>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w:t>
            </w:r>
          </w:p>
          <w:p>
            <w:pPr>
              <w:pStyle w:val="TableParagraph"/>
              <w:spacing w:line="316" w:lineRule="auto" w:before="32"/>
              <w:ind w:left="23" w:right="10"/>
              <w:jc w:val="left"/>
              <w:rPr>
                <w:rFonts w:ascii="宋体" w:hAnsi="宋体" w:cs="宋体" w:eastAsia="宋体" w:hint="default"/>
                <w:sz w:val="18"/>
                <w:szCs w:val="18"/>
              </w:rPr>
            </w:pPr>
            <w:r>
              <w:rPr>
                <w:rFonts w:ascii="宋体" w:hAnsi="宋体" w:cs="宋体" w:eastAsia="宋体" w:hint="default"/>
                <w:sz w:val="18"/>
                <w:szCs w:val="18"/>
              </w:rPr>
              <w:t>（如果因派 发现金红利、 送股、转增股 本、增发新股 等原因进行 除权、除息 的，须按照深 圳证券交易 所的有关规 定作复权处 </w:t>
            </w:r>
            <w:r>
              <w:rPr>
                <w:rFonts w:ascii="宋体" w:hAnsi="宋体" w:cs="宋体" w:eastAsia="宋体" w:hint="default"/>
                <w:spacing w:val="-8"/>
                <w:sz w:val="18"/>
                <w:szCs w:val="18"/>
              </w:rPr>
              <w:t>理</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下同）均低</w:t>
            </w:r>
            <w:r>
              <w:rPr>
                <w:rFonts w:ascii="宋体" w:hAnsi="宋体" w:cs="宋体" w:eastAsia="宋体" w:hint="default"/>
                <w:sz w:val="18"/>
                <w:szCs w:val="18"/>
              </w:rPr>
              <w:t> 于发行价，或 者上市后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月期末收盘 价低于发行 价，持有公司 股票的锁定 期限自动延 长至少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月。本人不因 职务变更、离 职等原因，而 放弃履行上 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侯友夫、蔡 敏、寿招爱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当公司启动 股价稳定措 施的条件成 </w:t>
            </w:r>
            <w:r>
              <w:rPr>
                <w:rFonts w:ascii="宋体" w:hAnsi="宋体" w:cs="宋体" w:eastAsia="宋体" w:hint="default"/>
                <w:spacing w:val="-2"/>
                <w:sz w:val="18"/>
                <w:szCs w:val="18"/>
              </w:rPr>
              <w:t>就时，若公司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决定增持股 </w:t>
            </w:r>
            <w:r>
              <w:rPr>
                <w:rFonts w:ascii="宋体" w:hAnsi="宋体" w:cs="宋体" w:eastAsia="宋体" w:hint="default"/>
                <w:spacing w:val="-2"/>
                <w:sz w:val="18"/>
                <w:szCs w:val="18"/>
              </w:rPr>
              <w:t>票方式，控股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股东、实际控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282.9pt;mso-position-horizontal-relative:page;mso-position-vertical-relative:page;z-index:-1177216"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361.630005pt;margin-top:355.849976pt;width:61.8pt;height:186.3pt;mso-position-horizontal-relative:page;mso-position-vertical-relative:page;z-index:-1177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before="0"/>
                    <w:ind w:left="0" w:right="0"/>
                    <w:jc w:val="left"/>
                  </w:pPr>
                  <w:r>
                    <w:rPr/>
                    <w:t>）</w:t>
                  </w:r>
                </w:p>
              </w:txbxContent>
            </v:textbox>
            <w10:wrap type="none"/>
          </v:shape>
        </w:pict>
      </w:r>
      <w:r>
        <w:rPr/>
        <w:pict>
          <v:group style="position:absolute;margin-left:367.630005pt;margin-top:72.47998pt;width:55.8pt;height:469.65pt;mso-position-horizontal-relative:page;mso-position-vertical-relative:page;z-index:-1177168" coordorigin="7353,1450" coordsize="1116,9393">
            <v:group style="position:absolute;left:7353;top:1450;width:1116;height:5658" coordorigin="7353,1450" coordsize="1116,5658">
              <v:shape style="position:absolute;left:7353;top:1450;width:1116;height:5658" coordorigin="7353,1450" coordsize="1116,5658" path="m7353,7107l8469,7107,8469,1450,7353,1450,7353,7107xe" filled="true" fillcolor="#ffffff" stroked="false">
                <v:path arrowok="t"/>
                <v:fill type="solid"/>
              </v:shape>
            </v:group>
            <v:group style="position:absolute;left:7353;top:7117;width:1116;height:3726" coordorigin="7353,7117" coordsize="1116,3726">
              <v:shape style="position:absolute;left:7353;top:7117;width:1116;height:3726" coordorigin="7353,7117" coordsize="1116,3726" path="m7353,10842l8469,10842,8469,7117,7353,7117,7353,1084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制人承诺：</w:t>
            </w:r>
            <w:r>
              <w:rPr>
                <w:rFonts w:ascii="Times New Roman" w:hAnsi="Times New Roman" w:cs="Times New Roman" w:eastAsia="Times New Roman" w:hint="default"/>
                <w:sz w:val="18"/>
                <w:szCs w:val="18"/>
              </w:rPr>
              <w:t>1</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人应在符合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收购管理办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法》及《创业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板信息披露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业务备忘录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东及其一致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行动人增持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股份业务管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理》等法律法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规的条件和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下，对公司股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票进行增持。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6"/>
              <w:jc w:val="center"/>
              <w:rPr>
                <w:rFonts w:ascii="宋体" w:hAnsi="宋体" w:cs="宋体" w:eastAsia="宋体" w:hint="default"/>
                <w:sz w:val="18"/>
                <w:szCs w:val="18"/>
              </w:rPr>
            </w:pPr>
            <w:r>
              <w:rPr>
                <w:rFonts w:ascii="宋体" w:hAnsi="宋体" w:cs="宋体" w:eastAsia="宋体" w:hint="default"/>
                <w:sz w:val="18"/>
                <w:szCs w:val="18"/>
              </w:rPr>
              <w:t>当公司启动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施的条件成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就时，若公司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决定增持股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票方式，董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人员承诺：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在公司任职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并领取薪酬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的公司董事</w:t>
            </w:r>
          </w:p>
          <w:p>
            <w:pPr>
              <w:pStyle w:val="TableParagraph"/>
              <w:spacing w:line="316" w:lineRule="auto" w:before="76"/>
              <w:ind w:left="23" w:right="101"/>
              <w:jc w:val="left"/>
              <w:rPr>
                <w:rFonts w:ascii="宋体" w:hAnsi="宋体" w:cs="宋体" w:eastAsia="宋体" w:hint="default"/>
                <w:sz w:val="18"/>
                <w:szCs w:val="18"/>
              </w:rPr>
            </w:pPr>
            <w:r>
              <w:rPr>
                <w:rFonts w:ascii="宋体" w:hAnsi="宋体" w:cs="宋体" w:eastAsia="宋体" w:hint="default"/>
                <w:sz w:val="18"/>
                <w:szCs w:val="18"/>
              </w:rPr>
              <w:t>（不包括独 </w:t>
            </w:r>
            <w:r>
              <w:rPr>
                <w:rFonts w:ascii="宋体" w:hAnsi="宋体" w:cs="宋体" w:eastAsia="宋体" w:hint="default"/>
                <w:spacing w:val="-16"/>
                <w:sz w:val="18"/>
                <w:szCs w:val="18"/>
              </w:rPr>
              <w:t>立董事）、高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作出承诺开 始至承诺履</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未发现违反</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应在符合《上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8"/>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66"/>
              <w:jc w:val="center"/>
              <w:rPr>
                <w:rFonts w:ascii="宋体" w:hAnsi="宋体" w:cs="宋体" w:eastAsia="宋体" w:hint="default"/>
                <w:sz w:val="18"/>
                <w:szCs w:val="18"/>
              </w:rPr>
            </w:pPr>
            <w:r>
              <w:rPr>
                <w:rFonts w:ascii="宋体" w:hAnsi="宋体" w:cs="宋体" w:eastAsia="宋体" w:hint="default"/>
                <w:sz w:val="18"/>
                <w:szCs w:val="18"/>
              </w:rPr>
              <w:t>市公司收购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管理办法》及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董事、监事和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员所持本公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司股份及其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变动管理规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则》等法律法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规的条件和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要求的前提</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下，对公司股 票进行增持。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侯友夫、蔡 敏、寿招爱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本人目前未 以任何形式 直接或间接 从事与发行 人相同或相 似的业务，未 拥有与发行 人业务相同 或相似的控 股</w:t>
            </w:r>
            <w:r>
              <w:rPr>
                <w:rFonts w:ascii="Times New Roman" w:hAnsi="Times New Roman" w:cs="Times New Roman" w:eastAsia="Times New Roman" w:hint="default"/>
                <w:sz w:val="18"/>
                <w:szCs w:val="18"/>
              </w:rPr>
              <w:t>/</w:t>
            </w:r>
            <w:r>
              <w:rPr>
                <w:rFonts w:ascii="宋体" w:hAnsi="宋体" w:cs="宋体" w:eastAsia="宋体" w:hint="default"/>
                <w:sz w:val="18"/>
                <w:szCs w:val="18"/>
              </w:rPr>
              <w:t>参股公司、 联营公司及 合营公司，将 来也不会从 事与发行人 相同或相似 的业务；本人 将不投资与 发行人相同 或相类似的 企业或项目， 以避免对发 行人的生产 经营构成直 接或间接的 竞争；保证本 人及与本人 关系密切的 家庭成员不 直接或间接 从事、参与或 进行与发行 人的生产、经 营相竞争的 任何经营活 动；若违反上 述承诺，本人 将承担相应 的法律责任， 包括但不限 于由此给发 行人及其他 中小股东造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22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3"/>
                <w:sz w:val="20"/>
                <w:szCs w:val="20"/>
              </w:rPr>
              <w:pict>
                <v:group style="width:55.8pt;height:311.1pt;mso-position-horizontal-relative:char;mso-position-vertical-relative:line" coordorigin="0,0" coordsize="1116,6222">
                  <v:group style="position:absolute;left:0;top:0;width:1116;height:6222" coordorigin="0,0" coordsize="1116,6222">
                    <v:shape style="position:absolute;left:0;top:0;width:1116;height:6222" coordorigin="0,0" coordsize="1116,6222" path="m0,6221l1116,6221,1116,0,0,0,0,6221xe" filled="true" fillcolor="#ffffff" stroked="false">
                      <v:path arrowok="t"/>
                      <v:fill type="solid"/>
                    </v:shape>
                  </v:group>
                </v:group>
              </w:pict>
            </w:r>
            <w:r>
              <w:rPr>
                <w:rFonts w:ascii="Times New Roman" w:hAnsi="Times New Roman" w:cs="Times New Roman" w:eastAsia="Times New Roman" w:hint="default"/>
                <w:position w:val="-123"/>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0"/>
              <w:jc w:val="left"/>
              <w:rPr>
                <w:rFonts w:ascii="宋体" w:hAnsi="宋体" w:cs="宋体" w:eastAsia="宋体" w:hint="default"/>
                <w:sz w:val="18"/>
                <w:szCs w:val="18"/>
              </w:rPr>
            </w:pPr>
            <w:r>
              <w:rPr>
                <w:rFonts w:ascii="宋体" w:hAnsi="宋体" w:cs="宋体" w:eastAsia="宋体" w:hint="default"/>
                <w:sz w:val="18"/>
                <w:szCs w:val="18"/>
              </w:rPr>
              <w:t>成的全部损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当公司启动 股价稳定措 施的条件成 就时，若公司 决定启动回 购股票方式， 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）公 司为稳定股 价之目的回 购股份，应符 合《上市公司 回购社会公 众股份管理 </w:t>
            </w:r>
            <w:r>
              <w:rPr>
                <w:rFonts w:ascii="宋体" w:hAnsi="宋体" w:cs="宋体" w:eastAsia="宋体" w:hint="default"/>
                <w:spacing w:val="-17"/>
                <w:sz w:val="18"/>
                <w:szCs w:val="18"/>
              </w:rPr>
              <w:t>办法（试行）</w:t>
            </w:r>
            <w:r>
              <w:rPr>
                <w:rFonts w:ascii="宋体" w:hAnsi="宋体" w:cs="宋体" w:eastAsia="宋体" w:hint="default"/>
                <w:spacing w:val="-92"/>
                <w:sz w:val="18"/>
                <w:szCs w:val="18"/>
              </w:rPr>
              <w:t> </w:t>
            </w:r>
            <w:r>
              <w:rPr>
                <w:rFonts w:ascii="宋体" w:hAnsi="宋体" w:cs="宋体" w:eastAsia="宋体" w:hint="default"/>
                <w:sz w:val="18"/>
                <w:szCs w:val="18"/>
              </w:rPr>
              <w:t>及《关于上市</w:t>
            </w:r>
            <w:r>
              <w:rPr>
                <w:rFonts w:ascii="宋体" w:hAnsi="宋体" w:cs="宋体" w:eastAsia="宋体" w:hint="default"/>
                <w:sz w:val="18"/>
                <w:szCs w:val="18"/>
              </w:rPr>
              <w:t> 公司以集中 竞价交易方 式回购股份 的补充规定》 等相关法律、 法规的规定， 且不应导致 公司股权分 布不符合上 市条件。</w:t>
            </w:r>
          </w:p>
        </w:tc>
        <w:tc>
          <w:tcPr>
            <w:tcW w:w="112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03" w:lineRule="exact"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18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938"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8"/>
                <w:sz w:val="20"/>
                <w:szCs w:val="20"/>
              </w:rPr>
              <w:pict>
                <v:group style="width:55.8pt;height:196.95pt;mso-position-horizontal-relative:char;mso-position-vertical-relative:line" coordorigin="0,0" coordsize="1116,3939">
                  <v:group style="position:absolute;left:0;top:350;width:1116;height:3589" coordorigin="0,350" coordsize="1116,3589">
                    <v:shape style="position:absolute;left:0;top:350;width:1116;height:3589" coordorigin="0,350" coordsize="1116,3589" path="m0,3939l1116,3939,1116,350,0,350,0,3939xe" filled="true" fillcolor="#ffffff" stroked="false">
                      <v:path arrowok="t"/>
                      <v:fill type="solid"/>
                    </v:shape>
                  </v:group>
                  <v:group style="position:absolute;left:24;top:0;width:1071;height:351" coordorigin="24,0" coordsize="1071,351">
                    <v:shape style="position:absolute;left:24;top:0;width:1071;height:351" coordorigin="24,0" coordsize="1071,351" path="m24,350l1094,350,1094,0,24,0,24,350xe" filled="true" fillcolor="#ffffff" stroked="false">
                      <v:path arrowok="t"/>
                      <v:fill type="solid"/>
                    </v:shape>
                  </v:group>
                </v:group>
              </w:pict>
            </w:r>
            <w:r>
              <w:rPr>
                <w:rFonts w:ascii="Times New Roman" w:hAnsi="Times New Roman" w:cs="Times New Roman" w:eastAsia="Times New Roman" w:hint="default"/>
                <w:position w:val="-7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98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6"/>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6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2"/>
        <w:spacing w:line="240" w:lineRule="auto"/>
        <w:ind w:right="986"/>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570"/>
        <w:gridCol w:w="1275"/>
        <w:gridCol w:w="1560"/>
        <w:gridCol w:w="1560"/>
        <w:gridCol w:w="1560"/>
        <w:gridCol w:w="1133"/>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五洋智慧交通</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7,040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6400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90.91%</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北京泊创</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20.46</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60%</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李正卫、梁政洪</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86"/>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6"/>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986"/>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86"/>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28"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报告期内，公司及其控股股东、实际控制人的诚信状况良好，不存在未履行法院生效判决、所负数额较大的债务到期未清偿</w:t>
      </w:r>
      <w:r>
        <w:rPr>
          <w:spacing w:val="-65"/>
        </w:rPr>
        <w:t> </w:t>
      </w:r>
      <w:r>
        <w:rPr>
          <w:spacing w:val="-65"/>
        </w:rPr>
      </w:r>
      <w:r>
        <w:rPr/>
        <w:t>等情况。</w:t>
      </w:r>
    </w:p>
    <w:p>
      <w:pPr>
        <w:spacing w:line="240" w:lineRule="auto" w:before="2"/>
        <w:rPr>
          <w:rFonts w:ascii="宋体" w:hAnsi="宋体" w:cs="宋体" w:eastAsia="宋体" w:hint="default"/>
          <w:sz w:val="20"/>
          <w:szCs w:val="20"/>
        </w:rPr>
      </w:pPr>
    </w:p>
    <w:p>
      <w:pPr>
        <w:pStyle w:val="Heading2"/>
        <w:spacing w:line="240" w:lineRule="auto"/>
        <w:ind w:right="986"/>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日召开公司第二届董事会第二十八次会议、第二届监事会第二十四次会议；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日召开公司</w:t>
      </w:r>
    </w:p>
    <w:p>
      <w:pPr>
        <w:pStyle w:val="BodyText"/>
        <w:spacing w:line="228" w:lineRule="exact" w:before="0"/>
        <w:ind w:right="986"/>
        <w:jc w:val="left"/>
      </w:pPr>
      <w:r>
        <w:rPr>
          <w:rFonts w:ascii="Times New Roman" w:hAnsi="Times New Roman" w:cs="Times New Roman" w:eastAsia="Times New Roman" w:hint="default"/>
        </w:rPr>
        <w:t>2017</w:t>
      </w:r>
      <w:r>
        <w:rPr/>
        <w:t>年第二次临时股东大会，同意公司实施第一期员工持股计划。</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日，第一期员工持股计划</w:t>
      </w:r>
      <w:r>
        <w:rPr>
          <w:rFonts w:ascii="Times New Roman" w:hAnsi="Times New Roman" w:cs="Times New Roman" w:eastAsia="Times New Roman" w:hint="default"/>
        </w:rPr>
        <w:t>—“</w:t>
      </w:r>
      <w:r>
        <w:rPr/>
        <w:t>四川信托</w:t>
      </w:r>
      <w:r>
        <w:rPr>
          <w:rFonts w:ascii="Times New Roman" w:hAnsi="Times New Roman" w:cs="Times New Roman" w:eastAsia="Times New Roman" w:hint="default"/>
        </w:rPr>
        <w:t>-</w:t>
      </w:r>
      <w:r>
        <w:rPr/>
        <w:t>五洋</w:t>
      </w:r>
    </w:p>
    <w:p>
      <w:pPr>
        <w:pStyle w:val="BodyText"/>
        <w:spacing w:line="300" w:lineRule="auto" w:before="63"/>
        <w:ind w:right="1130"/>
        <w:jc w:val="both"/>
      </w:pPr>
      <w:r>
        <w:rPr/>
        <w:t>科技员工持股计划集合资金信托计划</w:t>
      </w:r>
      <w:r>
        <w:rPr>
          <w:rFonts w:ascii="Times New Roman" w:hAnsi="Times New Roman" w:cs="Times New Roman" w:eastAsia="Times New Roman" w:hint="default"/>
        </w:rPr>
        <w:t>”</w:t>
      </w:r>
      <w:r>
        <w:rPr/>
        <w:t>已通过二级市场购买的方式共计买入公司股票</w:t>
      </w:r>
      <w:r>
        <w:rPr>
          <w:rFonts w:ascii="Times New Roman" w:hAnsi="Times New Roman" w:cs="Times New Roman" w:eastAsia="Times New Roman" w:hint="default"/>
        </w:rPr>
        <w:t>8,675,400</w:t>
      </w:r>
      <w:r>
        <w:rPr/>
        <w:t>股，成交均价约为人民币</w:t>
      </w:r>
      <w:r>
        <w:rPr>
          <w:rFonts w:ascii="Times New Roman" w:hAnsi="Times New Roman" w:cs="Times New Roman" w:eastAsia="Times New Roman" w:hint="default"/>
        </w:rPr>
        <w:t>8.98</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1"/>
        </w:rPr>
        <w:t>元</w:t>
      </w:r>
      <w:r>
        <w:rPr>
          <w:rFonts w:ascii="Times New Roman" w:hAnsi="Times New Roman" w:cs="Times New Roman" w:eastAsia="Times New Roman" w:hint="default"/>
          <w:spacing w:val="-1"/>
        </w:rPr>
        <w:t>/</w:t>
      </w:r>
      <w:r>
        <w:rPr>
          <w:spacing w:val="-1"/>
        </w:rPr>
        <w:t>股。公司第一期员工持股计划已完成股票购买，该计划所购买的股票锁定期为公告披露日起</w:t>
      </w:r>
      <w:r>
        <w:rPr>
          <w:rFonts w:ascii="Times New Roman" w:hAnsi="Times New Roman" w:cs="Times New Roman" w:eastAsia="Times New Roman" w:hint="default"/>
          <w:spacing w:val="-1"/>
        </w:rPr>
        <w:t>12</w:t>
      </w:r>
      <w:r>
        <w:rPr>
          <w:spacing w:val="-1"/>
        </w:rPr>
        <w:t>个月，即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日至</w:t>
      </w:r>
      <w:r>
        <w:rPr>
          <w:spacing w:val="-8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pStyle w:val="BodyText"/>
        <w:spacing w:line="300" w:lineRule="auto" w:before="13"/>
        <w:ind w:right="986" w:firstLine="360"/>
        <w:jc w:val="left"/>
      </w:pP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日召开了持有人会议，经出席持有人会议的持有人所持</w:t>
      </w:r>
      <w:r>
        <w:rPr>
          <w:rFonts w:ascii="Times New Roman" w:hAnsi="Times New Roman" w:cs="Times New Roman" w:eastAsia="Times New Roman" w:hint="default"/>
          <w:spacing w:val="-1"/>
        </w:rPr>
        <w:t>2/3</w:t>
      </w:r>
      <w:r>
        <w:rPr>
          <w:spacing w:val="-1"/>
        </w:rPr>
        <w:t>以上份额同意，并提交公司第三届董事会</w:t>
      </w:r>
      <w:r>
        <w:rPr/>
        <w:t> 第十五次会议审议通过，同意公司第一期员工持股计划存续期延长一年，即存续期展期至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w:t>
      </w:r>
    </w:p>
    <w:p>
      <w:pPr>
        <w:pStyle w:val="BodyText"/>
        <w:spacing w:line="300" w:lineRule="auto" w:before="13"/>
        <w:ind w:right="1043"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日召开公司第三届董事会第十七次会议及第三届监事会第九次会议，审议通过了《关于修订</w:t>
      </w:r>
      <w:r>
        <w:rPr>
          <w:rFonts w:ascii="Times New Roman" w:hAnsi="Times New Roman" w:cs="Times New Roman" w:eastAsia="Times New Roman" w:hint="default"/>
        </w:rPr>
        <w:t>&lt;</w:t>
      </w:r>
      <w:r>
        <w:rPr/>
        <w:t>江苏</w:t>
      </w:r>
      <w:r>
        <w:rPr>
          <w:spacing w:val="2"/>
        </w:rPr>
        <w:t> </w:t>
      </w:r>
      <w:r>
        <w:rPr>
          <w:spacing w:val="-2"/>
        </w:rPr>
        <w:t>五洋停车产业集团股份有限公司第一期员工持股计划（草案）及其摘要</w:t>
      </w:r>
      <w:r>
        <w:rPr>
          <w:rFonts w:ascii="Times New Roman" w:hAnsi="Times New Roman" w:cs="Times New Roman" w:eastAsia="Times New Roman" w:hint="default"/>
          <w:spacing w:val="-2"/>
        </w:rPr>
        <w:t>&gt;</w:t>
      </w:r>
      <w:r>
        <w:rPr>
          <w:spacing w:val="-2"/>
        </w:rPr>
        <w:t>的议案》，同意对第一期员工持股计划的管理模式、</w:t>
      </w:r>
      <w:r>
        <w:rPr>
          <w:spacing w:val="-74"/>
        </w:rPr>
        <w:t> </w:t>
      </w:r>
      <w:r>
        <w:rPr>
          <w:spacing w:val="-74"/>
        </w:rPr>
      </w:r>
      <w:r>
        <w:rPr>
          <w:spacing w:val="-2"/>
        </w:rPr>
        <w:t>股票来源、锁定期、存续期等要素进行了相应变更。具体内容详见公司于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日刊登在中国证监会指定信息披露网站</w:t>
      </w:r>
      <w:r>
        <w:rPr>
          <w:spacing w:val="-62"/>
        </w:rPr>
        <w:t> </w:t>
      </w:r>
      <w:r>
        <w:rPr>
          <w:spacing w:val="-62"/>
        </w:rPr>
      </w:r>
      <w:r>
        <w:rPr/>
        <w:t>巨潮资讯网上的相关公告（公告编号</w:t>
      </w:r>
      <w:r>
        <w:rPr>
          <w:rFonts w:ascii="Times New Roman" w:hAnsi="Times New Roman" w:cs="Times New Roman" w:eastAsia="Times New Roman" w:hint="default"/>
        </w:rPr>
        <w:t>2019-055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986"/>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7"/>
        <w:gridCol w:w="704"/>
        <w:gridCol w:w="679"/>
        <w:gridCol w:w="674"/>
        <w:gridCol w:w="676"/>
        <w:gridCol w:w="674"/>
        <w:gridCol w:w="674"/>
        <w:gridCol w:w="674"/>
        <w:gridCol w:w="672"/>
        <w:gridCol w:w="675"/>
        <w:gridCol w:w="670"/>
        <w:gridCol w:w="646"/>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151" w:right="152"/>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徐州苏兴</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公司实</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其他关</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384.03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银行转</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317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金属材料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际控制 人之一 蔡敏的 堂兄之 女蔡秀 芳配偶 的父母 控制的 企业， 视作关</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联方</w:t>
            </w:r>
          </w:p>
        </w:tc>
        <w:tc>
          <w:tcPr>
            <w:tcW w:w="70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8"/>
              <w:jc w:val="righ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账和银 行承兑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8"/>
              <w:jc w:val="righ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26</w:t>
            </w:r>
          </w:p>
        </w:tc>
      </w:tr>
      <w:tr>
        <w:trPr>
          <w:trHeight w:val="320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44"/>
              <w:jc w:val="left"/>
              <w:rPr>
                <w:rFonts w:ascii="宋体" w:hAnsi="宋体" w:cs="宋体" w:eastAsia="宋体" w:hint="default"/>
                <w:sz w:val="18"/>
                <w:szCs w:val="18"/>
              </w:rPr>
            </w:pPr>
            <w:r>
              <w:rPr>
                <w:rFonts w:ascii="宋体" w:hAnsi="宋体" w:cs="宋体" w:eastAsia="宋体" w:hint="default"/>
                <w:sz w:val="18"/>
                <w:szCs w:val="18"/>
              </w:rPr>
              <w:t>侯友夫、 林伟通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侯友夫 为公司 实际控 制人之 一、林 伟通系 公司股 东持股 比例为</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28"/>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pStyle w:val="TableParagraph"/>
              <w:spacing w:line="300" w:lineRule="auto" w:before="63"/>
              <w:ind w:left="2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平 方米</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170.88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0" w:lineRule="auto"/>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平方 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26</w:t>
            </w: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554.91</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应收关联方债权</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4"/>
        <w:gridCol w:w="943"/>
        <w:gridCol w:w="958"/>
        <w:gridCol w:w="958"/>
        <w:gridCol w:w="955"/>
        <w:gridCol w:w="958"/>
        <w:gridCol w:w="958"/>
        <w:gridCol w:w="958"/>
        <w:gridCol w:w="956"/>
        <w:gridCol w:w="994"/>
      </w:tblGrid>
      <w:tr>
        <w:trPr>
          <w:trHeight w:val="1027"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7"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上海长太 投资中心</w:t>
            </w:r>
          </w:p>
          <w:p>
            <w:pPr>
              <w:pStyle w:val="TableParagraph"/>
              <w:spacing w:line="316" w:lineRule="auto" w:before="19"/>
              <w:ind w:left="24" w:right="17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其他关联 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w:t>
            </w:r>
          </w:p>
        </w:tc>
      </w:tr>
      <w:tr>
        <w:trPr>
          <w:trHeight w:val="1340"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北京长静 投资中心</w:t>
            </w:r>
          </w:p>
          <w:p>
            <w:pPr>
              <w:pStyle w:val="TableParagraph"/>
              <w:spacing w:line="319" w:lineRule="auto" w:before="19"/>
              <w:ind w:left="24" w:right="17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其他关联 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w:t>
            </w:r>
          </w:p>
        </w:tc>
      </w:tr>
      <w:tr>
        <w:trPr>
          <w:trHeight w:val="713"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关联债务金额较小，对经营成果及财务状况影响较小。</w:t>
            </w:r>
          </w:p>
        </w:tc>
      </w:tr>
    </w:tbl>
    <w:p>
      <w:pPr>
        <w:pStyle w:val="BodyText"/>
        <w:spacing w:line="240" w:lineRule="auto" w:before="49"/>
        <w:ind w:right="986"/>
        <w:jc w:val="left"/>
      </w:pPr>
      <w:r>
        <w:rPr/>
        <w:t>应付关联方债务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713"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5"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济南天辰机器 集团有限公司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其他关联方</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7,357.89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240.78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329.92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7,598.67</w:t>
            </w:r>
          </w:p>
        </w:tc>
      </w:tr>
      <w:tr>
        <w:trPr>
          <w:trHeight w:val="713"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关联债务金额较小，对经营成果及财务状况影响较小。</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986"/>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3"/>
        <w:ind w:right="986" w:firstLine="360"/>
        <w:jc w:val="left"/>
      </w:pPr>
      <w:r>
        <w:rPr/>
        <w:t>公司将账面价值为</w:t>
      </w:r>
      <w:r>
        <w:rPr>
          <w:rFonts w:ascii="Times New Roman" w:hAnsi="Times New Roman" w:cs="Times New Roman" w:eastAsia="Times New Roman" w:hint="default"/>
        </w:rPr>
        <w:t>1,473,014.76</w:t>
      </w:r>
      <w:r>
        <w:rPr/>
        <w:t>元办公用房屋出租给徐州市腾威市政工程有限公司。伟创自动化承租侯友夫、林伟通购 买的办公用房，租金共计</w:t>
      </w:r>
      <w:r>
        <w:rPr>
          <w:rFonts w:ascii="Times New Roman" w:hAnsi="Times New Roman" w:cs="Times New Roman" w:eastAsia="Times New Roman" w:hint="default"/>
        </w:rPr>
        <w:t>1,708,776.00</w:t>
      </w:r>
      <w:r>
        <w:rPr/>
        <w:t>元。</w:t>
      </w:r>
    </w:p>
    <w:p>
      <w:pPr>
        <w:pStyle w:val="BodyText"/>
        <w:spacing w:line="240" w:lineRule="auto" w:before="53"/>
        <w:ind w:right="986"/>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86"/>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安徽惠邦融资租赁有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2017.3.25-20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20.3.24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10,963.93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2018.4.4-202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2019.5.9-202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0.5.15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2019.5.9-202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0.5.15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2019.5.9-202</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0.5.15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广东伟创五洋智能设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2018.5.12-20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20.5.15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江苏天沃重工科技有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2018.4.4-202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9"/>
              <w:jc w:val="center"/>
              <w:rPr>
                <w:rFonts w:ascii="宋体" w:hAnsi="宋体" w:cs="宋体" w:eastAsia="宋体" w:hint="default"/>
                <w:sz w:val="18"/>
                <w:szCs w:val="18"/>
              </w:rPr>
            </w:pPr>
            <w:r>
              <w:rPr>
                <w:rFonts w:ascii="宋体" w:hAnsi="宋体" w:cs="宋体" w:eastAsia="宋体" w:hint="default"/>
                <w:sz w:val="18"/>
                <w:szCs w:val="18"/>
              </w:rPr>
              <w:t>山东天辰智能停车有</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8"/>
              <w:jc w:val="center"/>
              <w:rPr>
                <w:rFonts w:ascii="Times New Roman" w:hAnsi="Times New Roman" w:cs="Times New Roman" w:eastAsia="Times New Roman" w:hint="default"/>
                <w:sz w:val="18"/>
                <w:szCs w:val="18"/>
              </w:rPr>
            </w:pPr>
            <w:r>
              <w:rPr>
                <w:rFonts w:ascii="Times New Roman"/>
                <w:sz w:val="18"/>
              </w:rPr>
              <w:t>2019.5.9-202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5"/>
        <w:gridCol w:w="913"/>
        <w:gridCol w:w="924"/>
        <w:gridCol w:w="1309"/>
        <w:gridCol w:w="1044"/>
        <w:gridCol w:w="1046"/>
        <w:gridCol w:w="1057"/>
        <w:gridCol w:w="784"/>
        <w:gridCol w:w="784"/>
      </w:tblGrid>
      <w:tr>
        <w:trPr>
          <w:trHeight w:val="36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 w:right="0"/>
              <w:jc w:val="left"/>
              <w:rPr>
                <w:rFonts w:ascii="Times New Roman" w:hAnsi="Times New Roman" w:cs="Times New Roman" w:eastAsia="Times New Roman" w:hint="default"/>
                <w:sz w:val="18"/>
                <w:szCs w:val="18"/>
              </w:rPr>
            </w:pPr>
            <w:r>
              <w:rPr>
                <w:rFonts w:ascii="Times New Roman"/>
                <w:sz w:val="18"/>
              </w:rPr>
              <w:t>0.5.15</w:t>
            </w: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山东天辰智能停车有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3,000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1,605.31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2017.11.29-2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020.5.15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19,000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42,807.79</w:t>
            </w: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45,000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20,634.84</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9"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3"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9" w:type="dxa"/>
            <w:vMerge w:val="restart"/>
            <w:tcBorders>
              <w:top w:val="nil" w:sz="6" w:space="0" w:color="auto"/>
              <w:left w:val="single" w:sz="4" w:space="0" w:color="000000"/>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19,000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42,807.79</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45,000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20,634.84</w:t>
            </w:r>
          </w:p>
        </w:tc>
      </w:tr>
      <w:tr>
        <w:trPr>
          <w:trHeight w:val="406" w:hRule="exact"/>
        </w:trPr>
        <w:tc>
          <w:tcPr>
            <w:tcW w:w="48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986"/>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6"/>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1" w:firstLine="288"/>
        <w:jc w:val="both"/>
      </w:pPr>
      <w:r>
        <w:rPr>
          <w:spacing w:val="-1"/>
        </w:rPr>
        <w:t>报告期内，公司严格按照《公司法》、《证券法》、《上市公司治理准则》等法律法规和规范性文件的要求，不断完善</w:t>
      </w:r>
      <w:r>
        <w:rPr/>
        <w:t> </w:t>
      </w:r>
      <w:r>
        <w:rPr>
          <w:spacing w:val="-2"/>
        </w:rPr>
        <w:t>公司治理机制，建立健全公司内部控制制度，规范股东大会的召集、召开、表决程序，通过提供网络投票等方式，让更多股</w:t>
      </w:r>
      <w:r>
        <w:rPr>
          <w:spacing w:val="-70"/>
        </w:rPr>
        <w:t> </w:t>
      </w:r>
      <w:r>
        <w:rPr>
          <w:spacing w:val="-70"/>
        </w:rPr>
      </w:r>
      <w:r>
        <w:rPr>
          <w:spacing w:val="-2"/>
        </w:rPr>
        <w:t>东能够参加股东大会，保障股东特别是中小股东的权益。公司认真履行信息披露义务，遵循公平披露的原则，面向公司的所</w:t>
      </w:r>
      <w:r>
        <w:rPr>
          <w:spacing w:val="-65"/>
        </w:rPr>
        <w:t> </w:t>
      </w:r>
      <w:r>
        <w:rPr>
          <w:spacing w:val="-65"/>
        </w:rPr>
      </w:r>
      <w:r>
        <w:rPr>
          <w:spacing w:val="-2"/>
        </w:rPr>
        <w:t>有投资者，使其均有同等机会获得同质、同量的信息，同时向社会公开公司网站、咨询专用电话、传真和电子信箱等各种联</w:t>
      </w:r>
      <w:r>
        <w:rPr>
          <w:spacing w:val="-67"/>
        </w:rPr>
        <w:t> </w:t>
      </w:r>
      <w:r>
        <w:rPr>
          <w:spacing w:val="-67"/>
        </w:rPr>
      </w:r>
      <w:r>
        <w:rPr>
          <w:spacing w:val="-2"/>
        </w:rPr>
        <w:t>系渠道，并保持联系渠道的畅通，建立良好的投资关系互动。公司一直坚持以人为本的人才理念，严格遵守国家及地方有关</w:t>
      </w:r>
      <w:r>
        <w:rPr>
          <w:spacing w:val="-65"/>
        </w:rPr>
        <w:t> </w:t>
      </w:r>
      <w:r>
        <w:rPr>
          <w:spacing w:val="-65"/>
        </w:rPr>
      </w:r>
      <w:r>
        <w:rPr>
          <w:spacing w:val="-2"/>
        </w:rPr>
        <w:t>劳动法律、法规的规定，尊重和维护员工的个人利益，并制定完善的薪酬管理制度，实施公平的绩效考核机制，为员工提供</w:t>
      </w:r>
      <w:r>
        <w:rPr>
          <w:spacing w:val="-66"/>
        </w:rPr>
        <w:t> </w:t>
      </w:r>
      <w:r>
        <w:rPr>
          <w:spacing w:val="-66"/>
        </w:rPr>
      </w:r>
      <w:r>
        <w:rPr/>
        <w:t>良好的劳动环境。</w:t>
      </w:r>
    </w:p>
    <w:p>
      <w:pPr>
        <w:spacing w:line="240" w:lineRule="auto" w:before="10"/>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85" w:right="986"/>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5714"/>
        <w:jc w:val="left"/>
      </w:pPr>
      <w:r>
        <w:rPr/>
        <w:t>上市公司及其子公司是否属于环境保护部门公布的重点排污单位 否</w:t>
      </w:r>
    </w:p>
    <w:p>
      <w:pPr>
        <w:pStyle w:val="BodyText"/>
        <w:spacing w:line="240" w:lineRule="auto" w:before="29"/>
        <w:ind w:right="986"/>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513" w:right="1123"/>
        <w:jc w:val="left"/>
      </w:pPr>
      <w:r>
        <w:rPr>
          <w:rFonts w:ascii="Times New Roman" w:hAnsi="Times New Roman" w:cs="Times New Roman" w:eastAsia="Times New Roman" w:hint="default"/>
        </w:rPr>
        <w:t>1</w:t>
      </w:r>
      <w:r>
        <w:rPr/>
        <w:t>、非公开发行股票事项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日披露了《</w:t>
      </w:r>
      <w:r>
        <w:rPr>
          <w:rFonts w:ascii="Times New Roman" w:hAnsi="Times New Roman" w:cs="Times New Roman" w:eastAsia="Times New Roman" w:hint="default"/>
        </w:rPr>
        <w:t>2019</w:t>
      </w:r>
      <w:r>
        <w:rPr/>
        <w:t>年度创业板非公开发行股票预案》等相关公告，披露了本次非公开发行股票的相关</w:t>
      </w:r>
    </w:p>
    <w:p>
      <w:pPr>
        <w:pStyle w:val="BodyText"/>
        <w:spacing w:line="307" w:lineRule="auto" w:before="13"/>
        <w:ind w:right="986"/>
        <w:jc w:val="left"/>
      </w:pPr>
      <w:r>
        <w:rPr/>
        <w:t>文件。公司于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日披露了《关于收到</w:t>
      </w:r>
      <w:r>
        <w:rPr>
          <w:rFonts w:ascii="Times New Roman" w:hAnsi="Times New Roman" w:cs="Times New Roman" w:eastAsia="Times New Roman" w:hint="default"/>
        </w:rPr>
        <w:t>&lt;</w:t>
      </w:r>
      <w:r>
        <w:rPr/>
        <w:t>中国证监会行政许可项目审查一次反馈意见通知书</w:t>
      </w:r>
      <w:r>
        <w:rPr>
          <w:rFonts w:ascii="Times New Roman" w:hAnsi="Times New Roman" w:cs="Times New Roman" w:eastAsia="Times New Roman" w:hint="default"/>
        </w:rPr>
        <w:t>&gt;</w:t>
      </w:r>
      <w:r>
        <w:rPr/>
        <w:t>的公告》。公司于</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日披露了《关于</w:t>
      </w:r>
      <w:r>
        <w:rPr>
          <w:rFonts w:ascii="Times New Roman" w:hAnsi="Times New Roman" w:cs="Times New Roman" w:eastAsia="Times New Roman" w:hint="default"/>
        </w:rPr>
        <w:t>&lt;</w:t>
      </w:r>
      <w:r>
        <w:rPr/>
        <w:t>中国证监会行政许可项目审查一次反馈意见通知书</w:t>
      </w:r>
      <w:r>
        <w:rPr>
          <w:rFonts w:ascii="Times New Roman" w:hAnsi="Times New Roman" w:cs="Times New Roman" w:eastAsia="Times New Roman" w:hint="default"/>
        </w:rPr>
        <w:t>&gt;</w:t>
      </w:r>
      <w:r>
        <w:rPr/>
        <w:t>之反馈回复的公告》。公司于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日披</w:t>
      </w:r>
      <w:r>
        <w:rPr>
          <w:spacing w:val="-20"/>
        </w:rPr>
        <w:t> </w:t>
      </w:r>
      <w:r>
        <w:rPr>
          <w:spacing w:val="-2"/>
        </w:rPr>
        <w:t>露了《关于非公开发行股票申请获得中国证监会核准批复的公告》。公司于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19</w:t>
      </w:r>
      <w:r>
        <w:rPr>
          <w:spacing w:val="-2"/>
        </w:rPr>
        <w:t>日召开第三届董事会第二十次会议、</w:t>
      </w:r>
      <w:r>
        <w:rPr>
          <w:spacing w:val="-59"/>
        </w:rPr>
        <w:t> </w:t>
      </w:r>
      <w:r>
        <w:rPr>
          <w:spacing w:val="-59"/>
        </w:rPr>
      </w:r>
      <w:r>
        <w:rPr>
          <w:spacing w:val="-2"/>
        </w:rPr>
        <w:t>第三届监事会第十二次会议，审议通过了《关于调整非公开发行股票方案的议案》等议案，公司对本次非公开发行股票方案</w:t>
      </w:r>
      <w:r>
        <w:rPr>
          <w:spacing w:val="-65"/>
        </w:rPr>
        <w:t> </w:t>
      </w:r>
      <w:r>
        <w:rPr>
          <w:spacing w:val="-65"/>
        </w:rPr>
      </w:r>
      <w:r>
        <w:rPr>
          <w:spacing w:val="-2"/>
        </w:rPr>
        <w:t>中的发行对象及认购方式、发行价格及定价原则和限售期进行调整。截至本公告披露日，公司本次非公开发行股票尚未实施</w:t>
      </w:r>
      <w:r>
        <w:rPr>
          <w:spacing w:val="-63"/>
        </w:rPr>
        <w:t> </w:t>
      </w:r>
      <w:r>
        <w:rPr>
          <w:spacing w:val="-63"/>
        </w:rPr>
      </w:r>
      <w:r>
        <w:rPr/>
        <w:t>完毕。</w:t>
      </w:r>
    </w:p>
    <w:p>
      <w:pPr>
        <w:pStyle w:val="BodyText"/>
        <w:spacing w:line="300" w:lineRule="auto" w:before="26"/>
        <w:ind w:left="441" w:right="986" w:firstLine="72"/>
        <w:jc w:val="left"/>
      </w:pPr>
      <w:r>
        <w:rPr>
          <w:rFonts w:ascii="Times New Roman" w:hAnsi="Times New Roman" w:cs="Times New Roman" w:eastAsia="Times New Roman" w:hint="default"/>
        </w:rPr>
        <w:t>2</w:t>
      </w:r>
      <w:r>
        <w:rPr/>
        <w:t>、公司及产业基金对外投资 </w:t>
      </w:r>
      <w:r>
        <w:rPr>
          <w:spacing w:val="-1"/>
        </w:rPr>
        <w:t>围绕公司</w:t>
      </w:r>
      <w:r>
        <w:rPr>
          <w:rFonts w:ascii="Times New Roman" w:hAnsi="Times New Roman" w:cs="Times New Roman" w:eastAsia="Times New Roman" w:hint="default"/>
          <w:spacing w:val="-1"/>
        </w:rPr>
        <w:t>“</w:t>
      </w:r>
      <w:r>
        <w:rPr>
          <w:spacing w:val="-1"/>
        </w:rPr>
        <w:t>智造</w:t>
      </w:r>
      <w:r>
        <w:rPr>
          <w:rFonts w:ascii="Times New Roman" w:hAnsi="Times New Roman" w:cs="Times New Roman" w:eastAsia="Times New Roman" w:hint="default"/>
          <w:spacing w:val="-1"/>
        </w:rPr>
        <w:t>+</w:t>
      </w:r>
      <w:r>
        <w:rPr>
          <w:spacing w:val="-1"/>
        </w:rPr>
        <w:t>停车资源</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的发展战略，加快实施产业布局，提升公司综合竞争力，本公司与徐州疌盛、公司控</w:t>
      </w:r>
    </w:p>
    <w:p>
      <w:pPr>
        <w:pStyle w:val="BodyText"/>
        <w:spacing w:line="307" w:lineRule="auto" w:before="13"/>
        <w:ind w:right="1040"/>
        <w:jc w:val="left"/>
      </w:pPr>
      <w:r>
        <w:rPr>
          <w:spacing w:val="-3"/>
        </w:rPr>
        <w:t>股子公司弘毅华浩及经公司和徐州疌盛同意的无关联第三方共同出资设立五洋智慧交通产业（徐州）有限公司（以下简称</w:t>
      </w:r>
      <w:r>
        <w:rPr>
          <w:rFonts w:ascii="Times New Roman" w:hAnsi="Times New Roman" w:cs="Times New Roman" w:eastAsia="Times New Roman" w:hint="default"/>
          <w:spacing w:val="-3"/>
        </w:rPr>
        <w:t>“</w:t>
      </w:r>
      <w:r>
        <w:rPr>
          <w:spacing w:val="-3"/>
        </w:rPr>
        <w:t>五</w:t>
      </w:r>
      <w:r>
        <w:rPr>
          <w:spacing w:val="-87"/>
        </w:rPr>
        <w:t> </w:t>
      </w:r>
      <w:r>
        <w:rPr>
          <w:spacing w:val="-1"/>
        </w:rPr>
        <w:t>洋智慧交通</w:t>
      </w:r>
      <w:r>
        <w:rPr>
          <w:rFonts w:ascii="Times New Roman" w:hAnsi="Times New Roman" w:cs="Times New Roman" w:eastAsia="Times New Roman" w:hint="default"/>
          <w:spacing w:val="-1"/>
        </w:rPr>
        <w:t>”</w:t>
      </w:r>
      <w:r>
        <w:rPr>
          <w:spacing w:val="-1"/>
        </w:rPr>
        <w:t>），五洋智慧交通的注册资本为</w:t>
      </w:r>
      <w:r>
        <w:rPr>
          <w:rFonts w:ascii="Times New Roman" w:hAnsi="Times New Roman" w:cs="Times New Roman" w:eastAsia="Times New Roman" w:hint="default"/>
          <w:spacing w:val="-1"/>
        </w:rPr>
        <w:t>8,000</w:t>
      </w:r>
      <w:r>
        <w:rPr>
          <w:spacing w:val="-1"/>
        </w:rPr>
        <w:t>万元。</w:t>
      </w:r>
      <w:r>
        <w:rPr>
          <w:spacing w:val="-10"/>
        </w:rPr>
        <w:t> </w:t>
      </w:r>
      <w:r>
        <w:rPr>
          <w:spacing w:val="-2"/>
        </w:rPr>
        <w:t>五洋智慧交通收购长安停车投资管理（上海）有限公司</w:t>
      </w:r>
      <w:r>
        <w:rPr>
          <w:rFonts w:ascii="Times New Roman" w:hAnsi="Times New Roman" w:cs="Times New Roman" w:eastAsia="Times New Roman" w:hint="default"/>
          <w:spacing w:val="-2"/>
        </w:rPr>
        <w:t>100%</w:t>
      </w:r>
      <w:r>
        <w:rPr>
          <w:spacing w:val="-2"/>
        </w:rPr>
        <w:t>股权、</w:t>
      </w:r>
      <w:r>
        <w:rPr>
          <w:spacing w:val="-84"/>
        </w:rPr>
        <w:t> </w:t>
      </w:r>
      <w:r>
        <w:rPr>
          <w:spacing w:val="-2"/>
        </w:rPr>
        <w:t>受让上海常鹏投资中心（有限合伙）的有限合份额及出资入伙上海长太投资中心（有限合伙）和北京长静投资中心（有限合</w:t>
      </w:r>
      <w:r>
        <w:rPr>
          <w:spacing w:val="-67"/>
        </w:rPr>
        <w:t> </w:t>
      </w:r>
      <w:r>
        <w:rPr>
          <w:spacing w:val="-67"/>
        </w:rPr>
      </w:r>
      <w:r>
        <w:rPr/>
        <w:t>伙）。</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日，五洋智慧交通与交易对方分别签订了《股权转让协议》、《上海常鹏投资中心（有限合伙）有限合</w:t>
      </w:r>
      <w:r>
        <w:rPr>
          <w:spacing w:val="-86"/>
        </w:rPr>
        <w:t> </w:t>
      </w:r>
      <w:r>
        <w:rPr>
          <w:spacing w:val="-86"/>
        </w:rPr>
      </w:r>
      <w:r>
        <w:rPr>
          <w:spacing w:val="-2"/>
        </w:rPr>
        <w:t>伙财产份额转让协议》、《上海长太投资中心（有限合伙）合伙协议》、《北京长静投资中心（有限合伙）合伙协议》。具</w:t>
      </w:r>
      <w:r>
        <w:rPr>
          <w:spacing w:val="-69"/>
        </w:rPr>
        <w:t> </w:t>
      </w:r>
      <w:r>
        <w:rPr>
          <w:spacing w:val="-69"/>
        </w:rPr>
      </w:r>
      <w:r>
        <w:rPr>
          <w:spacing w:val="-3"/>
        </w:rPr>
        <w:t>体内容详见于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日在中国证监会创业板指定信息披露网站巨潮资讯网披露的相关公告（公告编号：</w:t>
      </w:r>
      <w:r>
        <w:rPr>
          <w:spacing w:val="-83"/>
        </w:rPr>
        <w:t> </w:t>
      </w:r>
      <w:r>
        <w:rPr>
          <w:spacing w:val="-83"/>
        </w:rPr>
      </w:r>
      <w:r>
        <w:rPr>
          <w:rFonts w:ascii="Times New Roman" w:hAnsi="Times New Roman" w:cs="Times New Roman" w:eastAsia="Times New Roman" w:hint="default"/>
        </w:rPr>
        <w:t>2019-048</w:t>
      </w:r>
      <w:r>
        <w:rPr/>
        <w:t>、</w:t>
      </w:r>
      <w:r>
        <w:rPr>
          <w:rFonts w:ascii="Times New Roman" w:hAnsi="Times New Roman" w:cs="Times New Roman" w:eastAsia="Times New Roman" w:hint="default"/>
        </w:rPr>
        <w:t>2019-049</w:t>
      </w:r>
      <w:r>
        <w:rPr/>
        <w:t>）。上海常鹏投资中心（有限合伙）有限于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日完成工商变更登记手续；北京长静投资中心</w:t>
      </w:r>
    </w:p>
    <w:p>
      <w:pPr>
        <w:spacing w:after="0" w:line="30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124"/>
        <w:jc w:val="left"/>
      </w:pPr>
      <w:r>
        <w:rPr/>
        <w:t>（有限合伙）于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日完成工商变更登记手续；上海长太投资中心（有限合伙）于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日完成工商变更登记</w:t>
      </w:r>
      <w:r>
        <w:rPr>
          <w:spacing w:val="-87"/>
        </w:rPr>
        <w:t> </w:t>
      </w:r>
      <w:r>
        <w:rPr/>
        <w:t>手续；长安停车投资管理（上海）有限公司于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日完成工商变更登记手续，并纳入公司合并报表范围。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986"/>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986"/>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246,502,2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34.45%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246,502,2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34.45%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1.93%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1.93%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276,546,9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38.64%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32.51%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425,237,9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59.42%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43,890,31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469,128,2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65.55%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425,237,9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59.42%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43,890,31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469,128,2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65.55%</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715,630,4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715,630,4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股份变动的原因</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986"/>
        <w:jc w:val="left"/>
      </w:pPr>
      <w:r>
        <w:rPr>
          <w:rFonts w:ascii="Times New Roman" w:hAnsi="Times New Roman" w:cs="Times New Roman" w:eastAsia="Times New Roman" w:hint="default"/>
        </w:rPr>
        <w:t>1</w:t>
      </w:r>
      <w:r>
        <w:rPr/>
        <w:t>、报告期内，股东寿招爱持有的首次公开发行前已发行的部分限售股份于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日上市流通。</w:t>
      </w:r>
    </w:p>
    <w:p>
      <w:pPr>
        <w:pStyle w:val="BodyText"/>
        <w:spacing w:line="240" w:lineRule="auto" w:before="62"/>
        <w:ind w:right="986"/>
        <w:jc w:val="left"/>
      </w:pPr>
      <w:r>
        <w:rPr>
          <w:rFonts w:ascii="Times New Roman" w:hAnsi="Times New Roman" w:cs="Times New Roman" w:eastAsia="Times New Roman" w:hint="default"/>
        </w:rPr>
        <w:t>2</w:t>
      </w:r>
      <w:r>
        <w:rPr/>
        <w:t>、报告期内，股东侯友夫持有的首发后限售股份于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日上市流通。</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股份变动的批准情况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69,092,625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13,672,054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55,420,571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任期内执行高 管限售规定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66,467,625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63,947,625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任期内执行高 管限售规定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48,627,390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12,149,925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36,477,465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任期内执行高 管限售规定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35,892,465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2,322,309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33,570,156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任期内执行高 管限售规定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39,880,575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13,293,525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26,587,050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首次公开发行 前已发行股份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316" w:lineRule="auto" w:before="63"/>
              <w:ind w:left="24"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日离职；每年 转让股份不超 过其持有股份 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259,960,680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43,957,813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216,070,367</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329.709991pt;margin-top:70.701736pt;width:52.6pt;height:31.2pt;mso-position-horizontal-relative:page;mso-position-vertical-relative:paragraph;z-index:-1177096" coordorigin="6594,1414" coordsize="1052,624">
            <v:shape style="position:absolute;left:6594;top:1414;width:1052;height:624" coordorigin="6594,1414" coordsize="1052,624" path="m6594,2038l7645,2038,7645,1414,6594,1414,6594,2038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25,180</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7"/>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22,849</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10.70%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76,606,500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-8,657,000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63,947,625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12,658,875</w:t>
            </w:r>
          </w:p>
        </w:tc>
        <w:tc>
          <w:tcPr>
            <w:tcW w:w="1063" w:type="dxa"/>
            <w:tcBorders>
              <w:top w:val="single" w:sz="48" w:space="0" w:color="D2D2D2"/>
              <w:left w:val="single" w:sz="4" w:space="0" w:color="000000"/>
              <w:bottom w:val="single" w:sz="4" w:space="0" w:color="000000"/>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47,480,000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9.76%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69,835,495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-4,058,600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55,420,571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14,414,924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48,636,620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36,477,465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12,159,155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5.69%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40,722,448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-4,037,760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33,570,156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11,076,000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39,880,575</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26,587,050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13,293,525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济南天辰机器 集团有限公司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13,845,621</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13,845,621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12,621,158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12,621,158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7,120,757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-2,350,400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7,103,368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0.97%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6,922,810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6,922,810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彭太阳</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0.93%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6,666,400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6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7" w:type="dxa"/>
            <w:gridSpan w:val="7"/>
            <w:tcBorders>
              <w:top w:val="single" w:sz="4" w:space="0" w:color="000000"/>
              <w:left w:val="single" w:sz="12" w:space="0" w:color="D2D2D2"/>
              <w:bottom w:val="single" w:sz="4" w:space="0" w:color="000000"/>
              <w:right w:val="single" w:sz="4" w:space="0" w:color="000000"/>
            </w:tcBorders>
          </w:tcPr>
          <w:p>
            <w:pPr>
              <w:pStyle w:val="TableParagraph"/>
              <w:spacing w:line="300" w:lineRule="auto" w:before="49"/>
              <w:ind w:left="7" w:right="53"/>
              <w:jc w:val="left"/>
              <w:rPr>
                <w:rFonts w:ascii="宋体" w:hAnsi="宋体" w:cs="宋体" w:eastAsia="宋体" w:hint="default"/>
                <w:sz w:val="18"/>
                <w:szCs w:val="18"/>
              </w:rPr>
            </w:pPr>
            <w:r>
              <w:rPr>
                <w:rFonts w:ascii="宋体" w:hAnsi="宋体" w:cs="宋体" w:eastAsia="宋体" w:hint="default"/>
                <w:sz w:val="18"/>
                <w:szCs w:val="18"/>
              </w:rPr>
              <w:t>蔡敏系侯友夫配偶，寿招爱系侯友夫母亲，三人合计持有本公司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26.04%</w:t>
            </w:r>
            <w:r>
              <w:rPr>
                <w:rFonts w:ascii="宋体" w:hAnsi="宋体" w:cs="宋体" w:eastAsia="宋体" w:hint="default"/>
                <w:sz w:val="18"/>
                <w:szCs w:val="18"/>
              </w:rPr>
              <w:t>的股份，为公司控 股股东、实际控制人。</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5046"/>
        <w:gridCol w:w="1069"/>
        <w:gridCol w:w="1058"/>
      </w:tblGrid>
      <w:tr>
        <w:trPr>
          <w:trHeight w:val="402" w:hRule="exact"/>
        </w:trPr>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8" w:type="dxa"/>
            <w:vMerge/>
            <w:tcBorders>
              <w:left w:val="single" w:sz="4" w:space="0" w:color="000000"/>
              <w:bottom w:val="single" w:sz="4" w:space="0" w:color="000000"/>
              <w:right w:val="single" w:sz="4" w:space="0" w:color="000000"/>
            </w:tcBorders>
            <w:shd w:val="clear" w:color="auto" w:fill="D2D2D2"/>
          </w:tcPr>
          <w:p>
            <w:pPr/>
          </w:p>
        </w:tc>
        <w:tc>
          <w:tcPr>
            <w:tcW w:w="504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14,414,924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14,414,924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13,293,525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13,293,525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12,658,875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12,658,875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12,621,158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12,621,158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12,159,155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12,159,155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7,152,292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7,152,292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彭太阳</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6,666,400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6,666,400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程鑫</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6,161,500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6,161,500</w:t>
            </w:r>
          </w:p>
        </w:tc>
      </w:tr>
      <w:tr>
        <w:trPr>
          <w:trHeight w:val="133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陕西省国际信托股份有限公司</w:t>
            </w:r>
          </w:p>
          <w:p>
            <w:pPr>
              <w:pStyle w:val="TableParagraph"/>
              <w:spacing w:line="309"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五洋停车第一期员 工持股证券投资集合资金信托 计划</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5,901,200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5,901,200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梁斌</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5,112,472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5,112,472</w:t>
            </w:r>
          </w:p>
        </w:tc>
      </w:tr>
      <w:tr>
        <w:trPr>
          <w:trHeight w:val="1337"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名无限售流通股股东之间关联关系或一致行动无法获悉，除同一股东外，前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售流通股东和前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名股东之间无关联关系或一致行动。</w:t>
            </w:r>
          </w:p>
        </w:tc>
      </w:tr>
      <w:tr>
        <w:trPr>
          <w:trHeight w:val="1418"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、股东彭太阳通过普通证券账户持有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110,800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股，通过湘财证券股份有限公司客户信用交</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6,555,600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6,666,400 </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、股东程鑫通过普通证券账户持有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股，通过国泰君安证券股份有限公司客户信用交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6,161,500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pStyle w:val="BodyText"/>
        <w:spacing w:line="240" w:lineRule="auto" w:before="49"/>
        <w:ind w:right="98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98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594"/>
        <w:jc w:val="left"/>
      </w:pPr>
      <w:r>
        <w:rPr/>
        <w:t>控股股东性质：自然人控股 控股股东类型：自然人</w:t>
      </w:r>
    </w:p>
    <w:p>
      <w:pPr>
        <w:spacing w:after="0" w:line="36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侯友夫先生，</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年生，博士研究生学历，现任公司董事长、董事职务。蔡敏</w:t>
            </w:r>
            <w:r>
              <w:rPr>
                <w:rFonts w:ascii="宋体" w:hAnsi="宋体" w:cs="宋体" w:eastAsia="宋体" w:hint="default"/>
                <w:sz w:val="18"/>
                <w:szCs w:val="18"/>
              </w:rPr>
              <w:t> 女士，</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年生，本科学历，高级工程师，现任公司董事。寿招爱女士，</w:t>
            </w:r>
            <w:r>
              <w:rPr>
                <w:rFonts w:ascii="Times New Roman" w:hAnsi="Times New Roman" w:cs="Times New Roman" w:eastAsia="Times New Roman" w:hint="default"/>
                <w:spacing w:val="-3"/>
                <w:sz w:val="18"/>
                <w:szCs w:val="18"/>
              </w:rPr>
              <w:t>1932</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年生。</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86"/>
        <w:jc w:val="left"/>
      </w:pPr>
      <w:r>
        <w:rPr/>
        <w:t>控股股东报告期内变更</w:t>
      </w:r>
    </w:p>
    <w:p>
      <w:pPr>
        <w:pStyle w:val="BodyText"/>
        <w:spacing w:line="340" w:lineRule="auto" w:before="115"/>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3"/>
              <w:jc w:val="left"/>
              <w:rPr>
                <w:rFonts w:ascii="宋体" w:hAnsi="宋体" w:cs="宋体" w:eastAsia="宋体" w:hint="default"/>
                <w:sz w:val="18"/>
                <w:szCs w:val="18"/>
              </w:rPr>
            </w:pPr>
            <w:r>
              <w:rPr>
                <w:rFonts w:ascii="宋体" w:hAnsi="宋体" w:cs="宋体" w:eastAsia="宋体" w:hint="default"/>
                <w:sz w:val="18"/>
                <w:szCs w:val="18"/>
              </w:rPr>
              <w:t>侯友夫先生，</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年生，博士研究生学历，现任公司董事长、董事职务。蔡敏女士，</w:t>
            </w:r>
            <w:r>
              <w:rPr>
                <w:rFonts w:ascii="Times New Roman" w:hAnsi="Times New Roman" w:cs="Times New Roman" w:eastAsia="Times New Roman" w:hint="default"/>
                <w:sz w:val="18"/>
                <w:szCs w:val="18"/>
              </w:rPr>
              <w:t>1960 </w:t>
            </w:r>
            <w:r>
              <w:rPr>
                <w:rFonts w:ascii="宋体" w:hAnsi="宋体" w:cs="宋体" w:eastAsia="宋体" w:hint="default"/>
                <w:sz w:val="18"/>
                <w:szCs w:val="18"/>
              </w:rPr>
              <w:t>年生，本科学历，高级工程师，现任公司董事。寿招爱女士，</w:t>
            </w:r>
            <w:r>
              <w:rPr>
                <w:rFonts w:ascii="Times New Roman" w:hAnsi="Times New Roman" w:cs="Times New Roman" w:eastAsia="Times New Roman" w:hint="default"/>
                <w:sz w:val="18"/>
                <w:szCs w:val="18"/>
              </w:rPr>
              <w:t>1932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86"/>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4057" w:lineRule="exact"/>
        <w:ind w:left="240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3259808" cy="257660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259808" cy="2576607"/>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5"/>
        <w:rPr>
          <w:rFonts w:ascii="宋体" w:hAnsi="宋体" w:cs="宋体" w:eastAsia="宋体" w:hint="default"/>
          <w:sz w:val="22"/>
          <w:szCs w:val="22"/>
        </w:rPr>
      </w:pPr>
    </w:p>
    <w:p>
      <w:pPr>
        <w:spacing w:before="26"/>
        <w:ind w:left="152" w:right="986"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986"/>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986"/>
        <w:jc w:val="left"/>
        <w:rPr>
          <w:b w:val="0"/>
          <w:bCs w:val="0"/>
        </w:rPr>
      </w:pPr>
      <w:bookmarkStart w:name="_TOC_250005" w:id="8"/>
      <w:r>
        <w:rPr/>
        <w:t>第八节可转换公司债券相关情况</w:t>
      </w:r>
      <w:bookmarkEnd w:id="8"/>
      <w:r>
        <w:rPr>
          <w:b w:val="0"/>
          <w:bCs w:val="0"/>
        </w:rPr>
      </w:r>
    </w:p>
    <w:p>
      <w:pPr>
        <w:spacing w:line="240" w:lineRule="auto" w:before="9"/>
        <w:rPr>
          <w:rFonts w:ascii="宋体" w:hAnsi="宋体" w:cs="宋体" w:eastAsia="宋体" w:hint="default"/>
          <w:b/>
          <w:bCs/>
          <w:sz w:val="42"/>
          <w:szCs w:val="42"/>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986"/>
        <w:jc w:val="left"/>
        <w:rPr>
          <w:b w:val="0"/>
          <w:bCs w:val="0"/>
        </w:rPr>
      </w:pPr>
      <w:bookmarkStart w:name="_TOC_250004" w:id="9"/>
      <w:r>
        <w:rPr/>
        <w:t>第九节董事、监事、高级管理人员和员工情况</w:t>
      </w:r>
      <w:bookmarkEnd w:id="9"/>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董事、董 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73,894,09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69,835,49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85,263,50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76,606,50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48,636,62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48,636,62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42,663,54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40,722,44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9,471,157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7,120,757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1,846,082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1,846,082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952,000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毛立军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6,922,810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6,922,810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left="513" w:right="986" w:hanging="361"/>
        <w:jc w:val="left"/>
      </w:pPr>
      <w:r>
        <w:rPr/>
        <w:t>公司现任董事、监事、高级管理人员专业背景、主要工作经历以及目前在公司的主要职责 </w:t>
      </w:r>
      <w:r>
        <w:rPr>
          <w:spacing w:val="-2"/>
        </w:rPr>
        <w:t>侯友夫先生，</w:t>
      </w:r>
      <w:r>
        <w:rPr>
          <w:rFonts w:ascii="Times New Roman" w:hAnsi="Times New Roman" w:cs="Times New Roman" w:eastAsia="Times New Roman" w:hint="default"/>
          <w:spacing w:val="-2"/>
        </w:rPr>
        <w:t>1960</w:t>
      </w:r>
      <w:r>
        <w:rPr>
          <w:spacing w:val="-2"/>
        </w:rPr>
        <w:t>年生，中国国籍，无境外永久居留权，研究生学历、博士学位。</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月担任中国矿业</w:t>
      </w:r>
    </w:p>
    <w:p>
      <w:pPr>
        <w:pStyle w:val="BodyText"/>
        <w:spacing w:line="212" w:lineRule="exact" w:before="0"/>
        <w:ind w:right="986"/>
        <w:jc w:val="left"/>
        <w:rPr>
          <w:rFonts w:ascii="Times New Roman" w:hAnsi="Times New Roman" w:cs="Times New Roman" w:eastAsia="Times New Roman" w:hint="default"/>
        </w:rPr>
      </w:pPr>
      <w:r>
        <w:rPr/>
        <w:t>大学机电工程学院教授、博士生导师；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月担任徐州五洋科技有限公司总经理；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p>
    <w:p>
      <w:pPr>
        <w:pStyle w:val="BodyText"/>
        <w:spacing w:line="300" w:lineRule="auto" w:before="62"/>
        <w:ind w:left="513" w:right="1573" w:hanging="361"/>
        <w:jc w:val="left"/>
      </w:pPr>
      <w:r>
        <w:rPr/>
        <w:t>月担任公司总经理；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月至今担任公司董事长、董事。 蔡敏女士，</w:t>
      </w:r>
      <w:r>
        <w:rPr>
          <w:rFonts w:ascii="Times New Roman" w:hAnsi="Times New Roman" w:cs="Times New Roman" w:eastAsia="Times New Roman" w:hint="default"/>
        </w:rPr>
        <w:t>1960</w:t>
      </w:r>
      <w:r>
        <w:rPr/>
        <w:t>年生，中国国籍，无境外永久居留权，本科学历，高级工程师。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月至今担任公司董事。</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131" w:firstLine="360"/>
        <w:jc w:val="both"/>
      </w:pPr>
      <w:r>
        <w:rPr/>
        <w:t>刘龙保先生，</w:t>
      </w:r>
      <w:r>
        <w:rPr>
          <w:rFonts w:ascii="Times New Roman" w:hAnsi="Times New Roman" w:cs="Times New Roman" w:eastAsia="Times New Roman" w:hint="default"/>
        </w:rPr>
        <w:t>1959</w:t>
      </w:r>
      <w:r>
        <w:rPr/>
        <w:t>年生，中国国籍，无境外永久居留权，本科学历，高级工程师。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 业大学工程师、高级工程师；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月担任徐州五洋科技有限公司高级工程师、副总经理；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 担任公司董事。</w:t>
      </w:r>
    </w:p>
    <w:p>
      <w:pPr>
        <w:pStyle w:val="BodyText"/>
        <w:spacing w:line="300" w:lineRule="auto" w:before="31"/>
        <w:ind w:right="1128" w:firstLine="360"/>
        <w:jc w:val="both"/>
      </w:pPr>
      <w:r>
        <w:rPr/>
        <w:t>孙晋明先生，</w:t>
      </w:r>
      <w:r>
        <w:rPr>
          <w:rFonts w:ascii="Times New Roman" w:hAnsi="Times New Roman" w:cs="Times New Roman" w:eastAsia="Times New Roman" w:hint="default"/>
        </w:rPr>
        <w:t>1962</w:t>
      </w:r>
      <w:r>
        <w:rPr/>
        <w:t>年生，中国国籍，无境外永久居留权，本科学历，高级工程师。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 </w:t>
      </w:r>
      <w:r>
        <w:rPr>
          <w:spacing w:val="-2"/>
        </w:rPr>
        <w:t>业大学机电学院科研人员；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月担任徐州五洋科技有限公司副总经理；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月担任</w:t>
      </w:r>
      <w:r>
        <w:rPr>
          <w:spacing w:val="-49"/>
        </w:rPr>
        <w:t> </w:t>
      </w:r>
      <w:r>
        <w:rPr/>
        <w:t>徐州五洋科技股份有限公司董事、总经理；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月至今担任司董事、副总经理。</w:t>
      </w:r>
    </w:p>
    <w:p>
      <w:pPr>
        <w:pStyle w:val="BodyText"/>
        <w:spacing w:line="300" w:lineRule="auto" w:before="13"/>
        <w:ind w:right="1134" w:firstLine="360"/>
        <w:jc w:val="both"/>
      </w:pPr>
      <w:r>
        <w:rPr>
          <w:spacing w:val="-2"/>
        </w:rPr>
        <w:t>胡云高先生，</w:t>
      </w:r>
      <w:r>
        <w:rPr>
          <w:rFonts w:ascii="Times New Roman" w:hAnsi="Times New Roman" w:cs="Times New Roman" w:eastAsia="Times New Roman" w:hint="default"/>
          <w:spacing w:val="-2"/>
        </w:rPr>
        <w:t>1966</w:t>
      </w:r>
      <w:r>
        <w:rPr>
          <w:spacing w:val="-2"/>
        </w:rPr>
        <w:t>生，中国国籍，无境外永久居留权，本科学历。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月任深圳市伟创华岳实业有限公</w:t>
      </w:r>
      <w:r>
        <w:rPr/>
        <w:t> 司副总经理，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月任深圳市伟创自动化设备有限公司副总经理；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月至今任深圳市伟创自动化设 备有限公司董事长；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月至今担任公司副总经理。</w:t>
      </w:r>
    </w:p>
    <w:p>
      <w:pPr>
        <w:pStyle w:val="BodyText"/>
        <w:spacing w:line="300" w:lineRule="auto" w:before="13"/>
        <w:ind w:right="1134" w:firstLine="360"/>
        <w:jc w:val="both"/>
      </w:pPr>
      <w:r>
        <w:rPr/>
        <w:t>侯秀峰先生，</w:t>
      </w:r>
      <w:r>
        <w:rPr>
          <w:rFonts w:ascii="Times New Roman" w:hAnsi="Times New Roman" w:cs="Times New Roman" w:eastAsia="Times New Roman" w:hint="default"/>
        </w:rPr>
        <w:t>1957</w:t>
      </w:r>
      <w:r>
        <w:rPr/>
        <w:t>年生，中国国籍，无境外永久居留权，高中学历。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月任济南天辰铝机制造有限公司 </w:t>
      </w:r>
      <w:r>
        <w:rPr>
          <w:spacing w:val="-2"/>
        </w:rPr>
        <w:t>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月至今任济南天辰铝机股份有限公司董事长；</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月任山东天辰智能停车设备有限公司执行董</w:t>
      </w:r>
      <w:r>
        <w:rPr>
          <w:spacing w:val="-60"/>
        </w:rPr>
        <w:t> </w:t>
      </w:r>
      <w:r>
        <w:rPr>
          <w:spacing w:val="-60"/>
        </w:rPr>
      </w:r>
      <w:r>
        <w:rPr/>
        <w:t>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月任山东天辰智能停车股份有限公司董事长；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月至今担任公司董事。</w:t>
      </w:r>
    </w:p>
    <w:p>
      <w:pPr>
        <w:pStyle w:val="BodyText"/>
        <w:spacing w:line="300" w:lineRule="auto" w:before="13"/>
        <w:ind w:right="1126" w:firstLine="360"/>
        <w:jc w:val="both"/>
      </w:pPr>
      <w:r>
        <w:rPr>
          <w:spacing w:val="-2"/>
        </w:rPr>
        <w:t>朱学义先生，</w:t>
      </w:r>
      <w:r>
        <w:rPr>
          <w:rFonts w:ascii="Times New Roman" w:hAnsi="Times New Roman" w:cs="Times New Roman" w:eastAsia="Times New Roman" w:hint="default"/>
          <w:spacing w:val="-2"/>
        </w:rPr>
        <w:t>1953</w:t>
      </w:r>
      <w:r>
        <w:rPr>
          <w:spacing w:val="-2"/>
        </w:rPr>
        <w:t>年生，中国国籍，无境外永久居留权，大学学历，中国矿业大学硕士生导师、博士生导师。</w:t>
      </w:r>
      <w:r>
        <w:rPr>
          <w:rFonts w:ascii="Times New Roman" w:hAnsi="Times New Roman" w:cs="Times New Roman" w:eastAsia="Times New Roman" w:hint="default"/>
          <w:spacing w:val="-2"/>
        </w:rPr>
        <w:t>1983</w:t>
      </w:r>
      <w:r>
        <w:rPr>
          <w:spacing w:val="-2"/>
        </w:rPr>
        <w:t>年开</w:t>
      </w:r>
      <w:r>
        <w:rPr/>
        <w:t> 始任教于中国矿业大学管理学院，</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12</w:t>
      </w:r>
      <w:r>
        <w:rPr/>
        <w:t>月任讲师；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3</w:t>
      </w:r>
      <w:r>
        <w:rPr/>
        <w:t>月晋升为副教授，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月晋升为教授，在此期间，分别 </w:t>
      </w:r>
      <w:r>
        <w:rPr>
          <w:spacing w:val="-2"/>
        </w:rPr>
        <w:t>于</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月和</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2</w:t>
      </w:r>
      <w:r>
        <w:rPr>
          <w:spacing w:val="-2"/>
        </w:rPr>
        <w:t>月担任会计学系副主任、主任；</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月，任中国矿业大学管理学院副院长；</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
        </w:rPr>
        <w:t> </w:t>
      </w:r>
      <w:r>
        <w:rPr>
          <w:spacing w:val="-2"/>
        </w:rPr>
        <w:t>月至今，任中国矿业大学财务与会计研究所所长；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月担任赛摩电气股份有限公司独立董事；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3"/>
        </w:rPr>
        <w:t> </w:t>
      </w:r>
      <w:r>
        <w:rPr/>
        <w:t>月至今担任公司独立董事。</w:t>
      </w:r>
    </w:p>
    <w:p>
      <w:pPr>
        <w:pStyle w:val="BodyText"/>
        <w:spacing w:line="300" w:lineRule="auto" w:before="31"/>
        <w:ind w:right="986" w:firstLine="360"/>
        <w:jc w:val="left"/>
      </w:pPr>
      <w:r>
        <w:rPr/>
        <w:t>林爱梅女士，</w:t>
      </w:r>
      <w:r>
        <w:rPr>
          <w:rFonts w:ascii="Times New Roman" w:hAnsi="Times New Roman" w:cs="Times New Roman" w:eastAsia="Times New Roman" w:hint="default"/>
        </w:rPr>
        <w:t>1966</w:t>
      </w:r>
      <w:r>
        <w:rPr/>
        <w:t>年生。中国国籍，无境外永久居留权，研究生学历、博士学位、会计学教授、博士生导师。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 </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月，任中国矿业大学管理学院助教；</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月，任中国矿业大学管理学院讲师；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spacing w:val="-3"/>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月，任中国矿业大学管理学院副教授、硕士生导师；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月，任中国矿业大学管理学院会计学教 </w:t>
      </w:r>
      <w:r>
        <w:rPr>
          <w:spacing w:val="-2"/>
        </w:rPr>
        <w:t>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月至今，任中国矿业大学管理学院博士生导师；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月至今，任徐工集团工程机械股份有限公司独立董事；</w:t>
      </w:r>
      <w:r>
        <w:rPr>
          <w:spacing w:val="-59"/>
        </w:rPr>
        <w:t> </w:t>
      </w:r>
      <w:r>
        <w:rPr>
          <w:spacing w:val="-59"/>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月至今担任公司独立董事。</w:t>
      </w:r>
    </w:p>
    <w:p>
      <w:pPr>
        <w:pStyle w:val="BodyText"/>
        <w:spacing w:line="300" w:lineRule="auto" w:before="13"/>
        <w:ind w:right="1037" w:firstLine="360"/>
        <w:jc w:val="left"/>
      </w:pPr>
      <w:r>
        <w:rPr/>
        <w:t>叶飞先生，</w:t>
      </w:r>
      <w:r>
        <w:rPr>
          <w:rFonts w:ascii="Times New Roman" w:hAnsi="Times New Roman" w:cs="Times New Roman" w:eastAsia="Times New Roman" w:hint="default"/>
        </w:rPr>
        <w:t>1972</w:t>
      </w:r>
      <w:r>
        <w:rPr/>
        <w:t>年生。中国国籍，无境外永久居留权，大学本科学历。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月任大屯煤电集团有限公 </w:t>
      </w:r>
      <w:r>
        <w:rPr>
          <w:spacing w:val="-3"/>
        </w:rPr>
        <w:t>司拓特机械制造厂团委干事；</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10</w:t>
      </w:r>
      <w:r>
        <w:rPr>
          <w:spacing w:val="-3"/>
        </w:rPr>
        <w:t>月任上海大屯能源股份有限公司拓特机械制造厂厂团委负责人、副书记；</w:t>
      </w:r>
      <w:r>
        <w:rPr>
          <w:spacing w:val="-85"/>
        </w:rPr>
        <w:t> </w:t>
      </w:r>
      <w:r>
        <w:rPr>
          <w:spacing w:val="-85"/>
        </w:rPr>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月任上海大屯能源股份有限公司拓特机械制造厂销售部副经理；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月任上海大屯能</w:t>
      </w:r>
      <w:r>
        <w:rPr>
          <w:spacing w:val="-46"/>
        </w:rPr>
        <w:t> </w:t>
      </w:r>
      <w:r>
        <w:rPr/>
        <w:t>源股份有限公司拓特机械制造厂工会办公室主任、兼宣教、民管部长；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月任上海大屯能源股份有限公</w:t>
      </w:r>
      <w:r>
        <w:rPr>
          <w:spacing w:val="-86"/>
        </w:rPr>
        <w:t> </w:t>
      </w:r>
      <w:r>
        <w:rPr/>
        <w:t>司拓特机械制造厂考核办公室主任；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月任上海大屯能源股份有限公司拓特机械制造厂经营管理部副部</w:t>
      </w:r>
      <w:r>
        <w:rPr>
          <w:spacing w:val="-87"/>
        </w:rPr>
        <w:t> </w:t>
      </w:r>
      <w:r>
        <w:rPr>
          <w:spacing w:val="-87"/>
        </w:rPr>
      </w:r>
      <w:r>
        <w:rPr>
          <w:spacing w:val="-2"/>
        </w:rPr>
        <w:t>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月任江苏泰信律师事务所律师、合伙人、执行主任；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月至今任北京市盈科（徐州）律师事</w:t>
      </w:r>
      <w:r>
        <w:rPr>
          <w:spacing w:val="-58"/>
        </w:rPr>
        <w:t> </w:t>
      </w:r>
      <w:r>
        <w:rPr>
          <w:spacing w:val="-58"/>
        </w:rPr>
      </w:r>
      <w:r>
        <w:rPr/>
        <w:t>务所管委会主任；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月至今担任公司独立董事。</w:t>
      </w:r>
    </w:p>
    <w:p>
      <w:pPr>
        <w:pStyle w:val="BodyText"/>
        <w:spacing w:line="300" w:lineRule="auto" w:before="13"/>
        <w:ind w:right="1126" w:firstLine="360"/>
        <w:jc w:val="both"/>
      </w:pPr>
      <w:r>
        <w:rPr>
          <w:spacing w:val="-2"/>
        </w:rPr>
        <w:t>赵文先生，</w:t>
      </w:r>
      <w:r>
        <w:rPr>
          <w:rFonts w:ascii="Times New Roman" w:hAnsi="Times New Roman" w:cs="Times New Roman" w:eastAsia="Times New Roman" w:hint="default"/>
          <w:spacing w:val="-2"/>
        </w:rPr>
        <w:t>1967</w:t>
      </w:r>
      <w:r>
        <w:rPr>
          <w:spacing w:val="-2"/>
        </w:rPr>
        <w:t>年生，中国国籍，无境外永久居留权，大专学历，工程师。</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6</w:t>
      </w:r>
      <w:r>
        <w:rPr>
          <w:spacing w:val="-2"/>
        </w:rPr>
        <w:t>月担任徐州煤炭工业学</w:t>
      </w:r>
      <w:r>
        <w:rPr/>
        <w:t> 校团委干事、团委副书记；</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月担任江苏中矿大正表面工程技术有限公司市场部经理；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10</w:t>
      </w:r>
      <w:r>
        <w:rPr/>
        <w:t>月担任徐州五洋科技有限公司营销部大区经理；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月至今担任公司监事会主席、营销部大区经理。</w:t>
      </w:r>
    </w:p>
    <w:p>
      <w:pPr>
        <w:pStyle w:val="BodyText"/>
        <w:spacing w:line="300" w:lineRule="auto" w:before="13"/>
        <w:ind w:right="1131" w:firstLine="360"/>
        <w:jc w:val="both"/>
      </w:pPr>
      <w:r>
        <w:rPr>
          <w:spacing w:val="-2"/>
        </w:rPr>
        <w:t>李庆先生，</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8</w:t>
      </w:r>
      <w:r>
        <w:rPr>
          <w:spacing w:val="-2"/>
        </w:rPr>
        <w:t>月生，中国国籍，无境外永久居留权，大专学历。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月任徐州天地重型机械制造</w:t>
      </w:r>
      <w:r>
        <w:rPr/>
        <w:t> 有限公司销售大区经理；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月任江苏天沃重工科技有限公司营销经理，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至今任江苏天沃重工科 技有限公司总经理助理；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月至今担任公司监事。</w:t>
      </w:r>
    </w:p>
    <w:p>
      <w:pPr>
        <w:pStyle w:val="BodyText"/>
        <w:spacing w:line="300" w:lineRule="auto" w:before="13"/>
        <w:ind w:right="1134" w:firstLine="360"/>
        <w:jc w:val="both"/>
      </w:pPr>
      <w:r>
        <w:rPr/>
        <w:t>张叶，</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4</w:t>
      </w:r>
      <w:r>
        <w:rPr/>
        <w:t>月出生，中国国籍，中共党员，大学本科学历。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月任徐州五洋科技股份有限公司营 销部业务主管；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月至今任公司营销部部长；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月至今任公司职工代表监事。</w:t>
      </w:r>
    </w:p>
    <w:p>
      <w:pPr>
        <w:pStyle w:val="BodyText"/>
        <w:spacing w:line="300" w:lineRule="auto" w:before="13"/>
        <w:ind w:right="1132" w:firstLine="360"/>
        <w:jc w:val="both"/>
      </w:pPr>
      <w:r>
        <w:rPr>
          <w:spacing w:val="-2"/>
        </w:rPr>
        <w:t>侯玉鹏先生，</w:t>
      </w:r>
      <w:r>
        <w:rPr>
          <w:rFonts w:ascii="Times New Roman" w:hAnsi="Times New Roman" w:cs="Times New Roman" w:eastAsia="Times New Roman" w:hint="default"/>
          <w:spacing w:val="-2"/>
        </w:rPr>
        <w:t>1984</w:t>
      </w:r>
      <w:r>
        <w:rPr>
          <w:spacing w:val="-2"/>
        </w:rPr>
        <w:t>年生，中国国籍，无境外永久居留权，硕士研究生学历。</w:t>
      </w:r>
      <w:r>
        <w:rPr>
          <w:rFonts w:ascii="Times New Roman" w:hAnsi="Times New Roman" w:cs="Times New Roman" w:eastAsia="Times New Roman" w:hint="default"/>
          <w:spacing w:val="-2"/>
        </w:rPr>
        <w:t>2012</w:t>
      </w:r>
      <w:r>
        <w:rPr>
          <w:spacing w:val="-2"/>
        </w:rPr>
        <w:t>年至今担任济南天辰机器集团有限公司</w:t>
      </w:r>
      <w:r>
        <w:rPr/>
        <w:t> </w:t>
      </w:r>
      <w:r>
        <w:rPr>
          <w:spacing w:val="-2"/>
        </w:rPr>
        <w:t>监事；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月至今担任济南天辰鸣翠餐饮有限公司执行董事；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月至今担任济南天辰铝机股份有限公司董事；</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月担任山东天辰智能停车股份有限公司监事；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月担任山东天辰智能停车股份有限公司董</w:t>
      </w:r>
      <w:r>
        <w:rPr>
          <w:spacing w:val="-9"/>
        </w:rPr>
        <w:t> </w:t>
      </w:r>
      <w:r>
        <w:rPr>
          <w:spacing w:val="-9"/>
        </w:rPr>
      </w:r>
      <w:r>
        <w:rPr/>
        <w:t>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月至今担任公司副总经理。</w:t>
      </w:r>
    </w:p>
    <w:p>
      <w:pPr>
        <w:pStyle w:val="BodyText"/>
        <w:spacing w:line="300" w:lineRule="auto" w:before="13"/>
        <w:ind w:right="1131" w:firstLine="360"/>
        <w:jc w:val="both"/>
      </w:pPr>
      <w:r>
        <w:rPr>
          <w:spacing w:val="-2"/>
        </w:rPr>
        <w:t>王兆勇先生，</w:t>
      </w:r>
      <w:r>
        <w:rPr>
          <w:rFonts w:ascii="Times New Roman" w:hAnsi="Times New Roman" w:cs="Times New Roman" w:eastAsia="Times New Roman" w:hint="default"/>
          <w:spacing w:val="-2"/>
        </w:rPr>
        <w:t>1979</w:t>
      </w:r>
      <w:r>
        <w:rPr>
          <w:spacing w:val="-2"/>
        </w:rPr>
        <w:t>年生，中国国籍，无境外永久居留权，本科学历。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月担任南翔万商（安徽）物流</w:t>
      </w:r>
      <w:r>
        <w:rPr/>
        <w:t> 产业股份有限公司财务部副总经理；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月担任百佳国际集团财务部总经理；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担任徐 州五洋科技股份有限公司财务工作；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月担任公司董事会秘书。</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034" w:firstLine="360"/>
        <w:jc w:val="left"/>
      </w:pPr>
      <w:r>
        <w:rPr/>
        <w:t>张立永先生，</w:t>
      </w:r>
      <w:r>
        <w:rPr>
          <w:rFonts w:ascii="Times New Roman" w:hAnsi="Times New Roman" w:cs="Times New Roman" w:eastAsia="Times New Roman" w:hint="default"/>
        </w:rPr>
        <w:t>1972</w:t>
      </w:r>
      <w:r>
        <w:rPr/>
        <w:t>年生，中国国籍，无境外永久居留权，硕士研究生学历，注册会计师、注册税务师、会计高级职称。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月担任江苏五洋停车产业集团股份有限公司财务总监、董事会秘书；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月担任公 司投资总监；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月至今担任公司总经理。</w:t>
      </w:r>
    </w:p>
    <w:p>
      <w:pPr>
        <w:pStyle w:val="BodyText"/>
        <w:spacing w:line="300" w:lineRule="auto" w:before="13"/>
        <w:ind w:right="986" w:firstLine="288"/>
        <w:jc w:val="left"/>
      </w:pPr>
      <w:r>
        <w:rPr>
          <w:spacing w:val="-1"/>
        </w:rPr>
        <w:t>毛立军先生，</w:t>
      </w:r>
      <w:r>
        <w:rPr>
          <w:rFonts w:ascii="Times New Roman" w:hAnsi="Times New Roman" w:cs="Times New Roman" w:eastAsia="Times New Roman" w:hint="default"/>
          <w:spacing w:val="-1"/>
        </w:rPr>
        <w:t>1972</w:t>
      </w:r>
      <w:r>
        <w:rPr>
          <w:spacing w:val="-1"/>
        </w:rPr>
        <w:t>年生，中国国籍，无境外永久居住权，博士研究生学。</w:t>
      </w:r>
      <w:r>
        <w:rPr>
          <w:rFonts w:ascii="Times New Roman" w:hAnsi="Times New Roman" w:cs="Times New Roman" w:eastAsia="Times New Roman" w:hint="default"/>
          <w:spacing w:val="-1"/>
        </w:rPr>
        <w:t>2011</w:t>
      </w:r>
      <w:r>
        <w:rPr>
          <w:spacing w:val="-1"/>
        </w:rPr>
        <w:t>年至今任深圳市伟创自动化设备有限公司</w:t>
      </w:r>
      <w:r>
        <w:rPr/>
        <w:t> 副总经理职位；</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月担任沈阳市五洋恒信泊车有限公司董事长；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月至今担任公司董事会秘书。</w:t>
      </w:r>
    </w:p>
    <w:p>
      <w:pPr>
        <w:spacing w:line="240" w:lineRule="auto" w:before="0"/>
        <w:rPr>
          <w:rFonts w:ascii="宋体" w:hAnsi="宋体" w:cs="宋体" w:eastAsia="宋体" w:hint="default"/>
          <w:sz w:val="18"/>
          <w:szCs w:val="18"/>
        </w:rPr>
      </w:pPr>
    </w:p>
    <w:p>
      <w:pPr>
        <w:pStyle w:val="BodyText"/>
        <w:spacing w:line="240" w:lineRule="auto" w:before="130"/>
        <w:ind w:right="986"/>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北京华逸奇科贸有限公司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福建比硕停车运营股份有限公司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安徽惠邦融资租赁有限公司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沈阳市五洋恒信泊车有限公司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抚州五洋智慧交通产业发展有限公司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济南天辰铝机股份有限公司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中国矿业大学财务与会计研究所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南通理工学院资源经济与会计研究所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中国矿业大学管理学院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徐工集团工程机械股份有限公司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北京市盈科（徐州）律师事务所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管委会主任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北京华逸奇科贸有限公司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福建比硕停车运营股份有限公司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抚州五洋智慧交通产业发展有限公司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沈阳市五洋恒信泊车有限公司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昆明五洋伟创停车服务有限公司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江西泰壬科技有限公司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安徽惠邦融资租赁有限公司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南昌市青云市政运营有限公司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长安停车投资管理（上海）有限公司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迈泊停车管理（上海）有限公司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199"/>
        <w:gridCol w:w="8370"/>
      </w:tblGrid>
      <w:tr>
        <w:trPr>
          <w:trHeight w:val="334" w:hRule="exact"/>
        </w:trPr>
        <w:tc>
          <w:tcPr>
            <w:tcW w:w="1199" w:type="dxa"/>
            <w:tcBorders>
              <w:top w:val="single" w:sz="6" w:space="0" w:color="000000"/>
              <w:left w:val="nil" w:sz="6" w:space="0" w:color="auto"/>
              <w:bottom w:val="single" w:sz="4" w:space="0" w:color="000000"/>
              <w:right w:val="nil" w:sz="6" w:space="0" w:color="auto"/>
            </w:tcBorders>
          </w:tcPr>
          <w:p>
            <w:pPr/>
          </w:p>
        </w:tc>
        <w:tc>
          <w:tcPr>
            <w:tcW w:w="8370"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12" w:right="1105"/>
        <w:jc w:val="left"/>
      </w:pPr>
      <w:r>
        <w:rPr/>
        <w:t>公司现任及报告期内离任董事、监事和高级管理人员近三年证券监管机构处罚的情况</w:t>
      </w:r>
    </w:p>
    <w:p>
      <w:pPr>
        <w:pStyle w:val="BodyText"/>
        <w:spacing w:line="240" w:lineRule="auto" w:before="115"/>
        <w:ind w:left="112"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1105"/>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left="401" w:right="1105" w:hanging="289"/>
        <w:jc w:val="left"/>
      </w:pPr>
      <w:r>
        <w:rPr/>
        <w:t>董事、监事、高级管理人员报酬的决策程序、确定依据、实际支付情况 公司董事、监事报酬由公司股东大会批准，高级管理人员报酬由董事会批准。在公司担任具体工作职务的董事、监事、</w:t>
      </w:r>
    </w:p>
    <w:p>
      <w:pPr>
        <w:pStyle w:val="BodyText"/>
        <w:spacing w:line="224" w:lineRule="exact" w:before="0"/>
        <w:ind w:left="112" w:right="0"/>
        <w:jc w:val="left"/>
      </w:pPr>
      <w:r>
        <w:rPr/>
        <w:t>高级管理人员的报酬由公司统一支付，对董事、监事不再另行支付津贴。独立董事津贴由公司股东大会予以批准。董事、监</w:t>
      </w:r>
    </w:p>
    <w:p>
      <w:pPr>
        <w:pStyle w:val="BodyText"/>
        <w:spacing w:line="316" w:lineRule="auto" w:before="76"/>
        <w:ind w:left="112" w:right="1105"/>
        <w:jc w:val="left"/>
      </w:pPr>
      <w:r>
        <w:rPr>
          <w:spacing w:val="-2"/>
        </w:rPr>
        <w:t>事、高级管理人员的报酬根据公司盈利情况及董事、监事、高级管理人员的履职情况，结合公司绩效考核情况综合确定。董</w:t>
      </w:r>
      <w:r>
        <w:rPr>
          <w:spacing w:val="-67"/>
        </w:rPr>
        <w:t> </w:t>
      </w:r>
      <w:r>
        <w:rPr>
          <w:spacing w:val="-67"/>
        </w:rPr>
      </w:r>
      <w:r>
        <w:rPr/>
        <w:t>事、监事及高级管理人员的报酬均已按薪酬标准实际全额支付。</w:t>
      </w:r>
    </w:p>
    <w:p>
      <w:pPr>
        <w:pStyle w:val="BodyText"/>
        <w:spacing w:line="240" w:lineRule="auto" w:before="60"/>
        <w:ind w:left="112" w:right="1105"/>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265.59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2" w:right="1105"/>
        <w:jc w:val="left"/>
      </w:pPr>
      <w:r>
        <w:rPr/>
        <w:t>公司董事、高级管理人员报告期内被授予的股权激励情况</w:t>
      </w:r>
    </w:p>
    <w:p>
      <w:pPr>
        <w:pStyle w:val="BodyText"/>
        <w:spacing w:line="240" w:lineRule="auto" w:before="114"/>
        <w:ind w:left="112"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986"/>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w:t>
            </w:r>
          </w:p>
        </w:tc>
      </w:tr>
    </w:tbl>
    <w:p>
      <w:pPr>
        <w:spacing w:line="240" w:lineRule="auto" w:before="3"/>
        <w:rPr>
          <w:rFonts w:ascii="宋体" w:hAnsi="宋体" w:cs="宋体" w:eastAsia="宋体" w:hint="default"/>
          <w:b/>
          <w:bCs/>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288"/>
        <w:jc w:val="both"/>
      </w:pPr>
      <w:r>
        <w:rPr>
          <w:spacing w:val="-1"/>
        </w:rPr>
        <w:t>公司按照《中华人民共和国劳动合同法》和国家及地方有关劳动法律、法规的规定，与员工签订劳动合同，公司严格执</w:t>
      </w:r>
      <w:r>
        <w:rPr/>
        <w:t> </w:t>
      </w:r>
      <w:r>
        <w:rPr>
          <w:spacing w:val="-2"/>
        </w:rPr>
        <w:t>行国家相关劳动用工和社会保障规章制度，按照国家规定为员工缴纳养老、医疗保险、公积金及相关保险。公司制定完善的</w:t>
      </w:r>
      <w:r>
        <w:rPr>
          <w:spacing w:val="-64"/>
        </w:rPr>
        <w:t> </w:t>
      </w:r>
      <w:r>
        <w:rPr>
          <w:spacing w:val="-64"/>
        </w:rPr>
      </w:r>
      <w:r>
        <w:rPr/>
        <w:t>薪酬管理制度，实施公平的绩效考核机制，使员工合理分享公司经营成果，充分调动员工的积极性和创造性。</w:t>
      </w:r>
    </w:p>
    <w:p>
      <w:pPr>
        <w:spacing w:line="240" w:lineRule="auto" w:before="11"/>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1129" w:firstLine="288"/>
        <w:jc w:val="both"/>
      </w:pPr>
      <w:r>
        <w:rPr>
          <w:spacing w:val="-1"/>
        </w:rPr>
        <w:t>公司建立了完善的培训体系，针对不同岗位的人员制定各级培训计划。</w:t>
      </w:r>
      <w:r>
        <w:rPr>
          <w:rFonts w:ascii="Times New Roman" w:hAnsi="Times New Roman" w:cs="Times New Roman" w:eastAsia="Times New Roman" w:hint="default"/>
          <w:spacing w:val="-1"/>
        </w:rPr>
        <w:t>2019</w:t>
      </w:r>
      <w:r>
        <w:rPr>
          <w:spacing w:val="-1"/>
        </w:rPr>
        <w:t>年围绕公司发展战略，公司加强对技术人员</w:t>
      </w:r>
      <w:r>
        <w:rPr/>
        <w:t> </w:t>
      </w:r>
      <w:r>
        <w:rPr>
          <w:spacing w:val="-2"/>
        </w:rPr>
        <w:t>培养，组织实施销售人员业务培训、管理人员产品知识及办公技能培训、安全生产及设备知识培训等等，公司内部积极营造</w:t>
      </w:r>
      <w:r>
        <w:rPr>
          <w:spacing w:val="-65"/>
        </w:rPr>
        <w:t> </w:t>
      </w:r>
      <w:r>
        <w:rPr>
          <w:spacing w:val="-65"/>
        </w:rPr>
      </w:r>
      <w:r>
        <w:rPr/>
        <w:t>学习氛围，不断激发员工潜能，有效提升各类人才的业务能力和岗位技能。</w:t>
      </w:r>
    </w:p>
    <w:p>
      <w:pPr>
        <w:spacing w:after="0" w:line="309"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2"/>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22" w:firstLine="372"/>
        <w:jc w:val="left"/>
      </w:pPr>
      <w:r>
        <w:rPr/>
        <w:t>报告期内，公司严格按照《公司法》、《证券法》、《上市公司治理准则》、《深交所创业板上市公司规范运作指引》 </w:t>
      </w:r>
      <w:r>
        <w:rPr>
          <w:spacing w:val="-2"/>
        </w:rPr>
        <w:t>等有关法律、法规、规范性文件和中国证监会等监管部门的要求，不断完善公司治理结构，建立健全内控管理制度，促进规</w:t>
      </w:r>
      <w:r>
        <w:rPr>
          <w:spacing w:val="-67"/>
        </w:rPr>
        <w:t> </w:t>
      </w:r>
      <w:r>
        <w:rPr>
          <w:spacing w:val="-67"/>
        </w:rPr>
      </w:r>
      <w:r>
        <w:rPr>
          <w:spacing w:val="-2"/>
        </w:rPr>
        <w:t>范公司运作，持续提升公司治理水平。截至报告期末，公司治理状况符合中国证监会、深圳证券交易所等发布的法律、法规</w:t>
      </w:r>
      <w:r>
        <w:rPr>
          <w:spacing w:val="-67"/>
        </w:rPr>
        <w:t> </w:t>
      </w:r>
      <w:r>
        <w:rPr>
          <w:spacing w:val="-67"/>
        </w:rPr>
      </w:r>
      <w:r>
        <w:rPr/>
        <w:t>和规范性文件的要求。</w:t>
      </w:r>
    </w:p>
    <w:p>
      <w:pPr>
        <w:pStyle w:val="BodyText"/>
        <w:spacing w:line="316" w:lineRule="auto" w:before="19"/>
        <w:ind w:left="513" w:right="986"/>
        <w:jc w:val="left"/>
      </w:pPr>
      <w:r>
        <w:rPr/>
        <w:t>（一）关于公司与控股股东 </w:t>
      </w:r>
      <w:r>
        <w:rPr>
          <w:spacing w:val="-2"/>
        </w:rPr>
        <w:t>公司控股股东及实际控制人严格按照相关法律法规的要求规范自身行为，公司控股股东不存在超越公司股东大会直接或</w:t>
      </w:r>
    </w:p>
    <w:p>
      <w:pPr>
        <w:pStyle w:val="BodyText"/>
        <w:spacing w:line="319" w:lineRule="auto" w:before="19"/>
        <w:ind w:right="1130"/>
        <w:jc w:val="both"/>
      </w:pPr>
      <w:r>
        <w:rPr>
          <w:spacing w:val="-2"/>
        </w:rPr>
        <w:t>间接干预公司的决策和经营活动的行为，不存在控股股东违规占用公司资金的现象，未损害公司及其他股东的利益。公司董</w:t>
      </w:r>
      <w:r>
        <w:rPr>
          <w:spacing w:val="-63"/>
        </w:rPr>
        <w:t> </w:t>
      </w:r>
      <w:r>
        <w:rPr>
          <w:spacing w:val="-63"/>
        </w:rPr>
      </w:r>
      <w:r>
        <w:rPr>
          <w:spacing w:val="-2"/>
        </w:rPr>
        <w:t>事会、监事会和内部机构独立运作，公司的重大经营决策均由股东大户和董事会依法作出，公司拥有独立完整的业务和自主</w:t>
      </w:r>
      <w:r>
        <w:rPr>
          <w:spacing w:val="-63"/>
        </w:rPr>
        <w:t> </w:t>
      </w:r>
      <w:r>
        <w:rPr>
          <w:spacing w:val="-63"/>
        </w:rPr>
      </w:r>
      <w:r>
        <w:rPr/>
        <w:t>经营能力，在业务、人员、资产、机构、财务上独立于控股股东，公司亦无为控股股东提供担保的情形。</w:t>
      </w:r>
    </w:p>
    <w:p>
      <w:pPr>
        <w:pStyle w:val="BodyText"/>
        <w:spacing w:line="316" w:lineRule="auto" w:before="17"/>
        <w:ind w:left="513" w:right="986"/>
        <w:jc w:val="left"/>
      </w:pPr>
      <w:r>
        <w:rPr/>
        <w:t>（二）关于股东与股东大会 </w:t>
      </w:r>
      <w:r>
        <w:rPr>
          <w:spacing w:val="-2"/>
        </w:rPr>
        <w:t>报告期内，公司共召开一次股东大会，以现场和网络投票相结合的方式进行，会议的召集和召开程序、出席会议人员的</w:t>
      </w:r>
    </w:p>
    <w:p>
      <w:pPr>
        <w:pStyle w:val="BodyText"/>
        <w:spacing w:line="316" w:lineRule="auto" w:before="19"/>
        <w:ind w:right="1034"/>
        <w:jc w:val="left"/>
      </w:pPr>
      <w:r>
        <w:rPr/>
        <w:t>资格以及会议表决程序均符合《公司法》、《上市公司股东大会规则》及《公司章程》等相关规定，各项议案均获得通过， </w:t>
      </w:r>
      <w:r>
        <w:rPr>
          <w:spacing w:val="-4"/>
        </w:rPr>
        <w:t>表决结果合法有效。会议邀请鉴证律师依法合规地进行现场见证，在对涉及关联交易的议案进行表决时，关联股东回避表决，</w:t>
      </w:r>
      <w:r>
        <w:rPr>
          <w:spacing w:val="-42"/>
        </w:rPr>
        <w:t> </w:t>
      </w:r>
      <w:r>
        <w:rPr>
          <w:spacing w:val="-42"/>
        </w:rPr>
      </w:r>
      <w:r>
        <w:rPr>
          <w:spacing w:val="-2"/>
        </w:rPr>
        <w:t>保障了关联交易决策程序的合法性和公开、公平、公正地进行。公司公平对待所有股东，确保全体股东享有平等地位，充分</w:t>
      </w:r>
      <w:r>
        <w:rPr>
          <w:spacing w:val="-67"/>
        </w:rPr>
        <w:t> </w:t>
      </w:r>
      <w:r>
        <w:rPr>
          <w:spacing w:val="-67"/>
        </w:rPr>
      </w:r>
      <w:r>
        <w:rPr/>
        <w:t>行使自身权力。</w:t>
      </w:r>
    </w:p>
    <w:p>
      <w:pPr>
        <w:pStyle w:val="BodyText"/>
        <w:spacing w:line="316" w:lineRule="auto" w:before="19"/>
        <w:ind w:left="513" w:right="986"/>
        <w:jc w:val="left"/>
      </w:pPr>
      <w:r>
        <w:rPr/>
        <w:t>（三）关于董事和董事会 </w:t>
      </w:r>
      <w:r>
        <w:rPr>
          <w:spacing w:val="-7"/>
        </w:rPr>
        <w:t>公司董事会设董事</w:t>
      </w:r>
      <w:r>
        <w:rPr>
          <w:rFonts w:ascii="Times New Roman" w:hAnsi="Times New Roman" w:cs="Times New Roman" w:eastAsia="Times New Roman" w:hint="default"/>
          <w:spacing w:val="-7"/>
        </w:rPr>
        <w:t>9</w:t>
      </w:r>
      <w:r>
        <w:rPr>
          <w:spacing w:val="-7"/>
        </w:rPr>
        <w:t>名，其中独立董事</w:t>
      </w:r>
      <w:r>
        <w:rPr>
          <w:rFonts w:ascii="Times New Roman" w:hAnsi="Times New Roman" w:cs="Times New Roman" w:eastAsia="Times New Roman" w:hint="default"/>
          <w:spacing w:val="-7"/>
        </w:rPr>
        <w:t>3</w:t>
      </w:r>
      <w:r>
        <w:rPr>
          <w:spacing w:val="-7"/>
        </w:rPr>
        <w:t>名。报告期内，公司董事会严格按照《董事会议事规则》、《独立董事工作制度》、</w:t>
      </w:r>
    </w:p>
    <w:p>
      <w:pPr>
        <w:pStyle w:val="BodyText"/>
        <w:spacing w:line="309" w:lineRule="auto" w:before="0"/>
        <w:ind w:right="1132"/>
        <w:jc w:val="both"/>
      </w:pPr>
      <w:r>
        <w:rPr>
          <w:spacing w:val="-2"/>
        </w:rPr>
        <w:t>《规范运作指引》等开展工作，出席董事会和股东大会，勤勉尽责地履行职责和义务，同时积极参加相关培训，熟悉相关法</w:t>
      </w:r>
      <w:r>
        <w:rPr>
          <w:spacing w:val="-67"/>
        </w:rPr>
        <w:t> </w:t>
      </w:r>
      <w:r>
        <w:rPr>
          <w:spacing w:val="-67"/>
        </w:rPr>
      </w:r>
      <w:r>
        <w:rPr/>
        <w:t>律法规。</w:t>
      </w:r>
      <w:r>
        <w:rPr>
          <w:rFonts w:ascii="Times New Roman" w:hAnsi="Times New Roman" w:cs="Times New Roman" w:eastAsia="Times New Roman" w:hint="default"/>
        </w:rPr>
        <w:t>2019</w:t>
      </w:r>
      <w:r>
        <w:rPr/>
        <w:t>年公司董事会共召开了</w:t>
      </w:r>
      <w:r>
        <w:rPr>
          <w:rFonts w:ascii="Times New Roman" w:hAnsi="Times New Roman" w:cs="Times New Roman" w:eastAsia="Times New Roman" w:hint="default"/>
        </w:rPr>
        <w:t>7</w:t>
      </w:r>
      <w:r>
        <w:rPr/>
        <w:t>次会议。董事会下设有审计委员会、薪酬与考核委员会、战略委员会、提名委员会四</w:t>
      </w:r>
      <w:r>
        <w:rPr>
          <w:spacing w:val="-85"/>
        </w:rPr>
        <w:t> </w:t>
      </w:r>
      <w:r>
        <w:rPr>
          <w:spacing w:val="-85"/>
        </w:rPr>
      </w:r>
      <w:r>
        <w:rPr/>
        <w:t>个专业委员会，各专委会按照各自工作细则开展工作，为董事会的决策提供了科学专业的意见和参考。</w:t>
      </w:r>
    </w:p>
    <w:p>
      <w:pPr>
        <w:pStyle w:val="BodyText"/>
        <w:spacing w:line="316" w:lineRule="auto" w:before="24"/>
        <w:ind w:left="513" w:right="986"/>
        <w:jc w:val="left"/>
      </w:pPr>
      <w:r>
        <w:rPr/>
        <w:t>（四）关于监事和监事会 </w:t>
      </w:r>
      <w:r>
        <w:rPr>
          <w:spacing w:val="-2"/>
        </w:rPr>
        <w:t>公司监事会由</w:t>
      </w:r>
      <w:r>
        <w:rPr>
          <w:rFonts w:ascii="Times New Roman" w:hAnsi="Times New Roman" w:cs="Times New Roman" w:eastAsia="Times New Roman" w:hint="default"/>
          <w:spacing w:val="-2"/>
        </w:rPr>
        <w:t>3</w:t>
      </w:r>
      <w:r>
        <w:rPr>
          <w:spacing w:val="-2"/>
        </w:rPr>
        <w:t>名成员组成，其中职工代表监事</w:t>
      </w:r>
      <w:r>
        <w:rPr>
          <w:rFonts w:ascii="Times New Roman" w:hAnsi="Times New Roman" w:cs="Times New Roman" w:eastAsia="Times New Roman" w:hint="default"/>
          <w:spacing w:val="-2"/>
        </w:rPr>
        <w:t>1</w:t>
      </w:r>
      <w:r>
        <w:rPr>
          <w:spacing w:val="-2"/>
        </w:rPr>
        <w:t>名。报告期内，公司监事会严格按照《监事会议事规则》等制度召开会</w:t>
      </w:r>
    </w:p>
    <w:p>
      <w:pPr>
        <w:pStyle w:val="BodyText"/>
        <w:spacing w:line="316" w:lineRule="auto" w:before="0"/>
        <w:ind w:right="1133"/>
        <w:jc w:val="both"/>
      </w:pPr>
      <w:r>
        <w:rPr>
          <w:spacing w:val="-2"/>
        </w:rPr>
        <w:t>议，从保护股东利益出发，认真履行自己的职责，检查、监督公司内控制度运行情况，对公司财务情况以及公司董事、高级</w:t>
      </w:r>
      <w:r>
        <w:rPr>
          <w:spacing w:val="-68"/>
        </w:rPr>
        <w:t> </w:t>
      </w:r>
      <w:r>
        <w:rPr>
          <w:spacing w:val="-68"/>
        </w:rPr>
      </w:r>
      <w:r>
        <w:rPr/>
        <w:t>管理人员履行职责的合法性、合规性进行监督，忠实、勤勉地维护公司及股东的合法权益。</w:t>
      </w:r>
      <w:r>
        <w:rPr>
          <w:rFonts w:ascii="Times New Roman" w:hAnsi="Times New Roman" w:cs="Times New Roman" w:eastAsia="Times New Roman" w:hint="default"/>
        </w:rPr>
        <w:t>2019</w:t>
      </w:r>
      <w:r>
        <w:rPr/>
        <w:t>年监事会共召开</w:t>
      </w:r>
      <w:r>
        <w:rPr>
          <w:rFonts w:ascii="Times New Roman" w:hAnsi="Times New Roman" w:cs="Times New Roman" w:eastAsia="Times New Roman" w:hint="default"/>
        </w:rPr>
        <w:t>5</w:t>
      </w:r>
      <w:r>
        <w:rPr/>
        <w:t>次会议。</w:t>
      </w:r>
    </w:p>
    <w:p>
      <w:pPr>
        <w:pStyle w:val="BodyText"/>
        <w:spacing w:line="316" w:lineRule="auto" w:before="0"/>
        <w:ind w:left="441" w:right="986" w:firstLine="72"/>
        <w:jc w:val="left"/>
      </w:pPr>
      <w:r>
        <w:rPr/>
        <w:t>（五）关于绩效评价与激励约束机制 </w:t>
      </w:r>
      <w:r>
        <w:rPr>
          <w:spacing w:val="-1"/>
        </w:rPr>
        <w:t>公司已建立健全公正、透明的绩效评价标准和激励约束机制，高级管理人员的薪酬与其业绩挂钩，高级管理人员的聘任</w:t>
      </w:r>
    </w:p>
    <w:p>
      <w:pPr>
        <w:pStyle w:val="BodyText"/>
        <w:spacing w:line="316" w:lineRule="auto" w:before="19"/>
        <w:ind w:right="1130"/>
        <w:jc w:val="both"/>
      </w:pPr>
      <w:r>
        <w:rPr>
          <w:spacing w:val="-2"/>
        </w:rPr>
        <w:t>公开、透明，符合有关法律、法规的规定。公司董事会下设薪酬与考核委员会，负责对公司的董事、监事、高级管理人员进</w:t>
      </w:r>
      <w:r>
        <w:rPr>
          <w:spacing w:val="-73"/>
        </w:rPr>
        <w:t> </w:t>
      </w:r>
      <w:r>
        <w:rPr>
          <w:spacing w:val="-73"/>
        </w:rPr>
      </w:r>
      <w:r>
        <w:rPr>
          <w:spacing w:val="-2"/>
        </w:rPr>
        <w:t>行绩效考核，制定高级管理人员的薪酬方案，并监督薪酬制度执行情况，公司现有的考核及激励约束机制符合公司的发展情</w:t>
      </w:r>
      <w:r>
        <w:rPr>
          <w:spacing w:val="-63"/>
        </w:rPr>
        <w:t> </w:t>
      </w:r>
      <w:r>
        <w:rPr>
          <w:spacing w:val="-63"/>
        </w:rPr>
      </w:r>
      <w:r>
        <w:rPr/>
        <w:t>况。</w:t>
      </w:r>
    </w:p>
    <w:p>
      <w:pPr>
        <w:pStyle w:val="BodyText"/>
        <w:spacing w:line="316" w:lineRule="auto" w:before="19"/>
        <w:ind w:left="441" w:right="1031" w:firstLine="72"/>
        <w:jc w:val="left"/>
      </w:pPr>
      <w:r>
        <w:rPr/>
        <w:t>（六）关于信息披露与透明度 </w:t>
      </w:r>
      <w:r>
        <w:rPr>
          <w:spacing w:val="-2"/>
        </w:rPr>
        <w:t>公司严格按照有关法律法规以及《信息披露事务管理制度》等的要求，真实、准确、及时、公平、完整地披露相关信息，</w:t>
      </w:r>
    </w:p>
    <w:p>
      <w:pPr>
        <w:pStyle w:val="BodyText"/>
        <w:spacing w:line="316" w:lineRule="auto" w:before="19"/>
        <w:ind w:right="986"/>
        <w:jc w:val="left"/>
      </w:pPr>
      <w:r>
        <w:rPr>
          <w:spacing w:val="-2"/>
        </w:rPr>
        <w:t>并指定公司董事会秘书负责信息披露工作，协调公司与投资者的关系，接待投资者来访，回答投资者咨询，向投资者提供公</w:t>
      </w:r>
      <w:r>
        <w:rPr>
          <w:spacing w:val="-63"/>
        </w:rPr>
        <w:t> </w:t>
      </w:r>
      <w:r>
        <w:rPr>
          <w:spacing w:val="-63"/>
        </w:rPr>
      </w:r>
      <w:r>
        <w:rPr>
          <w:spacing w:val="-2"/>
        </w:rPr>
        <w:t>司已披露的资料；并指定《证券时报》、《证券日报》和巨潮资讯网为公司信息披露的指定报纸和网站，确保公司所有股东</w:t>
      </w:r>
      <w:r>
        <w:rPr>
          <w:spacing w:val="-69"/>
        </w:rPr>
        <w:t> </w:t>
      </w:r>
      <w:r>
        <w:rPr>
          <w:spacing w:val="-69"/>
        </w:rPr>
      </w:r>
      <w:r>
        <w:rPr>
          <w:spacing w:val="-4"/>
        </w:rPr>
        <w:t>能够以平等的机会获得信息。同时，还通过向社会公开公司网站、咨询专用电话、电子信箱等各种形式，加强与投资者沟通，</w:t>
      </w:r>
      <w:r>
        <w:rPr>
          <w:spacing w:val="-43"/>
        </w:rPr>
        <w:t> </w:t>
      </w:r>
      <w:r>
        <w:rPr>
          <w:spacing w:val="-43"/>
        </w:rPr>
      </w:r>
      <w:r>
        <w:rPr/>
        <w:t>建立良好的投资关系互动。</w:t>
      </w:r>
    </w:p>
    <w:p>
      <w:pPr>
        <w:pStyle w:val="BodyText"/>
        <w:spacing w:line="316" w:lineRule="auto" w:before="19"/>
        <w:ind w:left="441" w:right="1105" w:firstLine="72"/>
        <w:jc w:val="left"/>
      </w:pPr>
      <w:r>
        <w:rPr/>
        <w:t>（七）关于相关利益者情况 公司充分尊重和维护相关利益者的合法权益，认真履行社会责任，实现股东、员工、政府部门等各方利益的协调平衡，</w:t>
      </w:r>
    </w:p>
    <w:p>
      <w:pPr>
        <w:pStyle w:val="BodyText"/>
        <w:spacing w:line="240" w:lineRule="auto" w:before="19"/>
        <w:ind w:right="986"/>
        <w:jc w:val="left"/>
      </w:pPr>
      <w:r>
        <w:rPr/>
        <w:t>公司与客户和供应商建立了长期良好、平等互利的合作关系、各方合力共同推动公司持续、健康地发展。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986"/>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86"/>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86" w:firstLine="360"/>
        <w:jc w:val="left"/>
      </w:pPr>
      <w:r>
        <w:rPr>
          <w:spacing w:val="-2"/>
        </w:rPr>
        <w:t>公司拥有独立完整的采购、生产、销售、研发系统，具备自主经营能力，在业务、资产、人员、机构和财务等方面与控</w:t>
      </w:r>
      <w:r>
        <w:rPr/>
        <w:t> 股股东及实际控制人相互独立。</w:t>
      </w:r>
    </w:p>
    <w:p>
      <w:pPr>
        <w:pStyle w:val="BodyText"/>
        <w:spacing w:line="300" w:lineRule="auto" w:before="19"/>
        <w:ind w:left="525" w:right="1201" w:firstLine="48"/>
        <w:jc w:val="left"/>
      </w:pPr>
      <w:r>
        <w:rPr>
          <w:rFonts w:ascii="Times New Roman" w:hAnsi="Times New Roman" w:cs="Times New Roman" w:eastAsia="Times New Roman" w:hint="default"/>
        </w:rPr>
        <w:t>1</w:t>
      </w:r>
      <w:r>
        <w:rPr/>
        <w:t>、人员独立 公司总经理、副总经理、财务负责人、董事会秘书等高级管理人员均在公司工作并领取薪酬，未在控股股东单位担任</w:t>
      </w:r>
    </w:p>
    <w:p>
      <w:pPr>
        <w:pStyle w:val="BodyText"/>
        <w:spacing w:line="309" w:lineRule="auto" w:before="31"/>
        <w:ind w:left="525" w:right="986" w:hanging="373"/>
        <w:jc w:val="left"/>
      </w:pPr>
      <w:r>
        <w:rPr>
          <w:spacing w:val="-4"/>
        </w:rPr>
        <w:t>任何职务和领取报酬；公司财务人员没有在控股股东单位兼职。公司已建立独立的劳动人事、社会保障体系及工资管理体系。</w:t>
      </w:r>
      <w:r>
        <w:rPr>
          <w:spacing w:val="-44"/>
        </w:rPr>
        <w:t> </w:t>
      </w:r>
      <w:r>
        <w:rPr>
          <w:spacing w:val="-44"/>
        </w:rPr>
      </w:r>
      <w:r>
        <w:rPr>
          <w:rFonts w:ascii="Times New Roman" w:hAnsi="Times New Roman" w:cs="Times New Roman" w:eastAsia="Times New Roman" w:hint="default"/>
        </w:rPr>
        <w:t>2</w:t>
      </w:r>
      <w:r>
        <w:rPr/>
        <w:t>、资产独立 公司具备与生产经营有关的生产系统、辅助生产系统和配套设施，合法拥有与生产经营有关的土地、厂房、机器设备</w:t>
      </w:r>
    </w:p>
    <w:p>
      <w:pPr>
        <w:pStyle w:val="BodyText"/>
        <w:spacing w:line="316" w:lineRule="auto" w:before="24"/>
        <w:ind w:right="986"/>
        <w:jc w:val="left"/>
      </w:pPr>
      <w:r>
        <w:rPr>
          <w:spacing w:val="-2"/>
        </w:rPr>
        <w:t>以及商标、专利、非专利技术的所有权和使用权，具有独立的材料采购和产品销售系统，与公司股东和其他关联方之间资产</w:t>
      </w:r>
      <w:r>
        <w:rPr>
          <w:spacing w:val="-64"/>
        </w:rPr>
        <w:t> </w:t>
      </w:r>
      <w:r>
        <w:rPr>
          <w:spacing w:val="-64"/>
        </w:rPr>
      </w:r>
      <w:r>
        <w:rPr/>
        <w:t>相互独立。</w:t>
      </w:r>
    </w:p>
    <w:p>
      <w:pPr>
        <w:pStyle w:val="BodyText"/>
        <w:spacing w:line="300" w:lineRule="auto" w:before="19"/>
        <w:ind w:left="525" w:right="1201" w:firstLine="48"/>
        <w:jc w:val="left"/>
      </w:pPr>
      <w:r>
        <w:rPr>
          <w:rFonts w:ascii="Times New Roman" w:hAnsi="Times New Roman" w:cs="Times New Roman" w:eastAsia="Times New Roman" w:hint="default"/>
        </w:rPr>
        <w:t>3</w:t>
      </w:r>
      <w:r>
        <w:rPr/>
        <w:t>、财务独立 公司有独立的财务部门，建立了独立的会计核算体系和财务管理制度；配备了专职的财务会计人员，独立进行会计核</w:t>
      </w:r>
    </w:p>
    <w:p>
      <w:pPr>
        <w:pStyle w:val="BodyText"/>
        <w:spacing w:line="240" w:lineRule="auto" w:before="31"/>
        <w:ind w:right="986"/>
        <w:jc w:val="left"/>
      </w:pPr>
      <w:r>
        <w:rPr/>
        <w:t>算和财务决策。公司开设有独立的银行帐号，依法独立进行纳税申报和履行纳税义务。</w:t>
      </w:r>
    </w:p>
    <w:p>
      <w:pPr>
        <w:pStyle w:val="BodyText"/>
        <w:spacing w:line="300" w:lineRule="auto" w:before="76"/>
        <w:ind w:left="525" w:right="1201" w:firstLine="48"/>
        <w:jc w:val="left"/>
      </w:pPr>
      <w:r>
        <w:rPr>
          <w:rFonts w:ascii="Times New Roman" w:hAnsi="Times New Roman" w:cs="Times New Roman" w:eastAsia="Times New Roman" w:hint="default"/>
        </w:rPr>
        <w:t>4</w:t>
      </w:r>
      <w:r>
        <w:rPr/>
        <w:t>、机构独立 公司不断完善以股东大会、董事会、监事会、经理层为架构的法人治理结构，严格按照《公司法》、《公司章程》等</w:t>
      </w:r>
    </w:p>
    <w:p>
      <w:pPr>
        <w:pStyle w:val="BodyText"/>
        <w:spacing w:line="316" w:lineRule="auto" w:before="31"/>
        <w:ind w:right="986"/>
        <w:jc w:val="left"/>
      </w:pPr>
      <w:r>
        <w:rPr>
          <w:spacing w:val="-2"/>
        </w:rPr>
        <w:t>的规定履行各自的职责；建立了适应自身发展需要的组织结构，并根据企业发展情况调整优化，制定了较为完善的岗位职责</w:t>
      </w:r>
      <w:r>
        <w:rPr>
          <w:spacing w:val="-63"/>
        </w:rPr>
        <w:t> </w:t>
      </w:r>
      <w:r>
        <w:rPr>
          <w:spacing w:val="-63"/>
        </w:rPr>
      </w:r>
      <w:r>
        <w:rPr/>
        <w:t>和管理制度，各部门按照规定的职责开展工作，相互独立、协作和制约。</w:t>
      </w:r>
    </w:p>
    <w:p>
      <w:pPr>
        <w:pStyle w:val="BodyText"/>
        <w:spacing w:line="300" w:lineRule="auto" w:before="19"/>
        <w:ind w:left="441" w:right="986" w:firstLine="132"/>
        <w:jc w:val="left"/>
      </w:pPr>
      <w:r>
        <w:rPr>
          <w:rFonts w:ascii="Times New Roman" w:hAnsi="Times New Roman" w:cs="Times New Roman" w:eastAsia="Times New Roman" w:hint="default"/>
        </w:rPr>
        <w:t>5</w:t>
      </w:r>
      <w:r>
        <w:rPr/>
        <w:t>、业务独立 </w:t>
      </w:r>
      <w:r>
        <w:rPr>
          <w:spacing w:val="-1"/>
        </w:rPr>
        <w:t>公司具备独立、完整的产供销系统，拥有独立的决策和执行机构，拥有独立的业务系统；独立地对外签署合同，独立采</w:t>
      </w:r>
    </w:p>
    <w:p>
      <w:pPr>
        <w:pStyle w:val="BodyText"/>
        <w:spacing w:line="240" w:lineRule="auto" w:before="31"/>
        <w:ind w:right="986"/>
        <w:jc w:val="left"/>
      </w:pPr>
      <w:r>
        <w:rPr>
          <w:spacing w:val="-4"/>
        </w:rPr>
        <w:t>购、生产并销售公司产品；具有面向市场的自主经营能力；公司股东及其控制的其他企业没有从事与公司相同或相近的业务。</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042</w:t>
            </w:r>
          </w:p>
        </w:tc>
      </w:tr>
    </w:tbl>
    <w:p>
      <w:pPr>
        <w:spacing w:line="240" w:lineRule="auto" w:before="3"/>
        <w:rPr>
          <w:rFonts w:ascii="宋体" w:hAnsi="宋体" w:cs="宋体" w:eastAsia="宋体" w:hint="default"/>
          <w:b/>
          <w:bCs/>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6"/>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131" w:firstLine="288"/>
        <w:jc w:val="both"/>
      </w:pPr>
      <w:r>
        <w:rPr>
          <w:spacing w:val="-1"/>
        </w:rPr>
        <w:t>公司独立董事勤勉尽责，严格按照有关法律、法规、规范性文件的规定和《公司章程》、《独立董事工作制度》的要求</w:t>
      </w:r>
      <w:r>
        <w:rPr/>
        <w:t> </w:t>
      </w:r>
      <w:r>
        <w:rPr>
          <w:spacing w:val="-2"/>
        </w:rPr>
        <w:t>履行独立董事的职责，认真行使公司所赋予的权利，及时了解公司的生产经营信息，全面关注公司的发展状况，利用自身的</w:t>
      </w:r>
      <w:r>
        <w:rPr>
          <w:spacing w:val="-65"/>
        </w:rPr>
        <w:t> </w:t>
      </w:r>
      <w:r>
        <w:rPr>
          <w:spacing w:val="-65"/>
        </w:rPr>
      </w:r>
      <w:r>
        <w:rPr>
          <w:spacing w:val="-2"/>
        </w:rPr>
        <w:t>专业优势，对公司重大资产重组、内部控制建设、管理体系建设、重大决策等方面提出了合理化的意见和建议，对公司财务</w:t>
      </w:r>
      <w:r>
        <w:rPr>
          <w:spacing w:val="-67"/>
        </w:rPr>
        <w:t> </w:t>
      </w:r>
      <w:r>
        <w:rPr>
          <w:spacing w:val="-67"/>
        </w:rPr>
      </w:r>
      <w:r>
        <w:rPr/>
        <w:t>及生产经营进行有效的监督，提高公司决策的科学性，维护公司和全体股东的合法权益发挥了应有的作用。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360"/>
        <w:jc w:val="both"/>
      </w:pPr>
      <w:r>
        <w:rPr>
          <w:spacing w:val="-2"/>
        </w:rPr>
        <w:t>公司董事会下设审计委员会、提名委员会、薪酬与考核委员会、战略委员会。各专门委员会依据专门委员会议事规则的</w:t>
      </w:r>
      <w:r>
        <w:rPr/>
        <w:t> 职权范围开展工作。</w:t>
      </w:r>
    </w:p>
    <w:p>
      <w:pPr>
        <w:pStyle w:val="BodyText"/>
        <w:spacing w:line="300" w:lineRule="auto" w:before="19"/>
        <w:ind w:left="513" w:right="1033"/>
        <w:jc w:val="left"/>
      </w:pPr>
      <w:r>
        <w:rPr>
          <w:rFonts w:ascii="Times New Roman" w:hAnsi="Times New Roman" w:cs="Times New Roman" w:eastAsia="Times New Roman" w:hint="default"/>
        </w:rPr>
        <w:t>1</w:t>
      </w:r>
      <w:r>
        <w:rPr/>
        <w:t>、董事会审计委员会履职情况 公司董事会审计委员会本着勤勉尽责的原则，充分发挥监督作用，定期了解公司财务状况和经营情况，认真召开会议，</w:t>
      </w:r>
    </w:p>
    <w:p>
      <w:pPr>
        <w:pStyle w:val="BodyText"/>
        <w:spacing w:line="316" w:lineRule="auto" w:before="32"/>
        <w:ind w:right="1129"/>
        <w:jc w:val="both"/>
      </w:pPr>
      <w:r>
        <w:rPr>
          <w:spacing w:val="-2"/>
        </w:rPr>
        <w:t>并开展了对公司内部控制的监督检查和对年度财务审计情况的审查等重要工作。在日常工作中，督促和指导公司内审部门对</w:t>
      </w:r>
      <w:r>
        <w:rPr>
          <w:spacing w:val="-64"/>
        </w:rPr>
        <w:t> </w:t>
      </w:r>
      <w:r>
        <w:rPr>
          <w:spacing w:val="-64"/>
        </w:rPr>
      </w:r>
      <w:r>
        <w:rPr>
          <w:spacing w:val="-2"/>
        </w:rPr>
        <w:t>公司财务管理运行情况进行定期和不定期的检查和评估，并在年审注册会计师进场后，积极与年审注册会计师进行沟通，了</w:t>
      </w:r>
      <w:r>
        <w:rPr>
          <w:spacing w:val="-62"/>
        </w:rPr>
        <w:t> </w:t>
      </w:r>
      <w:r>
        <w:rPr>
          <w:spacing w:val="-62"/>
        </w:rPr>
      </w:r>
      <w:r>
        <w:rPr>
          <w:spacing w:val="-2"/>
        </w:rPr>
        <w:t>解审计工作进展情况和会计师关注的问题，及时反馈给公司董事会，及时解决，并督促其在约定时间内提交审计报告，确保</w:t>
      </w:r>
      <w:r>
        <w:rPr>
          <w:spacing w:val="-64"/>
        </w:rPr>
        <w:t> </w:t>
      </w:r>
      <w:r>
        <w:rPr>
          <w:spacing w:val="-64"/>
        </w:rPr>
      </w:r>
      <w:r>
        <w:rPr/>
        <w:t>公司年度报告及审计工作的顺利完成。</w:t>
      </w:r>
    </w:p>
    <w:p>
      <w:pPr>
        <w:pStyle w:val="BodyText"/>
        <w:spacing w:line="300" w:lineRule="auto" w:before="19"/>
        <w:ind w:left="513" w:right="986"/>
        <w:jc w:val="left"/>
      </w:pPr>
      <w:r>
        <w:rPr>
          <w:rFonts w:ascii="Times New Roman" w:hAnsi="Times New Roman" w:cs="Times New Roman" w:eastAsia="Times New Roman" w:hint="default"/>
        </w:rPr>
        <w:t>2</w:t>
      </w:r>
      <w:r>
        <w:rPr/>
        <w:t>、董事会提名委员会履职情况 </w:t>
      </w:r>
      <w:r>
        <w:rPr>
          <w:spacing w:val="-2"/>
        </w:rPr>
        <w:t>报告期内，公司董事会提名委员会严格按照相关法律法规及《公司章程》、《董事会提名委员会工作细则》的有关规定</w:t>
      </w:r>
    </w:p>
    <w:p>
      <w:pPr>
        <w:pStyle w:val="BodyText"/>
        <w:spacing w:line="240" w:lineRule="auto" w:before="31"/>
        <w:ind w:right="0"/>
        <w:jc w:val="both"/>
      </w:pPr>
      <w:r>
        <w:rPr/>
        <w:t>积极开展相关工作，勤勉尽责地履行职责。结合公司实际情况，研究董事、高级管理人员的选择标准和程序，充分了解被提</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044"/>
        <w:jc w:val="both"/>
      </w:pPr>
      <w:r>
        <w:rPr/>
        <w:t>名人身份、学历、职业、专业素养等情况，并向董事会提出建议，确保被提名人具备担任公司高级管理人员的资格和能力。 </w:t>
      </w:r>
      <w:r>
        <w:rPr>
          <w:spacing w:val="-4"/>
        </w:rPr>
        <w:t>对完善公司董事、高级管理人员选聘标准及选聘程序提出了合理化建议，积极推动了公司持续快速的发展和核心团队的建设。</w:t>
      </w:r>
    </w:p>
    <w:p>
      <w:pPr>
        <w:pStyle w:val="BodyText"/>
        <w:spacing w:line="300" w:lineRule="auto" w:before="17"/>
        <w:ind w:left="513" w:right="986"/>
        <w:jc w:val="left"/>
      </w:pPr>
      <w:r>
        <w:rPr>
          <w:rFonts w:ascii="Times New Roman" w:hAnsi="Times New Roman" w:cs="Times New Roman" w:eastAsia="Times New Roman" w:hint="default"/>
        </w:rPr>
        <w:t>3</w:t>
      </w:r>
      <w:r>
        <w:rPr/>
        <w:t>、董事会薪酬与考核委员会履职情况 </w:t>
      </w:r>
      <w:r>
        <w:rPr>
          <w:spacing w:val="-4"/>
        </w:rPr>
        <w:t>报告期内，公司董事会薪酬与考核委员会严格按照相关法律法规及《公司章程》、《董事会薪酬与考核委员会工作细则》</w:t>
      </w:r>
    </w:p>
    <w:p>
      <w:pPr>
        <w:pStyle w:val="BodyText"/>
        <w:spacing w:line="316" w:lineRule="auto" w:before="31"/>
        <w:ind w:right="1130"/>
        <w:jc w:val="both"/>
      </w:pPr>
      <w:r>
        <w:rPr>
          <w:spacing w:val="-2"/>
        </w:rPr>
        <w:t>的有关规定积极开展相关工作，勤勉尽责地履行职责。并对报告期内在公司受薪的董事、高级管理人员的薪酬情况和主要构</w:t>
      </w:r>
      <w:r>
        <w:rPr>
          <w:spacing w:val="-66"/>
        </w:rPr>
        <w:t> </w:t>
      </w:r>
      <w:r>
        <w:rPr>
          <w:spacing w:val="-66"/>
        </w:rPr>
      </w:r>
      <w:r>
        <w:rPr>
          <w:spacing w:val="-2"/>
        </w:rPr>
        <w:t>成内容进行了审核，认为其符合相关法规及公司薪酬考核体系的规定。同时，为保障公司董事、监事及高级管理人员依法行</w:t>
      </w:r>
      <w:r>
        <w:rPr>
          <w:spacing w:val="-64"/>
        </w:rPr>
        <w:t> </w:t>
      </w:r>
      <w:r>
        <w:rPr>
          <w:spacing w:val="-64"/>
        </w:rPr>
      </w:r>
      <w:r>
        <w:rPr>
          <w:spacing w:val="-2"/>
        </w:rPr>
        <w:t>使权力，健全公司薪酬管理体系，建立科学有效的激励与约束机制，推动公司规范化治理，切实履行了薪酬与考核委员会职</w:t>
      </w:r>
      <w:r>
        <w:rPr>
          <w:spacing w:val="-64"/>
        </w:rPr>
        <w:t> </w:t>
      </w:r>
      <w:r>
        <w:rPr>
          <w:spacing w:val="-64"/>
        </w:rPr>
      </w:r>
      <w:r>
        <w:rPr/>
        <w:t>责。</w:t>
      </w:r>
    </w:p>
    <w:p>
      <w:pPr>
        <w:pStyle w:val="BodyText"/>
        <w:spacing w:line="300" w:lineRule="auto" w:before="19"/>
        <w:ind w:left="513" w:right="986"/>
        <w:jc w:val="left"/>
      </w:pPr>
      <w:r>
        <w:rPr>
          <w:rFonts w:ascii="Times New Roman" w:hAnsi="Times New Roman" w:cs="Times New Roman" w:eastAsia="Times New Roman" w:hint="default"/>
        </w:rPr>
        <w:t>4</w:t>
      </w:r>
      <w:r>
        <w:rPr/>
        <w:t>、董事会战略委员会履职情况 </w:t>
      </w:r>
      <w:r>
        <w:rPr>
          <w:spacing w:val="-2"/>
        </w:rPr>
        <w:t>报告期内，公司董事会战略委员会严格按照相关法律法规及《公司章程》、《董事会战略委员会工作细则》的有关规定</w:t>
      </w:r>
    </w:p>
    <w:p>
      <w:pPr>
        <w:pStyle w:val="BodyText"/>
        <w:spacing w:line="316" w:lineRule="auto" w:before="31"/>
        <w:ind w:right="1131"/>
        <w:jc w:val="both"/>
      </w:pPr>
      <w:r>
        <w:rPr>
          <w:spacing w:val="-2"/>
        </w:rPr>
        <w:t>积极开展相关工作，勤勉尽责地履行职责。报告期内，战略委员会深入了解公司的经营情况及发展状况，对公司的战略规划</w:t>
      </w:r>
      <w:r>
        <w:rPr>
          <w:spacing w:val="-64"/>
        </w:rPr>
        <w:t> </w:t>
      </w:r>
      <w:r>
        <w:rPr>
          <w:spacing w:val="-64"/>
        </w:rPr>
      </w:r>
      <w:r>
        <w:rPr>
          <w:spacing w:val="-2"/>
        </w:rPr>
        <w:t>积极与管理层进行沟通，为公司的健康、快速发展出谋划策，对公司的对外投资项目提出合理化的建议，促进了公司董事会</w:t>
      </w:r>
      <w:r>
        <w:rPr>
          <w:spacing w:val="-65"/>
        </w:rPr>
        <w:t> </w:t>
      </w:r>
      <w:r>
        <w:rPr>
          <w:spacing w:val="-65"/>
        </w:rPr>
      </w:r>
      <w:r>
        <w:rPr/>
        <w:t>决策的科学性、高效性。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034" w:firstLine="288"/>
        <w:jc w:val="left"/>
      </w:pPr>
      <w:r>
        <w:rPr/>
        <w:t>公司建立了高级管理人员的薪酬与公司业绩挂钩的绩效考核与激励约束机制。公司高级管理人员均由董事会聘任，直接 对董事会负责，承担董事会下达的经营指标。董事会下设的薪酬与考核委员会负责对高级管理人员的工作能力、履职情况、 </w:t>
      </w:r>
      <w:r>
        <w:rPr>
          <w:spacing w:val="-5"/>
        </w:rPr>
        <w:t>责任目标完成情况等进行年终考评，制定薪酬方案并报董事会审批。报告期内，高级管理人员能够严格按照《公司法》、《公</w:t>
      </w:r>
      <w:r>
        <w:rPr>
          <w:spacing w:val="-81"/>
        </w:rPr>
        <w:t> </w:t>
      </w:r>
      <w:r>
        <w:rPr>
          <w:spacing w:val="-81"/>
        </w:rPr>
      </w:r>
      <w:r>
        <w:rPr>
          <w:spacing w:val="-2"/>
        </w:rPr>
        <w:t>司章程》及国家有关法律法规认真履行职责，积极落实公司股东大会和董事会相关决议，不断加强内部管理，积极完成年度</w:t>
      </w:r>
      <w:r>
        <w:rPr>
          <w:spacing w:val="-64"/>
        </w:rPr>
        <w:t> </w:t>
      </w:r>
      <w:r>
        <w:rPr>
          <w:spacing w:val="-64"/>
        </w:rPr>
      </w:r>
      <w:r>
        <w:rPr/>
        <w:t>的各项任务。高级管理人员薪酬方案严格执行了公司薪酬管理制度，薪酬水平与公司的经营业绩相匹配。</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ind w:left="0" w:right="1139"/>
        <w:jc w:val="right"/>
      </w:pPr>
      <w:r>
        <w:rPr/>
        <w:pict>
          <v:shape style="position:absolute;margin-left:56.400002pt;margin-top:-220.378265pt;width:479.3pt;height:457.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17"/>
                          <w:jc w:val="both"/>
                          <w:rPr>
                            <w:rFonts w:ascii="宋体" w:hAnsi="宋体" w:cs="宋体" w:eastAsia="宋体" w:hint="default"/>
                            <w:sz w:val="18"/>
                            <w:szCs w:val="18"/>
                          </w:rPr>
                        </w:pPr>
                        <w:r>
                          <w:rPr>
                            <w:rFonts w:ascii="宋体" w:hAnsi="宋体" w:cs="宋体" w:eastAsia="宋体" w:hint="default"/>
                            <w:sz w:val="18"/>
                            <w:szCs w:val="18"/>
                          </w:rPr>
                          <w:t>重大缺陷认定标准：</w:t>
                        </w:r>
                        <w:r>
                          <w:rPr>
                            <w:rFonts w:ascii="宋体" w:hAnsi="宋体" w:cs="宋体" w:eastAsia="宋体" w:hint="default"/>
                            <w:spacing w:val="-21"/>
                            <w:sz w:val="18"/>
                            <w:szCs w:val="18"/>
                          </w:rPr>
                          <w:t> </w:t>
                        </w:r>
                        <w:r>
                          <w:rPr>
                            <w:rFonts w:ascii="宋体" w:hAnsi="宋体" w:cs="宋体" w:eastAsia="宋体" w:hint="default"/>
                            <w:spacing w:val="-5"/>
                            <w:sz w:val="18"/>
                            <w:szCs w:val="18"/>
                          </w:rPr>
                          <w:t>①董事、监事、高级</w:t>
                        </w:r>
                        <w:r>
                          <w:rPr>
                            <w:rFonts w:ascii="宋体" w:hAnsi="宋体" w:cs="宋体" w:eastAsia="宋体" w:hint="default"/>
                            <w:sz w:val="18"/>
                            <w:szCs w:val="18"/>
                          </w:rPr>
                          <w:t> 管理人员舞弊。</w:t>
                        </w:r>
                        <w:r>
                          <w:rPr>
                            <w:rFonts w:ascii="宋体" w:hAnsi="宋体" w:cs="宋体" w:eastAsia="宋体" w:hint="default"/>
                            <w:spacing w:val="-64"/>
                            <w:sz w:val="18"/>
                            <w:szCs w:val="18"/>
                          </w:rPr>
                          <w:t> </w:t>
                        </w:r>
                        <w:r>
                          <w:rPr>
                            <w:rFonts w:ascii="宋体" w:hAnsi="宋体" w:cs="宋体" w:eastAsia="宋体" w:hint="default"/>
                            <w:sz w:val="18"/>
                            <w:szCs w:val="18"/>
                          </w:rPr>
                          <w:t>②对已经公告的财务报告</w:t>
                        </w:r>
                        <w:r>
                          <w:rPr>
                            <w:rFonts w:ascii="宋体" w:hAnsi="宋体" w:cs="宋体" w:eastAsia="宋体" w:hint="default"/>
                            <w:sz w:val="18"/>
                            <w:szCs w:val="18"/>
                          </w:rPr>
                          <w:t> 出现重大差错而进行的差错更正。</w:t>
                        </w:r>
                        <w:r>
                          <w:rPr>
                            <w:rFonts w:ascii="宋体" w:hAnsi="宋体" w:cs="宋体" w:eastAsia="宋体" w:hint="default"/>
                            <w:spacing w:val="-61"/>
                            <w:sz w:val="18"/>
                            <w:szCs w:val="18"/>
                          </w:rPr>
                          <w:t> </w:t>
                        </w:r>
                        <w:r>
                          <w:rPr>
                            <w:rFonts w:ascii="宋体" w:hAnsi="宋体" w:cs="宋体" w:eastAsia="宋体" w:hint="default"/>
                            <w:sz w:val="18"/>
                            <w:szCs w:val="18"/>
                          </w:rPr>
                          <w:t>③当期</w:t>
                        </w:r>
                        <w:r>
                          <w:rPr>
                            <w:rFonts w:ascii="宋体" w:hAnsi="宋体" w:cs="宋体" w:eastAsia="宋体" w:hint="default"/>
                            <w:sz w:val="18"/>
                            <w:szCs w:val="18"/>
                          </w:rPr>
                          <w:t> 财务报告存在重大差错，而内部控制运行 过程中未发现该差错。</w:t>
                        </w:r>
                        <w:r>
                          <w:rPr>
                            <w:rFonts w:ascii="宋体" w:hAnsi="宋体" w:cs="宋体" w:eastAsia="宋体" w:hint="default"/>
                            <w:spacing w:val="89"/>
                            <w:sz w:val="18"/>
                            <w:szCs w:val="18"/>
                          </w:rPr>
                          <w:t> </w:t>
                        </w:r>
                        <w:r>
                          <w:rPr>
                            <w:rFonts w:ascii="宋体" w:hAnsi="宋体" w:cs="宋体" w:eastAsia="宋体" w:hint="default"/>
                            <w:sz w:val="18"/>
                            <w:szCs w:val="18"/>
                          </w:rPr>
                          <w:t>④公司审计委员</w:t>
                        </w:r>
                        <w:r>
                          <w:rPr>
                            <w:rFonts w:ascii="宋体" w:hAnsi="宋体" w:cs="宋体" w:eastAsia="宋体" w:hint="default"/>
                            <w:sz w:val="18"/>
                            <w:szCs w:val="18"/>
                          </w:rPr>
                          <w:t> 会和审计部门对财务报告内部控制监督无 </w:t>
                        </w:r>
                        <w:r>
                          <w:rPr>
                            <w:rFonts w:ascii="宋体" w:hAnsi="宋体" w:cs="宋体" w:eastAsia="宋体" w:hint="default"/>
                            <w:spacing w:val="-3"/>
                            <w:sz w:val="18"/>
                            <w:szCs w:val="18"/>
                          </w:rPr>
                          <w:t>效。重要缺陷认定标准：</w:t>
                        </w:r>
                        <w:r>
                          <w:rPr>
                            <w:rFonts w:ascii="宋体" w:hAnsi="宋体" w:cs="宋体" w:eastAsia="宋体" w:hint="default"/>
                            <w:spacing w:val="-32"/>
                            <w:sz w:val="18"/>
                            <w:szCs w:val="18"/>
                          </w:rPr>
                          <w:t> </w:t>
                        </w:r>
                        <w:r>
                          <w:rPr>
                            <w:rFonts w:ascii="宋体" w:hAnsi="宋体" w:cs="宋体" w:eastAsia="宋体" w:hint="default"/>
                            <w:sz w:val="18"/>
                            <w:szCs w:val="18"/>
                          </w:rPr>
                          <w:t>①未建立反舞弊</w:t>
                        </w:r>
                        <w:r>
                          <w:rPr>
                            <w:rFonts w:ascii="宋体" w:hAnsi="宋体" w:cs="宋体" w:eastAsia="宋体" w:hint="default"/>
                            <w:sz w:val="18"/>
                            <w:szCs w:val="18"/>
                          </w:rPr>
                          <w:t> 程序和控制措施。</w:t>
                        </w:r>
                        <w:r>
                          <w:rPr>
                            <w:rFonts w:ascii="宋体" w:hAnsi="宋体" w:cs="宋体" w:eastAsia="宋体" w:hint="default"/>
                            <w:spacing w:val="-64"/>
                            <w:sz w:val="18"/>
                            <w:szCs w:val="18"/>
                          </w:rPr>
                          <w:t> </w:t>
                        </w:r>
                        <w:r>
                          <w:rPr>
                            <w:rFonts w:ascii="宋体" w:hAnsi="宋体" w:cs="宋体" w:eastAsia="宋体" w:hint="default"/>
                            <w:sz w:val="18"/>
                            <w:szCs w:val="18"/>
                          </w:rPr>
                          <w:t>②对于非常规或特殊交</w:t>
                        </w:r>
                        <w:r>
                          <w:rPr>
                            <w:rFonts w:ascii="宋体" w:hAnsi="宋体" w:cs="宋体" w:eastAsia="宋体" w:hint="default"/>
                            <w:sz w:val="18"/>
                            <w:szCs w:val="18"/>
                          </w:rPr>
                          <w:t> 易的账务处理没有建立相应控制机制。</w:t>
                        </w:r>
                        <w:r>
                          <w:rPr>
                            <w:rFonts w:ascii="宋体" w:hAnsi="宋体" w:cs="宋体" w:eastAsia="宋体" w:hint="default"/>
                            <w:spacing w:val="-61"/>
                            <w:sz w:val="18"/>
                            <w:szCs w:val="18"/>
                          </w:rPr>
                          <w:t> </w:t>
                        </w:r>
                        <w:r>
                          <w:rPr>
                            <w:rFonts w:ascii="宋体" w:hAnsi="宋体" w:cs="宋体" w:eastAsia="宋体" w:hint="default"/>
                            <w:sz w:val="18"/>
                            <w:szCs w:val="18"/>
                          </w:rPr>
                          <w:t>③</w:t>
                        </w:r>
                        <w:r>
                          <w:rPr>
                            <w:rFonts w:ascii="宋体" w:hAnsi="宋体" w:cs="宋体" w:eastAsia="宋体" w:hint="default"/>
                            <w:sz w:val="18"/>
                            <w:szCs w:val="18"/>
                          </w:rPr>
                          <w:t> 对于财务报告编制过程中存在一项或多项 缺陷不能保证编制的财务报表达到真实、 准确的目标。 一般缺陷认定标准：</w:t>
                        </w:r>
                        <w:r>
                          <w:rPr>
                            <w:rFonts w:ascii="宋体" w:hAnsi="宋体" w:cs="宋体" w:eastAsia="宋体" w:hint="default"/>
                            <w:spacing w:val="2"/>
                            <w:sz w:val="18"/>
                            <w:szCs w:val="18"/>
                          </w:rPr>
                          <w:t> </w:t>
                        </w:r>
                        <w:r>
                          <w:rPr>
                            <w:rFonts w:ascii="宋体" w:hAnsi="宋体" w:cs="宋体" w:eastAsia="宋体" w:hint="default"/>
                            <w:sz w:val="18"/>
                            <w:szCs w:val="18"/>
                          </w:rPr>
                          <w:t>①当</w:t>
                        </w:r>
                        <w:r>
                          <w:rPr>
                            <w:rFonts w:ascii="宋体" w:hAnsi="宋体" w:cs="宋体" w:eastAsia="宋体" w:hint="default"/>
                            <w:sz w:val="18"/>
                            <w:szCs w:val="18"/>
                          </w:rPr>
                          <w:t> 期财务报告存在小额差错，而内部控制运 行过程中未发现该差错。</w:t>
                        </w:r>
                        <w:r>
                          <w:rPr>
                            <w:rFonts w:ascii="宋体" w:hAnsi="宋体" w:cs="宋体" w:eastAsia="宋体" w:hint="default"/>
                            <w:spacing w:val="-63"/>
                            <w:sz w:val="18"/>
                            <w:szCs w:val="18"/>
                          </w:rPr>
                          <w:t> </w:t>
                        </w:r>
                        <w:r>
                          <w:rPr>
                            <w:rFonts w:ascii="宋体" w:hAnsi="宋体" w:cs="宋体" w:eastAsia="宋体" w:hint="default"/>
                            <w:sz w:val="18"/>
                            <w:szCs w:val="18"/>
                          </w:rPr>
                          <w:t>②公司审计委员</w:t>
                        </w:r>
                        <w:r>
                          <w:rPr>
                            <w:rFonts w:ascii="宋体" w:hAnsi="宋体" w:cs="宋体" w:eastAsia="宋体" w:hint="default"/>
                            <w:sz w:val="18"/>
                            <w:szCs w:val="18"/>
                          </w:rPr>
                          <w:t> 会和审计部门对内部控制的监督存在一般 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43"/>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频曝光，对公司声誉造成重大影响。③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高级管理人员和核心技术人员严重流 失。④内部控制重大缺陷未得到整改。 </w:t>
                        </w:r>
                        <w:r>
                          <w:rPr>
                            <w:rFonts w:ascii="宋体" w:hAnsi="宋体" w:cs="宋体" w:eastAsia="宋体" w:hint="default"/>
                            <w:spacing w:val="-4"/>
                            <w:sz w:val="18"/>
                            <w:szCs w:val="18"/>
                          </w:rPr>
                          <w:t>重要缺陷认定标准：①公司违反国家法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律、法规活动受到轻微处罚。②媒体出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现负面新闻，对公司声誉造成影响。③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关键岗位人员严重流失。④内部控制重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要缺陷未得到整改。一般缺陷认定标 </w:t>
                        </w:r>
                        <w:r>
                          <w:rPr>
                            <w:rFonts w:ascii="宋体" w:hAnsi="宋体" w:cs="宋体" w:eastAsia="宋体" w:hint="default"/>
                            <w:spacing w:val="-10"/>
                            <w:sz w:val="18"/>
                            <w:szCs w:val="18"/>
                          </w:rPr>
                          <w:t>准：①媒体出现负面新闻，但影响不大</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pacing w:val="-4"/>
                            <w:sz w:val="18"/>
                            <w:szCs w:val="18"/>
                          </w:rPr>
                          <w:t>②一般岗位人员严重流失。③内部控制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一般缺陷未得到整改。</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63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8" w:right="-50"/>
                          <w:jc w:val="both"/>
                          <w:rPr>
                            <w:rFonts w:ascii="宋体" w:hAnsi="宋体" w:cs="宋体" w:eastAsia="宋体" w:hint="default"/>
                            <w:sz w:val="18"/>
                            <w:szCs w:val="18"/>
                          </w:rPr>
                        </w:pP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税前利润</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。重要缺陷：</w:t>
                        </w:r>
                        <w:r>
                          <w:rPr>
                            <w:rFonts w:ascii="宋体" w:hAnsi="宋体" w:cs="宋体" w:eastAsia="宋体" w:hint="default"/>
                            <w:spacing w:val="-34"/>
                            <w:sz w:val="18"/>
                            <w:szCs w:val="18"/>
                          </w:rPr>
                          <w:t> </w:t>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w:t>
                        </w:r>
                        <w:r>
                          <w:rPr>
                            <w:rFonts w:ascii="宋体" w:hAnsi="宋体" w:cs="宋体" w:eastAsia="宋体" w:hint="default"/>
                            <w:sz w:val="18"/>
                            <w:szCs w:val="18"/>
                          </w:rPr>
                          <w:t> 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vMerge w:val="restart"/>
                        <w:tcBorders>
                          <w:top w:val="single" w:sz="4" w:space="0" w:color="000000"/>
                          <w:left w:val="single" w:sz="14" w:space="0" w:color="FFFFFF"/>
                          <w:right w:val="single" w:sz="4" w:space="0" w:color="000000"/>
                        </w:tcBorders>
                      </w:tcPr>
                      <w:p>
                        <w:pPr>
                          <w:pStyle w:val="TableParagraph"/>
                          <w:spacing w:line="300" w:lineRule="auto" w:before="51"/>
                          <w:ind w:left="13" w:right="19"/>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0.05%&lt;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。一般</w:t>
                        </w:r>
                        <w:r>
                          <w:rPr>
                            <w:rFonts w:ascii="宋体" w:hAnsi="宋体" w:cs="宋体" w:eastAsia="宋体" w:hint="default"/>
                            <w:sz w:val="18"/>
                            <w:szCs w:val="18"/>
                          </w:rPr>
                          <w:t> 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14" w:space="0" w:color="FFFFFF"/>
                        </w:tcBorders>
                      </w:tcPr>
                      <w:p>
                        <w:pPr/>
                      </w:p>
                    </w:tc>
                    <w:tc>
                      <w:tcPr>
                        <w:tcW w:w="3053" w:type="dxa"/>
                        <w:vMerge/>
                        <w:tcBorders>
                          <w:left w:val="single" w:sz="14" w:space="0" w:color="FFFFFF"/>
                          <w:right w:val="single" w:sz="4" w:space="0" w:color="000000"/>
                        </w:tcBorders>
                      </w:tcPr>
                      <w:p>
                        <w:pPr/>
                      </w:p>
                    </w:tc>
                  </w:tr>
                  <w:tr>
                    <w:trPr>
                      <w:trHeight w:val="62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14" w:space="0" w:color="FFFFFF"/>
                        </w:tcBorders>
                      </w:tcPr>
                      <w:p>
                        <w:pPr/>
                      </w:p>
                    </w:tc>
                    <w:tc>
                      <w:tcPr>
                        <w:tcW w:w="3053" w:type="dxa"/>
                        <w:vMerge/>
                        <w:tcBorders>
                          <w:left w:val="single" w:sz="14" w:space="0" w:color="FFFFFF"/>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0" w:lineRule="auto" w:before="26"/>
        <w:ind w:right="986"/>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986"/>
        <w:jc w:val="left"/>
        <w:rPr>
          <w:b w:val="0"/>
          <w:bCs w:val="0"/>
        </w:rPr>
      </w:pPr>
      <w:bookmarkStart w:name="_TOC_250002" w:id="11"/>
      <w:r>
        <w:rPr/>
        <w:t>第十一节公司债券相关情况</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8"/>
        <w:jc w:val="center"/>
        <w:rPr>
          <w:b w:val="0"/>
          <w:bCs w:val="0"/>
        </w:rPr>
      </w:pPr>
      <w:bookmarkStart w:name="_TOC_250001" w:id="12"/>
      <w:r>
        <w:rPr/>
        <w:t>第十二节财务报告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3928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李正卫、梁政洪</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513" w:right="-20" w:hanging="361"/>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933" w:space="347"/>
            <w:col w:w="6650"/>
          </w:cols>
        </w:sectPr>
      </w:pPr>
    </w:p>
    <w:p>
      <w:pPr>
        <w:pStyle w:val="BodyText"/>
        <w:spacing w:line="300" w:lineRule="auto" w:before="19"/>
        <w:ind w:right="1128" w:firstLine="360"/>
        <w:jc w:val="both"/>
      </w:pPr>
      <w:r>
        <w:rPr>
          <w:spacing w:val="-2"/>
        </w:rPr>
        <w:t>我们审计了江苏五洋停车产业集团股份有限公司（以下简称五洋停车公司）财务报表，包括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t> </w:t>
      </w:r>
      <w:r>
        <w:rPr>
          <w:spacing w:val="-2"/>
        </w:rPr>
        <w:t>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w:t>
      </w:r>
      <w:r>
        <w:rPr>
          <w:spacing w:val="-62"/>
        </w:rPr>
        <w:t> </w:t>
      </w:r>
      <w:r>
        <w:rPr>
          <w:spacing w:val="-62"/>
        </w:rPr>
      </w:r>
      <w:r>
        <w:rPr/>
        <w:t>财务报表附注。</w:t>
      </w:r>
    </w:p>
    <w:p>
      <w:pPr>
        <w:pStyle w:val="BodyText"/>
        <w:spacing w:line="300" w:lineRule="auto" w:before="31"/>
        <w:ind w:right="1128" w:firstLine="360"/>
        <w:jc w:val="both"/>
      </w:pPr>
      <w:r>
        <w:rPr>
          <w:spacing w:val="-2"/>
        </w:rPr>
        <w:t>我们认为，后附的财务报表在所有重大方面按照企业会计准则的规定编制，公允反映了五洋停车公司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513" w:right="986"/>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0"/>
        <w:ind w:right="986"/>
        <w:jc w:val="left"/>
      </w:pPr>
      <w:r>
        <w:rPr>
          <w:spacing w:val="-2"/>
        </w:rPr>
        <w:t>阐述了我们在这些准则下的责任。按照中国注册会计师职业道德守则，我们独立于五洋停车公司，并履行了职业道德方面的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19"/>
        <w:ind w:left="513" w:right="986"/>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986"/>
        <w:jc w:val="left"/>
      </w:pPr>
      <w:r>
        <w:rPr/>
        <w:t>审计并形成审计意见为背景，我们不对这些事项单独发表意见。</w:t>
      </w:r>
    </w:p>
    <w:p>
      <w:pPr>
        <w:pStyle w:val="BodyText"/>
        <w:spacing w:line="240" w:lineRule="auto" w:before="76"/>
        <w:ind w:left="441" w:right="986"/>
        <w:jc w:val="left"/>
      </w:pPr>
      <w:r>
        <w:rPr/>
        <w:t>（一</w:t>
      </w:r>
      <w:r>
        <w:rPr>
          <w:rFonts w:ascii="Times New Roman" w:hAnsi="Times New Roman" w:cs="Times New Roman" w:eastAsia="Times New Roman" w:hint="default"/>
        </w:rPr>
        <w:t>)</w:t>
      </w:r>
      <w:r>
        <w:rPr/>
        <w:t>收入确认</w:t>
      </w:r>
    </w:p>
    <w:p>
      <w:pPr>
        <w:pStyle w:val="BodyText"/>
        <w:spacing w:line="300" w:lineRule="auto" w:before="63"/>
        <w:ind w:left="633" w:right="4603" w:hanging="1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 相关信息披露详见财务报表附注三（二十）、五（二）</w:t>
      </w:r>
      <w:r>
        <w:rPr>
          <w:rFonts w:ascii="Times New Roman" w:hAnsi="Times New Roman" w:cs="Times New Roman" w:eastAsia="Times New Roman" w:hint="default"/>
        </w:rPr>
        <w:t>1</w:t>
      </w:r>
      <w:r>
        <w:rPr/>
        <w:t>及十三（一）。</w:t>
      </w:r>
    </w:p>
    <w:p>
      <w:pPr>
        <w:pStyle w:val="BodyText"/>
        <w:spacing w:line="309" w:lineRule="auto" w:before="13"/>
        <w:ind w:right="1131" w:firstLine="360"/>
        <w:jc w:val="both"/>
      </w:pPr>
      <w:r>
        <w:rPr>
          <w:spacing w:val="-2"/>
        </w:rPr>
        <w:t>五洋停车公司主营业务主要包括：散料搬运核心装置、立体车库、成套生产线和输送仓储设备、混凝土搅拌站、管型母</w:t>
      </w:r>
      <w:r>
        <w:rPr/>
        <w:t> 线、固态电子硬盘及存储设备等产品。</w:t>
      </w:r>
      <w:r>
        <w:rPr>
          <w:rFonts w:ascii="Times New Roman" w:hAnsi="Times New Roman" w:cs="Times New Roman" w:eastAsia="Times New Roman" w:hint="default"/>
        </w:rPr>
        <w:t>2019</w:t>
      </w:r>
      <w:r>
        <w:rPr/>
        <w:t>年度，五洋停车公司营业收入为</w:t>
      </w:r>
      <w:r>
        <w:rPr>
          <w:rFonts w:ascii="Times New Roman" w:hAnsi="Times New Roman" w:cs="Times New Roman" w:eastAsia="Times New Roman" w:hint="default"/>
        </w:rPr>
        <w:t>129,137.78 </w:t>
      </w:r>
      <w:r>
        <w:rPr/>
        <w:t>万元</w:t>
      </w:r>
      <w:r>
        <w:rPr>
          <w:rFonts w:ascii="Times New Roman" w:hAnsi="Times New Roman" w:cs="Times New Roman" w:eastAsia="Times New Roman" w:hint="default"/>
        </w:rPr>
        <w:t>,</w:t>
      </w:r>
      <w:r>
        <w:rPr/>
        <w:t>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28.87%</w:t>
      </w:r>
      <w:r>
        <w:rPr/>
        <w:t>，其中：</w:t>
      </w:r>
      <w:r>
        <w:rPr>
          <w:spacing w:val="-66"/>
        </w:rPr>
        <w:t> </w:t>
      </w:r>
      <w:r>
        <w:rPr>
          <w:spacing w:val="-66"/>
        </w:rPr>
      </w:r>
      <w:r>
        <w:rPr/>
        <w:t>立体车库及其安装服务业务</w:t>
      </w:r>
      <w:r>
        <w:rPr>
          <w:rFonts w:ascii="Times New Roman" w:hAnsi="Times New Roman" w:cs="Times New Roman" w:eastAsia="Times New Roman" w:hint="default"/>
        </w:rPr>
        <w:t>2019</w:t>
      </w:r>
      <w:r>
        <w:rPr/>
        <w:t>年度实现收入</w:t>
      </w:r>
      <w:r>
        <w:rPr>
          <w:rFonts w:ascii="Times New Roman" w:hAnsi="Times New Roman" w:cs="Times New Roman" w:eastAsia="Times New Roman" w:hint="default"/>
        </w:rPr>
        <w:t>81,714.93</w:t>
      </w:r>
      <w:r>
        <w:rPr/>
        <w:t>万元，较</w:t>
      </w:r>
      <w:r>
        <w:rPr>
          <w:rFonts w:ascii="Times New Roman" w:hAnsi="Times New Roman" w:cs="Times New Roman" w:eastAsia="Times New Roman" w:hint="default"/>
        </w:rPr>
        <w:t>2018</w:t>
      </w:r>
      <w:r>
        <w:rPr/>
        <w:t>年度增长</w:t>
      </w:r>
      <w:r>
        <w:rPr>
          <w:rFonts w:ascii="Times New Roman" w:hAnsi="Times New Roman" w:cs="Times New Roman" w:eastAsia="Times New Roman" w:hint="default"/>
        </w:rPr>
        <w:t>31.50%</w:t>
      </w:r>
      <w:r>
        <w:rPr/>
        <w:t>。</w:t>
      </w:r>
    </w:p>
    <w:p>
      <w:pPr>
        <w:pStyle w:val="BodyText"/>
        <w:spacing w:line="314" w:lineRule="auto" w:before="5"/>
        <w:ind w:right="1130" w:firstLine="360"/>
        <w:jc w:val="both"/>
      </w:pPr>
      <w:r>
        <w:rPr>
          <w:spacing w:val="-1"/>
        </w:rPr>
        <w:t>如财务报告附注三</w:t>
      </w:r>
      <w:r>
        <w:rPr>
          <w:rFonts w:ascii="Times New Roman" w:hAnsi="Times New Roman" w:cs="Times New Roman" w:eastAsia="Times New Roman" w:hint="default"/>
          <w:spacing w:val="-1"/>
        </w:rPr>
        <w:t>(</w:t>
      </w:r>
      <w:r>
        <w:rPr>
          <w:spacing w:val="-1"/>
        </w:rPr>
        <w:t>二十</w:t>
      </w:r>
      <w:r>
        <w:rPr>
          <w:rFonts w:ascii="Times New Roman" w:hAnsi="Times New Roman" w:cs="Times New Roman" w:eastAsia="Times New Roman" w:hint="default"/>
          <w:spacing w:val="-1"/>
        </w:rPr>
        <w:t>)</w:t>
      </w:r>
      <w:r>
        <w:rPr>
          <w:spacing w:val="-1"/>
        </w:rPr>
        <w:t>所述，五洋停车公司销售收入确认原则为：散料搬运核心装置（包括张紧装置、给料机、制动</w:t>
      </w:r>
      <w:r>
        <w:rPr/>
        <w:t> </w:t>
      </w:r>
      <w:r>
        <w:rPr>
          <w:spacing w:val="-2"/>
        </w:rPr>
        <w:t>装置等矿业设备制动装置）、立体车库、成套生产线和输送仓储设备、混凝土搅拌站、管型母线、固态电子硬盘及存储设备</w:t>
      </w:r>
      <w:r>
        <w:rPr>
          <w:spacing w:val="-68"/>
        </w:rPr>
        <w:t> </w:t>
      </w:r>
      <w:r>
        <w:rPr>
          <w:spacing w:val="-68"/>
        </w:rPr>
      </w:r>
      <w:r>
        <w:rPr>
          <w:spacing w:val="-5"/>
        </w:rPr>
        <w:t>等产品目前均为内销，其收入确认需满足以下条件：五洋停车公司已根据合同约定将产品交付给购货方，并由购货方验收（若</w:t>
      </w:r>
      <w:r>
        <w:rPr>
          <w:spacing w:val="-75"/>
        </w:rPr>
        <w:t> </w:t>
      </w:r>
      <w:r>
        <w:rPr>
          <w:spacing w:val="-75"/>
        </w:rPr>
      </w:r>
      <w:r>
        <w:rPr>
          <w:spacing w:val="-2"/>
        </w:rPr>
        <w:t>按照合同约定需安装调试的，则双方在安装调试完成后验收），且产品销售金额已经确定，已经收回货款或取得了收款凭证</w:t>
      </w:r>
      <w:r>
        <w:rPr>
          <w:spacing w:val="-64"/>
        </w:rPr>
        <w:t> </w:t>
      </w:r>
      <w:r>
        <w:rPr>
          <w:spacing w:val="-64"/>
        </w:rPr>
      </w:r>
      <w:r>
        <w:rPr/>
        <w:t>且相关的经济利益很可能流入，产品相关的成本能够可靠地计量。</w:t>
      </w:r>
    </w:p>
    <w:p>
      <w:pPr>
        <w:pStyle w:val="BodyText"/>
        <w:spacing w:line="300" w:lineRule="auto" w:before="20"/>
        <w:ind w:right="1132" w:firstLine="360"/>
        <w:jc w:val="both"/>
      </w:pPr>
      <w:r>
        <w:rPr>
          <w:rFonts w:ascii="Times New Roman" w:hAnsi="Times New Roman" w:cs="Times New Roman" w:eastAsia="Times New Roman" w:hint="default"/>
          <w:spacing w:val="-2"/>
        </w:rPr>
        <w:t>2019</w:t>
      </w:r>
      <w:r>
        <w:rPr>
          <w:spacing w:val="-2"/>
        </w:rPr>
        <w:t>年度五洋停车公司营业收入增长幅度较大，且营业收入系五洋停车公司的关键绩效指标，存在被计入错误的会计期</w:t>
      </w:r>
      <w:r>
        <w:rPr/>
        <w:t> 间等固有风险，因此，我们把五洋停车公司收入的确认和计量识别为关键审计事项。</w:t>
      </w:r>
    </w:p>
    <w:p>
      <w:pPr>
        <w:pStyle w:val="BodyText"/>
        <w:spacing w:line="300" w:lineRule="auto" w:before="31"/>
        <w:ind w:left="513" w:right="66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我们针对收入的确认实施的主要审计程序包括：</w:t>
      </w:r>
    </w:p>
    <w:p>
      <w:pPr>
        <w:pStyle w:val="BodyText"/>
        <w:spacing w:line="240" w:lineRule="auto" w:before="31"/>
        <w:ind w:left="513" w:right="986"/>
        <w:jc w:val="left"/>
      </w:pPr>
      <w:r>
        <w:rPr>
          <w:rFonts w:ascii="Times New Roman" w:hAnsi="Times New Roman" w:cs="Times New Roman" w:eastAsia="Times New Roman" w:hint="default"/>
        </w:rPr>
        <w:t>(1)</w:t>
      </w:r>
      <w:r>
        <w:rPr/>
        <w:t>了解五洋停车公司收入确认会计政策，判断在收入确认时点上商品所有权相关的主要风险和报酬是否发生转移；结</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986"/>
        <w:jc w:val="left"/>
      </w:pPr>
      <w:r>
        <w:rPr>
          <w:spacing w:val="-2"/>
        </w:rPr>
        <w:t>合五洋停车公司业务模式、销售合同约定的主要条款等，检查收入确认条件、方法是否符合企业会计准则的规定，前后期是</w:t>
      </w:r>
      <w:r>
        <w:rPr>
          <w:spacing w:val="-65"/>
        </w:rPr>
        <w:t> </w:t>
      </w:r>
      <w:r>
        <w:rPr>
          <w:spacing w:val="-65"/>
        </w:rPr>
      </w:r>
      <w:r>
        <w:rPr/>
        <w:t>否一致；</w:t>
      </w:r>
    </w:p>
    <w:p>
      <w:pPr>
        <w:pStyle w:val="BodyText"/>
        <w:spacing w:line="300" w:lineRule="auto" w:before="17"/>
        <w:ind w:right="986" w:firstLine="360"/>
        <w:jc w:val="left"/>
      </w:pPr>
      <w:r>
        <w:rPr>
          <w:rFonts w:ascii="Times New Roman" w:hAnsi="Times New Roman" w:cs="Times New Roman" w:eastAsia="Times New Roman" w:hint="default"/>
        </w:rPr>
        <w:t>(2)</w:t>
      </w:r>
      <w:r>
        <w:rPr/>
        <w:t>取得销售业务台账，选取样本检查销售合同，识别与商品所有权上的风险和报酬转移相关的合同条款与条件，评价</w:t>
      </w:r>
      <w:r>
        <w:rPr>
          <w:w w:val="99"/>
        </w:rPr>
        <w:t> </w:t>
      </w:r>
      <w:r>
        <w:rPr/>
        <w:t>收入确认时点是否符合企业会计准则的要求，前后期间内是否一致；</w:t>
      </w:r>
    </w:p>
    <w:p>
      <w:pPr>
        <w:pStyle w:val="BodyText"/>
        <w:spacing w:line="300" w:lineRule="auto" w:before="31"/>
        <w:ind w:right="1117"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对本年记录的收入交易选取样本，核对销售合同、销售发票、验收报告等资料，评价相关收入确认是否符合收入确</w:t>
      </w:r>
      <w:r>
        <w:rPr>
          <w:w w:val="99"/>
        </w:rPr>
        <w:t> </w:t>
      </w:r>
      <w:r>
        <w:rPr/>
        <w:t>认的会计政策；</w:t>
      </w:r>
    </w:p>
    <w:p>
      <w:pPr>
        <w:pStyle w:val="BodyText"/>
        <w:spacing w:line="240" w:lineRule="auto" w:before="31"/>
        <w:ind w:left="51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对主要客户的销售收入发生额和应收账款余额进行函证，检查收入确认的真实性和准确性；</w:t>
      </w:r>
    </w:p>
    <w:p>
      <w:pPr>
        <w:pStyle w:val="BodyText"/>
        <w:spacing w:line="240" w:lineRule="auto" w:before="63"/>
        <w:ind w:left="513" w:right="986"/>
        <w:jc w:val="left"/>
      </w:pPr>
      <w:r>
        <w:rPr>
          <w:rFonts w:ascii="Times New Roman" w:hAnsi="Times New Roman" w:cs="Times New Roman" w:eastAsia="Times New Roman" w:hint="default"/>
        </w:rPr>
        <w:t>(5)</w:t>
      </w:r>
      <w:r>
        <w:rPr/>
        <w:t>针对资产负债表日前后确认的销售收入执行抽样测试以评估销售收入是否在恰当的期间确认。</w:t>
      </w:r>
    </w:p>
    <w:p>
      <w:pPr>
        <w:pStyle w:val="BodyText"/>
        <w:spacing w:line="240" w:lineRule="auto" w:before="63"/>
        <w:ind w:left="513" w:right="986"/>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获取公司主要客户的工商资料，询问公司相关人员，以确认主要客户与公司是否存在关联关系；</w:t>
      </w:r>
    </w:p>
    <w:p>
      <w:pPr>
        <w:pStyle w:val="BodyText"/>
        <w:spacing w:line="300" w:lineRule="auto" w:before="63"/>
        <w:ind w:left="513" w:right="8754" w:hanging="41"/>
        <w:jc w:val="left"/>
      </w:pPr>
      <w:r>
        <w:rPr>
          <w:rFonts w:ascii="Times New Roman" w:hAnsi="Times New Roman" w:cs="Times New Roman" w:eastAsia="Times New Roman" w:hint="default"/>
        </w:rPr>
        <w:t>(</w:t>
      </w:r>
      <w:r>
        <w:rPr/>
        <w:t>二）应收账款的减值</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w:t>
      </w:r>
    </w:p>
    <w:p>
      <w:pPr>
        <w:pStyle w:val="BodyText"/>
        <w:spacing w:line="300" w:lineRule="auto" w:before="13"/>
        <w:ind w:left="513" w:right="986"/>
        <w:jc w:val="left"/>
        <w:rPr>
          <w:rFonts w:ascii="Times New Roman" w:hAnsi="Times New Roman" w:cs="Times New Roman" w:eastAsia="Times New Roman" w:hint="default"/>
        </w:rPr>
      </w:pPr>
      <w:r>
        <w:rPr/>
        <w:t>相关信息披露详见财务报表附注三（九）及附注五（一）</w:t>
      </w:r>
      <w:r>
        <w:rPr>
          <w:rFonts w:ascii="Times New Roman" w:hAnsi="Times New Roman" w:cs="Times New Roman" w:eastAsia="Times New Roman" w:hint="default"/>
        </w:rPr>
        <w:t>4</w:t>
      </w:r>
      <w:r>
        <w:rPr/>
        <w:t>。 </w:t>
      </w:r>
      <w:r>
        <w:rPr>
          <w:spacing w:val="-4"/>
        </w:rPr>
        <w:t>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日，五洋停车公司应收账款账面余额为</w:t>
      </w:r>
      <w:r>
        <w:rPr>
          <w:rFonts w:ascii="Times New Roman" w:hAnsi="Times New Roman" w:cs="Times New Roman" w:eastAsia="Times New Roman" w:hint="default"/>
          <w:spacing w:val="-4"/>
        </w:rPr>
        <w:t>93,178.68</w:t>
      </w:r>
      <w:r>
        <w:rPr>
          <w:spacing w:val="-4"/>
        </w:rPr>
        <w:t>万元，坏账准备为</w:t>
      </w:r>
      <w:r>
        <w:rPr>
          <w:rFonts w:ascii="Times New Roman" w:hAnsi="Times New Roman" w:cs="Times New Roman" w:eastAsia="Times New Roman" w:hint="default"/>
          <w:spacing w:val="-4"/>
        </w:rPr>
        <w:t>13,666.25</w:t>
      </w:r>
      <w:r>
        <w:rPr>
          <w:spacing w:val="-4"/>
        </w:rPr>
        <w:t>万元，账面价值为</w:t>
      </w:r>
      <w:r>
        <w:rPr>
          <w:rFonts w:ascii="Times New Roman" w:hAnsi="Times New Roman" w:cs="Times New Roman" w:eastAsia="Times New Roman" w:hint="default"/>
          <w:spacing w:val="-4"/>
        </w:rPr>
        <w:t>79,512.43</w:t>
      </w:r>
    </w:p>
    <w:p>
      <w:pPr>
        <w:pStyle w:val="BodyText"/>
        <w:spacing w:line="240" w:lineRule="auto" w:before="13"/>
        <w:ind w:right="986"/>
        <w:jc w:val="left"/>
      </w:pPr>
      <w:r>
        <w:rPr/>
        <w:t>万元。</w:t>
      </w:r>
    </w:p>
    <w:p>
      <w:pPr>
        <w:pStyle w:val="BodyText"/>
        <w:spacing w:line="314" w:lineRule="auto" w:before="76"/>
        <w:ind w:right="1034" w:firstLine="360"/>
        <w:jc w:val="left"/>
      </w:pPr>
      <w:r>
        <w:rPr/>
        <w:t>五洋停车公司管理层（以下简称管理层）根据各项应收账款的信用风险特征，以单项应收账款或应收账款组合为基础， </w:t>
      </w:r>
      <w:r>
        <w:rPr>
          <w:spacing w:val="-2"/>
        </w:rPr>
        <w:t>按照相当于整个存续期内的预期信用损失金额计量其损失准备。对于以单项为基础计量预期信用损失的应收账款，管理层综</w:t>
      </w:r>
      <w:r>
        <w:rPr>
          <w:spacing w:val="-64"/>
        </w:rPr>
        <w:t> </w:t>
      </w:r>
      <w:r>
        <w:rPr>
          <w:spacing w:val="-64"/>
        </w:rPr>
      </w:r>
      <w:r>
        <w:rPr>
          <w:spacing w:val="-2"/>
        </w:rPr>
        <w:t>合考虑有关过去事项、当前状况以及未来经济状况预测的合理且有依据的信息，估计预期收取的现金流量，据此确定应计提</w:t>
      </w:r>
      <w:r>
        <w:rPr>
          <w:spacing w:val="-62"/>
        </w:rPr>
        <w:t> </w:t>
      </w:r>
      <w:r>
        <w:rPr>
          <w:spacing w:val="-62"/>
        </w:rPr>
      </w:r>
      <w:r>
        <w:rPr/>
        <w:t>的坏账准备；对于以组合为基础计量预期信用损失的应收账款，管理层以账龄为依据划分组合，参照历史信用损失经验</w:t>
      </w:r>
      <w:r>
        <w:rPr>
          <w:rFonts w:ascii="Times New Roman" w:hAnsi="Times New Roman" w:cs="Times New Roman" w:eastAsia="Times New Roman" w:hint="default"/>
        </w:rPr>
        <w:t>,</w:t>
      </w:r>
      <w:r>
        <w:rPr/>
        <w:t>并</w:t>
      </w:r>
      <w:r>
        <w:rPr>
          <w:spacing w:val="-42"/>
        </w:rPr>
        <w:t> </w:t>
      </w:r>
      <w:r>
        <w:rPr/>
        <w:t>结合前瞻性估计，编制应收账款账龄与违约损失率对照表，据此确定应计提的坏账准备。</w:t>
      </w:r>
    </w:p>
    <w:p>
      <w:pPr>
        <w:pStyle w:val="BodyText"/>
        <w:spacing w:line="240" w:lineRule="auto" w:before="20"/>
        <w:ind w:left="513" w:right="986"/>
        <w:jc w:val="left"/>
      </w:pPr>
      <w:r>
        <w:rPr/>
        <w:t>由于应收账款金额重大，且应收账款减值涉及重大管理层判断，我们将应收账款减值确定为关键审计事项。</w:t>
      </w:r>
    </w:p>
    <w:p>
      <w:pPr>
        <w:pStyle w:val="BodyText"/>
        <w:spacing w:line="300" w:lineRule="auto" w:before="76"/>
        <w:ind w:left="513" w:right="6253"/>
        <w:jc w:val="left"/>
      </w:pPr>
      <w:r>
        <w:rPr>
          <w:rFonts w:ascii="Times New Roman" w:hAnsi="Times New Roman" w:cs="Times New Roman" w:eastAsia="Times New Roman" w:hint="default"/>
        </w:rPr>
        <w:t>2.</w:t>
      </w:r>
      <w:r>
        <w:rPr/>
        <w:t>审计中的应对 我们针对应收账款的减值实施的主要审计程序包括：</w:t>
      </w:r>
    </w:p>
    <w:p>
      <w:pPr>
        <w:pStyle w:val="BodyText"/>
        <w:spacing w:line="300" w:lineRule="auto" w:before="31"/>
        <w:ind w:right="1119"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了解与应收账款减值相关的关键内部控制，评价这些控制的设计，确定其是否得到执行，并测试相关内部控制的运</w:t>
      </w:r>
      <w:r>
        <w:rPr>
          <w:w w:val="99"/>
        </w:rPr>
        <w:t> </w:t>
      </w:r>
      <w:r>
        <w:rPr/>
        <w:t>行有效性；</w:t>
      </w:r>
    </w:p>
    <w:p>
      <w:pPr>
        <w:pStyle w:val="BodyText"/>
        <w:spacing w:line="240" w:lineRule="auto" w:before="31"/>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复核以前年度已计提坏账准备的应收账款的后续实际核销或转回情况，评价管理层过往预测的准确性；</w:t>
      </w:r>
    </w:p>
    <w:p>
      <w:pPr>
        <w:pStyle w:val="BodyText"/>
        <w:spacing w:line="300" w:lineRule="auto" w:before="63"/>
        <w:ind w:right="111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复核管理层对应收账款进行信用风险评估的相关考虑和客观证据，评价管理层是否恰当识别各项应收账款的信用风</w:t>
      </w:r>
      <w:r>
        <w:rPr>
          <w:w w:val="99"/>
        </w:rPr>
        <w:t> </w:t>
      </w:r>
      <w:r>
        <w:rPr/>
        <w:t>险特征；</w:t>
      </w:r>
    </w:p>
    <w:p>
      <w:pPr>
        <w:pStyle w:val="BodyText"/>
        <w:spacing w:line="300" w:lineRule="auto" w:before="31"/>
        <w:ind w:right="1117"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对于以单项为基础计量预期信用损失的应收账款，获取并检查管理层对预期收取现金流量的预测，评价在预测中使</w:t>
      </w:r>
      <w:r>
        <w:rPr>
          <w:w w:val="99"/>
        </w:rPr>
        <w:t> </w:t>
      </w:r>
      <w:r>
        <w:rPr/>
        <w:t>用的关键假设的合理性和数据的准确性，并与获取的外部证据进行核对；</w:t>
      </w:r>
    </w:p>
    <w:p>
      <w:pPr>
        <w:pStyle w:val="BodyText"/>
        <w:spacing w:line="309" w:lineRule="auto" w:before="31"/>
        <w:ind w:right="1132"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对于以组合为基础计量预期信用损失的应收账款，评价管理层按信用风险特征划分组合的合理性；根据具有类似信</w:t>
      </w:r>
      <w:r>
        <w:rPr>
          <w:w w:val="99"/>
        </w:rPr>
        <w:t> </w:t>
      </w:r>
      <w:r>
        <w:rPr>
          <w:spacing w:val="-2"/>
        </w:rPr>
        <w:t>用风险特征组合的历史信用损失经验及前瞻性估计，评价管理层编制的应收账款账龄与违约损失率对照表的合理性；测试管</w:t>
      </w:r>
      <w:r>
        <w:rPr>
          <w:spacing w:val="-65"/>
        </w:rPr>
        <w:t> </w:t>
      </w:r>
      <w:r>
        <w:rPr>
          <w:spacing w:val="-65"/>
        </w:rPr>
      </w:r>
      <w:r>
        <w:rPr/>
        <w:t>理层使用数据的准确性和完整性以及对坏账准备的计算是否准确；</w:t>
      </w:r>
    </w:p>
    <w:p>
      <w:pPr>
        <w:pStyle w:val="BodyText"/>
        <w:spacing w:line="240" w:lineRule="auto" w:before="24"/>
        <w:ind w:left="513" w:right="986"/>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以抽样方式对年末部分应收账款余额进行函证，与管理层讨论应收账款回收情况及可能存在的回收风险；</w:t>
      </w:r>
    </w:p>
    <w:p>
      <w:pPr>
        <w:pStyle w:val="BodyText"/>
        <w:spacing w:line="240" w:lineRule="auto" w:before="63"/>
        <w:ind w:left="513" w:right="986"/>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检查应收账款的期后回款情况，评价管理层计提应收账款坏账准备的合理性；</w:t>
      </w:r>
    </w:p>
    <w:p>
      <w:pPr>
        <w:pStyle w:val="BodyText"/>
        <w:spacing w:line="240" w:lineRule="auto" w:before="63"/>
        <w:ind w:left="513" w:right="986"/>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检查与应收账款减值相关的信息是否已在财务报表中作出恰当列报。</w:t>
      </w:r>
    </w:p>
    <w:p>
      <w:pPr>
        <w:pStyle w:val="BodyText"/>
        <w:spacing w:line="240" w:lineRule="auto" w:before="63"/>
        <w:ind w:left="513" w:right="98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商誉的减值</w:t>
      </w:r>
    </w:p>
    <w:p>
      <w:pPr>
        <w:pStyle w:val="BodyText"/>
        <w:spacing w:line="300" w:lineRule="auto" w:before="63"/>
        <w:ind w:left="513" w:right="57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 相关信息披露详见财务报表三（十六）及附注五（一）</w:t>
      </w:r>
      <w:r>
        <w:rPr>
          <w:rFonts w:ascii="Times New Roman" w:hAnsi="Times New Roman" w:cs="Times New Roman" w:eastAsia="Times New Roman" w:hint="default"/>
        </w:rPr>
        <w:t>17</w:t>
      </w:r>
      <w:r>
        <w:rPr/>
        <w:t>。</w:t>
      </w:r>
    </w:p>
    <w:p>
      <w:pPr>
        <w:pStyle w:val="BodyText"/>
        <w:spacing w:line="300" w:lineRule="auto" w:before="13"/>
        <w:ind w:right="986"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日，五洋停车公司商誉账面价值</w:t>
      </w:r>
      <w:r>
        <w:rPr>
          <w:rFonts w:ascii="Times New Roman" w:hAnsi="Times New Roman" w:cs="Times New Roman" w:eastAsia="Times New Roman" w:hint="default"/>
        </w:rPr>
        <w:t>50,212.17</w:t>
      </w:r>
      <w:r>
        <w:rPr/>
        <w:t>万元，占资产总额的</w:t>
      </w:r>
      <w:r>
        <w:rPr>
          <w:rFonts w:ascii="Times New Roman" w:hAnsi="Times New Roman" w:cs="Times New Roman" w:eastAsia="Times New Roman" w:hint="default"/>
        </w:rPr>
        <w:t>17.92%</w:t>
      </w:r>
      <w:r>
        <w:rPr/>
        <w:t>。该等商誉系五洋停车公司收 </w:t>
      </w:r>
      <w:r>
        <w:rPr>
          <w:spacing w:val="-4"/>
        </w:rPr>
        <w:t>购深圳市伟创自动化设备有限公司、北京华逸奇科贸有限公司、山东天辰智能停车有限公司、北京泊创科技有限公司等形成。</w:t>
      </w:r>
    </w:p>
    <w:p>
      <w:pPr>
        <w:pStyle w:val="BodyText"/>
        <w:spacing w:line="312" w:lineRule="auto" w:before="31"/>
        <w:ind w:right="986" w:firstLine="360"/>
        <w:jc w:val="left"/>
      </w:pPr>
      <w:r>
        <w:rPr>
          <w:spacing w:val="-4"/>
        </w:rPr>
        <w:t>如财务报表附注三（十六）所述，对因企业合并形成的商誉，管理层需结合与其相关的资产或资产组组合进行减值测试，</w:t>
      </w:r>
      <w:r>
        <w:rPr/>
        <w:t> </w:t>
      </w:r>
      <w:r>
        <w:rPr>
          <w:spacing w:val="-2"/>
        </w:rPr>
        <w:t>以确定是否存在减值的情况，并根据包含商誉的资产组的可收回金额低于其账面价值的部分，计提相应的减值准备。在评估</w:t>
      </w:r>
      <w:r>
        <w:rPr>
          <w:spacing w:val="-66"/>
        </w:rPr>
        <w:t> </w:t>
      </w:r>
      <w:r>
        <w:rPr>
          <w:spacing w:val="-66"/>
        </w:rPr>
      </w:r>
      <w:r>
        <w:rPr/>
        <w:t>可回收金额时涉及的关键假设包括收入增长率、毛利率、费用率及折现率</w:t>
      </w:r>
      <w:r>
        <w:rPr>
          <w:rFonts w:ascii="Times New Roman" w:hAnsi="Times New Roman" w:cs="Times New Roman" w:eastAsia="Times New Roman" w:hint="default"/>
        </w:rPr>
        <w:t>,</w:t>
      </w:r>
      <w:r>
        <w:rPr/>
        <w:t>由于上述商誉的减值测试涉及重大会计估计和判</w:t>
      </w:r>
      <w:r>
        <w:rPr>
          <w:spacing w:val="-45"/>
        </w:rPr>
        <w:t> </w:t>
      </w:r>
      <w:r>
        <w:rPr>
          <w:spacing w:val="-45"/>
        </w:rPr>
      </w:r>
      <w:r>
        <w:rPr>
          <w:spacing w:val="-2"/>
        </w:rPr>
        <w:t>断，且五洋停车公司商誉余额较大，商誉减值准备的计提是否准确对其经营成果产生重大影响，因此我们将商誉的减值测试</w:t>
      </w:r>
    </w:p>
    <w:p>
      <w:pPr>
        <w:spacing w:after="0" w:line="31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识别为关键审计事项。</w:t>
      </w:r>
    </w:p>
    <w:p>
      <w:pPr>
        <w:pStyle w:val="BodyText"/>
        <w:spacing w:line="300" w:lineRule="auto" w:before="77"/>
        <w:ind w:left="513" w:right="6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我们针对商誉的减值事项实施的主要审计程序包括：</w:t>
      </w:r>
    </w:p>
    <w:p>
      <w:pPr>
        <w:pStyle w:val="BodyText"/>
        <w:spacing w:line="300" w:lineRule="auto" w:before="31"/>
        <w:ind w:right="1139" w:firstLine="360"/>
        <w:jc w:val="both"/>
      </w:pPr>
      <w:r>
        <w:rPr>
          <w:rFonts w:ascii="Times New Roman" w:hAnsi="Times New Roman" w:cs="Times New Roman" w:eastAsia="Times New Roman" w:hint="default"/>
        </w:rPr>
        <w:t>(1)</w:t>
      </w:r>
      <w:r>
        <w:rPr/>
        <w:t>了解、评估并测试五洋停车公司与商誉减值测试相关的内部控制的设计及执行有效性，包括关键假设的采用及减值</w:t>
      </w:r>
      <w:r>
        <w:rPr>
          <w:w w:val="99"/>
        </w:rPr>
        <w:t> </w:t>
      </w:r>
      <w:r>
        <w:rPr/>
        <w:t>计提金额的复核及审批；</w:t>
      </w:r>
    </w:p>
    <w:p>
      <w:pPr>
        <w:pStyle w:val="BodyText"/>
        <w:spacing w:line="300" w:lineRule="auto" w:before="31"/>
        <w:ind w:right="1126" w:firstLine="360"/>
        <w:jc w:val="both"/>
      </w:pPr>
      <w:r>
        <w:rPr>
          <w:rFonts w:ascii="Times New Roman" w:hAnsi="Times New Roman" w:cs="Times New Roman" w:eastAsia="Times New Roman" w:hint="default"/>
        </w:rPr>
        <w:t>(2)</w:t>
      </w:r>
      <w:r>
        <w:rPr/>
        <w:t>获取管理层编制的各资产组商誉的减值测试表，将管理层</w:t>
      </w:r>
      <w:r>
        <w:rPr>
          <w:spacing w:val="-21"/>
        </w:rPr>
        <w:t> </w:t>
      </w:r>
      <w:r>
        <w:rPr>
          <w:rFonts w:ascii="Times New Roman" w:hAnsi="Times New Roman" w:cs="Times New Roman" w:eastAsia="Times New Roman" w:hint="default"/>
        </w:rPr>
        <w:t>2018</w:t>
      </w:r>
      <w:r>
        <w:rPr/>
        <w:t>年商誉减值测试表中对</w:t>
      </w:r>
      <w:r>
        <w:rPr>
          <w:rFonts w:ascii="Times New Roman" w:hAnsi="Times New Roman" w:cs="Times New Roman" w:eastAsia="Times New Roman" w:hint="default"/>
        </w:rPr>
        <w:t>2019</w:t>
      </w:r>
      <w:r>
        <w:rPr/>
        <w:t>年的预测及</w:t>
      </w:r>
      <w:r>
        <w:rPr>
          <w:rFonts w:ascii="Times New Roman" w:hAnsi="Times New Roman" w:cs="Times New Roman" w:eastAsia="Times New Roman" w:hint="default"/>
        </w:rPr>
        <w:t>2019</w:t>
      </w:r>
      <w:r>
        <w:rPr/>
        <w:t>年实际情</w:t>
      </w:r>
      <w:r>
        <w:rPr>
          <w:w w:val="99"/>
        </w:rPr>
        <w:t> </w:t>
      </w:r>
      <w:r>
        <w:rPr/>
        <w:t>况进行对比，考虑管理层的商誉减值测试评估过程是否存在管理层偏见，以及确定管理层是否需要根据最新情况在 </w:t>
      </w:r>
      <w:r>
        <w:rPr>
          <w:rFonts w:ascii="Times New Roman" w:hAnsi="Times New Roman" w:cs="Times New Roman" w:eastAsia="Times New Roman" w:hint="default"/>
        </w:rPr>
        <w:t>2019</w:t>
      </w:r>
      <w:r>
        <w:rPr/>
        <w:t>年</w:t>
      </w:r>
      <w:r>
        <w:rPr>
          <w:spacing w:val="-82"/>
        </w:rPr>
        <w:t> </w:t>
      </w:r>
      <w:r>
        <w:rPr/>
        <w:t>减值测试表中调整未来关键经营假设，从而反映最新的市场情况及管理层预期；</w:t>
      </w:r>
    </w:p>
    <w:p>
      <w:pPr>
        <w:pStyle w:val="BodyText"/>
        <w:spacing w:line="300" w:lineRule="auto" w:before="31"/>
        <w:ind w:right="1139" w:firstLine="360"/>
        <w:jc w:val="both"/>
      </w:pPr>
      <w:r>
        <w:rPr>
          <w:rFonts w:ascii="Times New Roman" w:hAnsi="Times New Roman" w:cs="Times New Roman" w:eastAsia="Times New Roman" w:hint="default"/>
        </w:rPr>
        <w:t>(3)</w:t>
      </w:r>
      <w:r>
        <w:rPr/>
        <w:t>综合考虑各资产组的历史运营情况、行业走势及新的市场机会及由于规模效应带来的成本及费用节约，对管理层使</w:t>
      </w:r>
      <w:r>
        <w:rPr>
          <w:w w:val="99"/>
        </w:rPr>
        <w:t> </w:t>
      </w:r>
      <w:r>
        <w:rPr/>
        <w:t>用的未来收入增长率、毛利率和费用率假设进行了合理性分析；</w:t>
      </w:r>
    </w:p>
    <w:p>
      <w:pPr>
        <w:pStyle w:val="BodyText"/>
        <w:spacing w:line="300" w:lineRule="auto" w:before="31"/>
        <w:ind w:right="1131" w:firstLine="360"/>
        <w:jc w:val="both"/>
      </w:pPr>
      <w:r>
        <w:rPr>
          <w:rFonts w:ascii="Times New Roman" w:hAnsi="Times New Roman" w:cs="Times New Roman" w:eastAsia="Times New Roman" w:hint="default"/>
        </w:rPr>
        <w:t>(4)</w:t>
      </w:r>
      <w:r>
        <w:rPr/>
        <w:t>利用外部评估专家的工作，对各资产组形成的商誉进行专项减值测试。与管理层及外部评估专家讨论，了解、评估</w:t>
      </w:r>
      <w:r>
        <w:rPr>
          <w:w w:val="99"/>
        </w:rPr>
        <w:t> </w:t>
      </w:r>
      <w:r>
        <w:rPr>
          <w:spacing w:val="-1"/>
        </w:rPr>
        <w:t>减值测试结果中最为敏感的假设</w:t>
      </w:r>
      <w:r>
        <w:rPr>
          <w:rFonts w:ascii="Times New Roman" w:hAnsi="Times New Roman" w:cs="Times New Roman" w:eastAsia="Times New Roman" w:hint="default"/>
          <w:spacing w:val="-1"/>
        </w:rPr>
        <w:t>(</w:t>
      </w:r>
      <w:r>
        <w:rPr>
          <w:spacing w:val="-1"/>
        </w:rPr>
        <w:t>如毛利率及折现率</w:t>
      </w:r>
      <w:r>
        <w:rPr>
          <w:rFonts w:ascii="Times New Roman" w:hAnsi="Times New Roman" w:cs="Times New Roman" w:eastAsia="Times New Roman" w:hint="default"/>
          <w:spacing w:val="-1"/>
        </w:rPr>
        <w:t>)</w:t>
      </w:r>
      <w:r>
        <w:rPr>
          <w:spacing w:val="-1"/>
        </w:rPr>
        <w:t>，并进行敏感性测试，分析检查管理层采用的假设的恰当性及相关披露</w:t>
      </w:r>
      <w:r>
        <w:rPr>
          <w:spacing w:val="-60"/>
        </w:rPr>
        <w:t> </w:t>
      </w:r>
      <w:r>
        <w:rPr>
          <w:spacing w:val="-60"/>
        </w:rPr>
      </w:r>
      <w:r>
        <w:rPr/>
        <w:t>是否适当；</w:t>
      </w:r>
    </w:p>
    <w:p>
      <w:pPr>
        <w:pStyle w:val="BodyText"/>
        <w:spacing w:line="300" w:lineRule="auto" w:before="32"/>
        <w:ind w:left="513" w:right="4963"/>
        <w:jc w:val="left"/>
        <w:rPr>
          <w:rFonts w:ascii="宋体" w:hAnsi="宋体" w:cs="宋体" w:eastAsia="宋体" w:hint="default"/>
        </w:rPr>
      </w:pPr>
      <w:r>
        <w:rPr>
          <w:rFonts w:ascii="Times New Roman" w:hAnsi="Times New Roman" w:cs="Times New Roman" w:eastAsia="Times New Roman" w:hint="default"/>
        </w:rPr>
        <w:t>(5)</w:t>
      </w:r>
      <w:r>
        <w:rPr/>
        <w:t>检查管理层对商誉及其减值估计结果、财务报表的列报是否恰当。</w:t>
      </w:r>
      <w:r>
        <w:rPr>
          <w:w w:val="99"/>
        </w:rPr>
        <w:t> </w:t>
      </w:r>
      <w:r>
        <w:rPr>
          <w:rFonts w:ascii="宋体" w:hAnsi="宋体" w:cs="宋体" w:eastAsia="宋体" w:hint="default"/>
          <w:b/>
          <w:bCs/>
        </w:rPr>
        <w:t>四、其他信息</w:t>
      </w:r>
      <w:r>
        <w:rPr>
          <w:rFonts w:ascii="宋体" w:hAnsi="宋体" w:cs="宋体" w:eastAsia="宋体" w:hint="default"/>
        </w:rPr>
      </w:r>
    </w:p>
    <w:p>
      <w:pPr>
        <w:pStyle w:val="BodyText"/>
        <w:spacing w:line="316" w:lineRule="auto" w:before="31"/>
        <w:ind w:left="513" w:right="986"/>
        <w:jc w:val="left"/>
      </w:pP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986"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986"/>
        <w:jc w:val="left"/>
      </w:pPr>
      <w:r>
        <w:rPr/>
        <w:t>报告。</w:t>
      </w:r>
    </w:p>
    <w:p>
      <w:pPr>
        <w:spacing w:line="316" w:lineRule="auto" w:before="76"/>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13" w:right="986" w:hanging="361"/>
        <w:jc w:val="left"/>
      </w:pPr>
      <w:r>
        <w:rPr/>
        <w:t>务报表不存在由于舞弊或错误导致的重大错报。 </w:t>
      </w:r>
      <w:r>
        <w:rPr>
          <w:spacing w:val="-2"/>
        </w:rPr>
        <w:t>在编制财务报表时，管理层负责评估五洋停车公司的持续经营能力，披露与持续经营相关的事项（如适用），并运用持</w:t>
      </w:r>
    </w:p>
    <w:p>
      <w:pPr>
        <w:pStyle w:val="BodyText"/>
        <w:spacing w:line="316" w:lineRule="auto" w:before="19"/>
        <w:ind w:left="513" w:right="986" w:hanging="361"/>
        <w:jc w:val="left"/>
      </w:pPr>
      <w:r>
        <w:rPr/>
        <w:t>续经营假设，除非计划进行清算、终止运营或别无其他现实的选择。 五洋停车公司治理层（以下简称治理层）负责监督五洋停车公司的财务报告过程。 </w:t>
      </w:r>
      <w:r>
        <w:rPr>
          <w:rFonts w:ascii="宋体" w:hAnsi="宋体" w:cs="宋体" w:eastAsia="宋体" w:hint="default"/>
          <w:b/>
          <w:bCs/>
        </w:rPr>
        <w:t>六、注册会计师对财务报表审计的责任</w:t>
      </w:r>
      <w:r>
        <w:rPr>
          <w:rFonts w:ascii="宋体" w:hAnsi="宋体" w:cs="宋体" w:eastAsia="宋体" w:hint="default"/>
          <w:b/>
          <w:bCs/>
          <w:w w:val="99"/>
        </w:rPr>
        <w:t> </w:t>
      </w:r>
      <w:r>
        <w:rPr>
          <w:spacing w:val="-2"/>
        </w:rPr>
        <w:t>我们的目标是对财务报表整体是否不存在由于舞弊或错误导致的重大错报获取合理保证，并出具包含审计意见的审计报</w:t>
      </w:r>
    </w:p>
    <w:p>
      <w:pPr>
        <w:pStyle w:val="BodyText"/>
        <w:spacing w:line="316" w:lineRule="auto" w:before="19"/>
        <w:ind w:right="113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986"/>
        <w:jc w:val="left"/>
      </w:pPr>
      <w:r>
        <w:rPr/>
        <w:t>在按照审计准则执行审计工作的过程中，我们运用职业判断，并保持职业怀疑。同时，我们也执行以下工作：</w:t>
      </w:r>
    </w:p>
    <w:p>
      <w:pPr>
        <w:pStyle w:val="BodyText"/>
        <w:spacing w:line="309" w:lineRule="auto" w:before="76"/>
        <w:ind w:right="1034" w:firstLine="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12"/>
        <w:ind w:left="513" w:right="98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了解与审计相关的内部控制，以设计恰当的审计程序</w:t>
      </w:r>
      <w:r>
        <w:rPr>
          <w:rFonts w:ascii="宋体" w:hAnsi="宋体" w:cs="宋体" w:eastAsia="宋体" w:hint="default"/>
          <w:i/>
          <w:sz w:val="19"/>
          <w:szCs w:val="19"/>
        </w:rPr>
        <w:t>，</w:t>
      </w:r>
      <w:r>
        <w:rPr/>
        <w:t>但目的并非对内部控制的有效性发表意见。</w:t>
      </w:r>
    </w:p>
    <w:p>
      <w:pPr>
        <w:pStyle w:val="BodyText"/>
        <w:spacing w:line="240" w:lineRule="auto" w:before="63"/>
        <w:ind w:left="513" w:right="98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评价管理层选用会计政策的恰当性和作出会计估计及相关披露的合理性。</w:t>
      </w:r>
    </w:p>
    <w:p>
      <w:pPr>
        <w:pStyle w:val="BodyText"/>
        <w:spacing w:line="312" w:lineRule="auto" w:before="63"/>
        <w:ind w:right="1132" w:firstLine="36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对管理层使用持续经营假设的恰当性得出结论。同时，根据获取的审计证据，就可能导致对五洋停车公司持续经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论基于截至审计报告日可获得的信息。然而，未来的事项或情况可能导致五洋停车公司不能持续经营。</w:t>
      </w:r>
    </w:p>
    <w:p>
      <w:pPr>
        <w:pStyle w:val="BodyText"/>
        <w:spacing w:line="240" w:lineRule="auto" w:before="22"/>
        <w:ind w:left="513" w:right="98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评价财务报表的总体列报、结构和内容，并评价财务报表是否公允反映相关交易和事项。</w:t>
      </w:r>
    </w:p>
    <w:p>
      <w:pPr>
        <w:pStyle w:val="BodyText"/>
        <w:spacing w:line="240" w:lineRule="auto" w:before="62"/>
        <w:ind w:left="513" w:right="98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就五洋停车公司中实体或业务活动的财务信息获取充分、适当的审计证据，以对财务报表发表审计意见。我们负</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986" w:hanging="361"/>
        <w:jc w:val="left"/>
      </w:pPr>
      <w:r>
        <w:rPr/>
        <w:t>责指导、监督和执行集团审计，并对审计意见承担全部责任。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7"/>
        <w:ind w:left="513" w:right="986" w:hanging="361"/>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513" w:right="986" w:hanging="361"/>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316" w:lineRule="auto" w:before="19"/>
        <w:ind w:right="986"/>
        <w:jc w:val="left"/>
      </w:pP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7435" w:val="left" w:leader="none"/>
        </w:tabs>
        <w:spacing w:line="240" w:lineRule="auto" w:before="0"/>
        <w:ind w:left="3830" w:right="986"/>
        <w:jc w:val="left"/>
      </w:pPr>
      <w:r>
        <w:rPr/>
        <w:t>天健会计师事务所（特殊普通合伙）</w:t>
        <w:tab/>
        <w:t>中国注册会计师：李正卫</w:t>
      </w:r>
    </w:p>
    <w:p>
      <w:pPr>
        <w:pStyle w:val="BodyText"/>
        <w:spacing w:line="240" w:lineRule="auto" w:before="76"/>
        <w:ind w:left="0" w:right="1948"/>
        <w:jc w:val="right"/>
      </w:pPr>
      <w:r>
        <w:rPr/>
        <w:t>（项目合伙人）</w:t>
      </w:r>
    </w:p>
    <w:p>
      <w:pPr>
        <w:spacing w:line="240" w:lineRule="auto" w:before="0"/>
        <w:rPr>
          <w:rFonts w:ascii="宋体" w:hAnsi="宋体" w:cs="宋体" w:eastAsia="宋体" w:hint="default"/>
          <w:sz w:val="18"/>
          <w:szCs w:val="18"/>
        </w:rPr>
      </w:pPr>
    </w:p>
    <w:p>
      <w:pPr>
        <w:pStyle w:val="BodyText"/>
        <w:tabs>
          <w:tab w:pos="7522" w:val="left" w:leader="none"/>
        </w:tabs>
        <w:spacing w:line="602" w:lineRule="auto" w:before="153"/>
        <w:ind w:left="7570" w:right="1372" w:hanging="1731"/>
        <w:jc w:val="right"/>
      </w:pPr>
      <w:r>
        <w:rPr>
          <w:spacing w:val="-1"/>
        </w:rPr>
        <w:t>中国</w:t>
      </w:r>
      <w:r>
        <w:rPr>
          <w:rFonts w:ascii="Times New Roman" w:hAnsi="Times New Roman" w:cs="Times New Roman" w:eastAsia="Times New Roman" w:hint="default"/>
          <w:spacing w:val="-1"/>
        </w:rPr>
        <w:t>·</w:t>
      </w:r>
      <w:r>
        <w:rPr>
          <w:spacing w:val="-1"/>
        </w:rPr>
        <w:t>杭州</w:t>
        <w:tab/>
      </w:r>
      <w:r>
        <w:rPr/>
        <w:t>中国注册会计师：梁政洪</w:t>
      </w:r>
      <w:r>
        <w:rPr/>
        <w:t> 二〇二〇年四月二十四日</w:t>
      </w:r>
    </w:p>
    <w:p>
      <w:pPr>
        <w:spacing w:line="240" w:lineRule="auto" w:before="0"/>
        <w:rPr>
          <w:rFonts w:ascii="宋体" w:hAnsi="宋体" w:cs="宋体" w:eastAsia="宋体" w:hint="default"/>
          <w:sz w:val="18"/>
          <w:szCs w:val="18"/>
        </w:rPr>
      </w:pPr>
    </w:p>
    <w:p>
      <w:pPr>
        <w:pStyle w:val="Heading2"/>
        <w:spacing w:line="240" w:lineRule="auto" w:before="135"/>
        <w:ind w:right="986"/>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19"/>
        <w:jc w:val="left"/>
      </w:pPr>
      <w:r>
        <w:rPr/>
        <w:t>编制单位：江苏五洋停车产业集团股份有限公司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934" w:space="142"/>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134,762,086.27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107,746,044.51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55,610,191.47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795,124,323.86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631,391,344.65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50,644,291.00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41,912,619.15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41,052,477.65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71,239,694.88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45,796,303.04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437,040,554.79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302,802,265.55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11,480,475.38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37,907,564.98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8,065,048.45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68,050,230.20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1,616,269,093.78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1,290,356,422.05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43,567,927.65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9,392,338.57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7,706,012.73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6,473,592.16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282,312,139.15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200,769,175.74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10,140,636.58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52,277,662.89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104,690,847.30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110,959,875.50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502,121,693.24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502,121,693.24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7,110,207.70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6,378,934.78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26,089,845.30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20,270,480.83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11,719,792.00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3,631,620.81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1,185,539,101.65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912,275,374.52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2,801,808,195.43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2,202,631,796.57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227,727,794.77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47,638,676.00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45,469,050.00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288,453,439.99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200,682,158.35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214,522,664.42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146,480,149.20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20,405,445.03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15,290,067.56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40,368,244.61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45,107,735.73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140,522,682.41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107,940,595.50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979,638,947.23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610,969,756.34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1,766,739.06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1,766,739.06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17,444,349.35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14,781,914.33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19,211,088.41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16,548,653.39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998,850,035.64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627,518,409.73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715,630,489.00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715,630,489.00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471,152,843.70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471,152,843.70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19,269,905.15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17,006,833.68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471,174,795.98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344,518,369.74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1,677,228,033.83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1,548,308,536.12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125,730,125.96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26,804,850.72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1,802,958,159.79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1,575,113,386.84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2,801,808,195.43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2,202,631,796.57</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ind w:left="0" w:right="1224"/>
        <w:jc w:val="right"/>
      </w:pPr>
      <w:r>
        <w:rPr/>
        <w:t>法定代表人：侯友夫</w:t>
        <w:tab/>
      </w:r>
      <w:r>
        <w:rPr>
          <w:spacing w:val="-1"/>
        </w:rPr>
        <w:t>主管会计工作负责人：王兆勇</w:t>
        <w:tab/>
      </w:r>
      <w:r>
        <w:rPr/>
        <w:t>会计机构负责人：王侠</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951"/>
        <w:gridCol w:w="3299"/>
        <w:gridCol w:w="3303"/>
      </w:tblGrid>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12,840,068.64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5,612,369.40</w:t>
            </w:r>
          </w:p>
        </w:tc>
      </w:tr>
      <w:tr>
        <w:trPr>
          <w:trHeight w:val="403" w:hRule="exact"/>
        </w:trPr>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44,469,075.24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72,208,070.20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70,671,943.80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42,951,761.13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1,417,214.79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1,345,027.55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58,169,557.62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66,744,355.29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19,061,551.24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20,465,619.68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209,648,223.62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271,508,390.96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1,237,457,201.65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1,084,374,781.08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33,590,625.43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30,164,303.74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6,116,560.16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5,250,345.05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5,523,334.13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3,383,292.14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3,961,034.84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1,279,681,464.27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1,130,342,013.95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1,489,329,687.89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1,401,850,404.91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70,090,070.14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29,681,690.00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5,052,450.00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21,590,575.40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19,400,991.77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16,721,654.36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13,216,387.76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1,454,610.96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1,585,370.08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2,337,019.98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3,881,241.18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52,204,147.55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38,416,431.27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194,079,768.39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101,552,872.06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5,066,666.67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5,066,666.67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197,946,435.06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106,619,538.73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715,630,489.00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715,630,489.00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469,654,228.82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469,654,228.82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19,269,905.15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17,006,833.68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86,828,629.86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92,939,314.68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1,291,383,252.83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1,295,230,866.18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1,489,329,687.89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1,401,850,404.91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1,291,377,836.40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1,002,076,417.42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1,291,377,836.40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1,002,076,417.42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1,099,686,075.31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860,029,674.58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848,517,332.41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651,361,825.25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80.149994pt;width:158.9pt;height:20.65pt;mso-position-horizontal-relative:page;mso-position-vertical-relative:page;z-index:-1177000" coordorigin="4220,7603" coordsize="3178,413">
            <v:group style="position:absolute;left:4231;top:7614;width:2;height:392" coordorigin="4231,7614" coordsize="2,392">
              <v:shape style="position:absolute;left:4231;top:7614;width:2;height:392" coordorigin="4231,7614" coordsize="0,392" path="m4231,7614l4231,8005e" filled="false" stroked="true" strokeweight="1.08pt" strokecolor="#ffffff">
                <v:path arrowok="t"/>
              </v:shape>
            </v:group>
            <v:group style="position:absolute;left:4242;top:7614;width:3157;height:392" coordorigin="4242,7614" coordsize="3157,392">
              <v:shape style="position:absolute;left:4242;top:7614;width:3157;height:392" coordorigin="4242,7614" coordsize="3157,392" path="m4242,8005l7398,8005,7398,7614,4242,7614,4242,8005xe" filled="true" fillcolor="#ffffff" stroked="false">
                <v:path arrowok="t"/>
                <v:fill type="solid"/>
              </v:shape>
            </v:group>
            <w10:wrap type="none"/>
          </v:group>
        </w:pict>
      </w:r>
      <w:r>
        <w:rPr/>
        <w:pict>
          <v:group style="position:absolute;margin-left:211.009995pt;margin-top:639.015991pt;width:158.9pt;height:20.7pt;mso-position-horizontal-relative:page;mso-position-vertical-relative:page;z-index:-1176976" coordorigin="4220,12780" coordsize="3178,414">
            <v:group style="position:absolute;left:4231;top:12791;width:2;height:392" coordorigin="4231,12791" coordsize="2,392">
              <v:shape style="position:absolute;left:4231;top:12791;width:2;height:392" coordorigin="4231,12791" coordsize="0,392" path="m4231,12791l4231,13183e" filled="false" stroked="true" strokeweight="1.08pt" strokecolor="#ffffff">
                <v:path arrowok="t"/>
              </v:shape>
            </v:group>
            <v:group style="position:absolute;left:4242;top:12791;width:3157;height:392" coordorigin="4242,12791" coordsize="3157,392">
              <v:shape style="position:absolute;left:4242;top:12791;width:3157;height:392" coordorigin="4242,12791" coordsize="3157,392" path="m4242,13183l7398,13183,7398,12791,4242,12791,4242,1318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8,925,893.50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8,352,043.15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89,940,224.85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75,507,986.44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66,372,988.94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59,789,097.09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73,046,221.98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59,234,455.97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12,883,413.63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5,784,266.68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12,802,881.87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5,418,774.48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619,818.33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265,652.95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15,154,005.12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21,488,361.03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-311,245.81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2,921,855.13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-1,383,579.43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-1,032,620.51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-33,894,363.62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-618,393.76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-20,479,224.42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124,217.43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630,587.13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172,145,980.45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146,608,321.71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788,837.44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507,123.67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1,357,495.86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3,341,122.66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171,577,322.03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143,774,322.72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18,666,958.49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14,491,421.69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152,910,363.54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129,282,901.03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152,910,363.54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129,282,901.03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155,397,825.80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130,995,099.47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-2,487,462.26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-1,712,198.44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-407,847.65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407,847.65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152,910,363.54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129,282,901.03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155,397,825.80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130,995,099.47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-2,487,462.26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-1,712,198.44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pStyle w:val="BodyText"/>
        <w:tabs>
          <w:tab w:pos="3667" w:val="left" w:leader="none"/>
          <w:tab w:pos="7899" w:val="left" w:leader="none"/>
        </w:tabs>
        <w:spacing w:line="621" w:lineRule="auto" w:before="49"/>
        <w:ind w:right="1224"/>
        <w:jc w:val="left"/>
      </w:pPr>
      <w:r>
        <w:rPr/>
        <w:t>本期发生同一控制下企业合并的，被合并方在合并前实现的净利润为：元，上期被合并方实现的净利润为：元。 法定代表人：侯友夫</w:t>
        <w:tab/>
      </w:r>
      <w:r>
        <w:rPr>
          <w:spacing w:val="-1"/>
        </w:rPr>
        <w:t>主管会计工作负责人：王兆勇</w:t>
        <w:tab/>
      </w:r>
      <w:r>
        <w:rPr/>
        <w:t>会计机构负责人：王侠</w:t>
      </w:r>
    </w:p>
    <w:p>
      <w:pPr>
        <w:pStyle w:val="Heading3"/>
        <w:spacing w:line="240" w:lineRule="auto" w:before="70"/>
        <w:ind w:right="98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117,614,771.23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113,869,791.88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64,866,480.07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66,037,793.58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1,521,645.59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1,381,354.73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18,145,210.93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19,166,432.54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9,132,408.06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7,118,807.97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8,051,399.72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8,747,845.08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535,248.89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-958,241.25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2,533,893.79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541,792.52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2,026,814.69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1,517,982.17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9,516,163.19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7,197,955.43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-843,949.03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1,188,955.19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-1,383,579.43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-1,032,620.51</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1,938,449.17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-1,788,719.31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173,376.40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25,970,169.73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19,147,366.94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5,606.94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32,238.41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25,975,449.67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19,115,326.17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3,344,734.93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2,165,487.75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22,630,714.74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16,949,838.42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22,630,714.74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16,949,838.42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22,630,714.74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16,949,838.42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1,176,628,532.06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987,231,853.63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5,043,091.08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3,855,170.94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25,910,755.20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35,860,414.55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1,207,582,378.34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1,026,947,439.12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799,068,066.32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784,579,470.06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169,420,346.95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148,176,068.19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77,405,966.95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60,836,541.20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133,466,981.52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115,560,547.33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1,179,361,361.74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1,109,152,626.78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28,221,016.60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-82,205,187.66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1,072,333.62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3,948,515.59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4,088,879.62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546,773.29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7,225,313.62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40,284,168.50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28,963,389.89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63,452,606.36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202,496,000.00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-526,920.52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56,351.64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43,355,155.05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31,191,738.64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274,287,624.42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94,700,696.64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-267,062,310.80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-54,416,528.14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279,246,379.73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82,748,611.12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437,871,379.73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141,248,611.12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34,171,833.29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32,889,107.02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50,691,351.24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39,085,471.89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187,873,184.53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102,174,578.91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249,998,195.20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39,074,032.21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11,156,994.74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-97,547,683.90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60,594,501.34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158,142,185.24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71,751,496.08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60,594,501.34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93,027,485.53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88,552,187.97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3,137,163.19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1,199,155.43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40,401,869.11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30,356,522.20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136,566,517.83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120,107,865.60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46,946,226.34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46,568,444.46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13,115,480.65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12,425,198.21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13,697,206.46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9,666,638.64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25,556,671.96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22,957,983.60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99,315,585.41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91,618,264.91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37,250,932.42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28,489,600.69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539,630.40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2,356,878.11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547,197.59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95,914,878.67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11,589,105.78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96,464,509.07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14,736,181.48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1,264,816.69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11,871,186.35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154,466,000.00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24,506,351.64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156,030,816.69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55,227,537.99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-59,566,307.62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-40,491,356.51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28,957,474.37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31,004,029.46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113,967,474.37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31,204,029.46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30,042,525.63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-11,204,029.46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7,727,150.43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-23,205,785.28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3,612,236.07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26,818,021.35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11,339,386.50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3,612,236.07</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92"/>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623"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715,6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344,51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1,548,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308,53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113,38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6.84</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715,6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344,51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1,548,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308,53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1,575,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113,38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6.84</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071.47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126,65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6,426.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9,497.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227,84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4,772.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95</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155,39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7,825.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155,39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7,825.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462.26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152,91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0,363.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54</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101,41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2,737.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101,41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2,737.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50</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101,02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101,02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387,73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7.50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387,73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7.50</w:t>
            </w:r>
          </w:p>
        </w:tc>
      </w:tr>
      <w:tr>
        <w:trPr>
          <w:trHeight w:val="392"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17"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071.47</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1,399.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8,328.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09</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8,328.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09</w:t>
            </w:r>
          </w:p>
        </w:tc>
      </w:tr>
      <w:tr>
        <w:trPr>
          <w:trHeight w:val="39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071.47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-2,263,</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071.47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8,328.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8,328.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8,328.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09</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715,6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471,17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4,795.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1,677,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125,73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0,125.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1,802,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958,15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9.79</w:t>
            </w:r>
          </w:p>
        </w:tc>
      </w:tr>
    </w:tbl>
    <w:p>
      <w:pPr>
        <w:pStyle w:val="BodyText"/>
        <w:spacing w:line="240" w:lineRule="auto" w:before="49"/>
        <w:ind w:right="986"/>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23"/>
        <w:gridCol w:w="490"/>
        <w:gridCol w:w="438"/>
        <w:gridCol w:w="437"/>
        <w:gridCol w:w="492"/>
        <w:gridCol w:w="587"/>
        <w:gridCol w:w="577"/>
        <w:gridCol w:w="578"/>
        <w:gridCol w:w="575"/>
        <w:gridCol w:w="577"/>
        <w:gridCol w:w="577"/>
        <w:gridCol w:w="577"/>
        <w:gridCol w:w="578"/>
        <w:gridCol w:w="569"/>
        <w:gridCol w:w="643"/>
        <w:gridCol w:w="638"/>
      </w:tblGrid>
      <w:tr>
        <w:trPr>
          <w:trHeight w:val="401" w:hRule="exact"/>
        </w:trPr>
        <w:tc>
          <w:tcPr>
            <w:tcW w:w="1223" w:type="dxa"/>
            <w:vMerge w:val="restart"/>
            <w:tcBorders>
              <w:top w:val="single" w:sz="4" w:space="0" w:color="000000"/>
              <w:left w:val="single" w:sz="4" w:space="0" w:color="000000"/>
              <w:right w:val="single" w:sz="4" w:space="0" w:color="000000"/>
            </w:tcBorders>
            <w:shd w:val="clear" w:color="auto" w:fill="D2D2D2"/>
          </w:tcPr>
          <w:p>
            <w:pPr/>
          </w:p>
        </w:tc>
        <w:tc>
          <w:tcPr>
            <w:tcW w:w="833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23" w:type="dxa"/>
            <w:vMerge/>
            <w:tcBorders>
              <w:left w:val="single" w:sz="4" w:space="0" w:color="000000"/>
              <w:right w:val="single" w:sz="4" w:space="0" w:color="000000"/>
            </w:tcBorders>
            <w:shd w:val="clear" w:color="auto" w:fill="D2D2D2"/>
          </w:tcPr>
          <w:p>
            <w:pPr/>
          </w:p>
        </w:tc>
        <w:tc>
          <w:tcPr>
            <w:tcW w:w="7053"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23" w:type="dxa"/>
            <w:vMerge/>
            <w:tcBorders>
              <w:left w:val="single" w:sz="4" w:space="0" w:color="000000"/>
              <w:bottom w:val="single" w:sz="4" w:space="0" w:color="FFFFFF"/>
              <w:right w:val="single" w:sz="4" w:space="0" w:color="000000"/>
            </w:tcBorders>
            <w:shd w:val="clear" w:color="auto" w:fill="D2D2D2"/>
          </w:tcPr>
          <w:p>
            <w:pPr/>
          </w:p>
        </w:tc>
        <w:tc>
          <w:tcPr>
            <w:tcW w:w="7053" w:type="dxa"/>
            <w:gridSpan w:val="13"/>
            <w:vMerge/>
            <w:tcBorders>
              <w:left w:val="single" w:sz="4" w:space="0" w:color="000000"/>
              <w:bottom w:val="single" w:sz="4" w:space="0" w:color="FFFFFF"/>
              <w:right w:val="single" w:sz="4" w:space="0" w:color="000000"/>
            </w:tcBorders>
            <w:shd w:val="clear" w:color="auto" w:fill="D2D2D2"/>
          </w:tcPr>
          <w:p>
            <w:pPr/>
          </w:p>
        </w:tc>
        <w:tc>
          <w:tcPr>
            <w:tcW w:w="643" w:type="dxa"/>
            <w:vMerge/>
            <w:tcBorders>
              <w:left w:val="single" w:sz="4" w:space="0" w:color="000000"/>
              <w:bottom w:val="single" w:sz="4" w:space="0" w:color="FFFFFF"/>
              <w:right w:val="single" w:sz="4" w:space="0" w:color="000000"/>
            </w:tcBorders>
            <w:shd w:val="clear" w:color="auto" w:fill="D2D2D2"/>
          </w:tcPr>
          <w:p>
            <w:pPr/>
          </w:p>
        </w:tc>
        <w:tc>
          <w:tcPr>
            <w:tcW w:w="6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2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67"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7" w:type="dxa"/>
            <w:tcBorders>
              <w:top w:val="single" w:sz="4" w:space="0" w:color="FFFFFF"/>
              <w:left w:val="single" w:sz="4" w:space="0" w:color="000000"/>
              <w:bottom w:val="nil" w:sz="6" w:space="0" w:color="auto"/>
              <w:right w:val="single" w:sz="4" w:space="0" w:color="000000"/>
            </w:tcBorders>
            <w:shd w:val="clear" w:color="auto" w:fill="D2D2D2"/>
          </w:tcPr>
          <w:p>
            <w:pPr/>
          </w:p>
        </w:tc>
        <w:tc>
          <w:tcPr>
            <w:tcW w:w="577"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1"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5" w:type="dxa"/>
            <w:tcBorders>
              <w:top w:val="single" w:sz="4" w:space="0" w:color="FFFFFF"/>
              <w:left w:val="single" w:sz="4" w:space="0" w:color="000000"/>
              <w:bottom w:val="nil" w:sz="6" w:space="0" w:color="auto"/>
              <w:right w:val="single" w:sz="4" w:space="0" w:color="000000"/>
            </w:tcBorders>
            <w:shd w:val="clear" w:color="auto" w:fill="D2D2D2"/>
          </w:tcPr>
          <w:p>
            <w:pPr/>
          </w:p>
        </w:tc>
        <w:tc>
          <w:tcPr>
            <w:tcW w:w="577" w:type="dxa"/>
            <w:tcBorders>
              <w:top w:val="single" w:sz="4" w:space="0" w:color="FFFFFF"/>
              <w:left w:val="single" w:sz="4" w:space="0" w:color="000000"/>
              <w:bottom w:val="nil" w:sz="6" w:space="0" w:color="auto"/>
              <w:right w:val="single" w:sz="4" w:space="0" w:color="000000"/>
            </w:tcBorders>
            <w:shd w:val="clear" w:color="auto" w:fill="D2D2D2"/>
          </w:tcPr>
          <w:p>
            <w:pPr/>
          </w:p>
        </w:tc>
        <w:tc>
          <w:tcPr>
            <w:tcW w:w="57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2"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7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9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8"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3"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49"/>
              <w:ind w:left="48"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38" w:type="dxa"/>
            <w:vMerge/>
            <w:tcBorders>
              <w:left w:val="single" w:sz="4" w:space="0" w:color="000000"/>
              <w:right w:val="single" w:sz="4" w:space="0" w:color="000000"/>
            </w:tcBorders>
            <w:shd w:val="clear" w:color="auto" w:fill="D2D2D2"/>
          </w:tcPr>
          <w:p>
            <w:pPr/>
          </w:p>
        </w:tc>
      </w:tr>
      <w:tr>
        <w:trPr>
          <w:trHeight w:val="164" w:hRule="exact"/>
        </w:trPr>
        <w:tc>
          <w:tcPr>
            <w:tcW w:w="1223"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67" w:type="dxa"/>
            <w:gridSpan w:val="3"/>
            <w:vMerge/>
            <w:tcBorders>
              <w:left w:val="single" w:sz="4" w:space="0" w:color="000000"/>
              <w:bottom w:val="single" w:sz="4" w:space="0" w:color="000000"/>
              <w:right w:val="single" w:sz="4" w:space="0" w:color="000000"/>
            </w:tcBorders>
            <w:shd w:val="clear" w:color="auto" w:fill="D2D2D2"/>
          </w:tcPr>
          <w:p>
            <w:pPr/>
          </w:p>
        </w:tc>
        <w:tc>
          <w:tcPr>
            <w:tcW w:w="5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14"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20"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2"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191" w:hRule="exact"/>
        </w:trPr>
        <w:tc>
          <w:tcPr>
            <w:tcW w:w="1223"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4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17" w:right="3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8" w:right="25"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8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5"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1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192" w:hRule="exact"/>
        </w:trPr>
        <w:tc>
          <w:tcPr>
            <w:tcW w:w="122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38" w:type="dxa"/>
            <w:vMerge/>
            <w:tcBorders>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5"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133" w:hRule="exact"/>
        </w:trPr>
        <w:tc>
          <w:tcPr>
            <w:tcW w:w="122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38" w:type="dxa"/>
            <w:vMerge/>
            <w:tcBorders>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587"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5"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
        </w:tc>
        <w:tc>
          <w:tcPr>
            <w:tcW w:w="638"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23"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38" w:type="dxa"/>
            <w:vMerge/>
            <w:tcBorders>
              <w:left w:val="single" w:sz="4" w:space="0" w:color="000000"/>
              <w:bottom w:val="single" w:sz="4" w:space="0" w:color="000000"/>
              <w:right w:val="single" w:sz="4" w:space="0" w:color="000000"/>
            </w:tcBorders>
            <w:shd w:val="clear" w:color="auto" w:fill="D2D2D2"/>
          </w:tcPr>
          <w:p>
            <w:pPr/>
          </w:p>
        </w:tc>
        <w:tc>
          <w:tcPr>
            <w:tcW w:w="437"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一、上年期末</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37" w:right="0"/>
              <w:jc w:val="left"/>
              <w:rPr>
                <w:rFonts w:ascii="Times New Roman" w:hAnsi="Times New Roman" w:cs="Times New Roman" w:eastAsia="Times New Roman" w:hint="default"/>
                <w:sz w:val="18"/>
                <w:szCs w:val="18"/>
              </w:rPr>
            </w:pPr>
            <w:r>
              <w:rPr>
                <w:rFonts w:ascii="Times New Roman"/>
                <w:sz w:val="18"/>
              </w:rPr>
              <w:t>511,1</w:t>
            </w:r>
          </w:p>
        </w:tc>
        <w:tc>
          <w:tcPr>
            <w:tcW w:w="438"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1" w:right="0"/>
              <w:jc w:val="left"/>
              <w:rPr>
                <w:rFonts w:ascii="Times New Roman" w:hAnsi="Times New Roman" w:cs="Times New Roman" w:eastAsia="Times New Roman" w:hint="default"/>
                <w:sz w:val="18"/>
                <w:szCs w:val="18"/>
              </w:rPr>
            </w:pPr>
            <w:r>
              <w:rPr>
                <w:rFonts w:ascii="Times New Roman"/>
                <w:sz w:val="18"/>
              </w:rPr>
              <w:t>674,50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22" w:space="0" w:color="D2D2D2"/>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15,311</w:t>
            </w:r>
          </w:p>
        </w:tc>
        <w:tc>
          <w:tcPr>
            <w:tcW w:w="577" w:type="dxa"/>
            <w:tcBorders>
              <w:top w:val="single" w:sz="22" w:space="0" w:color="D2D2D2"/>
              <w:left w:val="single" w:sz="4" w:space="0" w:color="000000"/>
              <w:bottom w:val="single" w:sz="4" w:space="0" w:color="000000"/>
              <w:right w:val="single" w:sz="4" w:space="0" w:color="000000"/>
            </w:tcBorders>
          </w:tcPr>
          <w:p>
            <w:pPr/>
          </w:p>
        </w:tc>
        <w:tc>
          <w:tcPr>
            <w:tcW w:w="57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7"/>
              <w:ind w:left="62" w:right="0"/>
              <w:jc w:val="left"/>
              <w:rPr>
                <w:rFonts w:ascii="Times New Roman" w:hAnsi="Times New Roman" w:cs="Times New Roman" w:eastAsia="Times New Roman" w:hint="default"/>
                <w:sz w:val="18"/>
                <w:szCs w:val="18"/>
              </w:rPr>
            </w:pPr>
            <w:r>
              <w:rPr>
                <w:rFonts w:ascii="Times New Roman"/>
                <w:sz w:val="18"/>
              </w:rPr>
              <w:t>245,88</w:t>
            </w:r>
          </w:p>
        </w:tc>
        <w:tc>
          <w:tcPr>
            <w:tcW w:w="57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4" w:right="0"/>
              <w:jc w:val="left"/>
              <w:rPr>
                <w:rFonts w:ascii="Times New Roman" w:hAnsi="Times New Roman" w:cs="Times New Roman" w:eastAsia="Times New Roman" w:hint="default"/>
                <w:sz w:val="18"/>
                <w:szCs w:val="18"/>
              </w:rPr>
            </w:pPr>
            <w:r>
              <w:rPr>
                <w:rFonts w:ascii="Times New Roman"/>
                <w:sz w:val="18"/>
              </w:rPr>
              <w:t>1,446,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21,022,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1,467,8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64,63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9,550.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8,132.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 w:right="0"/>
              <w:jc w:val="center"/>
              <w:rPr>
                <w:rFonts w:ascii="Times New Roman" w:hAnsi="Times New Roman" w:cs="Times New Roman" w:eastAsia="Times New Roman" w:hint="default"/>
                <w:sz w:val="18"/>
                <w:szCs w:val="18"/>
              </w:rPr>
            </w:pPr>
            <w:r>
              <w:rPr>
                <w:rFonts w:ascii="Times New Roman"/>
                <w:sz w:val="18"/>
              </w:rPr>
              <w:t>874,16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Times New Roman" w:hAnsi="Times New Roman" w:cs="Times New Roman" w:eastAsia="Times New Roman" w:hint="default"/>
                <w:sz w:val="18"/>
                <w:szCs w:val="18"/>
              </w:rPr>
            </w:pPr>
            <w:r>
              <w:rPr>
                <w:rFonts w:ascii="Times New Roman"/>
                <w:sz w:val="18"/>
              </w:rPr>
              <w:t>204.59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96,372.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511,1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64,63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674,50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9,550.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15,311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245,88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8,132.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874,16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21,022,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204.59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96,372.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65,85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-203,3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56,706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1,694,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983.84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101,43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5,782,6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107,217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,014.73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130,99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5,099.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130,99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5,099.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198.44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129,282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,901.03</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147.23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147.23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7,494,8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44.57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8,603,9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91.80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147.23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147.23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155.43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103,991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1,694,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983.84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-32,36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4,861.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9,878.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-30,669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,878.10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1,694,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983.84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-1,694,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983.84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9,878.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9,878.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-30,669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,878.10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65,85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65,854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65,85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4.00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65,854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715,6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471,15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344,51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1,548,</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308,53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6.12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26,804,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850.72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1,575,1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6"/>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986"/>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95"/>
        <w:gridCol w:w="652"/>
        <w:gridCol w:w="593"/>
        <w:gridCol w:w="603"/>
        <w:gridCol w:w="606"/>
        <w:gridCol w:w="726"/>
        <w:gridCol w:w="728"/>
        <w:gridCol w:w="725"/>
        <w:gridCol w:w="727"/>
        <w:gridCol w:w="727"/>
        <w:gridCol w:w="604"/>
        <w:gridCol w:w="721"/>
        <w:gridCol w:w="862"/>
      </w:tblGrid>
      <w:tr>
        <w:trPr>
          <w:trHeight w:val="401"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7"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18"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5"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02" w:type="dxa"/>
            <w:gridSpan w:val="3"/>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7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5" w:type="dxa"/>
            <w:vMerge w:val="restart"/>
            <w:tcBorders>
              <w:top w:val="nil" w:sz="6" w:space="0" w:color="auto"/>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721"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5" w:type="dxa"/>
            <w:vMerge/>
            <w:tcBorders>
              <w:left w:val="single" w:sz="4" w:space="0" w:color="000000"/>
              <w:bottom w:val="single" w:sz="4" w:space="0" w:color="000000"/>
              <w:right w:val="single" w:sz="4" w:space="0" w:color="000000"/>
            </w:tcBorders>
            <w:shd w:val="clear" w:color="auto" w:fill="D2D2D2"/>
          </w:tcPr>
          <w:p>
            <w:pPr/>
          </w:p>
        </w:tc>
        <w:tc>
          <w:tcPr>
            <w:tcW w:w="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6"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一、上年期末余</w:t>
            </w:r>
          </w:p>
        </w:tc>
        <w:tc>
          <w:tcPr>
            <w:tcW w:w="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4"/>
              <w:ind w:left="104" w:right="0"/>
              <w:jc w:val="left"/>
              <w:rPr>
                <w:rFonts w:ascii="Times New Roman" w:hAnsi="Times New Roman" w:cs="Times New Roman" w:eastAsia="Times New Roman" w:hint="default"/>
                <w:sz w:val="18"/>
                <w:szCs w:val="18"/>
              </w:rPr>
            </w:pPr>
            <w:r>
              <w:rPr>
                <w:rFonts w:ascii="Times New Roman"/>
                <w:sz w:val="18"/>
              </w:rPr>
              <w:t>715,63</w:t>
            </w:r>
          </w:p>
        </w:tc>
        <w:tc>
          <w:tcPr>
            <w:tcW w:w="593"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17"/>
              <w:ind w:left="61" w:right="0"/>
              <w:jc w:val="left"/>
              <w:rPr>
                <w:rFonts w:ascii="Times New Roman" w:hAnsi="Times New Roman" w:cs="Times New Roman" w:eastAsia="Times New Roman" w:hint="default"/>
                <w:sz w:val="18"/>
                <w:szCs w:val="18"/>
              </w:rPr>
            </w:pPr>
            <w:r>
              <w:rPr>
                <w:rFonts w:ascii="Times New Roman"/>
                <w:sz w:val="18"/>
              </w:rPr>
              <w:t>469,654,</w:t>
            </w:r>
          </w:p>
        </w:tc>
        <w:tc>
          <w:tcPr>
            <w:tcW w:w="728" w:type="dxa"/>
            <w:tcBorders>
              <w:top w:val="single" w:sz="17" w:space="0" w:color="D2D2D2"/>
              <w:left w:val="single" w:sz="4" w:space="0" w:color="000000"/>
              <w:bottom w:val="single" w:sz="4" w:space="0" w:color="000000"/>
              <w:right w:val="single" w:sz="4" w:space="0" w:color="000000"/>
            </w:tcBorders>
          </w:tcPr>
          <w:p>
            <w:pPr/>
          </w:p>
        </w:tc>
        <w:tc>
          <w:tcPr>
            <w:tcW w:w="725" w:type="dxa"/>
            <w:tcBorders>
              <w:top w:val="single" w:sz="17" w:space="0" w:color="D2D2D2"/>
              <w:left w:val="single" w:sz="4" w:space="0" w:color="000000"/>
              <w:bottom w:val="single" w:sz="4" w:space="0" w:color="000000"/>
              <w:right w:val="single" w:sz="4" w:space="0" w:color="000000"/>
            </w:tcBorders>
          </w:tcPr>
          <w:p>
            <w:pPr/>
          </w:p>
        </w:tc>
        <w:tc>
          <w:tcPr>
            <w:tcW w:w="727" w:type="dxa"/>
            <w:tcBorders>
              <w:top w:val="single" w:sz="17" w:space="0" w:color="D2D2D2"/>
              <w:left w:val="single" w:sz="4" w:space="0" w:color="000000"/>
              <w:bottom w:val="single" w:sz="4" w:space="0" w:color="000000"/>
              <w:right w:val="single" w:sz="4" w:space="0" w:color="000000"/>
            </w:tcBorders>
          </w:tcPr>
          <w:p>
            <w:pPr/>
          </w:p>
        </w:tc>
        <w:tc>
          <w:tcPr>
            <w:tcW w:w="727"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17"/>
              <w:ind w:left="62" w:right="0"/>
              <w:jc w:val="left"/>
              <w:rPr>
                <w:rFonts w:ascii="Times New Roman" w:hAnsi="Times New Roman" w:cs="Times New Roman" w:eastAsia="Times New Roman" w:hint="default"/>
                <w:sz w:val="18"/>
                <w:szCs w:val="18"/>
              </w:rPr>
            </w:pPr>
            <w:r>
              <w:rPr>
                <w:rFonts w:ascii="Times New Roman"/>
                <w:sz w:val="18"/>
              </w:rPr>
              <w:t>17,006,8</w:t>
            </w:r>
          </w:p>
        </w:tc>
        <w:tc>
          <w:tcPr>
            <w:tcW w:w="604"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17"/>
              <w:ind w:left="43" w:right="0"/>
              <w:jc w:val="left"/>
              <w:rPr>
                <w:rFonts w:ascii="Times New Roman" w:hAnsi="Times New Roman" w:cs="Times New Roman" w:eastAsia="Times New Roman" w:hint="default"/>
                <w:sz w:val="18"/>
                <w:szCs w:val="18"/>
              </w:rPr>
            </w:pPr>
            <w:r>
              <w:rPr>
                <w:rFonts w:ascii="Times New Roman"/>
                <w:sz w:val="18"/>
              </w:rPr>
              <w:t>92,939,</w:t>
            </w:r>
          </w:p>
        </w:tc>
        <w:tc>
          <w:tcPr>
            <w:tcW w:w="72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17"/>
              <w:ind w:left="64" w:right="0"/>
              <w:jc w:val="left"/>
              <w:rPr>
                <w:rFonts w:ascii="Times New Roman" w:hAnsi="Times New Roman" w:cs="Times New Roman" w:eastAsia="Times New Roman" w:hint="default"/>
                <w:sz w:val="18"/>
                <w:szCs w:val="18"/>
              </w:rPr>
            </w:pPr>
            <w:r>
              <w:rPr>
                <w:rFonts w:ascii="Times New Roman"/>
                <w:sz w:val="18"/>
              </w:rPr>
              <w:t>1,295,230,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0,489.0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228.82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33.68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314.68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5" w:right="0"/>
              <w:jc w:val="left"/>
              <w:rPr>
                <w:rFonts w:ascii="Times New Roman" w:hAnsi="Times New Roman" w:cs="Times New Roman" w:eastAsia="Times New Roman" w:hint="default"/>
                <w:sz w:val="18"/>
                <w:szCs w:val="18"/>
              </w:rPr>
            </w:pPr>
            <w:r>
              <w:rPr>
                <w:rFonts w:ascii="Times New Roman"/>
                <w:sz w:val="18"/>
              </w:rPr>
              <w:t>866.18</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0,489.0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469,654,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228.82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17,006,8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33.68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92,939,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314.68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1,295,230,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866.18</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2,263,07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-6,110,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684.82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-3,847,613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22,630,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714.74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22,630,71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4.74</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2,263,07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-28,741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,399.56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-26,478,32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8.09</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2,263,07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1.47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071.47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-26,478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,328.09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-26,478,32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8.09</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90"/>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0,489.0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469,654,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228.82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19,269,9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05.15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86,828,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629.86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1,291,383,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252.83</w:t>
            </w:r>
          </w:p>
        </w:tc>
      </w:tr>
    </w:tbl>
    <w:p>
      <w:pPr>
        <w:pStyle w:val="BodyText"/>
        <w:spacing w:line="240" w:lineRule="auto" w:before="49"/>
        <w:ind w:right="986"/>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7"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2"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5"/>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511,16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4,635.</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674,120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,082.82</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15,311,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849.84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108,354,3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38.20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1,308,950,9</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05.86</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511,16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4,635.</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674,120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,082.82</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15,311,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849.84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108,354,3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38.20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1,308,950,9</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05.86</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6" w:right="0"/>
              <w:jc w:val="left"/>
              <w:rPr>
                <w:rFonts w:ascii="Times New Roman" w:hAnsi="Times New Roman" w:cs="Times New Roman" w:eastAsia="Times New Roman" w:hint="default"/>
                <w:sz w:val="18"/>
                <w:szCs w:val="18"/>
              </w:rPr>
            </w:pPr>
            <w:r>
              <w:rPr>
                <w:rFonts w:ascii="Times New Roman"/>
                <w:sz w:val="18"/>
              </w:rPr>
              <w:t>204,46</w:t>
            </w:r>
          </w:p>
          <w:p>
            <w:pPr>
              <w:pStyle w:val="TableParagraph"/>
              <w:spacing w:line="240" w:lineRule="auto" w:before="102"/>
              <w:ind w:left="99"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5,854.0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-15,415,0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-13,720,039</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16,949,83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16,949,838.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-32,364,8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61.94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-30,669,878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-1,694,98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-30,669,8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-30,669,878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204,46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5,854.0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204,46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5,854.0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715,63</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0,489.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469,654</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,228.82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17,006,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833.68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92,939,31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1,295,230,8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66.18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986" w:firstLine="360"/>
        <w:jc w:val="left"/>
      </w:pPr>
      <w:r>
        <w:rPr>
          <w:spacing w:val="-7"/>
        </w:rPr>
        <w:t>江苏五洋停车产业集团股份有限公司（以下简称公司或本公司）前身系徐州五洋科技有限公司（以下简称五洋停车公司），</w:t>
      </w:r>
      <w:r>
        <w:rPr/>
        <w:t> 五洋停车公司系由自然人孙丹瑞和侯宝土共同出资组建，于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日在江苏省徐州工商行政管理局登记注册，取得注</w:t>
      </w:r>
      <w:r>
        <w:rPr>
          <w:spacing w:val="-84"/>
        </w:rPr>
        <w:t> </w:t>
      </w:r>
      <w:r>
        <w:rPr>
          <w:spacing w:val="-84"/>
        </w:rPr>
      </w:r>
      <w:r>
        <w:rPr/>
        <w:t>册号为</w:t>
      </w:r>
      <w:r>
        <w:rPr>
          <w:rFonts w:ascii="Times New Roman" w:hAnsi="Times New Roman" w:cs="Times New Roman" w:eastAsia="Times New Roman" w:hint="default"/>
        </w:rPr>
        <w:t>3203002105105</w:t>
      </w:r>
      <w:r>
        <w:rPr/>
        <w:t>的企业法人营业执照，设立时注册资本</w:t>
      </w:r>
      <w:r>
        <w:rPr>
          <w:rFonts w:ascii="Times New Roman" w:hAnsi="Times New Roman" w:cs="Times New Roman" w:eastAsia="Times New Roman" w:hint="default"/>
        </w:rPr>
        <w:t>50</w:t>
      </w:r>
      <w:r>
        <w:rPr/>
        <w:t>万元。</w:t>
      </w:r>
    </w:p>
    <w:p>
      <w:pPr>
        <w:pStyle w:val="BodyText"/>
        <w:spacing w:line="300" w:lineRule="auto" w:before="5"/>
        <w:ind w:right="1131" w:firstLine="360"/>
        <w:jc w:val="both"/>
      </w:pPr>
      <w:r>
        <w:rPr/>
        <w:t>五洋停车公司以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日为基准日整体变更为股份有限公司，于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日在江苏省徐州工商行政管理局登 记注册，现持有统一社会信用代码为</w:t>
      </w:r>
      <w:r>
        <w:rPr>
          <w:rFonts w:ascii="Times New Roman" w:hAnsi="Times New Roman" w:cs="Times New Roman" w:eastAsia="Times New Roman" w:hint="default"/>
        </w:rPr>
        <w:t>9132030072931977X4</w:t>
      </w:r>
      <w:r>
        <w:rPr/>
        <w:t>的营业执照。公司现有注册资本人民币</w:t>
      </w:r>
      <w:r>
        <w:rPr>
          <w:rFonts w:ascii="Times New Roman" w:hAnsi="Times New Roman" w:cs="Times New Roman" w:eastAsia="Times New Roman" w:hint="default"/>
        </w:rPr>
        <w:t>715,630,489.00</w:t>
      </w:r>
      <w:r>
        <w:rPr/>
        <w:t>元，股份总</w:t>
      </w:r>
      <w:r>
        <w:rPr>
          <w:spacing w:val="-88"/>
        </w:rPr>
        <w:t> </w:t>
      </w:r>
      <w:r>
        <w:rPr>
          <w:spacing w:val="-5"/>
        </w:rPr>
        <w:t>数</w:t>
      </w:r>
      <w:r>
        <w:rPr>
          <w:rFonts w:ascii="Times New Roman" w:hAnsi="Times New Roman" w:cs="Times New Roman" w:eastAsia="Times New Roman" w:hint="default"/>
          <w:spacing w:val="-5"/>
        </w:rPr>
        <w:t>715,630,489</w:t>
      </w:r>
      <w:r>
        <w:rPr>
          <w:spacing w:val="-5"/>
        </w:rPr>
        <w:t>股（每股面值</w:t>
      </w:r>
      <w:r>
        <w:rPr>
          <w:rFonts w:ascii="Times New Roman" w:hAnsi="Times New Roman" w:cs="Times New Roman" w:eastAsia="Times New Roman" w:hint="default"/>
          <w:spacing w:val="-5"/>
        </w:rPr>
        <w:t>1</w:t>
      </w:r>
      <w:r>
        <w:rPr>
          <w:spacing w:val="-5"/>
        </w:rPr>
        <w:t>元），截至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日，有限售条件的流通股</w:t>
      </w:r>
      <w:r>
        <w:rPr>
          <w:rFonts w:ascii="Times New Roman" w:hAnsi="Times New Roman" w:cs="Times New Roman" w:eastAsia="Times New Roman" w:hint="default"/>
          <w:spacing w:val="-5"/>
        </w:rPr>
        <w:t>246,502,248</w:t>
      </w:r>
      <w:r>
        <w:rPr>
          <w:spacing w:val="-5"/>
        </w:rPr>
        <w:t>股，无限售条件的流通股</w:t>
      </w:r>
      <w:r>
        <w:rPr>
          <w:rFonts w:ascii="Times New Roman" w:hAnsi="Times New Roman" w:cs="Times New Roman" w:eastAsia="Times New Roman" w:hint="default"/>
          <w:spacing w:val="-5"/>
        </w:rPr>
        <w:t>469,128,241</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股。公司股票已于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日在深圳证券交易所挂牌交易。公司总部位于江苏省徐州市。</w:t>
      </w:r>
    </w:p>
    <w:p>
      <w:pPr>
        <w:pStyle w:val="BodyText"/>
        <w:spacing w:line="316" w:lineRule="auto" w:before="13"/>
        <w:ind w:right="1034" w:firstLine="360"/>
        <w:jc w:val="left"/>
      </w:pPr>
      <w:r>
        <w:rPr>
          <w:spacing w:val="-2"/>
        </w:rPr>
        <w:t>本公司属专用设备制造行业。主要经营活动为机械式停车设备、自动化设备研发、制造、销售、技术服务；停车场管理</w:t>
      </w:r>
      <w:r>
        <w:rPr/>
        <w:t> 服务；信息系统集成服务；机电设备及配件（专营除外）、矿山机械设备及配件、液压设备及配件、环保专用设备及配件、 </w:t>
      </w:r>
      <w:r>
        <w:rPr>
          <w:spacing w:val="-2"/>
        </w:rPr>
        <w:t>洗选设备及配件、管型母线、电力控制与保护设备及配件的研制、生产、销售、安装、维修、租赁及技术服务（专项审批除</w:t>
      </w:r>
      <w:r>
        <w:rPr>
          <w:spacing w:val="-65"/>
        </w:rPr>
        <w:t> </w:t>
      </w:r>
      <w:r>
        <w:rPr>
          <w:spacing w:val="-65"/>
        </w:rPr>
      </w:r>
      <w:r>
        <w:rPr/>
        <w:t>外）；软件的开发、销售、安装及技术服务；房屋租赁；道路普通货物运输。</w:t>
      </w:r>
    </w:p>
    <w:p>
      <w:pPr>
        <w:pStyle w:val="BodyText"/>
        <w:spacing w:line="240" w:lineRule="auto" w:before="19"/>
        <w:ind w:left="513" w:right="986"/>
        <w:jc w:val="left"/>
      </w:pPr>
      <w:r>
        <w:rPr/>
        <w:t>本财务报表业经公司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日第三届董事会第二十一次会议批准对外报出。</w:t>
      </w:r>
    </w:p>
    <w:p>
      <w:pPr>
        <w:spacing w:line="240" w:lineRule="auto" w:before="0"/>
        <w:rPr>
          <w:rFonts w:ascii="宋体" w:hAnsi="宋体" w:cs="宋体" w:eastAsia="宋体" w:hint="default"/>
          <w:sz w:val="18"/>
          <w:szCs w:val="18"/>
        </w:rPr>
      </w:pPr>
    </w:p>
    <w:p>
      <w:pPr>
        <w:pStyle w:val="BodyText"/>
        <w:spacing w:line="316" w:lineRule="auto" w:before="139"/>
        <w:ind w:right="986" w:firstLine="360"/>
        <w:jc w:val="left"/>
      </w:pPr>
      <w:r>
        <w:rPr>
          <w:spacing w:val="-2"/>
        </w:rPr>
        <w:t>本公司将徐州五洋科技有限公司（原名江苏五九机电科技有限公司，以下简称徐州五洋公司）、江苏天沃重工科技有限</w:t>
      </w:r>
      <w:r>
        <w:rPr/>
        <w:t> </w:t>
      </w:r>
      <w:r>
        <w:rPr>
          <w:spacing w:val="-2"/>
        </w:rPr>
        <w:t>公司（以下简称天沃重工公司）、江苏五岳科技实业有限公司（以下简称五岳科技公司）、深圳市伟创自动化设备有限公司</w:t>
      </w:r>
    </w:p>
    <w:p>
      <w:pPr>
        <w:pStyle w:val="BodyText"/>
        <w:spacing w:line="307" w:lineRule="auto" w:before="19"/>
        <w:ind w:right="1034"/>
        <w:jc w:val="left"/>
      </w:pPr>
      <w:r>
        <w:rPr>
          <w:spacing w:val="-2"/>
        </w:rPr>
        <w:t>（以下简称伟创自动化公司）、广东伟创五洋智能设备有限公司（以下简称广东伟创公司）、东莞市伟创华鑫自动化设备有</w:t>
      </w:r>
      <w:r>
        <w:rPr>
          <w:spacing w:val="-67"/>
        </w:rPr>
        <w:t> </w:t>
      </w:r>
      <w:r>
        <w:rPr>
          <w:spacing w:val="-67"/>
        </w:rPr>
      </w:r>
      <w:r>
        <w:rPr/>
        <w:t>限公司</w:t>
      </w:r>
      <w:r>
        <w:rPr>
          <w:rFonts w:ascii="Times New Roman" w:hAnsi="Times New Roman" w:cs="Times New Roman" w:eastAsia="Times New Roman" w:hint="default"/>
        </w:rPr>
        <w:t>(</w:t>
      </w:r>
      <w:r>
        <w:rPr/>
        <w:t>以下简称伟创华鑫公司</w:t>
      </w:r>
      <w:r>
        <w:rPr>
          <w:rFonts w:ascii="Times New Roman" w:hAnsi="Times New Roman" w:cs="Times New Roman" w:eastAsia="Times New Roman" w:hint="default"/>
        </w:rPr>
        <w:t>)</w:t>
      </w:r>
      <w:r>
        <w:rPr/>
        <w:t>、北京伟创停车场管理有限公司</w:t>
      </w:r>
      <w:r>
        <w:rPr>
          <w:rFonts w:ascii="Times New Roman" w:hAnsi="Times New Roman" w:cs="Times New Roman" w:eastAsia="Times New Roman" w:hint="default"/>
        </w:rPr>
        <w:t>(</w:t>
      </w:r>
      <w:r>
        <w:rPr/>
        <w:t>以下简称北京伟创公司</w:t>
      </w:r>
      <w:r>
        <w:rPr>
          <w:rFonts w:ascii="Times New Roman" w:hAnsi="Times New Roman" w:cs="Times New Roman" w:eastAsia="Times New Roman" w:hint="default"/>
        </w:rPr>
        <w:t>)</w:t>
      </w:r>
      <w:r>
        <w:rPr/>
        <w:t>、合肥市伟创自动化设备有限公司</w:t>
      </w:r>
      <w:r>
        <w:rPr>
          <w:spacing w:val="-56"/>
        </w:rPr>
        <w:t> </w:t>
      </w:r>
      <w:r>
        <w:rPr>
          <w:spacing w:val="-56"/>
        </w:rPr>
      </w:r>
      <w:r>
        <w:rPr>
          <w:rFonts w:ascii="Times New Roman" w:hAnsi="Times New Roman" w:cs="Times New Roman" w:eastAsia="Times New Roman" w:hint="default"/>
          <w:spacing w:val="-2"/>
        </w:rPr>
        <w:t>(</w:t>
      </w:r>
      <w:r>
        <w:rPr>
          <w:spacing w:val="-2"/>
        </w:rPr>
        <w:t>以下简称合肥伟创公司</w:t>
      </w:r>
      <w:r>
        <w:rPr>
          <w:rFonts w:ascii="Times New Roman" w:hAnsi="Times New Roman" w:cs="Times New Roman" w:eastAsia="Times New Roman" w:hint="default"/>
          <w:spacing w:val="-2"/>
        </w:rPr>
        <w:t>)</w:t>
      </w:r>
      <w:r>
        <w:rPr>
          <w:spacing w:val="-2"/>
        </w:rPr>
        <w:t>、山东天辰智能停车有限公司（以下简称天辰智能公司）、江西泰壬科技有限公司</w:t>
      </w:r>
      <w:r>
        <w:rPr>
          <w:rFonts w:ascii="Times New Roman" w:hAnsi="Times New Roman" w:cs="Times New Roman" w:eastAsia="Times New Roman" w:hint="default"/>
          <w:spacing w:val="-2"/>
        </w:rPr>
        <w:t>(</w:t>
      </w:r>
      <w:r>
        <w:rPr>
          <w:spacing w:val="-2"/>
        </w:rPr>
        <w:t>以下简称泰壬科</w:t>
      </w:r>
      <w:r>
        <w:rPr>
          <w:spacing w:val="-60"/>
        </w:rPr>
        <w:t> </w:t>
      </w:r>
      <w:r>
        <w:rPr/>
        <w:t>技公司</w:t>
      </w:r>
      <w:r>
        <w:rPr>
          <w:rFonts w:ascii="Times New Roman" w:hAnsi="Times New Roman" w:cs="Times New Roman" w:eastAsia="Times New Roman" w:hint="default"/>
        </w:rPr>
        <w:t>)</w:t>
      </w:r>
      <w:r>
        <w:rPr/>
        <w:t>、安徽惠邦融资租赁有限公司</w:t>
      </w:r>
      <w:r>
        <w:rPr>
          <w:rFonts w:ascii="Times New Roman" w:hAnsi="Times New Roman" w:cs="Times New Roman" w:eastAsia="Times New Roman" w:hint="default"/>
        </w:rPr>
        <w:t>(</w:t>
      </w:r>
      <w:r>
        <w:rPr/>
        <w:t>以下简称安徽惠邦公司</w:t>
      </w:r>
      <w:r>
        <w:rPr>
          <w:rFonts w:ascii="Times New Roman" w:hAnsi="Times New Roman" w:cs="Times New Roman" w:eastAsia="Times New Roman" w:hint="default"/>
        </w:rPr>
        <w:t>)</w:t>
      </w:r>
      <w:r>
        <w:rPr/>
        <w:t>、深圳市前海弘毅华浩投资有限公司</w:t>
      </w:r>
      <w:r>
        <w:rPr>
          <w:rFonts w:ascii="Times New Roman" w:hAnsi="Times New Roman" w:cs="Times New Roman" w:eastAsia="Times New Roman" w:hint="default"/>
        </w:rPr>
        <w:t>(</w:t>
      </w:r>
      <w:r>
        <w:rPr/>
        <w:t>以下简称弘毅华浩投资</w:t>
      </w:r>
      <w:r>
        <w:rPr>
          <w:spacing w:val="-58"/>
        </w:rPr>
        <w:t> </w:t>
      </w:r>
      <w:r>
        <w:rPr>
          <w:spacing w:val="-58"/>
        </w:rPr>
      </w:r>
      <w:r>
        <w:rPr/>
        <w:t>公司</w:t>
      </w:r>
      <w:r>
        <w:rPr>
          <w:rFonts w:ascii="Times New Roman" w:hAnsi="Times New Roman" w:cs="Times New Roman" w:eastAsia="Times New Roman" w:hint="default"/>
        </w:rPr>
        <w:t>)</w:t>
      </w:r>
      <w:r>
        <w:rPr/>
        <w:t>、北京华逸奇科贸有限公司</w:t>
      </w:r>
      <w:r>
        <w:rPr>
          <w:rFonts w:ascii="Times New Roman" w:hAnsi="Times New Roman" w:cs="Times New Roman" w:eastAsia="Times New Roman" w:hint="default"/>
        </w:rPr>
        <w:t>(</w:t>
      </w:r>
      <w:r>
        <w:rPr/>
        <w:t>以下简称北京华逸奇公司</w:t>
      </w:r>
      <w:r>
        <w:rPr>
          <w:rFonts w:ascii="Times New Roman" w:hAnsi="Times New Roman" w:cs="Times New Roman" w:eastAsia="Times New Roman" w:hint="default"/>
        </w:rPr>
        <w:t>)</w:t>
      </w:r>
      <w:r>
        <w:rPr/>
        <w:t>、同方佰宜科技（北京）有限公司</w:t>
      </w:r>
      <w:r>
        <w:rPr>
          <w:rFonts w:ascii="Times New Roman" w:hAnsi="Times New Roman" w:cs="Times New Roman" w:eastAsia="Times New Roman" w:hint="default"/>
        </w:rPr>
        <w:t>(</w:t>
      </w:r>
      <w:r>
        <w:rPr/>
        <w:t>以下简称同方佰宜公司</w:t>
      </w:r>
      <w:r>
        <w:rPr>
          <w:rFonts w:ascii="Times New Roman" w:hAnsi="Times New Roman" w:cs="Times New Roman" w:eastAsia="Times New Roman" w:hint="default"/>
        </w:rPr>
        <w:t>)</w:t>
      </w:r>
      <w:r>
        <w:rPr/>
        <w:t>、昆</w:t>
      </w:r>
      <w:r>
        <w:rPr>
          <w:spacing w:val="-5"/>
        </w:rPr>
        <w:t> </w:t>
      </w:r>
      <w:r>
        <w:rPr/>
        <w:t>明五洋伟创停车服务有限公司</w:t>
      </w:r>
      <w:r>
        <w:rPr>
          <w:rFonts w:ascii="Times New Roman" w:hAnsi="Times New Roman" w:cs="Times New Roman" w:eastAsia="Times New Roman" w:hint="default"/>
        </w:rPr>
        <w:t>(</w:t>
      </w:r>
      <w:r>
        <w:rPr/>
        <w:t>以下简称昆明伟创公司</w:t>
      </w:r>
      <w:r>
        <w:rPr>
          <w:rFonts w:ascii="Times New Roman" w:hAnsi="Times New Roman" w:cs="Times New Roman" w:eastAsia="Times New Roman" w:hint="default"/>
        </w:rPr>
        <w:t>)</w:t>
      </w:r>
      <w:r>
        <w:rPr/>
        <w:t>、南昌市青云市政运营有限公司</w:t>
      </w:r>
      <w:r>
        <w:rPr>
          <w:rFonts w:ascii="Times New Roman" w:hAnsi="Times New Roman" w:cs="Times New Roman" w:eastAsia="Times New Roman" w:hint="default"/>
        </w:rPr>
        <w:t>(</w:t>
      </w:r>
      <w:r>
        <w:rPr/>
        <w:t>以下简称青云市政公司</w:t>
      </w:r>
      <w:r>
        <w:rPr>
          <w:rFonts w:ascii="Times New Roman" w:hAnsi="Times New Roman" w:cs="Times New Roman" w:eastAsia="Times New Roman" w:hint="default"/>
        </w:rPr>
        <w:t>)</w:t>
      </w:r>
      <w:r>
        <w:rPr/>
        <w:t>、沈阳市五</w:t>
      </w:r>
      <w:r>
        <w:rPr>
          <w:spacing w:val="-57"/>
        </w:rPr>
        <w:t> </w:t>
      </w:r>
      <w:r>
        <w:rPr>
          <w:spacing w:val="-57"/>
        </w:rPr>
      </w:r>
      <w:r>
        <w:rPr>
          <w:spacing w:val="-2"/>
        </w:rPr>
        <w:t>洋恒信泊车有限公司（以下简称沈阳恒信公司）、抚州五洋智慧交通产业发展有限公司（以下简称抚州五洋公司）、徐州疌</w:t>
      </w:r>
      <w:r>
        <w:rPr>
          <w:spacing w:val="-68"/>
        </w:rPr>
        <w:t> </w:t>
      </w:r>
      <w:r>
        <w:rPr>
          <w:spacing w:val="-68"/>
        </w:rPr>
      </w:r>
      <w:r>
        <w:rPr>
          <w:spacing w:val="-2"/>
        </w:rPr>
        <w:t>盛五洋智能装备产业基金合伙企业（有限合伙）（以下简称徐州疌盛合伙企业）、五洋智慧交通产业（徐州）有限公司（以</w:t>
      </w:r>
      <w:r>
        <w:rPr>
          <w:spacing w:val="-65"/>
        </w:rPr>
        <w:t> </w:t>
      </w:r>
      <w:r>
        <w:rPr>
          <w:spacing w:val="-65"/>
        </w:rPr>
      </w:r>
      <w:r>
        <w:rPr/>
        <w:t>下简称五洋智慧交通公司）及北京泊创科技有限公司（以下简称北京泊创公司）等</w:t>
      </w:r>
      <w:r>
        <w:rPr>
          <w:rFonts w:ascii="Times New Roman" w:hAnsi="Times New Roman" w:cs="Times New Roman" w:eastAsia="Times New Roman" w:hint="default"/>
        </w:rPr>
        <w:t>21</w:t>
      </w:r>
      <w:r>
        <w:rPr/>
        <w:t>家子公司纳入本期合并财务报表范围， 情况详见本财务报表附注合并范围的变更和在其他主体中的权益之说明。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986"/>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73" w:right="986"/>
        <w:jc w:val="left"/>
      </w:pPr>
      <w:r>
        <w:rPr/>
        <w:t>本公司财务报表以持续经营为编制基础。</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13" w:right="986"/>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3"/>
        <w:rPr>
          <w:rFonts w:ascii="宋体" w:hAnsi="宋体" w:cs="宋体" w:eastAsia="宋体" w:hint="default"/>
          <w:sz w:val="24"/>
          <w:szCs w:val="24"/>
        </w:rPr>
      </w:pPr>
    </w:p>
    <w:p>
      <w:pPr>
        <w:pStyle w:val="Heading2"/>
        <w:spacing w:line="240" w:lineRule="auto"/>
        <w:ind w:right="986"/>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86"/>
        <w:jc w:val="left"/>
      </w:pPr>
      <w:r>
        <w:rPr/>
        <w:t>具体会计政策和会计估计提示： </w:t>
      </w:r>
      <w:r>
        <w:rPr>
          <w:spacing w:val="-2"/>
        </w:rPr>
        <w:t>本公司根据实际生产经营特点针对应收款项坏账准备计提、固定资产折旧、无形资产摊销、收入确认等交易或事项制定了具</w:t>
      </w:r>
      <w:r>
        <w:rPr>
          <w:spacing w:val="-62"/>
        </w:rPr>
        <w:t> </w:t>
      </w:r>
      <w:r>
        <w:rPr>
          <w:spacing w:val="-62"/>
        </w:rPr>
      </w:r>
      <w:r>
        <w:rPr/>
        <w:t>体会计政策和会计估计。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3"/>
        <w:ind w:right="986"/>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73" w:right="986"/>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986"/>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986"/>
        <w:jc w:val="left"/>
        <w:rPr>
          <w:i w:val="0"/>
        </w:rPr>
      </w:pPr>
      <w:r>
        <w:rPr/>
        <w:t>公司经营业务的营业周期较短，以</w:t>
      </w:r>
      <w:r>
        <w:rPr>
          <w:rFonts w:ascii="Times New Roman" w:hAnsi="Times New Roman" w:cs="Times New Roman" w:eastAsia="Times New Roman" w:hint="default"/>
          <w:i/>
          <w:sz w:val="18"/>
          <w:szCs w:val="18"/>
        </w:rPr>
        <w:t>12</w:t>
      </w:r>
      <w:r>
        <w:rPr/>
        <w:t>个月作为资产和负债的流动性划分标准。</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pStyle w:val="Heading3"/>
        <w:spacing w:line="240" w:lineRule="auto" w:before="131"/>
        <w:ind w:right="98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73" w:right="986"/>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1034"/>
        <w:jc w:val="left"/>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00" w:lineRule="auto" w:before="19"/>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非同一控制下企业合并的会计处理方法 公司在购买日对合并成本大于合并中取得的被购买方可辨认净资产公允价值份额的差额，确认为商誉；如果合并成本</w:t>
      </w:r>
    </w:p>
    <w:p>
      <w:pPr>
        <w:pStyle w:val="BodyText"/>
        <w:spacing w:line="316" w:lineRule="auto" w:before="31"/>
        <w:ind w:right="1131"/>
        <w:jc w:val="both"/>
      </w:pPr>
      <w:r>
        <w:rPr>
          <w:spacing w:val="-2"/>
        </w:rPr>
        <w:t>小于合并中取得的被购买方可辨认净资产公允价值份额，首先对取得的被购买方各项可辨认资产、负债及或有负债的公允价</w:t>
      </w:r>
      <w:r>
        <w:rPr>
          <w:spacing w:val="-62"/>
        </w:rPr>
        <w:t> </w:t>
      </w:r>
      <w:r>
        <w:rPr>
          <w:spacing w:val="-62"/>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10"/>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41" w:right="986"/>
        <w:jc w:val="left"/>
      </w:pPr>
      <w:r>
        <w:rPr/>
        <w:t>母公司将其控制的所有子公司纳入合并财务报表的合并范围。合并财务报表以母公司及其子公司的财务报表为基础，根</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0"/>
        <w:jc w:val="both"/>
      </w:pPr>
      <w:r>
        <w:rPr/>
        <w:t>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4" w:firstLine="420"/>
        <w:jc w:val="both"/>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8" w:firstLine="288"/>
        <w:jc w:val="both"/>
      </w:pPr>
      <w:r>
        <w:rPr>
          <w:spacing w:val="-1"/>
        </w:rPr>
        <w:t>外币交易在初始确认时，采用交易发生日即期汇率的近似汇率折算为人民币金额。资产负债表日，外币货币性项目采用</w:t>
      </w:r>
      <w:r>
        <w:rPr/>
        <w:t> </w:t>
      </w:r>
      <w:r>
        <w:rPr>
          <w:spacing w:val="-2"/>
        </w:rPr>
        <w:t>资产负债表日即期汇率折算，因汇率不同而产生的汇兑差额，除与购建符合资本化条件资产有关的外币专门借款本金及利息</w:t>
      </w:r>
      <w:r>
        <w:rPr>
          <w:spacing w:val="-64"/>
        </w:rPr>
        <w:t> </w:t>
      </w:r>
      <w:r>
        <w:rPr>
          <w:spacing w:val="-64"/>
        </w:rPr>
      </w:r>
      <w:r>
        <w:rPr>
          <w:spacing w:val="-2"/>
        </w:rPr>
        <w:t>的汇兑差额外，计入当期损益；以历史成本计量的外币非货币性项目仍采用交易发生日即期汇率的近似汇率折算，不改变其</w:t>
      </w:r>
      <w:r>
        <w:rPr>
          <w:spacing w:val="-63"/>
        </w:rPr>
        <w:t> </w:t>
      </w:r>
      <w:r>
        <w:rPr>
          <w:spacing w:val="-63"/>
        </w:rPr>
      </w:r>
      <w:r>
        <w:rPr>
          <w:spacing w:val="-2"/>
        </w:rPr>
        <w:t>人民币金额；以公允价值计量的外币非货币性项目，采用公允价值确定日的即期汇率折算，差额计入当期损益或其他综合收</w:t>
      </w:r>
      <w:r>
        <w:rPr>
          <w:spacing w:val="-61"/>
        </w:rPr>
        <w:t> </w:t>
      </w:r>
      <w:r>
        <w:rPr>
          <w:spacing w:val="-61"/>
        </w:rPr>
      </w:r>
      <w:r>
        <w:rPr/>
        <w:t>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金融资产和金融负债的分类</w:t>
      </w:r>
    </w:p>
    <w:p>
      <w:pPr>
        <w:pStyle w:val="BodyText"/>
        <w:spacing w:line="300" w:lineRule="auto" w:before="63"/>
        <w:ind w:right="1134" w:firstLine="420"/>
        <w:jc w:val="both"/>
      </w:pPr>
      <w:r>
        <w:rPr/>
        <w:t>金融资产在初始确认时划分为以下三类：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以公允价值计量且其变动计入其他综合 收益的金融资产；</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以公允价值计量且其变动计入当期损益的金融资产。</w:t>
      </w:r>
    </w:p>
    <w:p>
      <w:pPr>
        <w:pStyle w:val="BodyText"/>
        <w:spacing w:line="300" w:lineRule="auto" w:before="13"/>
        <w:ind w:right="1131" w:firstLine="420"/>
        <w:jc w:val="both"/>
      </w:pPr>
      <w:r>
        <w:rPr/>
        <w:t>金融负债在初始确认时划分为以下四类：</w:t>
      </w:r>
      <w:r>
        <w:rPr>
          <w:rFonts w:ascii="Times New Roman" w:hAnsi="Times New Roman" w:cs="Times New Roman" w:eastAsia="Times New Roman" w:hint="default"/>
        </w:rPr>
        <w:t>(1) </w:t>
      </w:r>
      <w:r>
        <w:rPr/>
        <w:t>以公允价值计量且其变动计入当期损益的金融负债；</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金融资产转移不 </w:t>
      </w:r>
      <w:r>
        <w:rPr>
          <w:spacing w:val="-1"/>
        </w:rPr>
        <w:t>符合终止确认条件或继续涉入被转移金融资产所形成的金融负债；</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spacing w:val="-2"/>
        </w:rPr>
        <w:t>不属于上述</w:t>
      </w:r>
      <w:r>
        <w:rPr>
          <w:rFonts w:ascii="Times New Roman" w:hAnsi="Times New Roman" w:cs="Times New Roman" w:eastAsia="Times New Roman" w:hint="default"/>
          <w:spacing w:val="-2"/>
        </w:rPr>
        <w:t>(1)</w:t>
      </w:r>
      <w:r>
        <w:rPr>
          <w:spacing w:val="-2"/>
        </w:rPr>
        <w:t>或</w:t>
      </w:r>
      <w:r>
        <w:rPr>
          <w:rFonts w:ascii="Times New Roman" w:hAnsi="Times New Roman" w:cs="Times New Roman" w:eastAsia="Times New Roman" w:hint="default"/>
          <w:spacing w:val="-2"/>
        </w:rPr>
        <w:t>(2)</w:t>
      </w:r>
      <w:r>
        <w:rPr>
          <w:spacing w:val="-2"/>
        </w:rPr>
        <w:t>的财务担保合同，以及不属于上述</w:t>
      </w:r>
      <w:r>
        <w:rPr>
          <w:spacing w:val="-87"/>
        </w:rPr>
        <w:t> </w:t>
      </w:r>
      <w:r>
        <w:rPr>
          <w:spacing w:val="-87"/>
        </w:rPr>
      </w:r>
      <w:r>
        <w:rPr>
          <w:rFonts w:ascii="Times New Roman" w:hAnsi="Times New Roman" w:cs="Times New Roman" w:eastAsia="Times New Roman" w:hint="default"/>
        </w:rPr>
        <w:t>(1)</w:t>
      </w:r>
      <w:r>
        <w:rPr/>
        <w:t>并以低于市场利率贷款的贷款承诺；</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以摊余成本计量的金融负债。</w:t>
      </w:r>
    </w:p>
    <w:p>
      <w:pPr>
        <w:pStyle w:val="BodyText"/>
        <w:spacing w:line="240" w:lineRule="auto" w:before="13"/>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金融资产和金融负债的确认依据、计量方法和终止确认条件</w:t>
      </w:r>
    </w:p>
    <w:p>
      <w:pPr>
        <w:pStyle w:val="BodyText"/>
        <w:spacing w:line="30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金融资产和金融负债的确认依据和初始计量方法</w:t>
      </w:r>
      <w:r>
        <w:rPr>
          <w:w w:val="99"/>
        </w:rPr>
        <w:t> </w:t>
      </w:r>
      <w:r>
        <w:rPr>
          <w:spacing w:val="-4"/>
        </w:rPr>
        <w:t>公司成为金融工具合同的一方时，确认一项金融资产或金融负债。初始确认金融资产或金融负债时，按照公允价值计量；</w:t>
      </w:r>
    </w:p>
    <w:p>
      <w:pPr>
        <w:pStyle w:val="BodyText"/>
        <w:spacing w:line="316" w:lineRule="auto" w:before="31"/>
        <w:ind w:right="1133"/>
        <w:jc w:val="both"/>
      </w:pPr>
      <w:r>
        <w:rPr>
          <w:spacing w:val="-2"/>
        </w:rPr>
        <w:t>对于以公允价值计量且其变动计入当期损益的金融资产和金融负债，相关交易费用直接计入当期损益；对于其他类别的金融</w:t>
      </w:r>
      <w:r>
        <w:rPr>
          <w:spacing w:val="-64"/>
        </w:rPr>
        <w:t> </w:t>
      </w:r>
      <w:r>
        <w:rPr>
          <w:spacing w:val="-64"/>
        </w:rPr>
      </w:r>
      <w:r>
        <w:rPr>
          <w:spacing w:val="-2"/>
        </w:rPr>
        <w:t>资产或金融负债，相关交易费用计入初始确认金额。但是，公司初始确认的应收账款未包含重大融资成分或公司不考虑未超</w:t>
      </w:r>
      <w:r>
        <w:rPr>
          <w:spacing w:val="-65"/>
        </w:rPr>
        <w:t> </w:t>
      </w:r>
      <w:r>
        <w:rPr>
          <w:spacing w:val="-65"/>
        </w:rPr>
      </w:r>
      <w:r>
        <w:rPr/>
        <w:t>过一年的合同中的融资成分的，按照交易价格进行初始计量。</w:t>
      </w:r>
    </w:p>
    <w:p>
      <w:pPr>
        <w:pStyle w:val="BodyText"/>
        <w:spacing w:line="240" w:lineRule="auto" w:before="19"/>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金融资产的后续计量方法</w:t>
      </w:r>
    </w:p>
    <w:p>
      <w:pPr>
        <w:pStyle w:val="BodyText"/>
        <w:spacing w:line="30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以摊余成本计量的金融资产 </w:t>
      </w:r>
      <w:r>
        <w:rPr>
          <w:spacing w:val="-2"/>
        </w:rPr>
        <w:t>采用实际利率法，按照摊余成本进行后续计量。以摊余成本计量且不属于任何套期关系的一部分的金融资产所产生的利</w:t>
      </w:r>
    </w:p>
    <w:p>
      <w:pPr>
        <w:pStyle w:val="BodyText"/>
        <w:spacing w:line="240" w:lineRule="auto" w:before="31"/>
        <w:ind w:right="0"/>
        <w:jc w:val="both"/>
      </w:pPr>
      <w:r>
        <w:rPr/>
        <w:t>得或损失，在终止确认、重分类、按照实际利率法摊销或确认减值时，计入当期损益。</w:t>
      </w:r>
    </w:p>
    <w:p>
      <w:pPr>
        <w:pStyle w:val="BodyText"/>
        <w:spacing w:line="300" w:lineRule="auto" w:before="77"/>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以公允价值计量且其变动计入其他综合收益的债务工具投资 </w:t>
      </w:r>
      <w:r>
        <w:rPr>
          <w:spacing w:val="-2"/>
        </w:rPr>
        <w:t>采用公允价值进行后续计量。采用实际利率法计算的利息、减值损失或利得及汇兑损益计入当期损益，其他利得或损失</w:t>
      </w:r>
    </w:p>
    <w:p>
      <w:pPr>
        <w:pStyle w:val="BodyText"/>
        <w:spacing w:line="240" w:lineRule="auto" w:before="31"/>
        <w:ind w:right="0"/>
        <w:jc w:val="both"/>
      </w:pPr>
      <w:r>
        <w:rPr/>
        <w:t>计入其他综合收益。终止确认时，将之前计入其他综合收益的累计利得或损失从其他综合收益中转出，计入当期损益。</w:t>
      </w:r>
    </w:p>
    <w:p>
      <w:pPr>
        <w:pStyle w:val="BodyText"/>
        <w:spacing w:line="300" w:lineRule="auto" w:before="76"/>
        <w:ind w:left="51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以公允价值计量且其变动计入其他综合收益的权益工具投资 </w:t>
      </w:r>
      <w:r>
        <w:rPr>
          <w:spacing w:val="-2"/>
        </w:rPr>
        <w:t>采用公允价值进行后续计量。获得的股利（属于投资成本收回部分的除外）计入当期损益，其他利得或损失计入其他综</w:t>
      </w:r>
    </w:p>
    <w:p>
      <w:pPr>
        <w:pStyle w:val="BodyText"/>
        <w:spacing w:line="240" w:lineRule="auto" w:before="31"/>
        <w:ind w:right="0"/>
        <w:jc w:val="both"/>
      </w:pPr>
      <w:r>
        <w:rPr/>
        <w:t>合收益。终止确认时，将之前计入其他综合收益的累计利得或损失从其他综合收益中转出，计入留存收益。</w:t>
      </w:r>
    </w:p>
    <w:p>
      <w:pPr>
        <w:pStyle w:val="BodyText"/>
        <w:spacing w:line="300" w:lineRule="auto" w:before="76"/>
        <w:ind w:left="51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以公允价值计量且其变动计入当期损益的金融资产 采用公允价值进行后续计量，产生的利得或损失（包括利息和股利收入</w:t>
      </w:r>
      <w:r>
        <w:rPr>
          <w:rFonts w:ascii="Times New Roman" w:hAnsi="Times New Roman" w:cs="Times New Roman" w:eastAsia="Times New Roman" w:hint="default"/>
        </w:rPr>
        <w:t>)</w:t>
      </w:r>
      <w:r>
        <w:rPr/>
        <w:t>计入当期损益，除非该金融资产属于套期关系</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0"/>
        <w:jc w:val="both"/>
      </w:pPr>
      <w:r>
        <w:rPr/>
        <w:t>的一部分。</w:t>
      </w:r>
    </w:p>
    <w:p>
      <w:pPr>
        <w:pStyle w:val="BodyText"/>
        <w:spacing w:line="240" w:lineRule="auto" w:before="77"/>
        <w:ind w:left="51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金融负债的后续计量方法</w:t>
      </w:r>
    </w:p>
    <w:p>
      <w:pPr>
        <w:pStyle w:val="BodyText"/>
        <w:spacing w:line="30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以公允价值计量且其变动计入当期损益的金融负债 </w:t>
      </w:r>
      <w:r>
        <w:rPr>
          <w:spacing w:val="-2"/>
        </w:rPr>
        <w:t>此类金融负债包括交易性金融负债（含属于金融负债的衍生工具）和指定为以公允价值计量且其变动计入当期损益的金</w:t>
      </w:r>
    </w:p>
    <w:p>
      <w:pPr>
        <w:pStyle w:val="BodyText"/>
        <w:spacing w:line="316" w:lineRule="auto" w:before="31"/>
        <w:ind w:right="1131"/>
        <w:jc w:val="both"/>
      </w:pPr>
      <w:r>
        <w:rPr>
          <w:spacing w:val="-2"/>
        </w:rPr>
        <w:t>融负债。对于此类金融负债以公允价值进行后续计量。因公司自身信用风险变动引起的指定为以公允价值计量且其变动计入</w:t>
      </w:r>
      <w:r>
        <w:rPr>
          <w:spacing w:val="-64"/>
        </w:rPr>
        <w:t> </w:t>
      </w:r>
      <w:r>
        <w:rPr>
          <w:spacing w:val="-64"/>
        </w:rPr>
      </w:r>
      <w:r>
        <w:rPr>
          <w:spacing w:val="-2"/>
        </w:rPr>
        <w:t>当期损益的金融负债的公允价值变动金额计入其他综合收益，除非该处理会造成或扩大损益中的会计错配。此类金融负债产</w:t>
      </w:r>
      <w:r>
        <w:rPr>
          <w:spacing w:val="-64"/>
        </w:rPr>
        <w:t> </w:t>
      </w:r>
      <w:r>
        <w:rPr>
          <w:spacing w:val="-64"/>
        </w:rPr>
      </w:r>
      <w:r>
        <w:rPr>
          <w:spacing w:val="-2"/>
        </w:rPr>
        <w:t>生的其他利得或损失（包括利息费用、除因公司自身信用风险变动引起的公允价值变动）计入当期损益，除非该金融负债属</w:t>
      </w:r>
      <w:r>
        <w:rPr>
          <w:spacing w:val="-65"/>
        </w:rPr>
        <w:t> </w:t>
      </w:r>
      <w:r>
        <w:rPr>
          <w:spacing w:val="-65"/>
        </w:rPr>
      </w:r>
      <w:r>
        <w:rPr/>
        <w:t>于套期关系的一部分。终止确认时，将之前计入其他综合收益的累计利得或损失从其他综合收益中转出，计入留存收益。</w:t>
      </w:r>
    </w:p>
    <w:p>
      <w:pPr>
        <w:pStyle w:val="BodyText"/>
        <w:spacing w:line="300" w:lineRule="auto" w:before="19"/>
        <w:ind w:left="513" w:right="387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金融资产转移不符合终止确认条件或继续涉入被转移金融资产所形成的金融负债 按照《企业会计准则第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金融资产转移》相关规定进行计量。</w:t>
      </w:r>
    </w:p>
    <w:p>
      <w:pPr>
        <w:pStyle w:val="BodyText"/>
        <w:spacing w:line="300" w:lineRule="auto" w:before="13"/>
        <w:ind w:left="513"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的财务担保合同，以及不属于上述</w:t>
      </w:r>
      <w:r>
        <w:rPr>
          <w:rFonts w:ascii="Times New Roman" w:hAnsi="Times New Roman" w:cs="Times New Roman" w:eastAsia="Times New Roman" w:hint="default"/>
        </w:rPr>
        <w:t>1)</w:t>
      </w:r>
      <w:r>
        <w:rPr/>
        <w:t>并以低于市场利率贷款的贷款承诺 在初始确认后按照下列两项金额之中的较高者进行后续计量：①</w:t>
      </w:r>
      <w:r>
        <w:rPr>
          <w:spacing w:val="-42"/>
        </w:rPr>
        <w:t> </w:t>
      </w:r>
      <w:r>
        <w:rPr/>
        <w:t>按照金融工具的减值规定确定的损失准备金额；②</w:t>
      </w:r>
      <w:r>
        <w:rPr>
          <w:spacing w:val="-42"/>
        </w:rPr>
        <w:t> </w:t>
      </w:r>
      <w:r>
        <w:rPr/>
        <w:t>初</w:t>
      </w:r>
    </w:p>
    <w:p>
      <w:pPr>
        <w:pStyle w:val="BodyText"/>
        <w:spacing w:line="240" w:lineRule="auto" w:before="31"/>
        <w:ind w:right="0"/>
        <w:jc w:val="both"/>
      </w:pPr>
      <w:r>
        <w:rPr/>
        <w:t>始确认金额扣除按照相关规定所确定的累计摊销额后的余额。</w:t>
      </w:r>
    </w:p>
    <w:p>
      <w:pPr>
        <w:pStyle w:val="BodyText"/>
        <w:spacing w:line="300" w:lineRule="auto" w:before="77"/>
        <w:ind w:left="51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以摊余成本计量的金融负债 </w:t>
      </w:r>
      <w:r>
        <w:rPr>
          <w:spacing w:val="-2"/>
        </w:rPr>
        <w:t>采用实际利率法以摊余成本计量。以摊余成本计量且不属于任何套期关系的一部分的金融负债所产生的利得或损失，在</w:t>
      </w:r>
    </w:p>
    <w:p>
      <w:pPr>
        <w:pStyle w:val="BodyText"/>
        <w:spacing w:line="240" w:lineRule="auto" w:before="31"/>
        <w:ind w:right="0"/>
        <w:jc w:val="both"/>
      </w:pPr>
      <w:r>
        <w:rPr/>
        <w:t>终止确认、按照实际利率法摊销时计入当期损益。</w:t>
      </w:r>
    </w:p>
    <w:p>
      <w:pPr>
        <w:pStyle w:val="BodyText"/>
        <w:spacing w:line="240" w:lineRule="auto" w:before="76"/>
        <w:ind w:left="51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金融资产和金融负债的终止确认</w:t>
      </w:r>
    </w:p>
    <w:p>
      <w:pPr>
        <w:pStyle w:val="BodyText"/>
        <w:spacing w:line="24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当满足下列条件之一时，终止确认金融资产：</w:t>
      </w:r>
    </w:p>
    <w:p>
      <w:pPr>
        <w:pStyle w:val="BodyText"/>
        <w:spacing w:line="240" w:lineRule="auto" w:before="63"/>
        <w:ind w:left="513" w:right="986"/>
        <w:jc w:val="left"/>
      </w:pPr>
      <w:r>
        <w:rPr/>
        <w:t>①</w:t>
      </w:r>
      <w:r>
        <w:rPr>
          <w:spacing w:val="-18"/>
        </w:rPr>
        <w:t> </w:t>
      </w:r>
      <w:r>
        <w:rPr/>
        <w:t>收取金融资产现金流量的合同权利已终止；</w:t>
      </w:r>
    </w:p>
    <w:p>
      <w:pPr>
        <w:pStyle w:val="BodyText"/>
        <w:spacing w:line="240" w:lineRule="auto" w:before="76"/>
        <w:ind w:left="513" w:right="986"/>
        <w:jc w:val="left"/>
      </w:pPr>
      <w:r>
        <w:rPr/>
        <w:t>②</w:t>
      </w:r>
      <w:r>
        <w:rPr>
          <w:spacing w:val="-19"/>
        </w:rPr>
        <w:t> </w:t>
      </w:r>
      <w:r>
        <w:rPr/>
        <w:t>金融资产已转移，且该转移满足《企业会计准则第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金融资产转移》关于金融资产终止确认的规定。</w:t>
      </w:r>
    </w:p>
    <w:p>
      <w:pPr>
        <w:pStyle w:val="BodyText"/>
        <w:spacing w:line="240" w:lineRule="auto" w:before="63"/>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当金融负债（或其一部分）的现时义务已经解除时，相应终止确认该金融负债（或该部分金融负债）。</w:t>
      </w:r>
    </w:p>
    <w:p>
      <w:pPr>
        <w:pStyle w:val="BodyText"/>
        <w:spacing w:line="300" w:lineRule="auto" w:before="63"/>
        <w:ind w:left="51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金融资产转移的确认依据和计量方法 </w:t>
      </w:r>
      <w:r>
        <w:rPr>
          <w:spacing w:val="-2"/>
        </w:rPr>
        <w:t>公司转移了金融资产所有权上几乎所有的风险和报酬的，终止确认该金融资产，并将转移中产生或保留的权利和义务单</w:t>
      </w:r>
    </w:p>
    <w:p>
      <w:pPr>
        <w:pStyle w:val="BodyText"/>
        <w:spacing w:line="307" w:lineRule="auto" w:before="31"/>
        <w:ind w:right="1129"/>
        <w:jc w:val="both"/>
      </w:pPr>
      <w:r>
        <w:rPr>
          <w:spacing w:val="-2"/>
        </w:rPr>
        <w:t>独确认为资产或负债；保留了金融资产所有权上几乎所有的风险和报酬的，继续确认所转移的金融资产。公司既没有转移也</w:t>
      </w:r>
      <w:r>
        <w:rPr>
          <w:spacing w:val="-63"/>
        </w:rPr>
        <w:t> </w:t>
      </w:r>
      <w:r>
        <w:rPr>
          <w:spacing w:val="-63"/>
        </w:rPr>
      </w:r>
      <w:r>
        <w:rPr/>
        <w:t>没有保留金融资产所有权上几乎所有的风险和报酬的，分别下列情况处理：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未保留对该金融资产控制的，终止确认该金 融资产，并将转移中产生或保留的权利和义务单独确认为资产或负债；</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保留了对该金融资产控制的，按照继续涉入所转 移金融资产的程度确认有关金融资产，并相应确认有关负债。</w:t>
      </w:r>
    </w:p>
    <w:p>
      <w:pPr>
        <w:pStyle w:val="BodyText"/>
        <w:spacing w:line="300" w:lineRule="auto" w:before="26"/>
        <w:ind w:right="1115" w:firstLine="360"/>
        <w:jc w:val="left"/>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所转移金融资产在终止确认日的账 面价值；</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因转移金融资产而收到的对价，与原直接计入其他综合收益的公允价值变动累计额中对应终止确认部分的金额</w:t>
      </w:r>
    </w:p>
    <w:p>
      <w:pPr>
        <w:pStyle w:val="BodyText"/>
        <w:spacing w:line="314" w:lineRule="auto" w:before="13"/>
        <w:ind w:right="1126"/>
        <w:jc w:val="both"/>
      </w:pPr>
      <w:r>
        <w:rPr>
          <w:spacing w:val="-2"/>
        </w:rPr>
        <w:t>（涉及转移的金融资产为以公允价值计量且其变动计入其他综合收益的债务工具投资）之和。转移了金融资产的一部分，且</w:t>
      </w:r>
      <w:r>
        <w:rPr>
          <w:spacing w:val="-63"/>
        </w:rPr>
        <w:t> </w:t>
      </w:r>
      <w:r>
        <w:rPr>
          <w:spacing w:val="-63"/>
        </w:rPr>
      </w:r>
      <w:r>
        <w:rPr>
          <w:spacing w:val="-2"/>
        </w:rPr>
        <w:t>该被转移部分整体满足终止确认条件的，将转移前金融资产整体的账面价值，在终止确认部分和继续确认部分之间，按照转</w:t>
      </w:r>
      <w:r>
        <w:rPr>
          <w:spacing w:val="-63"/>
        </w:rPr>
        <w:t> </w:t>
      </w:r>
      <w:r>
        <w:rPr>
          <w:spacing w:val="-63"/>
        </w:rPr>
      </w:r>
      <w:r>
        <w:rPr/>
        <w:t>移日各自的相对公允价值进行分摊，并将下列两项金额的差额计入当期损益：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终止确认</w:t>
      </w:r>
      <w:r>
        <w:rPr>
          <w:spacing w:val="-84"/>
        </w:rPr>
        <w:t> </w:t>
      </w:r>
      <w:r>
        <w:rPr>
          <w:spacing w:val="-84"/>
        </w:rPr>
      </w:r>
      <w:r>
        <w:rPr>
          <w:spacing w:val="-2"/>
        </w:rPr>
        <w:t>部分的对价，与原直接计入其他综合收益的公允价值变动累计额中对应终止确认部分的金额（涉及转移的金融资产为以公允</w:t>
      </w:r>
      <w:r>
        <w:rPr>
          <w:spacing w:val="-64"/>
        </w:rPr>
        <w:t> </w:t>
      </w:r>
      <w:r>
        <w:rPr>
          <w:spacing w:val="-64"/>
        </w:rPr>
      </w:r>
      <w:r>
        <w:rPr/>
        <w:t>价值计量且其变动计入其他综合收益的债务工具投资）之和。</w:t>
      </w:r>
    </w:p>
    <w:p>
      <w:pPr>
        <w:pStyle w:val="BodyText"/>
        <w:spacing w:line="300" w:lineRule="auto" w:before="20"/>
        <w:ind w:left="51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right="0"/>
        <w:jc w:val="both"/>
      </w:pPr>
      <w:r>
        <w:rPr/>
        <w:t>值。公司将估值技术使用的输入值分以下层级，并依次使用：</w:t>
      </w:r>
    </w:p>
    <w:p>
      <w:pPr>
        <w:pStyle w:val="BodyText"/>
        <w:spacing w:line="240" w:lineRule="auto" w:before="77"/>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第一层次输入值是在计量日能够取得的相同资产或负债在活跃市场上未经调整的报价；</w:t>
      </w:r>
    </w:p>
    <w:p>
      <w:pPr>
        <w:pStyle w:val="BodyText"/>
        <w:spacing w:line="309" w:lineRule="auto" w:before="63"/>
        <w:ind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24"/>
        <w:ind w:right="1117"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13" w:right="98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金融工具减值</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金融工具减值计量和会计处理</w:t>
      </w:r>
      <w:r>
        <w:rPr>
          <w:w w:val="99"/>
        </w:rPr>
        <w:t> </w:t>
      </w:r>
      <w:r>
        <w:rPr>
          <w:spacing w:val="-2"/>
        </w:rPr>
        <w:t>公司以预期信用损失为基础，对以摊余成本计量的金融资产、以公允价值计量且其变动计入其他综合收益的债务工具投</w:t>
      </w:r>
    </w:p>
    <w:p>
      <w:pPr>
        <w:pStyle w:val="BodyText"/>
        <w:spacing w:line="316" w:lineRule="auto" w:before="31"/>
        <w:ind w:right="1133"/>
        <w:jc w:val="both"/>
      </w:pPr>
      <w:r>
        <w:rPr>
          <w:spacing w:val="-2"/>
        </w:rPr>
        <w:t>资、租赁应收款、分类为以公允价值计量且其变动计入当期损益的金融负债以外的贷款承诺、不属于以公允价值计量且其变</w:t>
      </w:r>
      <w:r>
        <w:rPr>
          <w:spacing w:val="-66"/>
        </w:rPr>
        <w:t> </w:t>
      </w:r>
      <w:r>
        <w:rPr>
          <w:spacing w:val="-66"/>
        </w:rPr>
      </w:r>
      <w:r>
        <w:rPr/>
        <w:t>动计入当期损益的金融负债或不属于金融资产转移不符合终止确认条件或继续涉入被转移金融资产所形成的金融负债的财</w:t>
      </w:r>
      <w:r>
        <w:rPr>
          <w:spacing w:val="-11"/>
        </w:rPr>
        <w:t> </w:t>
      </w:r>
      <w:r>
        <w:rPr>
          <w:spacing w:val="-11"/>
        </w:rPr>
      </w:r>
      <w:r>
        <w:rPr/>
        <w:t>务担保合同进行减值处理并确认损失准备。</w:t>
      </w:r>
    </w:p>
    <w:p>
      <w:pPr>
        <w:pStyle w:val="BodyText"/>
        <w:spacing w:line="316" w:lineRule="auto" w:before="19"/>
        <w:ind w:right="1130" w:firstLine="360"/>
        <w:jc w:val="both"/>
      </w:pPr>
      <w:r>
        <w:rPr>
          <w:spacing w:val="-2"/>
        </w:rPr>
        <w:t>预期信用损失，是指以发生违约的风险为权重的金融工具信用损失的加权平均值。信用损失，是指公司按照原实际利率</w:t>
      </w:r>
      <w:r>
        <w:rPr/>
        <w:t> </w:t>
      </w:r>
      <w:r>
        <w:rPr>
          <w:spacing w:val="-2"/>
        </w:rPr>
        <w:t>折现的、根据合同应收的所有合同现金流量与预期收取的所有现金流量之间的差额，即全部现金短缺的现值。其中，对于公</w:t>
      </w:r>
      <w:r>
        <w:rPr>
          <w:spacing w:val="-64"/>
        </w:rPr>
        <w:t> </w:t>
      </w:r>
      <w:r>
        <w:rPr>
          <w:spacing w:val="-64"/>
        </w:rPr>
      </w:r>
      <w:r>
        <w:rPr/>
        <w:t>司购买或源生的已发生信用减值的金融资产，按照该金融资产经信用调整的实际利率折现。</w:t>
      </w:r>
    </w:p>
    <w:p>
      <w:pPr>
        <w:pStyle w:val="BodyText"/>
        <w:spacing w:line="316" w:lineRule="auto" w:before="19"/>
        <w:ind w:right="1132" w:firstLine="360"/>
        <w:jc w:val="both"/>
      </w:pPr>
      <w:r>
        <w:rPr>
          <w:spacing w:val="-2"/>
        </w:rPr>
        <w:t>对于购买或源生的已发生信用减值的金融资产，公司在资产负债表日仅将自初始确认后整个存续期内预期信用损失的累</w:t>
      </w:r>
      <w:r>
        <w:rPr/>
        <w:t> 计变动确认为损失准备。</w:t>
      </w:r>
    </w:p>
    <w:p>
      <w:pPr>
        <w:pStyle w:val="BodyText"/>
        <w:spacing w:line="316" w:lineRule="auto" w:before="19"/>
        <w:ind w:right="1132" w:firstLine="360"/>
        <w:jc w:val="both"/>
      </w:pPr>
      <w:r>
        <w:rPr>
          <w:spacing w:val="-2"/>
        </w:rPr>
        <w:t>对于不含重大融资成分或者公司不考虑不超过一年的合同中的融资成分的应收账款，公司运用简化计量方法，按照相当</w:t>
      </w:r>
      <w:r>
        <w:rPr/>
        <w:t> 于整个存续期内的预期信用损失金额计量损失准备。</w:t>
      </w:r>
    </w:p>
    <w:p>
      <w:pPr>
        <w:pStyle w:val="BodyText"/>
        <w:spacing w:line="319" w:lineRule="auto" w:before="19"/>
        <w:ind w:right="1130" w:firstLine="360"/>
        <w:jc w:val="both"/>
      </w:pPr>
      <w:r>
        <w:rPr>
          <w:spacing w:val="-2"/>
        </w:rPr>
        <w:t>对于租赁应收款、包含重大融资成分的应收账款，公司运用简化计量方法，按照相当于整个存续期内的预期信用损失金</w:t>
      </w:r>
      <w:r>
        <w:rPr/>
        <w:t> 额计量损失准备。</w:t>
      </w:r>
    </w:p>
    <w:p>
      <w:pPr>
        <w:pStyle w:val="BodyText"/>
        <w:spacing w:line="316" w:lineRule="auto" w:before="17"/>
        <w:ind w:right="1132" w:firstLine="360"/>
        <w:jc w:val="both"/>
      </w:pPr>
      <w:r>
        <w:rPr>
          <w:spacing w:val="-2"/>
        </w:rPr>
        <w:t>除上述计量方法以外的金融资产，公司在每个资产负债表日评估其信用风险自初始确认后是否已经显著增加。如果信用</w:t>
      </w:r>
      <w:r>
        <w:rPr/>
        <w:t> </w:t>
      </w:r>
      <w:r>
        <w:rPr>
          <w:spacing w:val="-2"/>
        </w:rPr>
        <w:t>风险自初始确认后已显著增加，公司按照整个存续期内预期信用损失的金额计量损失准备；如果信用风险自初始确认后未显</w:t>
      </w:r>
      <w:r>
        <w:rPr>
          <w:spacing w:val="-64"/>
        </w:rPr>
        <w:t> </w:t>
      </w:r>
      <w:r>
        <w:rPr>
          <w:spacing w:val="-64"/>
        </w:rPr>
      </w:r>
      <w:r>
        <w:rPr/>
        <w:t>著增加，公司按照该金融工具未来</w:t>
      </w:r>
      <w:r>
        <w:rPr>
          <w:rFonts w:ascii="Times New Roman" w:hAnsi="Times New Roman" w:cs="Times New Roman" w:eastAsia="Times New Roman" w:hint="default"/>
        </w:rPr>
        <w:t>12</w:t>
      </w:r>
      <w:r>
        <w:rPr/>
        <w:t>个月内预期信用损失的金额计量损失准备。</w:t>
      </w:r>
    </w:p>
    <w:p>
      <w:pPr>
        <w:pStyle w:val="Heading4"/>
        <w:spacing w:line="236" w:lineRule="exact"/>
        <w:ind w:left="513" w:right="0"/>
        <w:jc w:val="left"/>
        <w:rPr>
          <w:i w:val="0"/>
        </w:rPr>
      </w:pPr>
      <w:r>
        <w:rPr/>
        <w:t>公司利用可获得的合理且有依据的信息，包括前瞻性信息，通过比较金融工具在资产负债表日发生违约的风险与在初始</w:t>
      </w:r>
      <w:r>
        <w:rPr>
          <w:i w:val="0"/>
        </w:rPr>
      </w:r>
    </w:p>
    <w:p>
      <w:pPr>
        <w:pStyle w:val="Heading4"/>
        <w:spacing w:line="240" w:lineRule="auto" w:before="63"/>
        <w:ind w:right="0"/>
        <w:jc w:val="both"/>
        <w:rPr>
          <w:i w:val="0"/>
        </w:rPr>
      </w:pPr>
      <w:r>
        <w:rPr/>
        <w:t>确认日发生违约的风险，以确定金融工具的信用风险自初始确认后是否已显著增加。</w:t>
      </w:r>
      <w:r>
        <w:rPr>
          <w:i w:val="0"/>
        </w:rPr>
      </w:r>
    </w:p>
    <w:p>
      <w:pPr>
        <w:pStyle w:val="BodyText"/>
        <w:spacing w:line="240" w:lineRule="auto" w:before="75"/>
        <w:ind w:left="513" w:right="986"/>
        <w:jc w:val="left"/>
      </w:pPr>
      <w:r>
        <w:rPr/>
        <w:t>于资产负债表日，若公司判断金融工具只具有较低的信用风险，则假定该金融工具的信用风险自初始确认后并未显著增</w:t>
      </w:r>
    </w:p>
    <w:p>
      <w:pPr>
        <w:pStyle w:val="BodyText"/>
        <w:spacing w:line="240" w:lineRule="auto" w:before="76"/>
        <w:ind w:right="986"/>
        <w:jc w:val="left"/>
      </w:pPr>
      <w:r>
        <w:rPr/>
        <w:t>加。</w:t>
      </w:r>
    </w:p>
    <w:p>
      <w:pPr>
        <w:pStyle w:val="BodyText"/>
        <w:spacing w:line="240" w:lineRule="auto" w:before="76"/>
        <w:ind w:left="513" w:right="986"/>
        <w:jc w:val="left"/>
      </w:pPr>
      <w:r>
        <w:rPr/>
        <w:t>公司以单项金融工具或金融工具组合为基础评估预期信用风险和计量预期信用损失。当以金融工具组合为基础时，公司</w:t>
      </w:r>
    </w:p>
    <w:p>
      <w:pPr>
        <w:pStyle w:val="BodyText"/>
        <w:spacing w:line="316" w:lineRule="auto" w:before="76"/>
        <w:ind w:left="513" w:right="986" w:hanging="361"/>
        <w:jc w:val="left"/>
      </w:pPr>
      <w:r>
        <w:rPr/>
        <w:t>以共同风险特征为依据，将金融工具划分为不同组合。 </w:t>
      </w:r>
      <w:r>
        <w:rPr>
          <w:spacing w:val="-2"/>
        </w:rPr>
        <w:t>公司在每个资产负债表日重新计量预期信用损失，由此形成的损失准备的增加或转回金额，作为减值损失或利得计入当</w:t>
      </w:r>
    </w:p>
    <w:p>
      <w:pPr>
        <w:pStyle w:val="BodyText"/>
        <w:spacing w:line="319" w:lineRule="auto" w:before="19"/>
        <w:ind w:right="986"/>
        <w:jc w:val="left"/>
      </w:pPr>
      <w:r>
        <w:rPr>
          <w:spacing w:val="-2"/>
        </w:rPr>
        <w:t>期损益。对于以摊余成本计量的金融资产，损失准备抵减该金融资产在资产负债表中列示的账面价值；对于以公允价值计量</w:t>
      </w:r>
      <w:r>
        <w:rPr>
          <w:spacing w:val="-63"/>
        </w:rPr>
        <w:t> </w:t>
      </w:r>
      <w:r>
        <w:rPr>
          <w:spacing w:val="-63"/>
        </w:rPr>
      </w:r>
      <w:r>
        <w:rPr/>
        <w:t>且其变动计入其他综合收益的债权投资，公司在其他综合收益中确认其损失准备，不抵减该金融资产的账面价值。</w:t>
      </w:r>
    </w:p>
    <w:p>
      <w:pPr>
        <w:pStyle w:val="BodyText"/>
        <w:spacing w:line="240" w:lineRule="auto" w:before="17"/>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按组合评估预期信用风险和计量预期信用损失的金融工具</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420"/>
        <w:gridCol w:w="1844"/>
        <w:gridCol w:w="3404"/>
      </w:tblGrid>
      <w:tr>
        <w:trPr>
          <w:trHeight w:val="353" w:hRule="exact"/>
        </w:trPr>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703"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1289" w:hRule="exact"/>
        </w:trPr>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04"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17"/>
              <w:ind w:left="2" w:right="0"/>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对未来经济状况的预测，通过违约风险敞口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和未来</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个月内或整个存续期预期信用损</w:t>
            </w:r>
            <w:r>
              <w:rPr>
                <w:rFonts w:ascii="宋体" w:hAnsi="宋体" w:cs="宋体" w:eastAsia="宋体" w:hint="default"/>
                <w:sz w:val="18"/>
                <w:szCs w:val="18"/>
              </w:rPr>
              <w:t> 失率，计算预期信用损失</w:t>
            </w:r>
          </w:p>
        </w:tc>
      </w:tr>
    </w:tbl>
    <w:p>
      <w:pPr>
        <w:pStyle w:val="Heading4"/>
        <w:spacing w:line="257" w:lineRule="exact"/>
        <w:ind w:left="513" w:right="986"/>
        <w:jc w:val="left"/>
        <w:rPr>
          <w:i w:val="0"/>
        </w:rPr>
      </w:pPr>
      <w:r>
        <w:rPr>
          <w:rFonts w:ascii="Times New Roman" w:hAnsi="Times New Roman" w:cs="Times New Roman" w:eastAsia="Times New Roman" w:hint="default"/>
          <w:i/>
          <w:w w:val="95"/>
          <w:sz w:val="18"/>
          <w:szCs w:val="18"/>
        </w:rPr>
        <w:t>(3)</w:t>
      </w:r>
      <w:r>
        <w:rPr>
          <w:rFonts w:ascii="Times New Roman" w:hAnsi="Times New Roman" w:cs="Times New Roman" w:eastAsia="Times New Roman" w:hint="default"/>
          <w:i/>
          <w:spacing w:val="31"/>
          <w:w w:val="95"/>
          <w:sz w:val="18"/>
          <w:szCs w:val="18"/>
        </w:rPr>
        <w:t> </w:t>
      </w:r>
      <w:r>
        <w:rPr>
          <w:w w:val="95"/>
        </w:rPr>
        <w:t>按组合计量预期信用损失的应收款项</w:t>
      </w:r>
      <w:r>
        <w:rPr>
          <w:i w:val="0"/>
        </w:rPr>
      </w:r>
    </w:p>
    <w:p>
      <w:pPr>
        <w:pStyle w:val="BodyText"/>
        <w:spacing w:line="24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具体组合及计量预期信用损失的方法</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093"/>
        <w:gridCol w:w="1702"/>
        <w:gridCol w:w="4729"/>
      </w:tblGrid>
      <w:tr>
        <w:trPr>
          <w:trHeight w:val="346"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4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65"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4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应收银行承兑汇票</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票据类型</w:t>
            </w:r>
          </w:p>
        </w:tc>
        <w:tc>
          <w:tcPr>
            <w:tcW w:w="4729"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3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参考历史信用损失经验，结合当前状况及对未来经济状况的 预测，测算整个存续期信用损失率，计算预期信用损失</w:t>
            </w:r>
          </w:p>
        </w:tc>
      </w:tr>
      <w:tr>
        <w:trPr>
          <w:trHeight w:val="346"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应收商业承兑汇票</w:t>
            </w:r>
          </w:p>
        </w:tc>
        <w:tc>
          <w:tcPr>
            <w:tcW w:w="1702" w:type="dxa"/>
            <w:vMerge/>
            <w:tcBorders>
              <w:left w:val="single" w:sz="6" w:space="0" w:color="000000"/>
              <w:bottom w:val="single" w:sz="6" w:space="0" w:color="000000"/>
              <w:right w:val="single" w:sz="6" w:space="0" w:color="000000"/>
            </w:tcBorders>
          </w:tcPr>
          <w:p>
            <w:pPr/>
          </w:p>
        </w:tc>
        <w:tc>
          <w:tcPr>
            <w:tcW w:w="4729" w:type="dxa"/>
            <w:vMerge/>
            <w:tcBorders>
              <w:left w:val="single" w:sz="6" w:space="0" w:color="000000"/>
              <w:bottom w:val="single" w:sz="6" w:space="0" w:color="000000"/>
              <w:right w:val="single" w:sz="6" w:space="0" w:color="000000"/>
            </w:tcBorders>
          </w:tcPr>
          <w:p>
            <w:pPr/>
          </w:p>
        </w:tc>
      </w:tr>
      <w:tr>
        <w:trPr>
          <w:trHeight w:val="97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0"/>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 的预测，编制应收账款账龄与整个存续期预期信用损失率对 照表，计算预期信用损失</w:t>
            </w:r>
          </w:p>
        </w:tc>
      </w:tr>
      <w:tr>
        <w:trPr>
          <w:trHeight w:val="97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91"/>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应收融资 租赁款账期组合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五级风险分类</w:t>
            </w:r>
          </w:p>
        </w:tc>
        <w:tc>
          <w:tcPr>
            <w:tcW w:w="4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0"/>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 的预测，编制应收账款逾期天数与整个存续期预期信用损失 率对照表，计算预期信用损失</w:t>
            </w:r>
          </w:p>
        </w:tc>
      </w:tr>
    </w:tbl>
    <w:p>
      <w:pPr>
        <w:spacing w:after="0" w:line="316" w:lineRule="auto"/>
        <w:jc w:val="both"/>
        <w:rPr>
          <w:rFonts w:ascii="宋体" w:hAnsi="宋体" w:cs="宋体" w:eastAsia="宋体" w:hint="default"/>
          <w:sz w:val="18"/>
          <w:szCs w:val="18"/>
        </w:rPr>
        <w:sectPr>
          <w:footerReference w:type="default" r:id="rId14"/>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应收账款</w:t>
      </w:r>
      <w:r>
        <w:rPr>
          <w:rFonts w:ascii="Times New Roman" w:hAnsi="Times New Roman" w:cs="Times New Roman" w:eastAsia="Times New Roman" w:hint="default"/>
        </w:rPr>
        <w:t>——</w:t>
      </w:r>
      <w:r>
        <w:rPr/>
        <w:t>账龄组合的账龄与整个存续期预期信用损失率对照表</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268"/>
        <w:gridCol w:w="2696"/>
      </w:tblGrid>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46"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8"/>
                <w:sz w:val="18"/>
                <w:szCs w:val="18"/>
              </w:rPr>
              <w:t> </w:t>
            </w:r>
            <w:r>
              <w:rPr>
                <w:rFonts w:ascii="宋体" w:hAnsi="宋体" w:cs="宋体" w:eastAsia="宋体" w:hint="default"/>
                <w:sz w:val="18"/>
                <w:szCs w:val="18"/>
              </w:rPr>
              <w:t>龄</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应收账款预期信用损失率</w:t>
            </w:r>
            <w:r>
              <w:rPr>
                <w:rFonts w:ascii="Times New Roman" w:hAnsi="Times New Roman" w:cs="Times New Roman" w:eastAsia="Times New Roman" w:hint="default"/>
                <w:sz w:val="18"/>
                <w:szCs w:val="18"/>
              </w:rPr>
              <w:t>(%)</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年以内（含，下同）</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40</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80</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00" w:lineRule="auto" w:before="8"/>
        <w:ind w:left="513" w:right="986" w:hanging="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长期应收款</w:t>
      </w:r>
      <w:r>
        <w:rPr>
          <w:rFonts w:ascii="Times New Roman" w:hAnsi="Times New Roman" w:cs="Times New Roman" w:eastAsia="Times New Roman" w:hint="default"/>
        </w:rPr>
        <w:t>——</w:t>
      </w:r>
      <w:r>
        <w:rPr/>
        <w:t>应收融资租赁款五级风险分类法组合与整个存续期预期信用损失率对照表 </w:t>
      </w:r>
      <w:r>
        <w:rPr>
          <w:spacing w:val="-2"/>
        </w:rPr>
        <w:t>应收融资租赁款按客户已到期的款项是否逾期未收，以及欠款已逾期的期数划分以下各类：客户风险类型：正常类（未</w:t>
      </w:r>
    </w:p>
    <w:p>
      <w:pPr>
        <w:pStyle w:val="BodyText"/>
        <w:spacing w:line="307" w:lineRule="auto" w:before="31"/>
        <w:ind w:right="1026"/>
        <w:jc w:val="left"/>
      </w:pPr>
      <w:r>
        <w:rPr/>
        <w:t>逾期客户）、关注类（逾期 </w:t>
      </w:r>
      <w:r>
        <w:rPr>
          <w:rFonts w:ascii="Times New Roman" w:hAnsi="Times New Roman" w:cs="Times New Roman" w:eastAsia="Times New Roman" w:hint="default"/>
        </w:rPr>
        <w:t>1-6 </w:t>
      </w:r>
      <w:r>
        <w:rPr/>
        <w:t>个月，含 </w:t>
      </w:r>
      <w:r>
        <w:rPr>
          <w:rFonts w:ascii="Times New Roman" w:hAnsi="Times New Roman" w:cs="Times New Roman" w:eastAsia="Times New Roman" w:hint="default"/>
        </w:rPr>
        <w:t>6 </w:t>
      </w:r>
      <w:r>
        <w:rPr/>
        <w:t>个月的客户）、次级类（逾期 </w:t>
      </w:r>
      <w:r>
        <w:rPr>
          <w:rFonts w:ascii="Times New Roman" w:hAnsi="Times New Roman" w:cs="Times New Roman" w:eastAsia="Times New Roman" w:hint="default"/>
        </w:rPr>
        <w:t>6-12 </w:t>
      </w:r>
      <w:r>
        <w:rPr/>
        <w:t>个月客户）、可疑类（逾期 </w:t>
      </w:r>
      <w:r>
        <w:rPr>
          <w:rFonts w:ascii="Times New Roman" w:hAnsi="Times New Roman" w:cs="Times New Roman" w:eastAsia="Times New Roman" w:hint="default"/>
        </w:rPr>
        <w:t>12-24</w:t>
      </w:r>
      <w:r>
        <w:rPr>
          <w:rFonts w:ascii="Times New Roman" w:hAnsi="Times New Roman" w:cs="Times New Roman" w:eastAsia="Times New Roman" w:hint="default"/>
          <w:spacing w:val="37"/>
        </w:rPr>
        <w:t> </w:t>
      </w:r>
      <w:r>
        <w:rPr/>
        <w:t>个月客 </w:t>
      </w:r>
      <w:r>
        <w:rPr>
          <w:spacing w:val="-7"/>
        </w:rPr>
        <w:t>户）及损失类（逾期 </w:t>
      </w:r>
      <w:r>
        <w:rPr>
          <w:rFonts w:ascii="Times New Roman" w:hAnsi="Times New Roman" w:cs="Times New Roman" w:eastAsia="Times New Roman" w:hint="default"/>
        </w:rPr>
        <w:t>24 </w:t>
      </w:r>
      <w:r>
        <w:rPr>
          <w:spacing w:val="-4"/>
        </w:rPr>
        <w:t>个月以上客户）等</w:t>
      </w:r>
      <w:r>
        <w:rPr>
          <w:spacing w:val="-25"/>
        </w:rPr>
        <w:t> </w:t>
      </w:r>
      <w:r>
        <w:rPr>
          <w:rFonts w:ascii="Times New Roman" w:hAnsi="Times New Roman" w:cs="Times New Roman" w:eastAsia="Times New Roman" w:hint="default"/>
        </w:rPr>
        <w:t>5</w:t>
      </w:r>
      <w:r>
        <w:rPr/>
        <w:t>种风险类型客户，以已逾期账龄区分各类风险类型客户制定相应坏账计提比例； </w:t>
      </w:r>
      <w:r>
        <w:rPr>
          <w:spacing w:val="-2"/>
        </w:rPr>
        <w:t>对已到期未收回的逾期长期应收款转入应收账款并按相应账龄计提坏账准备，尚未到期的长期应收款坏账准备按客户风险类</w:t>
      </w:r>
      <w:r>
        <w:rPr>
          <w:spacing w:val="-64"/>
        </w:rPr>
        <w:t> </w:t>
      </w:r>
      <w:r>
        <w:rPr>
          <w:spacing w:val="-64"/>
        </w:rPr>
      </w:r>
      <w:r>
        <w:rPr/>
        <w:t>型计提比例如下：</w:t>
      </w:r>
    </w:p>
    <w:tbl>
      <w:tblPr>
        <w:tblW w:w="0" w:type="auto"/>
        <w:jc w:val="left"/>
        <w:tblInd w:w="143" w:type="dxa"/>
        <w:tblLayout w:type="fixed"/>
        <w:tblCellMar>
          <w:top w:w="0" w:type="dxa"/>
          <w:left w:w="0" w:type="dxa"/>
          <w:bottom w:w="0" w:type="dxa"/>
          <w:right w:w="0" w:type="dxa"/>
        </w:tblCellMar>
        <w:tblLook w:val="01E0"/>
      </w:tblPr>
      <w:tblGrid>
        <w:gridCol w:w="1995"/>
        <w:gridCol w:w="3118"/>
        <w:gridCol w:w="2554"/>
      </w:tblGrid>
      <w:tr>
        <w:trPr>
          <w:trHeight w:val="350" w:hRule="exact"/>
        </w:trPr>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629" w:right="0"/>
              <w:jc w:val="left"/>
              <w:rPr>
                <w:rFonts w:ascii="宋体" w:hAnsi="宋体" w:cs="宋体" w:eastAsia="宋体" w:hint="default"/>
                <w:sz w:val="18"/>
                <w:szCs w:val="18"/>
              </w:rPr>
            </w:pPr>
            <w:r>
              <w:rPr>
                <w:rFonts w:ascii="宋体" w:hAnsi="宋体" w:cs="宋体" w:eastAsia="宋体" w:hint="default"/>
                <w:sz w:val="18"/>
                <w:szCs w:val="18"/>
              </w:rPr>
              <w:t>风险类别</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922" w:right="0"/>
              <w:jc w:val="left"/>
              <w:rPr>
                <w:rFonts w:ascii="宋体" w:hAnsi="宋体" w:cs="宋体" w:eastAsia="宋体" w:hint="default"/>
                <w:sz w:val="18"/>
                <w:szCs w:val="18"/>
              </w:rPr>
            </w:pPr>
            <w:r>
              <w:rPr>
                <w:rFonts w:ascii="宋体" w:hAnsi="宋体" w:cs="宋体" w:eastAsia="宋体" w:hint="default"/>
                <w:sz w:val="18"/>
                <w:szCs w:val="18"/>
              </w:rPr>
              <w:t>合同逾期（天）</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r>
      <w:tr>
        <w:trPr>
          <w:trHeight w:val="353" w:hRule="exact"/>
        </w:trPr>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个月（含）</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r>
      <w:tr>
        <w:trPr>
          <w:trHeight w:val="350" w:hRule="exact"/>
        </w:trPr>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353" w:hRule="exact"/>
        </w:trPr>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可疑类</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个月（含）</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50</w:t>
            </w:r>
          </w:p>
        </w:tc>
      </w:tr>
      <w:tr>
        <w:trPr>
          <w:trHeight w:val="353" w:hRule="exact"/>
        </w:trPr>
        <w:tc>
          <w:tcPr>
            <w:tcW w:w="1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逾期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个月以上</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00" w:lineRule="auto" w:before="26"/>
        <w:ind w:left="573" w:right="986"/>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金融资产和金融负债的抵销 金融资产和金融负债在资产负债表内分别列示，不相互抵销。但同时满足下列条件的，公司以相互抵销后的净额在资</w:t>
      </w:r>
    </w:p>
    <w:p>
      <w:pPr>
        <w:pStyle w:val="BodyText"/>
        <w:spacing w:line="309" w:lineRule="auto" w:before="31"/>
        <w:ind w:right="986"/>
        <w:jc w:val="left"/>
      </w:pPr>
      <w:r>
        <w:rPr/>
        <w:t>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公司具有抵销已确认金额的法定权利，且该种法定权利是当前可执行的；</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公司计划以净额结算，</w:t>
      </w:r>
      <w:r>
        <w:rPr>
          <w:spacing w:val="-85"/>
        </w:rPr>
        <w:t> </w:t>
      </w:r>
      <w:r>
        <w:rPr>
          <w:spacing w:val="-85"/>
        </w:rPr>
      </w:r>
      <w:r>
        <w:rPr/>
        <w:t>或同时变现该金融资产和清偿该金融负债。 不满足终止确认条件的金融资产转移，公司不对已转移的金融资产和相关负债进行抵销。</w:t>
      </w:r>
    </w:p>
    <w:p>
      <w:pPr>
        <w:spacing w:line="240" w:lineRule="auto" w:before="3"/>
        <w:rPr>
          <w:rFonts w:ascii="宋体" w:hAnsi="宋体" w:cs="宋体" w:eastAsia="宋体" w:hint="default"/>
          <w:sz w:val="23"/>
          <w:szCs w:val="23"/>
        </w:rPr>
      </w:pPr>
    </w:p>
    <w:p>
      <w:pPr>
        <w:pStyle w:val="Heading3"/>
        <w:spacing w:line="240" w:lineRule="auto"/>
        <w:ind w:right="986"/>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参照金融工具</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参照金融工具</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参照金融工具</w:t>
      </w:r>
    </w:p>
    <w:p>
      <w:pPr>
        <w:spacing w:line="240" w:lineRule="auto" w:before="0"/>
        <w:rPr>
          <w:rFonts w:ascii="宋体" w:hAnsi="宋体" w:cs="宋体" w:eastAsia="宋体" w:hint="default"/>
          <w:sz w:val="18"/>
          <w:szCs w:val="18"/>
        </w:rPr>
      </w:pPr>
    </w:p>
    <w:p>
      <w:pPr>
        <w:pStyle w:val="Heading3"/>
        <w:spacing w:line="240" w:lineRule="auto" w:before="121"/>
        <w:ind w:right="986"/>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6434"/>
        <w:jc w:val="left"/>
      </w:pPr>
      <w:r>
        <w:rPr/>
        <w:t>其他应收款的预期信用损失的确定方法及会计处理方法 参照金融工具</w:t>
      </w:r>
    </w:p>
    <w:p>
      <w:pPr>
        <w:spacing w:after="0" w:line="360" w:lineRule="auto"/>
        <w:jc w:val="left"/>
        <w:sectPr>
          <w:footerReference w:type="default" r:id="rId15"/>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存货的分类 存货包括在日常活动中持有以备出售的产成品或商品、处在生产过程中的在产品、在生产过程或提供劳务过程中耗用</w:t>
      </w:r>
    </w:p>
    <w:p>
      <w:pPr>
        <w:pStyle w:val="BodyText"/>
        <w:spacing w:line="240" w:lineRule="auto" w:before="31"/>
        <w:ind w:right="986"/>
        <w:jc w:val="left"/>
      </w:pPr>
      <w:r>
        <w:rPr/>
        <w:t>的材料和物料等。</w:t>
      </w:r>
    </w:p>
    <w:p>
      <w:pPr>
        <w:pStyle w:val="BodyText"/>
        <w:spacing w:line="309" w:lineRule="auto" w:before="76"/>
        <w:ind w:left="573" w:right="7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存货可变现净值的确定依据</w:t>
      </w:r>
    </w:p>
    <w:p>
      <w:pPr>
        <w:pStyle w:val="BodyText"/>
        <w:spacing w:line="316" w:lineRule="auto" w:before="5"/>
        <w:ind w:right="1129"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2"/>
        </w:rPr>
        <w:t> </w:t>
      </w:r>
      <w:r>
        <w:rPr>
          <w:spacing w:val="-62"/>
        </w:rPr>
      </w:r>
      <w:r>
        <w:rPr/>
        <w:t>同价格的，分别确定其可变现净值，并与其对应的成本进行比较，分别确定存货跌价准备的计提或转回的金额。</w:t>
      </w:r>
    </w:p>
    <w:p>
      <w:pPr>
        <w:pStyle w:val="BodyText"/>
        <w:spacing w:line="300" w:lineRule="auto" w:before="19"/>
        <w:ind w:left="573" w:right="78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存货的盘存制度 存货的盘存制度为永续盘存制。</w:t>
      </w:r>
    </w:p>
    <w:p>
      <w:pPr>
        <w:pStyle w:val="BodyText"/>
        <w:spacing w:line="240" w:lineRule="auto" w:before="31"/>
        <w:ind w:left="573" w:right="98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低值易耗品和包装物的摊销方法</w:t>
      </w:r>
    </w:p>
    <w:p>
      <w:pPr>
        <w:pStyle w:val="BodyText"/>
        <w:spacing w:line="307" w:lineRule="auto" w:before="63"/>
        <w:ind w:left="573" w:right="81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包装物</w:t>
      </w:r>
      <w:r>
        <w:rPr>
          <w:w w:val="99"/>
        </w:rPr>
        <w:t> </w:t>
      </w:r>
      <w:r>
        <w:rPr/>
        <w:t>按照一次转销法进行摊销。</w:t>
      </w:r>
    </w:p>
    <w:p>
      <w:pPr>
        <w:spacing w:line="240" w:lineRule="auto" w:before="4"/>
        <w:rPr>
          <w:rFonts w:ascii="宋体" w:hAnsi="宋体" w:cs="宋体" w:eastAsia="宋体" w:hint="default"/>
          <w:sz w:val="23"/>
          <w:szCs w:val="23"/>
        </w:rPr>
      </w:pPr>
    </w:p>
    <w:p>
      <w:pPr>
        <w:pStyle w:val="Heading3"/>
        <w:spacing w:line="240" w:lineRule="auto"/>
        <w:ind w:right="986"/>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参照金融工具</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73" w:right="10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共同控制、重要影响的判断 </w:t>
      </w:r>
      <w:r>
        <w:rPr>
          <w:spacing w:val="-1"/>
        </w:rPr>
        <w:t>按照相关约定对某项安排存在共有的控制，并且该安排的相关活动必须经过分享控制权的参与方一致同意后才能决策，</w:t>
      </w:r>
    </w:p>
    <w:p>
      <w:pPr>
        <w:pStyle w:val="BodyText"/>
        <w:spacing w:line="316" w:lineRule="auto" w:before="31"/>
        <w:ind w:right="986"/>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投资成本的确定</w:t>
      </w:r>
    </w:p>
    <w:p>
      <w:pPr>
        <w:pStyle w:val="BodyText"/>
        <w:spacing w:line="309" w:lineRule="auto" w:before="63"/>
        <w:ind w:right="986"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存收益。</w:t>
      </w:r>
    </w:p>
    <w:p>
      <w:pPr>
        <w:pStyle w:val="BodyText"/>
        <w:spacing w:line="309" w:lineRule="auto" w:before="77"/>
        <w:ind w:right="1129"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1"/>
        </w:rPr>
        <w:t> </w:t>
      </w:r>
      <w:r>
        <w:rPr>
          <w:spacing w:val="-41"/>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2"/>
        </w:rPr>
        <w:t> </w:t>
      </w:r>
      <w:r>
        <w:rPr>
          <w:spacing w:val="-62"/>
        </w:rPr>
      </w:r>
      <w:r>
        <w:rPr/>
        <w:t>冲减的，调整留存收益。</w:t>
      </w:r>
    </w:p>
    <w:p>
      <w:pPr>
        <w:pStyle w:val="BodyText"/>
        <w:spacing w:line="300" w:lineRule="auto" w:before="24"/>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986"/>
        <w:jc w:val="left"/>
      </w:pPr>
      <w:r>
        <w:rPr/>
        <w:t>会计处理：</w:t>
      </w:r>
    </w:p>
    <w:p>
      <w:pPr>
        <w:pStyle w:val="BodyText"/>
        <w:spacing w:line="240" w:lineRule="auto" w:before="76"/>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在个别财务报表中，按照原持有的股权投资的账面价值加上新增投资成本之和，作为改按成本法核算的初始投资成</w:t>
      </w:r>
    </w:p>
    <w:p>
      <w:pPr>
        <w:pStyle w:val="BodyText"/>
        <w:spacing w:line="240" w:lineRule="auto" w:before="63"/>
        <w:ind w:right="986"/>
        <w:jc w:val="left"/>
      </w:pPr>
      <w:r>
        <w:rPr/>
        <w:t>本。</w:t>
      </w:r>
    </w:p>
    <w:p>
      <w:pPr>
        <w:pStyle w:val="BodyText"/>
        <w:spacing w:line="240" w:lineRule="auto" w:before="76"/>
        <w:ind w:left="573" w:right="986"/>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pStyle w:val="BodyText"/>
        <w:spacing w:line="312" w:lineRule="auto" w:before="63"/>
        <w:ind w:right="1132"/>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4"/>
        </w:rPr>
        <w:t> </w:t>
      </w:r>
      <w:r>
        <w:rPr>
          <w:spacing w:val="-44"/>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300" w:lineRule="auto" w:before="22"/>
        <w:ind w:right="1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1"/>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3"/>
        </w:rPr>
        <w:t> </w:t>
      </w:r>
      <w:r>
        <w:rPr>
          <w:spacing w:val="-83"/>
        </w:rPr>
      </w:r>
      <w:r>
        <w:rPr/>
        <w:t>成本。</w:t>
      </w:r>
    </w:p>
    <w:p>
      <w:pPr>
        <w:pStyle w:val="BodyText"/>
        <w:spacing w:line="309" w:lineRule="auto" w:before="31"/>
        <w:ind w:left="573" w:right="1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通过多次交易分步处置对子公司投资至丧失控制权的处理方法</w:t>
      </w:r>
    </w:p>
    <w:p>
      <w:pPr>
        <w:pStyle w:val="BodyText"/>
        <w:spacing w:line="300" w:lineRule="auto" w:before="5"/>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2"/>
        <w:ind w:right="1129"/>
        <w:jc w:val="both"/>
      </w:pPr>
      <w:r>
        <w:rPr>
          <w:spacing w:val="-2"/>
        </w:rPr>
        <w:t>响或者与其他方一起实施共同控制的，转为权益法核算；不能再对被投资单位实施控制、共同控制或重大影响的，确认为金</w:t>
      </w:r>
      <w:r>
        <w:rPr>
          <w:spacing w:val="-63"/>
        </w:rPr>
        <w:t> </w:t>
      </w:r>
      <w:r>
        <w:rPr>
          <w:spacing w:val="-63"/>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before="0"/>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合并财务报表</w:t>
      </w:r>
    </w:p>
    <w:p>
      <w:pPr>
        <w:pStyle w:val="BodyText"/>
        <w:spacing w:line="300" w:lineRule="auto" w:before="63"/>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3" w:right="986" w:hanging="421"/>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6"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4"/>
        </w:rPr>
        <w:t> </w:t>
      </w:r>
      <w:r>
        <w:rPr>
          <w:spacing w:val="-64"/>
        </w:rPr>
      </w:r>
      <w:r>
        <w:rPr/>
        <w:t>转为当期投资收益。</w:t>
      </w:r>
    </w:p>
    <w:p>
      <w:pPr>
        <w:pStyle w:val="BodyText"/>
        <w:spacing w:line="300" w:lineRule="auto" w:before="19"/>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2"/>
        <w:ind w:right="1133"/>
        <w:jc w:val="both"/>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投资性房地产计量模式</w:t>
      </w:r>
    </w:p>
    <w:p>
      <w:pPr>
        <w:spacing w:after="0" w:line="240" w:lineRule="auto"/>
        <w:jc w:val="both"/>
        <w:sectPr>
          <w:footerReference w:type="default" r:id="rId16"/>
          <w:pgSz w:w="11910" w:h="16840"/>
          <w:pgMar w:footer="980" w:header="745" w:top="1060" w:bottom="1160" w:left="980" w:right="0"/>
          <w:pgNumType w:start="103"/>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0" w:firstLine="634"/>
        <w:jc w:val="left"/>
      </w:pPr>
      <w:r>
        <w:rPr/>
        <w:t>固定资产是指为生产商品、提供劳务、出租或经营管理而持有的，使用年限超过一个会计年度的有形资产。固定资 产在同时满足经济利益很可能流入、成本能够可靠计量时予以确认。</w:t>
      </w:r>
    </w:p>
    <w:p>
      <w:pPr>
        <w:spacing w:line="240" w:lineRule="auto" w:before="10"/>
        <w:rPr>
          <w:rFonts w:ascii="宋体" w:hAnsi="宋体" w:cs="宋体" w:eastAsia="宋体" w:hint="default"/>
          <w:sz w:val="22"/>
          <w:szCs w:val="22"/>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3"/>
        <w:rPr>
          <w:rFonts w:ascii="宋体" w:hAnsi="宋体" w:cs="宋体" w:eastAsia="宋体" w:hint="default"/>
          <w:b/>
          <w:bCs/>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112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986"/>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right="986"/>
        <w:jc w:val="left"/>
      </w:pPr>
      <w:r>
        <w:rPr/>
        <w:t>他借款费用，在发生时确认为费用，计入当期损益。</w:t>
      </w:r>
    </w:p>
    <w:p>
      <w:pPr>
        <w:pStyle w:val="BodyText"/>
        <w:spacing w:line="240" w:lineRule="auto" w:before="76"/>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借款费用资本化期间</w:t>
      </w:r>
    </w:p>
    <w:p>
      <w:pPr>
        <w:pStyle w:val="BodyText"/>
        <w:spacing w:line="300" w:lineRule="auto" w:before="63"/>
        <w:ind w:right="986"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为使资产达到预</w:t>
      </w:r>
      <w:r>
        <w:rPr>
          <w:w w:val="99"/>
        </w:rPr>
        <w:t> </w:t>
      </w:r>
      <w:r>
        <w:rPr/>
        <w:t>定可使用或可销售状态所必要的购建或者生产活动已经开始。</w:t>
      </w:r>
    </w:p>
    <w:p>
      <w:pPr>
        <w:pStyle w:val="BodyText"/>
        <w:spacing w:line="300" w:lineRule="auto" w:before="31"/>
        <w:ind w:right="98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p>
    <w:p>
      <w:pPr>
        <w:pStyle w:val="BodyText"/>
        <w:spacing w:line="300" w:lineRule="auto" w:before="63"/>
        <w:ind w:left="57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借款费用资本化率以及资本化金额 为购建或者生产符合资本化条件的资产而借入专门借款的，以专门借款当期实际发生的利息费用（包括按照实际利率</w:t>
      </w:r>
    </w:p>
    <w:p>
      <w:pPr>
        <w:pStyle w:val="BodyText"/>
        <w:spacing w:line="240" w:lineRule="auto" w:before="31"/>
        <w:ind w:right="986"/>
        <w:jc w:val="left"/>
      </w:pPr>
      <w:r>
        <w:rPr/>
        <w:t>法确定的折价或溢价的摊销），减去将尚未动用的借款资金存入银行取得的利息收入或进行暂时性投资取得的投资收益后的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986"/>
        <w:jc w:val="left"/>
      </w:pPr>
      <w:r>
        <w:rPr>
          <w:spacing w:val="-2"/>
        </w:rPr>
        <w:t>金额，确定应予资本化的利息金额；为购建或者生产符合资本化条件的资产占用了一般借款的，根据累计资产支出超过专门</w:t>
      </w:r>
      <w:r>
        <w:rPr>
          <w:spacing w:val="-63"/>
        </w:rPr>
        <w:t> </w:t>
      </w:r>
      <w:r>
        <w:rPr>
          <w:spacing w:val="-63"/>
        </w:rPr>
      </w:r>
      <w:r>
        <w:rPr/>
        <w:t>借款的资产支出加权平均数乘以占用一般借款的资本化率，计算确定一般借款应予资本化的利息金额。</w:t>
      </w:r>
    </w:p>
    <w:p>
      <w:pPr>
        <w:spacing w:line="240" w:lineRule="auto" w:before="9"/>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573" w:right="986"/>
        <w:jc w:val="left"/>
        <w:rPr>
          <w:i w:val="0"/>
        </w:rPr>
      </w:pPr>
      <w:r>
        <w:rPr>
          <w:rFonts w:ascii="Times New Roman" w:hAnsi="Times New Roman" w:cs="Times New Roman" w:eastAsia="Times New Roman" w:hint="default"/>
          <w:i/>
          <w:w w:val="95"/>
          <w:sz w:val="18"/>
          <w:szCs w:val="18"/>
        </w:rPr>
        <w:t>1.</w:t>
      </w:r>
      <w:r>
        <w:rPr>
          <w:rFonts w:ascii="Times New Roman" w:hAnsi="Times New Roman" w:cs="Times New Roman" w:eastAsia="Times New Roman" w:hint="default"/>
          <w:i/>
          <w:spacing w:val="17"/>
          <w:w w:val="95"/>
          <w:sz w:val="18"/>
          <w:szCs w:val="18"/>
        </w:rPr>
        <w:t> </w:t>
      </w:r>
      <w:r>
        <w:rPr>
          <w:w w:val="95"/>
        </w:rPr>
        <w:t>无形资产包括土地使用权、专利权及非专利技术等，按成本进行初始计量。</w:t>
      </w:r>
      <w:r>
        <w:rPr>
          <w:i w:val="0"/>
        </w:rPr>
      </w:r>
    </w:p>
    <w:p>
      <w:pPr>
        <w:pStyle w:val="BodyText"/>
        <w:spacing w:line="300" w:lineRule="auto" w:before="63"/>
        <w:ind w:right="112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使用寿命有限的无形资产，在使用寿命内按照与该项无形资产有关的经济利益的预期实现方式系统合理地摊销，无 法可靠确定预期实现方式的，采用直线法摊销。具体年限如下：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2127"/>
        <w:gridCol w:w="1834"/>
      </w:tblGrid>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摊销年限（年）</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土地使用权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sz w:val="20"/>
              </w:rPr>
              <w:t>40-50</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专利权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3-6</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非专利技术</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 w:right="0"/>
              <w:jc w:val="center"/>
              <w:rPr>
                <w:rFonts w:ascii="Times New Roman" w:hAnsi="Times New Roman" w:cs="Times New Roman" w:eastAsia="Times New Roman" w:hint="default"/>
                <w:sz w:val="20"/>
                <w:szCs w:val="20"/>
              </w:rPr>
            </w:pPr>
            <w:r>
              <w:rPr>
                <w:rFonts w:ascii="Times New Roman"/>
                <w:sz w:val="20"/>
              </w:rPr>
              <w:t>10</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特许经营权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027" w:firstLine="420"/>
        <w:jc w:val="left"/>
      </w:pPr>
      <w:r>
        <w:rPr/>
        <w:t>内部研究开发项目研究阶段的支出，于发生时计入当期损益。内部研究开发项目开发阶段的支出，同时满足下列条件 的，确认为无形资产：</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 </w:t>
      </w:r>
      <w:r>
        <w:rPr/>
        <w:t>具有完成该无形资产并使用或</w:t>
      </w:r>
      <w:r>
        <w:rPr>
          <w:spacing w:val="-59"/>
        </w:rPr>
        <w:t> </w:t>
      </w:r>
      <w:r>
        <w:rPr>
          <w:spacing w:val="-59"/>
        </w:rPr>
      </w:r>
      <w:r>
        <w:rPr/>
        <w:t>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无形资产产生经济利益的方式，包括能够证明运用该无形资产生产的产品存在市场或无形资产自身存在市 </w:t>
      </w:r>
      <w:r>
        <w:rPr>
          <w:spacing w:val="-3"/>
        </w:rPr>
        <w:t>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7"/>
        </w:rPr>
        <w:t> </w:t>
      </w:r>
      <w:r>
        <w:rPr/>
        <w:t>有足够的技术、财务资源和其他资源支持，以完成该无形资产的开发， 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986"/>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035" w:firstLine="420"/>
        <w:jc w:val="left"/>
      </w:pPr>
      <w:r>
        <w:rPr>
          <w:spacing w:val="-2"/>
        </w:rPr>
        <w:t>对长期股权投资、固定资产、在建工程、使用寿命有限的无形资产等长期资产</w:t>
      </w:r>
      <w:r>
        <w:rPr>
          <w:rFonts w:ascii="Times New Roman" w:hAnsi="Times New Roman" w:cs="Times New Roman" w:eastAsia="Times New Roman" w:hint="default"/>
          <w:spacing w:val="-2"/>
        </w:rPr>
        <w:t>,</w:t>
      </w:r>
      <w:r>
        <w:rPr>
          <w:spacing w:val="-2"/>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3"/>
        </w:rPr>
        <w:t> </w:t>
      </w:r>
      <w:r>
        <w:rPr>
          <w:spacing w:val="-63"/>
        </w:rPr>
      </w:r>
      <w:r>
        <w:rPr/>
        <w:t>试。商誉结合与其相关的资产组或者资产组组合进行减值测试。</w:t>
      </w:r>
    </w:p>
    <w:p>
      <w:pPr>
        <w:pStyle w:val="BodyText"/>
        <w:spacing w:line="240" w:lineRule="auto" w:before="24"/>
        <w:ind w:left="573" w:right="986"/>
        <w:jc w:val="left"/>
      </w:pPr>
      <w:r>
        <w:rPr/>
        <w:t>若上述长期资产的可收回金额低于其账面价值的，按其差额确认资产减值准备并计入当期损益。</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6"/>
        <w:ind w:right="986"/>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3" w:firstLine="288"/>
        <w:jc w:val="both"/>
      </w:pP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3"/>
        <w:rPr>
          <w:rFonts w:ascii="宋体" w:hAnsi="宋体" w:cs="宋体" w:eastAsia="宋体" w:hint="default"/>
          <w:sz w:val="23"/>
          <w:szCs w:val="23"/>
        </w:rPr>
      </w:pPr>
    </w:p>
    <w:p>
      <w:pPr>
        <w:pStyle w:val="Heading3"/>
        <w:spacing w:line="240" w:lineRule="auto"/>
        <w:ind w:right="986"/>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职工薪酬包括短期薪酬、离职后福利、辞退福利和其他长期职工福利。</w:t>
      </w:r>
    </w:p>
    <w:p>
      <w:pPr>
        <w:pStyle w:val="BodyText"/>
        <w:spacing w:line="300" w:lineRule="auto" w:before="63"/>
        <w:ind w:left="573" w:right="187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短期薪酬的会计处理方法 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986"/>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73" w:right="986"/>
        <w:jc w:val="left"/>
      </w:pPr>
      <w:r>
        <w:rPr/>
        <w:t>离职后福利分为设定提存计划和设定受益计划。</w:t>
      </w:r>
    </w:p>
    <w:p>
      <w:pPr>
        <w:pStyle w:val="BodyText"/>
        <w:spacing w:line="300" w:lineRule="auto" w:before="76"/>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2"/>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对设定受益计划的会计处理通常包括下列步骤：</w:t>
      </w:r>
    </w:p>
    <w:p>
      <w:pPr>
        <w:pStyle w:val="BodyText"/>
        <w:spacing w:line="309" w:lineRule="auto" w:before="63"/>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65"/>
        </w:rPr>
        <w:t> </w:t>
      </w:r>
      <w:r>
        <w:rPr>
          <w:spacing w:val="-65"/>
        </w:rPr>
      </w:r>
      <w:r>
        <w:rPr/>
        <w:t>义务的现值和当期服务成本；</w:t>
      </w:r>
    </w:p>
    <w:p>
      <w:pPr>
        <w:pStyle w:val="BodyText"/>
        <w:spacing w:line="309" w:lineRule="auto" w:before="2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312" w:lineRule="auto" w:before="24"/>
        <w:ind w:right="11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r>
        <w:rPr>
          <w:spacing w:val="-64"/>
        </w:rPr>
        <w:t> </w:t>
      </w:r>
      <w:r>
        <w:rPr>
          <w:spacing w:val="-64"/>
        </w:rPr>
      </w: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1"/>
        <w:rPr>
          <w:rFonts w:ascii="宋体" w:hAnsi="宋体" w:cs="宋体" w:eastAsia="宋体" w:hint="default"/>
          <w:sz w:val="23"/>
          <w:szCs w:val="23"/>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7" w:firstLine="288"/>
        <w:jc w:val="both"/>
      </w:pPr>
      <w:r>
        <w:rPr/>
        <w:t>向职工提供的辞退福利，在下列两者孰早日确认辞退福利产生的职工薪酬负债，并计入当期损益：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公司不能单方面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公司确认与涉及支付辞退福利的重组相关的成本或费用时。</w:t>
      </w:r>
    </w:p>
    <w:p>
      <w:pPr>
        <w:spacing w:line="240" w:lineRule="auto" w:before="4"/>
        <w:rPr>
          <w:rFonts w:ascii="宋体" w:hAnsi="宋体" w:cs="宋体" w:eastAsia="宋体" w:hint="default"/>
          <w:sz w:val="22"/>
          <w:szCs w:val="22"/>
        </w:rPr>
      </w:pPr>
    </w:p>
    <w:p>
      <w:pPr>
        <w:pStyle w:val="Heading3"/>
        <w:spacing w:line="240" w:lineRule="auto"/>
        <w:ind w:right="986"/>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41" w:right="986"/>
        <w:jc w:val="left"/>
      </w:pPr>
      <w:r>
        <w:rPr/>
        <w:t>向职工提供的其他长期福利，符合设定提存计划条件的，按照设定提存计划的有关规定进行会计处理；除此之外的其他</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034"/>
        <w:jc w:val="left"/>
      </w:pPr>
      <w:r>
        <w:rPr/>
        <w:t>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spacing w:line="240" w:lineRule="auto" w:before="9"/>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4"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00" w:lineRule="auto" w:before="31"/>
        <w:ind w:right="113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公司按照履行相关现时义务所需支出的最佳估计数对预计负债进行初始计量，并在资产负债表日对预计负债的账面 价值进行复核。</w:t>
      </w:r>
    </w:p>
    <w:p>
      <w:pPr>
        <w:spacing w:line="240" w:lineRule="auto" w:before="10"/>
        <w:rPr>
          <w:rFonts w:ascii="宋体" w:hAnsi="宋体" w:cs="宋体" w:eastAsia="宋体" w:hint="default"/>
          <w:sz w:val="23"/>
          <w:szCs w:val="23"/>
        </w:rPr>
      </w:pPr>
    </w:p>
    <w:p>
      <w:pPr>
        <w:pStyle w:val="Heading3"/>
        <w:spacing w:line="240" w:lineRule="auto"/>
        <w:ind w:right="986"/>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pStyle w:val="BodyText"/>
        <w:spacing w:line="240" w:lineRule="auto" w:before="115"/>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收入确认原则</w:t>
      </w:r>
    </w:p>
    <w:p>
      <w:pPr>
        <w:pStyle w:val="BodyText"/>
        <w:spacing w:line="24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w:t>
      </w:r>
    </w:p>
    <w:p>
      <w:pPr>
        <w:pStyle w:val="BodyText"/>
        <w:spacing w:line="300" w:lineRule="auto" w:before="63"/>
        <w:ind w:right="1129" w:firstLine="36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相关的已发生或将发生的成本能够可靠地计量。</w:t>
      </w:r>
    </w:p>
    <w:p>
      <w:pPr>
        <w:pStyle w:val="BodyText"/>
        <w:spacing w:line="300" w:lineRule="auto" w:before="13"/>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提供劳务</w:t>
      </w:r>
      <w:r>
        <w:rPr>
          <w:w w:val="99"/>
        </w:rPr>
        <w:t> </w:t>
      </w:r>
      <w:r>
        <w:rPr>
          <w:spacing w:val="-4"/>
          <w:w w:val="99"/>
        </w:rPr>
        <w:t>提供劳务交易的结果在资产负债表日能够可靠估计的（同时满足收入的金额能够可靠地计量、相关经济利益很可能流入、</w:t>
      </w:r>
      <w:r>
        <w:rPr>
          <w:spacing w:val="-4"/>
        </w:rPr>
      </w:r>
    </w:p>
    <w:p>
      <w:pPr>
        <w:pStyle w:val="BodyText"/>
        <w:spacing w:line="316" w:lineRule="auto" w:before="31"/>
        <w:ind w:right="986"/>
        <w:jc w:val="left"/>
      </w:pPr>
      <w:r>
        <w:rPr>
          <w:spacing w:val="-4"/>
        </w:rPr>
        <w:t>交易的完工进度能够可靠地确定、交易中已发生和将发生的成本能够可靠地计量），采用完工百分比法确认提供劳务的收入，</w:t>
      </w:r>
      <w:r>
        <w:rPr>
          <w:spacing w:val="-44"/>
        </w:rPr>
        <w:t> </w:t>
      </w:r>
      <w:r>
        <w:rPr>
          <w:spacing w:val="-44"/>
        </w:rPr>
      </w:r>
      <w:r>
        <w:rPr>
          <w:spacing w:val="-2"/>
        </w:rPr>
        <w:t>并按已经提供劳务占应提供劳务总量的比例确定提供劳务交易的完工进度。提供劳务交易的结果在资产负债表日不能够可靠</w:t>
      </w:r>
      <w:r>
        <w:rPr>
          <w:spacing w:val="-64"/>
        </w:rPr>
        <w:t> </w:t>
      </w:r>
      <w:r>
        <w:rPr>
          <w:spacing w:val="-64"/>
        </w:rPr>
      </w:r>
      <w:r>
        <w:rPr>
          <w:spacing w:val="-2"/>
        </w:rPr>
        <w:t>估计的，若已经发生的劳务成本预计能够得到补偿，按已经发生的劳务成本金额确认提供劳务收入，并按相同金额结转劳务</w:t>
      </w:r>
      <w:r>
        <w:rPr>
          <w:spacing w:val="-63"/>
        </w:rPr>
        <w:t> </w:t>
      </w:r>
      <w:r>
        <w:rPr>
          <w:spacing w:val="-63"/>
        </w:rPr>
      </w:r>
      <w:r>
        <w:rPr/>
        <w:t>成本；若已经发生的劳务成本预计不能够得到补偿，将已经发生的劳务成本计入当期损益，不确认劳务收入。</w:t>
      </w:r>
    </w:p>
    <w:p>
      <w:pPr>
        <w:pStyle w:val="BodyText"/>
        <w:spacing w:line="300" w:lineRule="auto" w:before="19"/>
        <w:ind w:left="51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让渡资产使用权</w:t>
      </w:r>
      <w:r>
        <w:rPr>
          <w:w w:val="99"/>
        </w:rPr>
        <w:t> </w:t>
      </w:r>
      <w:r>
        <w:rPr>
          <w:spacing w:val="-2"/>
        </w:rPr>
        <w:t>让渡资产使用权在同时满足相关的经济利益很可能流入、收入金额能够可靠计量时，确认让渡资产使用权的收入。利息</w:t>
      </w:r>
    </w:p>
    <w:p>
      <w:pPr>
        <w:pStyle w:val="BodyText"/>
        <w:spacing w:line="316" w:lineRule="auto" w:before="31"/>
        <w:ind w:right="986"/>
        <w:jc w:val="left"/>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pStyle w:val="BodyText"/>
        <w:spacing w:line="240" w:lineRule="auto" w:before="19"/>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收入确认的具体方法</w:t>
      </w:r>
    </w:p>
    <w:p>
      <w:pPr>
        <w:pStyle w:val="BodyText"/>
        <w:spacing w:line="300" w:lineRule="auto" w:before="63"/>
        <w:ind w:right="1139" w:firstLine="360"/>
        <w:jc w:val="both"/>
      </w:pPr>
      <w:r>
        <w:rPr/>
        <w:t>（</w:t>
      </w:r>
      <w:r>
        <w:rPr>
          <w:rFonts w:ascii="Times New Roman" w:hAnsi="Times New Roman" w:cs="Times New Roman" w:eastAsia="Times New Roman" w:hint="default"/>
        </w:rPr>
        <w:t>1</w:t>
      </w:r>
      <w:r>
        <w:rPr/>
        <w:t>）销售散料搬运核心装置、立体车库、成套生产线和输送仓储设备、混凝土搅拌站、管型母线、固态电子硬盘及存 储设备的收入确认</w:t>
      </w:r>
    </w:p>
    <w:p>
      <w:pPr>
        <w:pStyle w:val="BodyText"/>
        <w:spacing w:line="316" w:lineRule="auto" w:before="31"/>
        <w:ind w:right="1131" w:firstLine="360"/>
        <w:jc w:val="both"/>
      </w:pPr>
      <w:r>
        <w:rPr>
          <w:spacing w:val="-2"/>
        </w:rPr>
        <w:t>散料搬运核心装置（包括张紧装置、给料机、制动装置等矿业设备制动装置等控制设备）、立体车库、成套生产线和输</w:t>
      </w:r>
      <w:r>
        <w:rPr/>
        <w:t> </w:t>
      </w:r>
      <w:r>
        <w:rPr>
          <w:spacing w:val="-2"/>
        </w:rPr>
        <w:t>送仓储设备、混凝土搅拌站、管型母线、固态电子硬盘及存储设备等产品目前均为内销，其收入确认需满足以下条件：产品</w:t>
      </w:r>
      <w:r>
        <w:rPr>
          <w:spacing w:val="-67"/>
        </w:rPr>
        <w:t> </w:t>
      </w:r>
      <w:r>
        <w:rPr>
          <w:spacing w:val="-67"/>
        </w:rPr>
      </w:r>
      <w:r>
        <w:rPr>
          <w:spacing w:val="-2"/>
        </w:rPr>
        <w:t>销售金额已经确定；公司已根据合同约定将产品交付给购货方，并由购货方验收（若按照合同约定需安装调试的，则双方在</w:t>
      </w:r>
      <w:r>
        <w:rPr>
          <w:spacing w:val="-64"/>
        </w:rPr>
        <w:t> </w:t>
      </w:r>
      <w:r>
        <w:rPr>
          <w:spacing w:val="-64"/>
        </w:rPr>
      </w:r>
      <w:r>
        <w:rPr/>
        <w:t>安装调试完成后验收）。</w:t>
      </w:r>
    </w:p>
    <w:p>
      <w:pPr>
        <w:pStyle w:val="BodyText"/>
        <w:spacing w:line="240" w:lineRule="auto" w:before="18"/>
        <w:ind w:left="513" w:right="986"/>
        <w:jc w:val="left"/>
      </w:pPr>
      <w:r>
        <w:rPr/>
        <w:t>（</w:t>
      </w:r>
      <w:r>
        <w:rPr>
          <w:rFonts w:ascii="Times New Roman" w:hAnsi="Times New Roman" w:cs="Times New Roman" w:eastAsia="Times New Roman" w:hint="default"/>
        </w:rPr>
        <w:t>2</w:t>
      </w:r>
      <w:r>
        <w:rPr/>
        <w:t>）维修保养的收入确认</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044" w:firstLine="360"/>
        <w:jc w:val="both"/>
      </w:pPr>
      <w:r>
        <w:rPr>
          <w:spacing w:val="-2"/>
        </w:rPr>
        <w:t>设备维修保养的收入确认需满足以下条件：根据合同约定提供相关产品交付给对方，安装调试劳务已提供，并获得对方</w:t>
      </w:r>
      <w:r>
        <w:rPr/>
        <w:t> </w:t>
      </w:r>
      <w:r>
        <w:rPr>
          <w:spacing w:val="-4"/>
        </w:rPr>
        <w:t>确认，收入金额已确定，产品售后维修保养收入在服务已经提供，且已实际收到服务款项或取得收款依据凭证时，确认收入。</w:t>
      </w:r>
    </w:p>
    <w:p>
      <w:pPr>
        <w:pStyle w:val="BodyText"/>
        <w:spacing w:line="307" w:lineRule="auto" w:before="17"/>
        <w:ind w:left="513" w:right="986"/>
        <w:jc w:val="left"/>
      </w:pPr>
      <w:r>
        <w:rPr/>
        <w:t>（</w:t>
      </w:r>
      <w:r>
        <w:rPr>
          <w:rFonts w:ascii="Times New Roman" w:hAnsi="Times New Roman" w:cs="Times New Roman" w:eastAsia="Times New Roman" w:hint="default"/>
        </w:rPr>
        <w:t>3</w:t>
      </w:r>
      <w:r>
        <w:rPr/>
        <w:t>）融资租赁利息收入 公司融资租赁收入主要包括融资租赁业务产生的利息收入和提供融资租赁业务收取的手续费收入。 </w:t>
      </w:r>
      <w:r>
        <w:rPr>
          <w:rFonts w:ascii="Times New Roman" w:hAnsi="Times New Roman" w:cs="Times New Roman" w:eastAsia="Times New Roman" w:hint="default"/>
        </w:rPr>
        <w:t>1</w:t>
      </w:r>
      <w:r>
        <w:rPr/>
        <w:t>）租赁期开始日的处理 </w:t>
      </w:r>
      <w:r>
        <w:rPr>
          <w:spacing w:val="-4"/>
        </w:rPr>
        <w:t>在租赁期开始日，将应收融资租赁款、未担保余值之和与其现值、未实现融资租赁增值税的差额确认为未实现融资收益，</w:t>
      </w:r>
    </w:p>
    <w:p>
      <w:pPr>
        <w:pStyle w:val="BodyText"/>
        <w:spacing w:line="316" w:lineRule="auto" w:before="26"/>
        <w:ind w:right="986"/>
        <w:jc w:val="left"/>
      </w:pPr>
      <w:r>
        <w:rPr>
          <w:spacing w:val="-2"/>
        </w:rPr>
        <w:t>在将来收到租金的各期内确认为租赁收入。公司发生的初始直接费用，应包括在应收融资租赁款的初始计量中，并减少租赁</w:t>
      </w:r>
      <w:r>
        <w:rPr>
          <w:spacing w:val="-63"/>
        </w:rPr>
        <w:t> </w:t>
      </w:r>
      <w:r>
        <w:rPr>
          <w:spacing w:val="-63"/>
        </w:rPr>
      </w:r>
      <w:r>
        <w:rPr/>
        <w:t>期内确认的收益金额。</w:t>
      </w:r>
    </w:p>
    <w:p>
      <w:pPr>
        <w:pStyle w:val="BodyText"/>
        <w:spacing w:line="300" w:lineRule="auto" w:before="19"/>
        <w:ind w:left="513" w:right="986"/>
        <w:jc w:val="left"/>
      </w:pPr>
      <w:r>
        <w:rPr>
          <w:rFonts w:ascii="Times New Roman" w:hAnsi="Times New Roman" w:cs="Times New Roman" w:eastAsia="Times New Roman" w:hint="default"/>
        </w:rPr>
        <w:t>2</w:t>
      </w:r>
      <w:r>
        <w:rPr/>
        <w:t>）未实现融资收益的分配 </w:t>
      </w:r>
      <w:r>
        <w:rPr>
          <w:spacing w:val="-2"/>
        </w:rPr>
        <w:t>未实现融资收益在租赁期内各个期间进行分配，确认各期的租赁收入和销项税金。分配时，公司采用实际利率法计算当</w:t>
      </w:r>
    </w:p>
    <w:p>
      <w:pPr>
        <w:pStyle w:val="BodyText"/>
        <w:spacing w:line="319" w:lineRule="auto" w:before="31"/>
        <w:ind w:right="1131"/>
        <w:jc w:val="both"/>
      </w:pPr>
      <w:r>
        <w:rPr>
          <w:spacing w:val="-2"/>
        </w:rPr>
        <w:t>期应确认的租赁收入。实际利率是指租赁开始日，使最低融资租赁收款额的现值与未担保余值的现值之和等于融资租赁资产</w:t>
      </w:r>
      <w:r>
        <w:rPr>
          <w:spacing w:val="-63"/>
        </w:rPr>
        <w:t> </w:t>
      </w:r>
      <w:r>
        <w:rPr>
          <w:spacing w:val="-63"/>
        </w:rPr>
      </w:r>
      <w:r>
        <w:rPr>
          <w:spacing w:val="-2"/>
        </w:rPr>
        <w:t>公允价值与公司发生的初始直接费用之和的折现率。最低融资租赁收款额，是指最低租赁付款额加上独立于承租人和出租人</w:t>
      </w:r>
      <w:r>
        <w:rPr>
          <w:spacing w:val="-64"/>
        </w:rPr>
        <w:t> </w:t>
      </w:r>
      <w:r>
        <w:rPr>
          <w:spacing w:val="-64"/>
        </w:rPr>
      </w:r>
      <w:r>
        <w:rPr>
          <w:spacing w:val="-2"/>
        </w:rPr>
        <w:t>的第三方对出租人担保的资产余值。最低租赁付款额，是指在租赁期内，承租人应支付或可能被要求支付的款项（不包括或</w:t>
      </w:r>
      <w:r>
        <w:rPr>
          <w:spacing w:val="-64"/>
        </w:rPr>
        <w:t> </w:t>
      </w:r>
      <w:r>
        <w:rPr>
          <w:spacing w:val="-64"/>
        </w:rPr>
      </w:r>
      <w:r>
        <w:rPr>
          <w:spacing w:val="-2"/>
        </w:rPr>
        <w:t>有租金和履约成本），加上由承租人或与其有关的第三方担保的资产余值。最低租赁付款额包含公司向承租人收取的融资租</w:t>
      </w:r>
      <w:r>
        <w:rPr>
          <w:spacing w:val="-66"/>
        </w:rPr>
        <w:t> </w:t>
      </w:r>
      <w:r>
        <w:rPr>
          <w:spacing w:val="-66"/>
        </w:rPr>
      </w:r>
      <w:r>
        <w:rPr/>
        <w:t>赁手续费。</w:t>
      </w:r>
    </w:p>
    <w:p>
      <w:pPr>
        <w:pStyle w:val="BodyText"/>
        <w:spacing w:line="300" w:lineRule="auto" w:before="17"/>
        <w:ind w:left="513" w:right="986"/>
        <w:jc w:val="left"/>
      </w:pPr>
      <w:r>
        <w:rPr>
          <w:rFonts w:ascii="Times New Roman" w:hAnsi="Times New Roman" w:cs="Times New Roman" w:eastAsia="Times New Roman" w:hint="default"/>
        </w:rPr>
        <w:t>3</w:t>
      </w:r>
      <w:r>
        <w:rPr/>
        <w:t>）未担保余值发生变动时的处理 </w:t>
      </w:r>
      <w:r>
        <w:rPr>
          <w:spacing w:val="-2"/>
        </w:rPr>
        <w:t>在未担保余值发生减少和已确认损失的未担保余值得以恢复的情况下，均重新计算租赁内含利率（实际利率）以后各期</w:t>
      </w:r>
    </w:p>
    <w:p>
      <w:pPr>
        <w:pStyle w:val="BodyText"/>
        <w:spacing w:line="316" w:lineRule="auto" w:before="31"/>
        <w:ind w:right="986"/>
        <w:jc w:val="left"/>
      </w:pPr>
      <w:r>
        <w:rPr>
          <w:spacing w:val="-2"/>
        </w:rPr>
        <w:t>根据修正后的租赁投资净额和重新计算的租赁内含利率确定应确认的租赁收入。在未担保余值增加时，不做任何调整。未担</w:t>
      </w:r>
      <w:r>
        <w:rPr>
          <w:spacing w:val="-65"/>
        </w:rPr>
        <w:t> </w:t>
      </w:r>
      <w:r>
        <w:rPr>
          <w:spacing w:val="-65"/>
        </w:rPr>
      </w:r>
      <w:r>
        <w:rPr/>
        <w:t>保余值，指租赁资产余值中扣除就出租人而言的担保余值以后的资产余值。</w:t>
      </w:r>
    </w:p>
    <w:p>
      <w:pPr>
        <w:pStyle w:val="BodyText"/>
        <w:spacing w:line="300" w:lineRule="auto" w:before="19"/>
        <w:ind w:left="441" w:right="6505" w:firstLine="72"/>
        <w:jc w:val="left"/>
      </w:pPr>
      <w:r>
        <w:rPr>
          <w:rFonts w:ascii="Times New Roman" w:hAnsi="Times New Roman" w:cs="Times New Roman" w:eastAsia="Times New Roman" w:hint="default"/>
        </w:rPr>
        <w:t>4</w:t>
      </w:r>
      <w:r>
        <w:rPr/>
        <w:t>）或有租金的处理 公司在融资租赁下收到的或有租金计入当期损益。</w:t>
      </w:r>
    </w:p>
    <w:p>
      <w:pPr>
        <w:spacing w:line="240" w:lineRule="auto" w:before="10"/>
        <w:rPr>
          <w:rFonts w:ascii="宋体" w:hAnsi="宋体" w:cs="宋体" w:eastAsia="宋体" w:hint="default"/>
          <w:sz w:val="23"/>
          <w:szCs w:val="23"/>
        </w:rPr>
      </w:pPr>
    </w:p>
    <w:p>
      <w:pPr>
        <w:pStyle w:val="Heading3"/>
        <w:spacing w:line="240" w:lineRule="auto"/>
        <w:ind w:right="986"/>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1" w:firstLine="360"/>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公司能够收到政府补助。政 </w:t>
      </w:r>
      <w:r>
        <w:rPr>
          <w:spacing w:val="-2"/>
        </w:rPr>
        <w:t>府补助为货币性资产的，按照收到或应收的金额计量。政府补助为非货币性资产的，按照公允价值计量；公允价值不能可靠</w:t>
      </w:r>
      <w:r>
        <w:rPr>
          <w:spacing w:val="-65"/>
        </w:rPr>
        <w:t> </w:t>
      </w:r>
      <w:r>
        <w:rPr>
          <w:spacing w:val="-65"/>
        </w:rPr>
      </w:r>
      <w:r>
        <w:rPr/>
        <w:t>取得的，按照名义金额计量。</w:t>
      </w:r>
    </w:p>
    <w:p>
      <w:pPr>
        <w:pStyle w:val="BodyText"/>
        <w:spacing w:line="300" w:lineRule="auto" w:before="24"/>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与资产相关的政府补助判断依据及会计处理方法 </w:t>
      </w:r>
      <w:r>
        <w:rPr>
          <w:spacing w:val="-2"/>
        </w:rPr>
        <w:t>政府文件规定用于购建或以其他方式形成长期资产的政府补助划分为与资产相关的政府补助。政府文件不明确的，以取</w:t>
      </w:r>
    </w:p>
    <w:p>
      <w:pPr>
        <w:pStyle w:val="BodyText"/>
        <w:spacing w:line="316" w:lineRule="auto" w:before="31"/>
        <w:ind w:right="1034"/>
        <w:jc w:val="left"/>
      </w:pPr>
      <w:r>
        <w:rPr/>
        <w:t>得该补助必须具备的基本条件为基础进行判断，以购建或其他方式形成长期资产为基本条件的作为与资产相关的政府补助。 </w:t>
      </w:r>
      <w:r>
        <w:rPr>
          <w:spacing w:val="-2"/>
        </w:rPr>
        <w:t>与资产相关的政府补助，冲减相关资产的账面价值或确认为递延收益。与资产相关的政府补助确认为递延收益的，在相关资</w:t>
      </w:r>
      <w:r>
        <w:rPr>
          <w:spacing w:val="-63"/>
        </w:rPr>
        <w:t> </w:t>
      </w:r>
      <w:r>
        <w:rPr>
          <w:spacing w:val="-63"/>
        </w:rPr>
      </w:r>
      <w:r>
        <w:rPr>
          <w:spacing w:val="-2"/>
        </w:rPr>
        <w:t>产使用寿命内按照合理、系统的方法分期计入损益。按照名义金额计量的政府补助，直接计入当期损益。相关资产在使用寿</w:t>
      </w:r>
      <w:r>
        <w:rPr>
          <w:spacing w:val="-65"/>
        </w:rPr>
        <w:t> </w:t>
      </w:r>
      <w:r>
        <w:rPr>
          <w:spacing w:val="-65"/>
        </w:rPr>
      </w:r>
      <w:r>
        <w:rPr/>
        <w:t>命结束前被出售、转让、报废或发生毁损的，将尚未分配的相关递延收益余额转入资产处置当期的损益。</w:t>
      </w:r>
    </w:p>
    <w:p>
      <w:pPr>
        <w:pStyle w:val="BodyText"/>
        <w:spacing w:line="300" w:lineRule="auto" w:before="19"/>
        <w:ind w:left="51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316" w:lineRule="auto" w:before="31"/>
        <w:ind w:right="986"/>
        <w:jc w:val="left"/>
      </w:pPr>
      <w:r>
        <w:rPr>
          <w:spacing w:val="-2"/>
        </w:rPr>
        <w:t>分的政府补助，难以区分与资产相关或与收益相关的，整体归类为与收益相关的政府补助。与收益相关的政府补助，用于补</w:t>
      </w:r>
      <w:r>
        <w:rPr>
          <w:spacing w:val="-64"/>
        </w:rPr>
        <w:t> </w:t>
      </w:r>
      <w:r>
        <w:rPr>
          <w:spacing w:val="-64"/>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pStyle w:val="BodyText"/>
        <w:spacing w:line="300" w:lineRule="auto" w:before="19"/>
        <w:ind w:right="1135"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与公司日常经营活动相关的政府补助，按照经济业务实质，计入其他收益或冲减相关成本费用。与公司日常活动无 关的政府补助，计入营业外收支。</w:t>
      </w:r>
    </w:p>
    <w:p>
      <w:pPr>
        <w:pStyle w:val="BodyText"/>
        <w:spacing w:line="240" w:lineRule="auto" w:before="31"/>
        <w:ind w:left="573" w:right="986"/>
        <w:jc w:val="left"/>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递延所得税资产、递延所得税负债</w:t>
      </w:r>
    </w:p>
    <w:p>
      <w:pPr>
        <w:pStyle w:val="BodyText"/>
        <w:spacing w:line="309" w:lineRule="auto" w:before="63"/>
        <w:ind w:right="1133"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spacing w:after="0" w:line="309"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right="1124" w:firstLine="360"/>
        <w:jc w:val="both"/>
      </w:pPr>
      <w:r>
        <w:rPr>
          <w:rFonts w:ascii="Times New Roman" w:hAnsi="Times New Roman" w:cs="Times New Roman" w:eastAsia="Times New Roman" w:hint="default"/>
        </w:rPr>
        <w:t>2. </w:t>
      </w:r>
      <w:r>
        <w:rPr/>
        <w:t>确认递延所得税资产以很可能取得用来抵扣可抵扣暂时性差异的应纳税所得额为限。资产负债表日，有确凿证据表</w:t>
      </w:r>
      <w:r>
        <w:rPr>
          <w:spacing w:val="2"/>
        </w:rPr>
        <w:t> </w:t>
      </w:r>
      <w:r>
        <w:rPr/>
        <w:t>明未来期间很可能获得足够的应纳税所得额用来抵扣可抵扣暂时性差异的，确认以前会计期间未确认的递延所得税资产。</w:t>
      </w:r>
    </w:p>
    <w:p>
      <w:pPr>
        <w:pStyle w:val="BodyText"/>
        <w:spacing w:line="300" w:lineRule="auto" w:before="31"/>
        <w:ind w:right="1135"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240" w:lineRule="auto" w:before="31"/>
        <w:ind w:left="513" w:right="986"/>
        <w:jc w:val="left"/>
      </w:pPr>
      <w:r>
        <w:rPr>
          <w:rFonts w:ascii="Times New Roman" w:hAnsi="Times New Roman" w:cs="Times New Roman" w:eastAsia="Times New Roman" w:hint="default"/>
        </w:rPr>
        <w:t>4.  </w:t>
      </w:r>
      <w:r>
        <w:rPr>
          <w:spacing w:val="-3"/>
        </w:rPr>
        <w:t>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3"/>
        </w:rPr>
        <w:t> </w:t>
      </w:r>
      <w:r>
        <w:rPr/>
        <w:t>企业合并；</w:t>
      </w:r>
    </w:p>
    <w:p>
      <w:pPr>
        <w:pStyle w:val="BodyText"/>
        <w:spacing w:line="240" w:lineRule="auto" w:before="63"/>
        <w:ind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直接在所有者权益中确认的交易或者事项。</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3"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24"/>
        <w:ind w:right="1135"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131"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240" w:lineRule="auto" w:before="31"/>
        <w:ind w:left="513" w:right="986"/>
        <w:jc w:val="left"/>
      </w:pPr>
      <w:r>
        <w:rPr>
          <w:rFonts w:ascii="Times New Roman" w:hAnsi="Times New Roman" w:cs="Times New Roman" w:eastAsia="Times New Roman" w:hint="default"/>
        </w:rPr>
        <w:t>4.  </w:t>
      </w:r>
      <w:r>
        <w:rPr>
          <w:spacing w:val="-3"/>
        </w:rPr>
        <w:t>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3"/>
        </w:rPr>
        <w:t> </w:t>
      </w:r>
      <w:r>
        <w:rPr/>
        <w:t>企业合并；</w:t>
      </w:r>
    </w:p>
    <w:p>
      <w:pPr>
        <w:pStyle w:val="BodyText"/>
        <w:spacing w:line="240" w:lineRule="auto" w:before="63"/>
        <w:ind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直接在所有者权益中确认的交易或者事项。</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42" w:firstLine="504"/>
        <w:jc w:val="both"/>
      </w:pPr>
      <w:r>
        <w:rPr>
          <w:spacing w:val="-3"/>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9"/>
        <w:ind w:right="1130" w:firstLine="504"/>
        <w:jc w:val="both"/>
      </w:pPr>
      <w:r>
        <w:rPr>
          <w:spacing w:val="-1"/>
        </w:rPr>
        <w:t>公司为出租人时，在租赁期内各个期间按照直线法将租金确认为当期损益，发生的初始直接费用，除金额较大的予以</w:t>
      </w:r>
      <w:r>
        <w:rPr/>
        <w:t> 资本化并分期计入损益外，均直接计入当期损益。或有租金在实际发生时计入当期损益。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1" w:firstLine="504"/>
        <w:jc w:val="both"/>
      </w:pPr>
      <w:r>
        <w:rPr>
          <w:spacing w:val="-1"/>
        </w:rPr>
        <w:t>公司为承租人时，在租赁期开始日，公司以租赁开始日租赁资产公允价值与最低租赁付款额现值中两者较低者作为租</w:t>
      </w:r>
      <w:r>
        <w:rPr/>
        <w:t> </w:t>
      </w:r>
      <w:r>
        <w:rPr>
          <w:spacing w:val="-2"/>
        </w:rPr>
        <w:t>入资产的入账价值，将最低租赁付款额作为长期应付款的入账价值，其差额为未确认融资费用，发生的初始直接费用，计入</w:t>
      </w:r>
      <w:r>
        <w:rPr>
          <w:spacing w:val="-64"/>
        </w:rPr>
        <w:t> </w:t>
      </w:r>
      <w:r>
        <w:rPr>
          <w:spacing w:val="-64"/>
        </w:rPr>
      </w:r>
      <w:r>
        <w:rPr/>
        <w:t>租赁资产价值。在租赁期各个期间，采用实际利率法计算确认当期的融资费用。</w:t>
      </w:r>
    </w:p>
    <w:p>
      <w:pPr>
        <w:pStyle w:val="BodyText"/>
        <w:spacing w:line="316" w:lineRule="auto" w:before="19"/>
        <w:ind w:right="1132" w:firstLine="504"/>
        <w:jc w:val="both"/>
      </w:pPr>
      <w:r>
        <w:rPr>
          <w:spacing w:val="-1"/>
        </w:rPr>
        <w:t>公司为出租人时，在租赁期开始日，公司以租赁开始日最低租赁收款额与初始直接费用之和作为应收融资租赁款的入</w:t>
      </w:r>
      <w:r>
        <w:rPr/>
        <w:t> </w:t>
      </w:r>
      <w:r>
        <w:rPr>
          <w:spacing w:val="-2"/>
        </w:rPr>
        <w:t>账价值，同时记录未担保余值；将最低租赁收款额、初始直接费用及未担保余值之和与其现值之和的差额确认为未实现融资</w:t>
      </w:r>
      <w:r>
        <w:rPr>
          <w:spacing w:val="-66"/>
        </w:rPr>
        <w:t> </w:t>
      </w:r>
      <w:r>
        <w:rPr>
          <w:spacing w:val="-66"/>
        </w:rPr>
      </w:r>
      <w:r>
        <w:rPr/>
        <w:t>收益。在租赁期各个期间，采用实际利率法计算确认当期的融资收入。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86"/>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年度一般企 </w:t>
            </w:r>
            <w:r>
              <w:rPr>
                <w:rFonts w:ascii="宋体" w:hAnsi="宋体" w:cs="宋体" w:eastAsia="宋体" w:hint="default"/>
                <w:spacing w:val="-4"/>
                <w:sz w:val="18"/>
                <w:szCs w:val="18"/>
              </w:rPr>
              <w:t>业财务报表格式的通知》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35"/>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、《关于修订印发合并财务报表格式</w:t>
            </w:r>
          </w:p>
          <w:p>
            <w:pPr>
              <w:pStyle w:val="TableParagraph"/>
              <w:spacing w:line="300" w:lineRule="auto" w:before="13"/>
              <w:ind w:left="24"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版）的通知》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3" w:right="91"/>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日第三届董事 会第十八次会议审议批准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财政部修订后的《企业会计准则第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106"/>
                <w:sz w:val="18"/>
                <w:szCs w:val="18"/>
              </w:rPr>
              <w:t>》</w:t>
            </w:r>
            <w:r>
              <w:rPr>
                <w:rFonts w:ascii="宋体" w:hAnsi="宋体" w:cs="宋体" w:eastAsia="宋体" w:hint="default"/>
                <w:sz w:val="18"/>
                <w:szCs w:val="18"/>
              </w:rPr>
              <w:t>《企业会计准</w:t>
            </w:r>
            <w:r>
              <w:rPr>
                <w:rFonts w:ascii="宋体" w:hAnsi="宋体" w:cs="宋体" w:eastAsia="宋体" w:hint="default"/>
                <w:sz w:val="18"/>
                <w:szCs w:val="18"/>
              </w:rPr>
              <w:t> 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金融资产转移</w:t>
            </w:r>
            <w:r>
              <w:rPr>
                <w:rFonts w:ascii="宋体" w:hAnsi="宋体" w:cs="宋体" w:eastAsia="宋体" w:hint="default"/>
                <w:spacing w:val="-94"/>
                <w:sz w:val="18"/>
                <w:szCs w:val="18"/>
              </w:rPr>
              <w:t>》</w:t>
            </w:r>
            <w:r>
              <w:rPr>
                <w:rFonts w:ascii="宋体" w:hAnsi="宋体" w:cs="宋体" w:eastAsia="宋体" w:hint="default"/>
                <w:sz w:val="18"/>
                <w:szCs w:val="18"/>
              </w:rPr>
              <w:t>《企业会</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套期保值》以及《企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91"/>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日第三届董事 会第十八次会议审议批准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财政部修订后的《企业会计准则第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1"/>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财政部修订后</w:t>
            </w:r>
            <w:r>
              <w:rPr>
                <w:rFonts w:ascii="宋体" w:hAnsi="宋体" w:cs="宋体" w:eastAsia="宋体" w:hint="default"/>
                <w:sz w:val="18"/>
                <w:szCs w:val="18"/>
              </w:rPr>
              <w:t> </w:t>
            </w:r>
            <w:r>
              <w:rPr>
                <w:rFonts w:ascii="宋体" w:hAnsi="宋体" w:cs="宋体" w:eastAsia="宋体" w:hint="default"/>
                <w:spacing w:val="-92"/>
                <w:sz w:val="18"/>
                <w:szCs w:val="18"/>
              </w:rPr>
              <w:t>的</w:t>
            </w:r>
            <w:r>
              <w:rPr>
                <w:rFonts w:ascii="宋体" w:hAnsi="宋体" w:cs="宋体" w:eastAsia="宋体" w:hint="default"/>
                <w:sz w:val="18"/>
                <w:szCs w:val="18"/>
              </w:rPr>
              <w:t>《企业会计准则第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债务重组</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90" w:lineRule="atLeast"/>
              <w:ind w:left="16" w:right="180"/>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日第三届董 事会第二十一次会议审议批准</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508" w:lineRule="exact"/>
              <w:ind w:left="-8" w:right="-53"/>
              <w:jc w:val="left"/>
              <w:rPr>
                <w:rFonts w:ascii="宋体" w:hAnsi="宋体" w:cs="宋体" w:eastAsia="宋体" w:hint="default"/>
                <w:sz w:val="20"/>
                <w:szCs w:val="20"/>
              </w:rPr>
            </w:pPr>
            <w:r>
              <w:rPr>
                <w:rFonts w:ascii="宋体" w:hAnsi="宋体" w:cs="宋体" w:eastAsia="宋体" w:hint="default"/>
                <w:position w:val="-9"/>
                <w:sz w:val="20"/>
                <w:szCs w:val="20"/>
              </w:rPr>
              <w:pict>
                <v:group style="width:159.050pt;height:25.45pt;mso-position-horizontal-relative:char;mso-position-vertical-relative:line" coordorigin="0,0" coordsize="3181,509">
                  <v:group style="position:absolute;left:0;top:353;width:3181;height:156" coordorigin="0,353" coordsize="3181,156">
                    <v:shape style="position:absolute;left:0;top:353;width:3181;height:156" coordorigin="0,353" coordsize="3181,156" path="m0,509l3180,509,3180,353,0,353,0,509xe" filled="true" fillcolor="#ffffff" stroked="false">
                      <v:path arrowok="t"/>
                      <v:fill type="solid"/>
                    </v:shape>
                  </v:group>
                  <v:group style="position:absolute;left:24;top:0;width:3133;height:353" coordorigin="24,0" coordsize="3133,353">
                    <v:shape style="position:absolute;left:24;top:0;width:3133;height:353" coordorigin="24,0" coordsize="3133,353" path="m24,353l3156,353,3156,0,24,0,24,353xe" filled="true" fillcolor="#ffffff" stroked="false">
                      <v:path arrowok="t"/>
                      <v:fill type="solid"/>
                    </v:shape>
                  </v:group>
                </v:group>
              </w:pict>
            </w:r>
            <w:r>
              <w:rPr>
                <w:rFonts w:ascii="宋体" w:hAnsi="宋体" w:cs="宋体" w:eastAsia="宋体" w:hint="default"/>
                <w:position w:val="-9"/>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right="986" w:firstLine="360"/>
        <w:jc w:val="left"/>
      </w:pPr>
      <w:r>
        <w:rPr>
          <w:rFonts w:ascii="Times New Roman" w:hAnsi="Times New Roman" w:cs="Times New Roman" w:eastAsia="Times New Roman" w:hint="default"/>
          <w:spacing w:val="-2"/>
        </w:rPr>
        <w:t>1.</w:t>
      </w:r>
      <w:r>
        <w:rPr>
          <w:spacing w:val="-2"/>
        </w:rPr>
        <w:t>本公司据财政部《关于修订印发</w:t>
      </w:r>
      <w:r>
        <w:rPr>
          <w:rFonts w:ascii="Times New Roman" w:hAnsi="Times New Roman" w:cs="Times New Roman" w:eastAsia="Times New Roman" w:hint="default"/>
          <w:spacing w:val="-2"/>
        </w:rPr>
        <w:t>2019</w:t>
      </w:r>
      <w:r>
        <w:rPr>
          <w:spacing w:val="-2"/>
        </w:rPr>
        <w:t>年度一般企业财务报表格式的通知》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w:t>
      </w:r>
      <w:r>
        <w:rPr>
          <w:rFonts w:ascii="Times New Roman" w:hAnsi="Times New Roman" w:cs="Times New Roman" w:eastAsia="Times New Roman" w:hint="default"/>
          <w:spacing w:val="-2"/>
        </w:rPr>
        <w:t>)</w:t>
      </w:r>
      <w:r>
        <w:rPr>
          <w:spacing w:val="-2"/>
        </w:rPr>
        <w:t>、《关于修订印发合并财</w:t>
      </w:r>
      <w:r>
        <w:rPr/>
        <w:t> </w:t>
      </w:r>
      <w:r>
        <w:rPr>
          <w:spacing w:val="-5"/>
        </w:rPr>
        <w:t>务报表格式（</w:t>
      </w:r>
      <w:r>
        <w:rPr>
          <w:rFonts w:ascii="Times New Roman" w:hAnsi="Times New Roman" w:cs="Times New Roman" w:eastAsia="Times New Roman" w:hint="default"/>
          <w:spacing w:val="-5"/>
        </w:rPr>
        <w:t>2019</w:t>
      </w:r>
      <w:r>
        <w:rPr>
          <w:spacing w:val="-5"/>
        </w:rPr>
        <w:t>版）的通知》</w:t>
      </w:r>
      <w:r>
        <w:rPr>
          <w:rFonts w:ascii="Times New Roman" w:hAnsi="Times New Roman" w:cs="Times New Roman" w:eastAsia="Times New Roman" w:hint="default"/>
          <w:spacing w:val="-5"/>
        </w:rPr>
        <w:t>(</w:t>
      </w:r>
      <w:r>
        <w:rPr>
          <w:spacing w:val="-5"/>
        </w:rPr>
        <w:t>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16</w:t>
      </w:r>
      <w:r>
        <w:rPr>
          <w:spacing w:val="-5"/>
        </w:rPr>
        <w:t>司根部《关于修订印发</w:t>
      </w:r>
      <w:r>
        <w:rPr>
          <w:rFonts w:ascii="Times New Roman" w:hAnsi="Times New Roman" w:cs="Times New Roman" w:eastAsia="Times New Roman" w:hint="default"/>
          <w:spacing w:val="-5"/>
        </w:rPr>
        <w:t>2019</w:t>
      </w:r>
      <w:r>
        <w:rPr>
          <w:spacing w:val="-5"/>
        </w:rPr>
        <w:t>年度一般企业财务报表格式的通知》</w:t>
      </w:r>
      <w:r>
        <w:rPr>
          <w:rFonts w:ascii="Times New Roman" w:hAnsi="Times New Roman" w:cs="Times New Roman" w:eastAsia="Times New Roman" w:hint="default"/>
          <w:spacing w:val="-5"/>
        </w:rPr>
        <w:t>(</w:t>
      </w:r>
      <w:r>
        <w:rPr>
          <w:spacing w:val="-5"/>
        </w:rPr>
        <w:t>财会〔</w:t>
      </w:r>
      <w:r>
        <w:rPr>
          <w:rFonts w:ascii="Times New Roman" w:hAnsi="Times New Roman" w:cs="Times New Roman" w:eastAsia="Times New Roman" w:hint="default"/>
          <w:spacing w:val="-5"/>
        </w:rPr>
        <w:t>2019</w:t>
      </w:r>
      <w:r>
        <w:rPr>
          <w:spacing w:val="-5"/>
        </w:rPr>
        <w:t>〕</w:t>
      </w:r>
      <w:r>
        <w:rPr>
          <w:spacing w:val="-63"/>
        </w:rPr>
        <w:t> </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t>、《关于修订印发合并财务报表格式（</w:t>
      </w:r>
      <w:r>
        <w:rPr>
          <w:rFonts w:ascii="Times New Roman" w:hAnsi="Times New Roman" w:cs="Times New Roman" w:eastAsia="Times New Roman" w:hint="default"/>
        </w:rPr>
        <w:t>2019</w:t>
      </w:r>
      <w:r>
        <w:rPr/>
        <w:t>版）的通知业会计准则的要求编制</w:t>
      </w:r>
      <w:r>
        <w:rPr>
          <w:rFonts w:ascii="Times New Roman" w:hAnsi="Times New Roman" w:cs="Times New Roman" w:eastAsia="Times New Roman" w:hint="default"/>
        </w:rPr>
        <w:t>2019</w:t>
      </w:r>
      <w:r>
        <w:rPr/>
        <w:t>年度财务报表，此项会计政策变更采 用追溯调整法。</w:t>
      </w:r>
      <w:r>
        <w:rPr>
          <w:rFonts w:ascii="Times New Roman" w:hAnsi="Times New Roman" w:cs="Times New Roman" w:eastAsia="Times New Roman" w:hint="default"/>
        </w:rPr>
        <w:t>2018</w:t>
      </w:r>
      <w:r>
        <w:rPr/>
        <w:t>年度财务报表受重要影响的报表项目和金额如下：</w:t>
      </w:r>
    </w:p>
    <w:tbl>
      <w:tblPr>
        <w:tblW w:w="0" w:type="auto"/>
        <w:jc w:val="left"/>
        <w:tblInd w:w="145" w:type="dxa"/>
        <w:tblLayout w:type="fixed"/>
        <w:tblCellMar>
          <w:top w:w="0" w:type="dxa"/>
          <w:left w:w="0" w:type="dxa"/>
          <w:bottom w:w="0" w:type="dxa"/>
          <w:right w:w="0" w:type="dxa"/>
        </w:tblCellMar>
        <w:tblLook w:val="01E0"/>
      </w:tblPr>
      <w:tblGrid>
        <w:gridCol w:w="2268"/>
        <w:gridCol w:w="2429"/>
        <w:gridCol w:w="1824"/>
        <w:gridCol w:w="2005"/>
      </w:tblGrid>
      <w:tr>
        <w:trPr>
          <w:trHeight w:val="348" w:hRule="exact"/>
        </w:trPr>
        <w:tc>
          <w:tcPr>
            <w:tcW w:w="4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42"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38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8"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687,001,536.12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55,610,191.47</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
        </w:tc>
        <w:tc>
          <w:tcPr>
            <w:tcW w:w="2429"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631,391,344.65</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246,151,208.35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45,469,050.00</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
        </w:tc>
        <w:tc>
          <w:tcPr>
            <w:tcW w:w="2429"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200,682,158.35</w:t>
            </w:r>
          </w:p>
        </w:tc>
      </w:tr>
    </w:tbl>
    <w:p>
      <w:pPr>
        <w:pStyle w:val="BodyText"/>
        <w:spacing w:line="307" w:lineRule="auto" w:before="13"/>
        <w:ind w:right="1128"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spacing w:val="-2"/>
        </w:rPr>
        <w:t>本公司自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日起执行财政部修订后的《企业会计准则第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金融工具确认和计量》《企业会计准则第</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套期保值》以及《企业会计准则第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金融工具列报》（以下简称新</w:t>
      </w:r>
      <w:r>
        <w:rPr>
          <w:spacing w:val="-61"/>
        </w:rPr>
        <w:t> </w:t>
      </w:r>
      <w:r>
        <w:rPr>
          <w:spacing w:val="-61"/>
        </w:rPr>
      </w:r>
      <w:r>
        <w:rPr>
          <w:spacing w:val="-2"/>
        </w:rPr>
        <w:t>金融工具准则）。根据相关新旧准则衔接规定，对可比期间信息不予调整，首次执行日执行新准则与原准则的差异追溯调整</w:t>
      </w:r>
      <w:r>
        <w:rPr>
          <w:spacing w:val="-64"/>
        </w:rPr>
        <w:t> </w:t>
      </w:r>
      <w:r>
        <w:rPr>
          <w:spacing w:val="-64"/>
        </w:rPr>
      </w:r>
      <w:r>
        <w:rPr/>
        <w:t>本报告期期初留存收益或其他综合收益。</w:t>
      </w:r>
    </w:p>
    <w:p>
      <w:pPr>
        <w:pStyle w:val="BodyText"/>
        <w:spacing w:line="316" w:lineRule="auto" w:before="26"/>
        <w:ind w:right="1130" w:firstLine="360"/>
        <w:jc w:val="both"/>
      </w:pPr>
      <w:r>
        <w:rPr>
          <w:spacing w:val="-2"/>
        </w:rPr>
        <w:t>新金融工具准则改变了金融资产的分类和计量方式，确定了三个计量类别：摊余成本；以公允价值计量且其变动计入其</w:t>
      </w:r>
      <w:r>
        <w:rPr/>
        <w:t> </w:t>
      </w:r>
      <w:r>
        <w:rPr>
          <w:spacing w:val="-2"/>
        </w:rPr>
        <w:t>他综合收益；以公允价值计量且其变动计入当期损益。公司考虑自身业务模式，以及金融资产的合同现金流特征进行上述分</w:t>
      </w:r>
      <w:r>
        <w:rPr>
          <w:spacing w:val="-63"/>
        </w:rPr>
        <w:t> </w:t>
      </w:r>
      <w:r>
        <w:rPr>
          <w:spacing w:val="-63"/>
        </w:rPr>
      </w:r>
      <w:r>
        <w:rPr>
          <w:spacing w:val="-2"/>
        </w:rPr>
        <w:t>类。权益类投资需按公允价值计量且其变动计入当期损益，但非交易性权益类投资在初始确认时可选择按公允价值计量且其</w:t>
      </w:r>
      <w:r>
        <w:rPr>
          <w:spacing w:val="-63"/>
        </w:rPr>
        <w:t> </w:t>
      </w:r>
      <w:r>
        <w:rPr>
          <w:spacing w:val="-63"/>
        </w:rPr>
      </w:r>
      <w:r>
        <w:rPr/>
        <w:t>变动计入其他综合收益</w:t>
      </w:r>
      <w:r>
        <w:rPr>
          <w:rFonts w:ascii="Times New Roman" w:hAnsi="Times New Roman" w:cs="Times New Roman" w:eastAsia="Times New Roman" w:hint="default"/>
        </w:rPr>
        <w:t>(</w:t>
      </w:r>
      <w:r>
        <w:rPr/>
        <w:t>处置时的利得或损失不能回转到损益，但股利收入计入当期损益</w:t>
      </w:r>
      <w:r>
        <w:rPr>
          <w:rFonts w:ascii="Times New Roman" w:hAnsi="Times New Roman" w:cs="Times New Roman" w:eastAsia="Times New Roman" w:hint="default"/>
        </w:rPr>
        <w:t>)</w:t>
      </w:r>
      <w:r>
        <w:rPr/>
        <w:t>，且该选择不可撤销。</w:t>
      </w:r>
    </w:p>
    <w:p>
      <w:pPr>
        <w:pStyle w:val="BodyText"/>
        <w:spacing w:line="300" w:lineRule="auto" w:before="0"/>
        <w:ind w:right="1131" w:firstLine="360"/>
        <w:jc w:val="both"/>
      </w:pPr>
      <w:r>
        <w:rPr>
          <w:spacing w:val="-1"/>
        </w:rPr>
        <w:t>新金融工具准则要求金融资产减值计量由</w:t>
      </w:r>
      <w:r>
        <w:rPr>
          <w:rFonts w:ascii="Times New Roman" w:hAnsi="Times New Roman" w:cs="Times New Roman" w:eastAsia="Times New Roman" w:hint="default"/>
          <w:spacing w:val="-1"/>
        </w:rPr>
        <w:t>“</w:t>
      </w:r>
      <w:r>
        <w:rPr>
          <w:spacing w:val="-1"/>
        </w:rPr>
        <w:t>已发生损失模型</w:t>
      </w:r>
      <w:r>
        <w:rPr>
          <w:rFonts w:ascii="Times New Roman" w:hAnsi="Times New Roman" w:cs="Times New Roman" w:eastAsia="Times New Roman" w:hint="default"/>
          <w:spacing w:val="-1"/>
        </w:rPr>
        <w:t>”</w:t>
      </w:r>
      <w:r>
        <w:rPr>
          <w:spacing w:val="-1"/>
        </w:rPr>
        <w:t>改为</w:t>
      </w:r>
      <w:r>
        <w:rPr>
          <w:rFonts w:ascii="Times New Roman" w:hAnsi="Times New Roman" w:cs="Times New Roman" w:eastAsia="Times New Roman" w:hint="default"/>
          <w:spacing w:val="-1"/>
        </w:rPr>
        <w:t>“</w:t>
      </w:r>
      <w:r>
        <w:rPr>
          <w:spacing w:val="-1"/>
        </w:rPr>
        <w:t>预期信用损失模型</w:t>
      </w:r>
      <w:r>
        <w:rPr>
          <w:rFonts w:ascii="Times New Roman" w:hAnsi="Times New Roman" w:cs="Times New Roman" w:eastAsia="Times New Roman" w:hint="default"/>
          <w:spacing w:val="-1"/>
        </w:rPr>
        <w:t>”</w:t>
      </w:r>
      <w:r>
        <w:rPr>
          <w:spacing w:val="-1"/>
        </w:rPr>
        <w:t>，适用于以摊余成本计量的金融资</w:t>
      </w:r>
      <w:r>
        <w:rPr/>
        <w:t> 产、以公允价值计量且其变动计入其他综合收益的金融资产、租赁应收款。</w:t>
      </w:r>
    </w:p>
    <w:p>
      <w:pPr>
        <w:pStyle w:val="BodyText"/>
        <w:spacing w:line="240" w:lineRule="auto" w:before="31"/>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执行新金融工具准则对公司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日财务报表的主要影响如下：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348" w:hRule="exact"/>
        </w:trPr>
        <w:tc>
          <w:tcPr>
            <w:tcW w:w="2132" w:type="dxa"/>
            <w:vMerge w:val="restart"/>
            <w:tcBorders>
              <w:top w:val="single" w:sz="6" w:space="0" w:color="000000"/>
              <w:left w:val="single" w:sz="6" w:space="0" w:color="000000"/>
              <w:right w:val="single" w:sz="6" w:space="0" w:color="000000"/>
            </w:tcBorders>
          </w:tcPr>
          <w:p>
            <w:pPr>
              <w:pStyle w:val="TableParagraph"/>
              <w:spacing w:line="240" w:lineRule="auto" w:before="20"/>
              <w:ind w:left="18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3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6"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658" w:hRule="exact"/>
        </w:trPr>
        <w:tc>
          <w:tcPr>
            <w:tcW w:w="2132" w:type="dxa"/>
            <w:vMerge/>
            <w:tcBorders>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700" w:right="425" w:hanging="272"/>
              <w:jc w:val="left"/>
              <w:rPr>
                <w:rFonts w:ascii="宋体" w:hAnsi="宋体" w:cs="宋体" w:eastAsia="宋体" w:hint="default"/>
                <w:sz w:val="18"/>
                <w:szCs w:val="18"/>
              </w:rPr>
            </w:pPr>
            <w:r>
              <w:rPr>
                <w:rFonts w:ascii="宋体" w:hAnsi="宋体" w:cs="宋体" w:eastAsia="宋体" w:hint="default"/>
                <w:sz w:val="18"/>
                <w:szCs w:val="18"/>
              </w:rPr>
              <w:t>新金融工具准则 调整影响</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9"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63,300,000.00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63,300,000.00</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55,610,191.47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-55,610,191.47</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29"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55,610,191.47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55,610,191.47</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68,050,230.20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-63,300,000.00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4,750,230.20</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76,584.16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50,076,584.16</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80" w:header="745" w:top="1060" w:bottom="1160" w:left="980" w:right="0"/>
          <w:pgNumType w:start="11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6" w:right="0"/>
              <w:jc w:val="left"/>
              <w:rPr>
                <w:rFonts w:ascii="Times New Roman" w:hAnsi="Times New Roman" w:cs="Times New Roman" w:eastAsia="Times New Roman" w:hint="default"/>
                <w:sz w:val="18"/>
                <w:szCs w:val="18"/>
              </w:rPr>
            </w:pPr>
            <w:r>
              <w:rPr>
                <w:rFonts w:ascii="Times New Roman"/>
                <w:sz w:val="18"/>
              </w:rPr>
              <w:t>107,940,595.50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37" w:right="-1"/>
              <w:jc w:val="left"/>
              <w:rPr>
                <w:rFonts w:ascii="Times New Roman" w:hAnsi="Times New Roman" w:cs="Times New Roman" w:eastAsia="Times New Roman" w:hint="default"/>
                <w:sz w:val="18"/>
                <w:szCs w:val="18"/>
              </w:rPr>
            </w:pPr>
            <w:r>
              <w:rPr>
                <w:rFonts w:ascii="Times New Roman"/>
                <w:sz w:val="18"/>
              </w:rPr>
              <w:t>-76,584.16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91" w:right="0"/>
              <w:jc w:val="left"/>
              <w:rPr>
                <w:rFonts w:ascii="Times New Roman" w:hAnsi="Times New Roman" w:cs="Times New Roman" w:eastAsia="Times New Roman" w:hint="default"/>
                <w:sz w:val="18"/>
                <w:szCs w:val="18"/>
              </w:rPr>
            </w:pPr>
            <w:r>
              <w:rPr>
                <w:rFonts w:ascii="Times New Roman"/>
                <w:sz w:val="18"/>
              </w:rPr>
              <w:t>107,864,011.34</w:t>
            </w:r>
          </w:p>
        </w:tc>
      </w:tr>
    </w:tbl>
    <w:p>
      <w:pPr>
        <w:pStyle w:val="BodyText"/>
        <w:spacing w:line="300" w:lineRule="auto" w:before="8"/>
        <w:ind w:right="111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日，公司金融资产和金融负债按照新金融工具准则和按原金融工具准则的规定进行分类和计量结果对比</w:t>
      </w:r>
      <w:r>
        <w:rPr>
          <w:w w:val="99"/>
        </w:rPr>
        <w:t> </w:t>
      </w:r>
      <w:r>
        <w:rPr/>
        <w:t>如下表：</w:t>
      </w:r>
    </w:p>
    <w:tbl>
      <w:tblPr>
        <w:tblW w:w="0" w:type="auto"/>
        <w:jc w:val="left"/>
        <w:tblInd w:w="145" w:type="dxa"/>
        <w:tblLayout w:type="fixed"/>
        <w:tblCellMar>
          <w:top w:w="0" w:type="dxa"/>
          <w:left w:w="0" w:type="dxa"/>
          <w:bottom w:w="0" w:type="dxa"/>
          <w:right w:w="0" w:type="dxa"/>
        </w:tblCellMar>
        <w:tblLook w:val="01E0"/>
      </w:tblPr>
      <w:tblGrid>
        <w:gridCol w:w="1695"/>
        <w:gridCol w:w="1695"/>
        <w:gridCol w:w="1694"/>
        <w:gridCol w:w="1697"/>
        <w:gridCol w:w="1697"/>
      </w:tblGrid>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3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6"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3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61"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货款和应收款项</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107,746,044.51</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107,746,044.51</w:t>
            </w:r>
          </w:p>
        </w:tc>
      </w:tr>
      <w:tr>
        <w:trPr>
          <w:trHeight w:val="97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货款和应收款项</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55,610,191.47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55,610,191.47</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631,391,344.65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631,391,344.65</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45,796,303.04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45,796,303.04</w:t>
            </w:r>
          </w:p>
        </w:tc>
      </w:tr>
      <w:tr>
        <w:trPr>
          <w:trHeight w:val="661"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0"/>
              <w:jc w:val="left"/>
              <w:rPr>
                <w:rFonts w:ascii="宋体" w:hAnsi="宋体" w:cs="宋体" w:eastAsia="宋体" w:hint="default"/>
                <w:sz w:val="18"/>
                <w:szCs w:val="18"/>
              </w:rPr>
            </w:pPr>
            <w:r>
              <w:rPr>
                <w:rFonts w:ascii="宋体" w:hAnsi="宋体" w:cs="宋体" w:eastAsia="宋体" w:hint="default"/>
                <w:spacing w:val="7"/>
                <w:sz w:val="18"/>
                <w:szCs w:val="18"/>
              </w:rPr>
              <w:t>一年内到期非流动资 </w:t>
            </w:r>
            <w:r>
              <w:rPr>
                <w:rFonts w:ascii="宋体" w:hAnsi="宋体" w:cs="宋体" w:eastAsia="宋体" w:hint="default"/>
                <w:sz w:val="18"/>
                <w:szCs w:val="18"/>
              </w:rPr>
              <w:t>产</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11,480,475.38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11,480,475.38</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71,463,558.42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71,463,558.42</w:t>
            </w: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0"/>
              <w:jc w:val="left"/>
              <w:rPr>
                <w:rFonts w:ascii="宋体" w:hAnsi="宋体" w:cs="宋体" w:eastAsia="宋体" w:hint="default"/>
                <w:sz w:val="18"/>
                <w:szCs w:val="18"/>
              </w:rPr>
            </w:pPr>
            <w:r>
              <w:rPr>
                <w:rFonts w:ascii="宋体" w:hAnsi="宋体" w:cs="宋体" w:eastAsia="宋体" w:hint="default"/>
                <w:spacing w:val="18"/>
                <w:sz w:val="18"/>
                <w:szCs w:val="18"/>
              </w:rPr>
              <w:t>其他流动资产</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0"/>
                <w:sz w:val="18"/>
                <w:szCs w:val="18"/>
              </w:rPr>
              <w:t>理财</w:t>
            </w:r>
            <w:r>
              <w:rPr>
                <w:rFonts w:ascii="宋体" w:hAnsi="宋体" w:cs="宋体" w:eastAsia="宋体" w:hint="default"/>
                <w:spacing w:val="-69"/>
                <w:sz w:val="18"/>
                <w:szCs w:val="18"/>
              </w:rPr>
              <w:t> </w:t>
            </w:r>
            <w:r>
              <w:rPr>
                <w:rFonts w:ascii="宋体" w:hAnsi="宋体" w:cs="宋体" w:eastAsia="宋体" w:hint="default"/>
                <w:sz w:val="18"/>
                <w:szCs w:val="18"/>
              </w:rPr>
              <w:t>产品</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63,300,000.00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 </w:t>
            </w:r>
            <w:r>
              <w:rPr>
                <w:rFonts w:ascii="宋体" w:hAnsi="宋体" w:cs="宋体" w:eastAsia="宋体" w:hint="default"/>
                <w:sz w:val="18"/>
                <w:szCs w:val="18"/>
              </w:rPr>
              <w:t>变动计入当期损益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63,300,000.00</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50,000,000.00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50,076,584.16</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45,469,050.00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45,469,050.00</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200,682,158.35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200,682,158.35</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107,940,595.50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107,864,011.34</w:t>
            </w:r>
          </w:p>
        </w:tc>
      </w:tr>
    </w:tbl>
    <w:p>
      <w:pPr>
        <w:pStyle w:val="BodyText"/>
        <w:spacing w:line="300" w:lineRule="auto" w:before="31"/>
        <w:ind w:right="1112"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日，公司原金融资产和金融负债账面价值调整为按照新金融工具准则的规定进行分类和计量的新金融资</w:t>
      </w:r>
      <w:r>
        <w:rPr>
          <w:w w:val="99"/>
        </w:rPr>
        <w:t> </w:t>
      </w:r>
      <w:r>
        <w:rPr/>
        <w:t>产和金融负债账面价值的调节表如下：</w:t>
      </w:r>
    </w:p>
    <w:tbl>
      <w:tblPr>
        <w:tblW w:w="0" w:type="auto"/>
        <w:jc w:val="left"/>
        <w:tblInd w:w="145" w:type="dxa"/>
        <w:tblLayout w:type="fixed"/>
        <w:tblCellMar>
          <w:top w:w="0" w:type="dxa"/>
          <w:left w:w="0" w:type="dxa"/>
          <w:bottom w:w="0" w:type="dxa"/>
          <w:right w:w="0" w:type="dxa"/>
        </w:tblCellMar>
        <w:tblLook w:val="01E0"/>
      </w:tblPr>
      <w:tblGrid>
        <w:gridCol w:w="1695"/>
        <w:gridCol w:w="1901"/>
        <w:gridCol w:w="1522"/>
        <w:gridCol w:w="1664"/>
        <w:gridCol w:w="1697"/>
      </w:tblGrid>
      <w:tr>
        <w:trPr>
          <w:trHeight w:val="97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5" w:right="38" w:hanging="1"/>
              <w:jc w:val="center"/>
              <w:rPr>
                <w:rFonts w:ascii="宋体" w:hAnsi="宋体" w:cs="宋体" w:eastAsia="宋体" w:hint="default"/>
                <w:sz w:val="18"/>
                <w:szCs w:val="18"/>
              </w:rPr>
            </w:pPr>
            <w:r>
              <w:rPr>
                <w:rFonts w:ascii="宋体" w:hAnsi="宋体" w:cs="宋体" w:eastAsia="宋体" w:hint="default"/>
                <w:sz w:val="18"/>
                <w:szCs w:val="18"/>
              </w:rPr>
              <w:t>按原金融工具准则列示 的账面价值（</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80"/>
              <w:jc w:val="right"/>
              <w:rPr>
                <w:rFonts w:ascii="宋体" w:hAnsi="宋体" w:cs="宋体" w:eastAsia="宋体" w:hint="default"/>
                <w:sz w:val="18"/>
                <w:szCs w:val="18"/>
              </w:rPr>
            </w:pPr>
            <w:r>
              <w:rPr>
                <w:rFonts w:ascii="宋体" w:hAnsi="宋体" w:cs="宋体" w:eastAsia="宋体" w:hint="default"/>
                <w:sz w:val="18"/>
                <w:szCs w:val="18"/>
              </w:rPr>
              <w:t>重分类</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31" w:right="28" w:hanging="2"/>
              <w:jc w:val="center"/>
              <w:rPr>
                <w:rFonts w:ascii="宋体" w:hAnsi="宋体" w:cs="宋体" w:eastAsia="宋体" w:hint="default"/>
                <w:sz w:val="18"/>
                <w:szCs w:val="18"/>
              </w:rPr>
            </w:pPr>
            <w:r>
              <w:rPr>
                <w:rFonts w:ascii="宋体" w:hAnsi="宋体" w:cs="宋体" w:eastAsia="宋体" w:hint="default"/>
                <w:sz w:val="18"/>
                <w:szCs w:val="18"/>
              </w:rPr>
              <w:t>按新金融工具准则列 示的账面价值（</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8" w:hRule="exact"/>
        </w:trPr>
        <w:tc>
          <w:tcPr>
            <w:tcW w:w="84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金融资产</w:t>
            </w:r>
          </w:p>
        </w:tc>
      </w:tr>
      <w:tr>
        <w:trPr>
          <w:trHeight w:val="346" w:hRule="exact"/>
        </w:trPr>
        <w:tc>
          <w:tcPr>
            <w:tcW w:w="84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8"/>
                <w:sz w:val="18"/>
                <w:szCs w:val="18"/>
              </w:rPr>
              <w:t> </w:t>
            </w:r>
            <w:r>
              <w:rPr>
                <w:rFonts w:ascii="宋体" w:hAnsi="宋体" w:cs="宋体" w:eastAsia="宋体" w:hint="default"/>
                <w:sz w:val="18"/>
                <w:szCs w:val="18"/>
              </w:rPr>
              <w:t>摊余成本</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额和按新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107,746,044.51</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107,746,044.51</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55,610,191.47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1284"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both"/>
              <w:rPr>
                <w:rFonts w:ascii="宋体" w:hAnsi="宋体" w:cs="宋体" w:eastAsia="宋体" w:hint="default"/>
                <w:sz w:val="18"/>
                <w:szCs w:val="18"/>
              </w:rPr>
            </w:pPr>
            <w:r>
              <w:rPr>
                <w:rFonts w:ascii="宋体" w:hAnsi="宋体" w:cs="宋体" w:eastAsia="宋体" w:hint="default"/>
                <w:spacing w:val="7"/>
                <w:sz w:val="18"/>
                <w:szCs w:val="18"/>
              </w:rPr>
              <w:t>减：转出至公允价值 计量且其变动计入其 </w:t>
            </w:r>
            <w:r>
              <w:rPr>
                <w:rFonts w:ascii="宋体" w:hAnsi="宋体" w:cs="宋体" w:eastAsia="宋体" w:hint="default"/>
                <w:spacing w:val="57"/>
                <w:sz w:val="18"/>
                <w:szCs w:val="18"/>
              </w:rPr>
              <w:t>他综合收益（</w:t>
            </w:r>
            <w:r>
              <w:rPr>
                <w:rFonts w:ascii="宋体" w:hAnsi="宋体" w:cs="宋体" w:eastAsia="宋体" w:hint="default"/>
                <w:spacing w:val="-19"/>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w:t>
            </w:r>
            <w:r>
              <w:rPr>
                <w:rFonts w:ascii="宋体" w:hAnsi="宋体" w:cs="宋体" w:eastAsia="宋体" w:hint="default"/>
                <w:sz w:val="18"/>
                <w:szCs w:val="18"/>
              </w:rPr>
              <w:t>）</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5"/>
              <w:jc w:val="right"/>
              <w:rPr>
                <w:rFonts w:ascii="Times New Roman" w:hAnsi="Times New Roman" w:cs="Times New Roman" w:eastAsia="Times New Roman" w:hint="default"/>
                <w:sz w:val="18"/>
                <w:szCs w:val="18"/>
              </w:rPr>
            </w:pPr>
            <w:r>
              <w:rPr>
                <w:rFonts w:ascii="Times New Roman"/>
                <w:spacing w:val="-1"/>
                <w:sz w:val="18"/>
              </w:rPr>
              <w:t>-55,610,191.47</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按新</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95"/>
        <w:gridCol w:w="1901"/>
        <w:gridCol w:w="1522"/>
        <w:gridCol w:w="1664"/>
        <w:gridCol w:w="1697"/>
      </w:tblGrid>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额和按新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631,391,344.65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631,391,344.65</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额和按新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45,796,303.04</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45,796,303.04</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0"/>
              <w:jc w:val="left"/>
              <w:rPr>
                <w:rFonts w:ascii="宋体" w:hAnsi="宋体" w:cs="宋体" w:eastAsia="宋体" w:hint="default"/>
                <w:sz w:val="18"/>
                <w:szCs w:val="18"/>
              </w:rPr>
            </w:pPr>
            <w:r>
              <w:rPr>
                <w:rFonts w:ascii="宋体" w:hAnsi="宋体" w:cs="宋体" w:eastAsia="宋体" w:hint="default"/>
                <w:spacing w:val="7"/>
                <w:sz w:val="18"/>
                <w:szCs w:val="18"/>
              </w:rPr>
              <w:t>一年内到期非流动资 </w:t>
            </w:r>
            <w:r>
              <w:rPr>
                <w:rFonts w:ascii="宋体" w:hAnsi="宋体" w:cs="宋体" w:eastAsia="宋体" w:hint="default"/>
                <w:sz w:val="18"/>
                <w:szCs w:val="18"/>
              </w:rPr>
              <w:t>产</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额和按新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37,907,564.98</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37,907,564.98</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额和按新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9,392,338.57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9,392,338.57</w:t>
            </w: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0"/>
              <w:jc w:val="left"/>
              <w:rPr>
                <w:rFonts w:ascii="宋体" w:hAnsi="宋体" w:cs="宋体" w:eastAsia="宋体" w:hint="default"/>
                <w:sz w:val="18"/>
                <w:szCs w:val="18"/>
              </w:rPr>
            </w:pPr>
            <w:r>
              <w:rPr>
                <w:rFonts w:ascii="宋体" w:hAnsi="宋体" w:cs="宋体" w:eastAsia="宋体" w:hint="default"/>
                <w:spacing w:val="7"/>
                <w:sz w:val="18"/>
                <w:szCs w:val="18"/>
              </w:rPr>
              <w:t>以摊余成本计量的总 </w:t>
            </w:r>
            <w:r>
              <w:rPr>
                <w:rFonts w:ascii="宋体" w:hAnsi="宋体" w:cs="宋体" w:eastAsia="宋体" w:hint="default"/>
                <w:sz w:val="18"/>
                <w:szCs w:val="18"/>
              </w:rPr>
              <w:t>金融资产</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887,843,787.22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-55,610,191.47</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832,233,595.75</w:t>
            </w:r>
          </w:p>
        </w:tc>
      </w:tr>
      <w:tr>
        <w:trPr>
          <w:trHeight w:val="348" w:hRule="exact"/>
        </w:trPr>
        <w:tc>
          <w:tcPr>
            <w:tcW w:w="84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以公允价值计量且其变动计入当期损益</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15"/>
              <w:jc w:val="both"/>
              <w:rPr>
                <w:rFonts w:ascii="宋体" w:hAnsi="宋体" w:cs="宋体" w:eastAsia="宋体" w:hint="default"/>
                <w:sz w:val="18"/>
                <w:szCs w:val="18"/>
              </w:rPr>
            </w:pPr>
            <w:r>
              <w:rPr>
                <w:rFonts w:ascii="宋体" w:hAnsi="宋体" w:cs="宋体" w:eastAsia="宋体" w:hint="default"/>
                <w:spacing w:val="7"/>
                <w:sz w:val="18"/>
                <w:szCs w:val="18"/>
              </w:rPr>
              <w:t>加：自可供出售金融 </w:t>
            </w:r>
            <w:r>
              <w:rPr>
                <w:rFonts w:ascii="宋体" w:hAnsi="宋体" w:cs="宋体" w:eastAsia="宋体" w:hint="default"/>
                <w:spacing w:val="6"/>
                <w:sz w:val="18"/>
                <w:szCs w:val="18"/>
              </w:rPr>
              <w:t>资产（原</w:t>
            </w:r>
            <w:r>
              <w:rPr>
                <w:rFonts w:ascii="Times New Roman" w:hAnsi="Times New Roman" w:cs="Times New Roman" w:eastAsia="Times New Roman" w:hint="default"/>
                <w:spacing w:val="6"/>
                <w:sz w:val="18"/>
                <w:szCs w:val="18"/>
              </w:rPr>
              <w:t>CAS22</w:t>
            </w:r>
            <w:r>
              <w:rPr>
                <w:rFonts w:ascii="宋体" w:hAnsi="宋体" w:cs="宋体" w:eastAsia="宋体" w:hint="default"/>
                <w:spacing w:val="6"/>
                <w:sz w:val="18"/>
                <w:szCs w:val="18"/>
              </w:rPr>
              <w:t>）转</w:t>
            </w:r>
            <w:r>
              <w:rPr>
                <w:rFonts w:ascii="宋体" w:hAnsi="宋体" w:cs="宋体" w:eastAsia="宋体" w:hint="default"/>
                <w:spacing w:val="-82"/>
                <w:sz w:val="18"/>
                <w:szCs w:val="18"/>
              </w:rPr>
              <w:t> </w:t>
            </w:r>
            <w:r>
              <w:rPr>
                <w:rFonts w:ascii="宋体" w:hAnsi="宋体" w:cs="宋体" w:eastAsia="宋体" w:hint="default"/>
                <w:sz w:val="18"/>
                <w:szCs w:val="18"/>
              </w:rPr>
              <w:t>入</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63,300,000.00</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5"/>
                <w:sz w:val="18"/>
                <w:szCs w:val="18"/>
              </w:rPr>
              <w:t>按新</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63,300,000.00</w:t>
            </w:r>
          </w:p>
        </w:tc>
      </w:tr>
      <w:tr>
        <w:trPr>
          <w:trHeight w:val="973"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0"/>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变动计入当期损益的 </w:t>
            </w:r>
            <w:r>
              <w:rPr>
                <w:rFonts w:ascii="宋体" w:hAnsi="宋体" w:cs="宋体" w:eastAsia="宋体" w:hint="default"/>
                <w:sz w:val="18"/>
                <w:szCs w:val="18"/>
              </w:rPr>
              <w:t>总金融资产</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63,300,000.00</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63,300,000.00</w:t>
            </w:r>
          </w:p>
        </w:tc>
      </w:tr>
      <w:tr>
        <w:trPr>
          <w:trHeight w:val="346" w:hRule="exact"/>
        </w:trPr>
        <w:tc>
          <w:tcPr>
            <w:tcW w:w="84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以公允价值计量且其变动计入其他综合收益</w:t>
            </w: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0"/>
              <w:jc w:val="left"/>
              <w:rPr>
                <w:rFonts w:ascii="宋体" w:hAnsi="宋体" w:cs="宋体" w:eastAsia="宋体" w:hint="default"/>
                <w:sz w:val="18"/>
                <w:szCs w:val="18"/>
              </w:rPr>
            </w:pPr>
            <w:r>
              <w:rPr>
                <w:rFonts w:ascii="宋体" w:hAnsi="宋体" w:cs="宋体" w:eastAsia="宋体" w:hint="default"/>
                <w:spacing w:val="18"/>
                <w:sz w:val="18"/>
                <w:szCs w:val="18"/>
              </w:rPr>
              <w:t>其他流动资产</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0"/>
                <w:sz w:val="18"/>
                <w:szCs w:val="18"/>
              </w:rPr>
              <w:t>银行</w:t>
            </w:r>
            <w:r>
              <w:rPr>
                <w:rFonts w:ascii="宋体" w:hAnsi="宋体" w:cs="宋体" w:eastAsia="宋体" w:hint="default"/>
                <w:spacing w:val="-69"/>
                <w:sz w:val="18"/>
                <w:szCs w:val="18"/>
              </w:rPr>
              <w:t> </w:t>
            </w:r>
            <w:r>
              <w:rPr>
                <w:rFonts w:ascii="宋体" w:hAnsi="宋体" w:cs="宋体" w:eastAsia="宋体" w:hint="default"/>
                <w:sz w:val="18"/>
                <w:szCs w:val="18"/>
              </w:rPr>
              <w:t>理财产品</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63,300,000.00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95"/>
        <w:gridCol w:w="1901"/>
        <w:gridCol w:w="1522"/>
        <w:gridCol w:w="1664"/>
        <w:gridCol w:w="1697"/>
      </w:tblGrid>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减：转出至以公允价 值计量且其变动计入 </w:t>
            </w:r>
            <w:r>
              <w:rPr>
                <w:rFonts w:ascii="宋体" w:hAnsi="宋体" w:cs="宋体" w:eastAsia="宋体" w:hint="default"/>
                <w:spacing w:val="-3"/>
                <w:sz w:val="18"/>
                <w:szCs w:val="18"/>
              </w:rPr>
              <w:t>当期损益（新</w:t>
            </w:r>
            <w:r>
              <w:rPr>
                <w:rFonts w:ascii="Times New Roman" w:hAnsi="Times New Roman" w:cs="Times New Roman" w:eastAsia="Times New Roman" w:hint="default"/>
                <w:spacing w:val="-3"/>
                <w:sz w:val="18"/>
                <w:szCs w:val="18"/>
              </w:rPr>
              <w:t>CAS22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-63,300,000.00</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按新</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0"/>
              <w:jc w:val="left"/>
              <w:rPr>
                <w:rFonts w:ascii="宋体" w:hAnsi="宋体" w:cs="宋体" w:eastAsia="宋体" w:hint="default"/>
                <w:sz w:val="18"/>
                <w:szCs w:val="18"/>
              </w:rPr>
            </w:pPr>
            <w:r>
              <w:rPr>
                <w:rFonts w:ascii="宋体" w:hAnsi="宋体" w:cs="宋体" w:eastAsia="宋体" w:hint="default"/>
                <w:spacing w:val="7"/>
                <w:sz w:val="18"/>
                <w:szCs w:val="18"/>
              </w:rPr>
              <w:t>加：自应收票据（原</w:t>
            </w:r>
            <w:r>
              <w:rPr>
                <w:rFonts w:ascii="宋体" w:hAnsi="宋体" w:cs="宋体" w:eastAsia="宋体" w:hint="default"/>
                <w:sz w:val="18"/>
                <w:szCs w:val="18"/>
              </w:rPr>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55,610,191.47</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5"/>
                <w:sz w:val="18"/>
                <w:szCs w:val="18"/>
              </w:rPr>
              <w:t>按新</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55,610,191.47</w:t>
            </w: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益的总金融资产</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63,300,000.00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-7,689,808.53</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55,610,191.47</w:t>
            </w:r>
          </w:p>
        </w:tc>
      </w:tr>
      <w:tr>
        <w:trPr>
          <w:trHeight w:val="346" w:hRule="exact"/>
        </w:trPr>
        <w:tc>
          <w:tcPr>
            <w:tcW w:w="84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金融负债</w:t>
            </w:r>
          </w:p>
        </w:tc>
      </w:tr>
      <w:tr>
        <w:trPr>
          <w:trHeight w:val="348" w:hRule="exact"/>
        </w:trPr>
        <w:tc>
          <w:tcPr>
            <w:tcW w:w="84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摊余成本</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50,000,000.00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10"/>
              <w:jc w:val="both"/>
              <w:rPr>
                <w:rFonts w:ascii="宋体" w:hAnsi="宋体" w:cs="宋体" w:eastAsia="宋体" w:hint="default"/>
                <w:sz w:val="18"/>
                <w:szCs w:val="18"/>
              </w:rPr>
            </w:pPr>
            <w:r>
              <w:rPr>
                <w:rFonts w:ascii="宋体" w:hAnsi="宋体" w:cs="宋体" w:eastAsia="宋体" w:hint="default"/>
                <w:sz w:val="18"/>
                <w:szCs w:val="18"/>
              </w:rPr>
              <w:t>加：自其他应付款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短 </w:t>
            </w:r>
            <w:r>
              <w:rPr>
                <w:rFonts w:ascii="宋体" w:hAnsi="宋体" w:cs="宋体" w:eastAsia="宋体" w:hint="default"/>
                <w:spacing w:val="7"/>
                <w:sz w:val="18"/>
                <w:szCs w:val="18"/>
              </w:rPr>
              <w:t>期借款应付利息（原</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76,584.16</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按新</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50,076,584.16</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7"/>
                <w:sz w:val="18"/>
                <w:szCs w:val="18"/>
              </w:rPr>
              <w:t> </w:t>
            </w:r>
            <w:r>
              <w:rPr>
                <w:rFonts w:ascii="宋体" w:hAnsi="宋体" w:cs="宋体" w:eastAsia="宋体" w:hint="default"/>
                <w:sz w:val="18"/>
                <w:szCs w:val="18"/>
              </w:rPr>
              <w:t>按</w:t>
            </w:r>
            <w:r>
              <w:rPr>
                <w:rFonts w:ascii="宋体" w:hAnsi="宋体" w:cs="宋体" w:eastAsia="宋体" w:hint="default"/>
                <w:spacing w:val="-55"/>
                <w:sz w:val="18"/>
                <w:szCs w:val="18"/>
              </w:rPr>
              <w:t> </w:t>
            </w:r>
            <w:r>
              <w:rPr>
                <w:rFonts w:ascii="宋体" w:hAnsi="宋体" w:cs="宋体" w:eastAsia="宋体" w:hint="default"/>
                <w:sz w:val="18"/>
                <w:szCs w:val="18"/>
              </w:rPr>
              <w:t>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45,469,050.00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45,469,050.00</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3"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both"/>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7"/>
                <w:sz w:val="18"/>
                <w:szCs w:val="18"/>
              </w:rPr>
              <w:t> </w:t>
            </w:r>
            <w:r>
              <w:rPr>
                <w:rFonts w:ascii="宋体" w:hAnsi="宋体" w:cs="宋体" w:eastAsia="宋体" w:hint="default"/>
                <w:sz w:val="18"/>
                <w:szCs w:val="18"/>
              </w:rPr>
              <w:t>按</w:t>
            </w:r>
            <w:r>
              <w:rPr>
                <w:rFonts w:ascii="宋体" w:hAnsi="宋体" w:cs="宋体" w:eastAsia="宋体" w:hint="default"/>
                <w:spacing w:val="-55"/>
                <w:sz w:val="18"/>
                <w:szCs w:val="18"/>
              </w:rPr>
              <w:t> </w:t>
            </w:r>
            <w:r>
              <w:rPr>
                <w:rFonts w:ascii="宋体" w:hAnsi="宋体" w:cs="宋体" w:eastAsia="宋体" w:hint="default"/>
                <w:sz w:val="18"/>
                <w:szCs w:val="18"/>
              </w:rPr>
              <w:t>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列 示的余额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200,682,158.35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200,682,158.35</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按原</w:t>
            </w:r>
            <w:r>
              <w:rPr>
                <w:rFonts w:ascii="Times New Roman" w:hAnsi="Times New Roman" w:cs="Times New Roman" w:eastAsia="Times New Roman" w:hint="default"/>
                <w:spacing w:val="5"/>
                <w:sz w:val="18"/>
                <w:szCs w:val="18"/>
              </w:rPr>
              <w:t>CAS22</w:t>
            </w:r>
            <w:r>
              <w:rPr>
                <w:rFonts w:ascii="宋体" w:hAnsi="宋体" w:cs="宋体" w:eastAsia="宋体" w:hint="default"/>
                <w:spacing w:val="5"/>
                <w:sz w:val="18"/>
                <w:szCs w:val="18"/>
              </w:rPr>
              <w:t>列示的余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107,940,595.50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0"/>
              <w:jc w:val="left"/>
              <w:rPr>
                <w:rFonts w:ascii="宋体" w:hAnsi="宋体" w:cs="宋体" w:eastAsia="宋体" w:hint="default"/>
                <w:sz w:val="18"/>
                <w:szCs w:val="18"/>
              </w:rPr>
            </w:pPr>
            <w:r>
              <w:rPr>
                <w:rFonts w:ascii="宋体" w:hAnsi="宋体" w:cs="宋体" w:eastAsia="宋体" w:hint="default"/>
                <w:spacing w:val="7"/>
                <w:sz w:val="18"/>
                <w:szCs w:val="18"/>
              </w:rPr>
              <w:t>减：短期借款应付利</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-76,584.16</w:t>
            </w: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695"/>
        <w:gridCol w:w="1901"/>
        <w:gridCol w:w="1522"/>
        <w:gridCol w:w="1664"/>
        <w:gridCol w:w="1697"/>
      </w:tblGrid>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息</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4"/>
              <w:jc w:val="left"/>
              <w:rPr>
                <w:rFonts w:ascii="宋体" w:hAnsi="宋体" w:cs="宋体" w:eastAsia="宋体" w:hint="default"/>
                <w:sz w:val="18"/>
                <w:szCs w:val="18"/>
              </w:rPr>
            </w:pPr>
            <w:r>
              <w:rPr>
                <w:rFonts w:ascii="宋体" w:hAnsi="宋体" w:cs="宋体" w:eastAsia="宋体" w:hint="default"/>
                <w:spacing w:val="16"/>
                <w:sz w:val="18"/>
                <w:szCs w:val="18"/>
              </w:rPr>
              <w:t>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8"/>
                <w:sz w:val="18"/>
                <w:szCs w:val="18"/>
              </w:rPr>
              <w:t> </w:t>
            </w:r>
            <w:r>
              <w:rPr>
                <w:rFonts w:ascii="宋体" w:hAnsi="宋体" w:cs="宋体" w:eastAsia="宋体" w:hint="default"/>
                <w:spacing w:val="22"/>
                <w:sz w:val="18"/>
                <w:szCs w:val="18"/>
              </w:rPr>
              <w:t>列示的</w:t>
            </w:r>
            <w:r>
              <w:rPr>
                <w:rFonts w:ascii="宋体" w:hAnsi="宋体" w:cs="宋体" w:eastAsia="宋体" w:hint="default"/>
                <w:spacing w:val="-57"/>
                <w:sz w:val="18"/>
                <w:szCs w:val="18"/>
              </w:rPr>
              <w:t> </w:t>
            </w:r>
            <w:r>
              <w:rPr>
                <w:rFonts w:ascii="宋体" w:hAnsi="宋体" w:cs="宋体" w:eastAsia="宋体" w:hint="default"/>
                <w:sz w:val="18"/>
                <w:szCs w:val="18"/>
              </w:rPr>
              <w:t>余额</w:t>
            </w:r>
          </w:p>
        </w:tc>
        <w:tc>
          <w:tcPr>
            <w:tcW w:w="190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107,864,011.34</w:t>
            </w:r>
          </w:p>
        </w:tc>
      </w:tr>
      <w:tr>
        <w:trPr>
          <w:trHeight w:val="6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7"/>
                <w:sz w:val="18"/>
                <w:szCs w:val="18"/>
              </w:rPr>
              <w:t>以摊余成本计量的总 </w:t>
            </w:r>
            <w:r>
              <w:rPr>
                <w:rFonts w:ascii="宋体" w:hAnsi="宋体" w:cs="宋体" w:eastAsia="宋体" w:hint="default"/>
                <w:sz w:val="18"/>
                <w:szCs w:val="18"/>
              </w:rPr>
              <w:t>金融负债</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404,091,803.85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404,091,803.85</w:t>
            </w:r>
          </w:p>
        </w:tc>
      </w:tr>
    </w:tbl>
    <w:p>
      <w:pPr>
        <w:pStyle w:val="BodyText"/>
        <w:spacing w:line="300" w:lineRule="auto" w:before="8"/>
        <w:ind w:right="1112"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日，公司原金融资产减值准备期末金额调整为按照新金融工具准则的规定进行分类和计量的新损失准备</w:t>
      </w:r>
      <w:r>
        <w:rPr>
          <w:w w:val="99"/>
        </w:rPr>
        <w:t> </w:t>
      </w:r>
      <w:r>
        <w:rPr/>
        <w:t>的调节表如下：</w:t>
      </w:r>
    </w:p>
    <w:tbl>
      <w:tblPr>
        <w:tblW w:w="0" w:type="auto"/>
        <w:jc w:val="left"/>
        <w:tblInd w:w="145" w:type="dxa"/>
        <w:tblLayout w:type="fixed"/>
        <w:tblCellMar>
          <w:top w:w="0" w:type="dxa"/>
          <w:left w:w="0" w:type="dxa"/>
          <w:bottom w:w="0" w:type="dxa"/>
          <w:right w:w="0" w:type="dxa"/>
        </w:tblCellMar>
        <w:tblLook w:val="01E0"/>
      </w:tblPr>
      <w:tblGrid>
        <w:gridCol w:w="1527"/>
        <w:gridCol w:w="2693"/>
        <w:gridCol w:w="1277"/>
        <w:gridCol w:w="1092"/>
        <w:gridCol w:w="1935"/>
      </w:tblGrid>
      <w:tr>
        <w:trPr>
          <w:trHeight w:val="972"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5" w:right="51"/>
              <w:jc w:val="center"/>
              <w:rPr>
                <w:rFonts w:ascii="宋体" w:hAnsi="宋体" w:cs="宋体" w:eastAsia="宋体" w:hint="default"/>
                <w:sz w:val="18"/>
                <w:szCs w:val="18"/>
              </w:rPr>
            </w:pPr>
            <w:r>
              <w:rPr>
                <w:rFonts w:ascii="宋体" w:hAnsi="宋体" w:cs="宋体" w:eastAsia="宋体" w:hint="default"/>
                <w:sz w:val="18"/>
                <w:szCs w:val="18"/>
              </w:rPr>
              <w:t>按原金融工具准则计提损失准备</w:t>
            </w:r>
            <w:r>
              <w:rPr>
                <w:rFonts w:ascii="Times New Roman" w:hAnsi="Times New Roman" w:cs="Times New Roman" w:eastAsia="Times New Roman" w:hint="default"/>
                <w:sz w:val="18"/>
                <w:szCs w:val="18"/>
              </w:rPr>
              <w:t>/ </w:t>
            </w:r>
            <w:r>
              <w:rPr>
                <w:rFonts w:ascii="宋体" w:hAnsi="宋体" w:cs="宋体" w:eastAsia="宋体" w:hint="default"/>
                <w:sz w:val="18"/>
                <w:szCs w:val="18"/>
              </w:rPr>
              <w:t>按或有事项准则确认的预计负债</w:t>
            </w:r>
          </w:p>
          <w:p>
            <w:pPr>
              <w:pStyle w:val="TableParagraph"/>
              <w:spacing w:line="240" w:lineRule="auto" w:before="31"/>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59" w:right="56" w:hanging="2"/>
              <w:jc w:val="center"/>
              <w:rPr>
                <w:rFonts w:ascii="宋体" w:hAnsi="宋体" w:cs="宋体" w:eastAsia="宋体" w:hint="default"/>
                <w:sz w:val="18"/>
                <w:szCs w:val="18"/>
              </w:rPr>
            </w:pPr>
            <w:r>
              <w:rPr>
                <w:rFonts w:ascii="宋体" w:hAnsi="宋体" w:cs="宋体" w:eastAsia="宋体" w:hint="default"/>
                <w:sz w:val="18"/>
                <w:szCs w:val="18"/>
              </w:rPr>
              <w:t>按新金融工具准则计提 损失准备（</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792,440.96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-792,440.96</w:t>
            </w:r>
          </w:p>
        </w:tc>
        <w:tc>
          <w:tcPr>
            <w:tcW w:w="1092"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69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792,440.96</w:t>
            </w:r>
          </w:p>
        </w:tc>
        <w:tc>
          <w:tcPr>
            <w:tcW w:w="1092"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792,440.96</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112,829,068.29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112,829,068.29</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7,553,991.36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7,553,991.36</w:t>
            </w:r>
          </w:p>
        </w:tc>
      </w:tr>
      <w:tr>
        <w:trPr>
          <w:trHeight w:val="65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一年内到期非流动 </w:t>
            </w:r>
            <w:r>
              <w:rPr>
                <w:rFonts w:ascii="宋体" w:hAnsi="宋体" w:cs="宋体" w:eastAsia="宋体" w:hint="default"/>
                <w:sz w:val="18"/>
                <w:szCs w:val="18"/>
              </w:rPr>
              <w:t>资产</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382,904.70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382,904.70</w:t>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136,636.42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136,636.42</w:t>
            </w:r>
          </w:p>
        </w:tc>
      </w:tr>
    </w:tbl>
    <w:p>
      <w:pPr>
        <w:pStyle w:val="BodyText"/>
        <w:spacing w:line="300" w:lineRule="auto" w:before="31"/>
        <w:ind w:right="98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日起执行经修订的《企业会计准则第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日起执行经 修订的《企业会计准则第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债务重组》。该项会计政策变更采用未来适用法处理。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300" w:right="0"/>
              <w:jc w:val="left"/>
              <w:rPr>
                <w:rFonts w:ascii="Times New Roman" w:hAnsi="Times New Roman" w:cs="Times New Roman" w:eastAsia="Times New Roman" w:hint="default"/>
                <w:sz w:val="18"/>
                <w:szCs w:val="18"/>
              </w:rPr>
            </w:pPr>
            <w:r>
              <w:rPr>
                <w:rFonts w:ascii="Times New Roman"/>
                <w:sz w:val="18"/>
              </w:rPr>
              <w:t>107,746,044.51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107,746,044.51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7" w:right="0"/>
              <w:jc w:val="left"/>
              <w:rPr>
                <w:rFonts w:ascii="Times New Roman" w:hAnsi="Times New Roman" w:cs="Times New Roman" w:eastAsia="Times New Roman" w:hint="default"/>
                <w:sz w:val="18"/>
                <w:szCs w:val="18"/>
              </w:rPr>
            </w:pPr>
            <w:r>
              <w:rPr>
                <w:rFonts w:ascii="Times New Roman"/>
                <w:sz w:val="18"/>
              </w:rPr>
              <w:t>63,300,000.00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55,610,191.47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-55,610,191.47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631,391,344.65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631,391,344.65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55,610,191.47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55,610,191.47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41,052,477.65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41,052,477.65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45,796,303.04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45,796,303.04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302,802,265.55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302,802,265.55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37,907,564.98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37,907,564.98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68,050,230.20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4,750,230.20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1,290,356,422.05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1,290,356,422.05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9,392,338.57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9,392,338.57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6,473,592.16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6,473,592.16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200,769,175.74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200,769,175.74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52,277,662.89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52,277,662.89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110,959,875.50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110,959,875.50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502,121,693.24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502,121,693.24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6,378,934.78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6,378,934.78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20,270,480.83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20,270,480.83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3,631,620.81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3,631,620.81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912,275,374.52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912,275,374.52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2,202,631,796.57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2,202,631,796.57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50,076,584.16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76,584.16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45,469,050.00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45,469,050.00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200,682,158.35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200,682,158.35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146,480,149.20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146,480,149.20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15,290,067.56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15,290,067.56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45,107,735.73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45,107,735.73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107,940,595.50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107,864,011.34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-76,584.16</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36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610,969,756.34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610,969,756.34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1,766,739.06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1,766,739.06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14,781,914.33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14,781,914.33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16,548,653.39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16,548,653.39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627,518,409.73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627,518,409.73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715,630,489.00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715,630,489.00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471,152,843.70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471,152,843.70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17,006,833.68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17,006,833.68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344,518,369.74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344,518,369.74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1,548,308,536.12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1,548,308,536.12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26,804,850.72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26,804,850.72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1,575,113,386.84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1,575,113,386.84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2,202,631,796.57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2,202,631,796.57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745" w:footer="980" w:top="1060" w:bottom="1160" w:left="980" w:right="0"/>
        </w:sectPr>
      </w:pPr>
    </w:p>
    <w:p>
      <w:pPr>
        <w:pStyle w:val="BodyText"/>
        <w:spacing w:line="360" w:lineRule="auto"/>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5,612,369.40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5,612,369.40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44,469,075.24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-44,469,075.24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70,671,943.80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70,671,943.80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44,469,075.24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44,469,075.24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1,345,027.55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1,345,027.55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66,744,355.29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66,744,355.29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20,465,619.68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20,465,619.68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271,508,390.96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271,508,390.96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1,084,374,781.08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1,084,374,781.08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30,164,303.74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30,164,303.74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6,116,560.16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6,116,560.16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5,523,334.13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5,523,334.13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3,961,034.84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3,961,034.84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1,130,342,013.95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1,130,342,013.95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1,401,850,404.91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1,401,850,404.91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20,012,083.33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12,083.33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5,052,450.00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5,052,450.00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19,400,991.77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13,216,387.76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13,216,387.76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1,585,370.08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1,585,370.08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3,881,241.18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3,881,241.18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38,416,431.27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384,043,347.94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-12,083.33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101,552,872.06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101,552,872.06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5,066,666.67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5,066,666.67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5,066,666.67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5,066,666.67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106,619,538.73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106,619,538.73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715,630,489.00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715,630,489.00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469,654,228.82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469,654,228.82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17,006,833.68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17,006,833.68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92,939,314.68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92,939,314.68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1,295,230,866.18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1,295,230,866.18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1,401,850,404.91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1,401,850,404.91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6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after="0" w:line="340" w:lineRule="auto"/>
        <w:jc w:val="left"/>
        <w:sectPr>
          <w:footerReference w:type="default" r:id="rId18"/>
          <w:pgSz w:w="11910" w:h="16840"/>
          <w:pgMar w:footer="980" w:header="745" w:top="1060" w:bottom="1160" w:left="980" w:right="0"/>
          <w:pgNumType w:start="120"/>
        </w:sectPr>
      </w:pPr>
    </w:p>
    <w:p>
      <w:pPr>
        <w:spacing w:line="240" w:lineRule="auto" w:before="10"/>
        <w:rPr>
          <w:rFonts w:ascii="宋体" w:hAnsi="宋体" w:cs="宋体" w:eastAsia="宋体" w:hint="default"/>
          <w:sz w:val="24"/>
          <w:szCs w:val="24"/>
        </w:rPr>
      </w:pPr>
    </w:p>
    <w:p>
      <w:pPr>
        <w:spacing w:line="487" w:lineRule="auto" w:before="36"/>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普通货物和软件产品销售按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计税、设备安装服务按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计税、维保服务按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计税。</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49"/>
        <w:ind w:right="986"/>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本公司、伟创自动化公司、广东伟创公司、天辰智能公司、 同方佰宜公司、天沃重工公司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沈阳恒信公司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4" w:firstLine="360"/>
        <w:jc w:val="left"/>
      </w:pPr>
      <w:r>
        <w:rPr>
          <w:rFonts w:ascii="Times New Roman" w:hAnsi="Times New Roman" w:cs="Times New Roman" w:eastAsia="Times New Roman" w:hint="default"/>
        </w:rPr>
        <w:t>(1)2017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日，公司获得江苏省科学技术厅、江苏省财政厅、江苏省国家税务局和江苏省地方税务局颁发的编号</w:t>
      </w:r>
      <w:r>
        <w:rPr>
          <w:w w:val="99"/>
        </w:rPr>
        <w:t> </w:t>
      </w:r>
      <w:r>
        <w:rPr/>
        <w:t>为</w:t>
      </w:r>
      <w:r>
        <w:rPr>
          <w:rFonts w:ascii="Times New Roman" w:hAnsi="Times New Roman" w:cs="Times New Roman" w:eastAsia="Times New Roman" w:hint="default"/>
        </w:rPr>
        <w:t>GR201732000009</w:t>
      </w:r>
      <w:r>
        <w:rPr/>
        <w:t>的高新技术企业证书，按税法规定</w:t>
      </w:r>
      <w:r>
        <w:rPr>
          <w:rFonts w:ascii="Times New Roman" w:hAnsi="Times New Roman" w:cs="Times New Roman" w:eastAsia="Times New Roman" w:hint="default"/>
        </w:rPr>
        <w:t>2017-2019</w:t>
      </w:r>
      <w:r>
        <w:rPr/>
        <w:t>年度减按</w:t>
      </w:r>
      <w:r>
        <w:rPr>
          <w:rFonts w:ascii="Times New Roman" w:hAnsi="Times New Roman" w:cs="Times New Roman" w:eastAsia="Times New Roman" w:hint="default"/>
        </w:rPr>
        <w:t>15%</w:t>
      </w:r>
      <w:r>
        <w:rPr/>
        <w:t>的税率计缴企业所得税。</w:t>
      </w:r>
    </w:p>
    <w:p>
      <w:pPr>
        <w:pStyle w:val="BodyText"/>
        <w:spacing w:line="300" w:lineRule="auto" w:before="13"/>
        <w:ind w:right="1124" w:firstLine="360"/>
        <w:jc w:val="left"/>
      </w:pPr>
      <w:r>
        <w:rPr>
          <w:rFonts w:ascii="Times New Roman" w:hAnsi="Times New Roman" w:cs="Times New Roman" w:eastAsia="Times New Roman" w:hint="default"/>
        </w:rPr>
        <w:t>(2)2018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日，伟创自动化公司获得深圳市科技创新委员会、深圳市财政委员会、国家税务总局深圳市税务局颁</w:t>
      </w:r>
      <w:r>
        <w:rPr>
          <w:spacing w:val="2"/>
          <w:w w:val="99"/>
        </w:rPr>
        <w:t> </w:t>
      </w:r>
      <w:r>
        <w:rPr/>
        <w:t>发的编号为</w:t>
      </w:r>
      <w:r>
        <w:rPr>
          <w:rFonts w:ascii="Times New Roman" w:hAnsi="Times New Roman" w:cs="Times New Roman" w:eastAsia="Times New Roman" w:hint="default"/>
        </w:rPr>
        <w:t>GR201844201346</w:t>
      </w:r>
      <w:r>
        <w:rPr/>
        <w:t>的高新技术企业证书，按税法规定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right="986" w:firstLine="360"/>
        <w:jc w:val="left"/>
      </w:pPr>
      <w:r>
        <w:rPr>
          <w:rFonts w:ascii="Times New Roman" w:hAnsi="Times New Roman" w:cs="Times New Roman" w:eastAsia="Times New Roman" w:hint="default"/>
        </w:rPr>
        <w:t>(3)2018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日，广东伟创公司获得广东省科学技术厅、广东省财政厅、国家税务总局广东省税务局颁发的编号为</w:t>
      </w:r>
      <w:r>
        <w:rPr>
          <w:w w:val="99"/>
        </w:rPr>
        <w:t> </w:t>
      </w:r>
      <w:r>
        <w:rPr>
          <w:rFonts w:ascii="Times New Roman" w:hAnsi="Times New Roman" w:cs="Times New Roman" w:eastAsia="Times New Roman" w:hint="default"/>
        </w:rPr>
        <w:t>GR201844002512</w:t>
      </w:r>
      <w:r>
        <w:rPr/>
        <w:t>的高新技术企业证书，按税法规定</w:t>
      </w:r>
      <w:r>
        <w:rPr>
          <w:spacing w:val="-27"/>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right="986" w:firstLine="360"/>
        <w:jc w:val="left"/>
      </w:pPr>
      <w:r>
        <w:rPr>
          <w:rFonts w:ascii="Times New Roman" w:hAnsi="Times New Roman" w:cs="Times New Roman" w:eastAsia="Times New Roman" w:hint="default"/>
        </w:rPr>
        <w:t>(4)2018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日，天辰智能公司获得山东省科学技术厅、山东省财政厅、国家税务总局山东省税务局颁发的编号为</w:t>
      </w:r>
      <w:r>
        <w:rPr>
          <w:w w:val="99"/>
        </w:rPr>
        <w:t> </w:t>
      </w:r>
      <w:r>
        <w:rPr>
          <w:rFonts w:ascii="Times New Roman" w:hAnsi="Times New Roman" w:cs="Times New Roman" w:eastAsia="Times New Roman" w:hint="default"/>
        </w:rPr>
        <w:t>GR201837002435</w:t>
      </w:r>
      <w:r>
        <w:rPr/>
        <w:t>的高新技术企业证书，按税法规定</w:t>
      </w:r>
      <w:r>
        <w:rPr>
          <w:spacing w:val="-27"/>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right="1134" w:firstLine="360"/>
        <w:jc w:val="left"/>
      </w:pPr>
      <w:r>
        <w:rPr>
          <w:rFonts w:ascii="Times New Roman" w:hAnsi="Times New Roman" w:cs="Times New Roman" w:eastAsia="Times New Roman" w:hint="default"/>
        </w:rPr>
        <w:t>(5)2018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日，同方佰宜公司获得北京市科学技术委员会、北京市财政局、国家税务总局北京市税务局颁发的编</w:t>
      </w:r>
      <w:r>
        <w:rPr>
          <w:w w:val="99"/>
        </w:rPr>
        <w:t> </w:t>
      </w:r>
      <w:r>
        <w:rPr/>
        <w:t>号为</w:t>
      </w:r>
      <w:r>
        <w:rPr>
          <w:rFonts w:ascii="Times New Roman" w:hAnsi="Times New Roman" w:cs="Times New Roman" w:eastAsia="Times New Roman" w:hint="default"/>
        </w:rPr>
        <w:t>GR201811009014</w:t>
      </w:r>
      <w:r>
        <w:rPr/>
        <w:t>的高新技术企业证书，按税法规定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right="1135" w:firstLine="36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日，天沃重工公司获得江苏省科学技术厅、江苏省财政厅、国家税务总局江苏省税务局颁发的编号为</w:t>
      </w:r>
      <w:r>
        <w:rPr>
          <w:w w:val="99"/>
        </w:rPr>
        <w:t> </w:t>
      </w:r>
      <w:r>
        <w:rPr>
          <w:rFonts w:ascii="Times New Roman" w:hAnsi="Times New Roman" w:cs="Times New Roman" w:eastAsia="Times New Roman" w:hint="default"/>
        </w:rPr>
        <w:t>GR201932007725</w:t>
      </w:r>
      <w:r>
        <w:rPr/>
        <w:t>的高新技术企业证书，按税法规定</w:t>
      </w:r>
      <w:r>
        <w:rPr>
          <w:rFonts w:ascii="Times New Roman" w:hAnsi="Times New Roman" w:cs="Times New Roman" w:eastAsia="Times New Roman" w:hint="default"/>
        </w:rPr>
        <w:t>2019-2021</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right="1031" w:firstLine="360"/>
        <w:jc w:val="left"/>
      </w:pPr>
      <w:r>
        <w:rPr>
          <w:rFonts w:ascii="Times New Roman" w:hAnsi="Times New Roman" w:cs="Times New Roman" w:eastAsia="Times New Roman" w:hint="default"/>
          <w:spacing w:val="-2"/>
        </w:rPr>
        <w:t>(7)</w:t>
      </w:r>
      <w:r>
        <w:rPr>
          <w:spacing w:val="-2"/>
        </w:rPr>
        <w:t>根据《财政部</w:t>
      </w:r>
      <w:r>
        <w:rPr>
          <w:spacing w:val="-3"/>
        </w:rPr>
        <w:t> </w:t>
      </w:r>
      <w:r>
        <w:rPr>
          <w:spacing w:val="-2"/>
        </w:rPr>
        <w:t>税务总局关于进一步扩大小型微利企业所得税优惠政策范围的通知》（财税〔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77</w:t>
      </w:r>
      <w:r>
        <w:rPr>
          <w:spacing w:val="-2"/>
        </w:rPr>
        <w:t>号）相关规定，</w:t>
      </w:r>
      <w:r>
        <w:rPr>
          <w:w w:val="99"/>
        </w:rPr>
        <w:t> </w:t>
      </w:r>
      <w:r>
        <w:rPr/>
        <w:t>子公司沈阳恒信公司享受小型微利企业税收优惠政策，其所得减按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的税率计缴企业所得税。</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right="1131" w:firstLine="36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 </w:t>
      </w:r>
      <w:r>
        <w:rPr/>
        <w:t>根据财政部、税务总局、海关总署《关于深化增值税改革有关政策的公告》（财政部 税务总局</w:t>
      </w:r>
      <w:r>
        <w:rPr>
          <w:spacing w:val="-69"/>
        </w:rPr>
        <w:t> </w:t>
      </w:r>
      <w:r>
        <w:rPr/>
        <w:t>海关总署公告</w:t>
      </w:r>
      <w:r>
        <w:rPr>
          <w:rFonts w:ascii="Times New Roman" w:hAnsi="Times New Roman" w:cs="Times New Roman" w:eastAsia="Times New Roman" w:hint="default"/>
        </w:rPr>
        <w:t>2019</w:t>
      </w:r>
      <w:r>
        <w:rPr>
          <w:rFonts w:ascii="Times New Roman" w:hAnsi="Times New Roman" w:cs="Times New Roman" w:eastAsia="Times New Roman" w:hint="default"/>
          <w:w w:val="99"/>
        </w:rPr>
        <w:t> </w:t>
      </w:r>
      <w:r>
        <w:rPr/>
        <w:t>年第</w:t>
      </w:r>
      <w:r>
        <w:rPr>
          <w:rFonts w:ascii="Times New Roman" w:hAnsi="Times New Roman" w:cs="Times New Roman" w:eastAsia="Times New Roman" w:hint="default"/>
        </w:rPr>
        <w:t>39</w:t>
      </w:r>
      <w:r>
        <w:rPr/>
        <w:t>号）的规定，自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日起纳税人发生增值税应税销售行为，原适用</w:t>
      </w:r>
      <w:r>
        <w:rPr>
          <w:rFonts w:ascii="Times New Roman" w:hAnsi="Times New Roman" w:cs="Times New Roman" w:eastAsia="Times New Roman" w:hint="default"/>
        </w:rPr>
        <w:t>16%</w:t>
      </w:r>
      <w:r>
        <w:rPr/>
        <w:t>的税率调整为</w:t>
      </w:r>
      <w:r>
        <w:rPr>
          <w:rFonts w:ascii="Times New Roman" w:hAnsi="Times New Roman" w:cs="Times New Roman" w:eastAsia="Times New Roman" w:hint="default"/>
        </w:rPr>
        <w:t>13%</w:t>
      </w:r>
      <w:r>
        <w:rPr/>
        <w:t>，原适用</w:t>
      </w:r>
      <w:r>
        <w:rPr>
          <w:rFonts w:ascii="Times New Roman" w:hAnsi="Times New Roman" w:cs="Times New Roman" w:eastAsia="Times New Roman" w:hint="default"/>
        </w:rPr>
        <w:t>10%</w:t>
      </w:r>
      <w:r>
        <w:rPr/>
        <w:t>的税率</w:t>
      </w:r>
      <w:r>
        <w:rPr>
          <w:w w:val="99"/>
        </w:rPr>
        <w:t> </w:t>
      </w:r>
      <w:r>
        <w:rPr/>
        <w:t>调整为</w:t>
      </w:r>
      <w:r>
        <w:rPr>
          <w:rFonts w:ascii="Times New Roman" w:hAnsi="Times New Roman" w:cs="Times New Roman" w:eastAsia="Times New Roman" w:hint="default"/>
        </w:rPr>
        <w:t>9%</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986"/>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211,609.39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155,352.84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71,660,777.51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62,612,156.68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62,889,699.37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44,978,534.99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134,762,086.27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107,746,044.51</w:t>
            </w:r>
          </w:p>
        </w:tc>
      </w:tr>
    </w:tbl>
    <w:p>
      <w:pPr>
        <w:pStyle w:val="BodyText"/>
        <w:spacing w:line="240" w:lineRule="auto" w:before="49"/>
        <w:ind w:right="986"/>
        <w:jc w:val="left"/>
      </w:pPr>
      <w:r>
        <w:rPr/>
        <w:t>其他说明</w:t>
      </w:r>
    </w:p>
    <w:p>
      <w:pPr>
        <w:pStyle w:val="BodyText"/>
        <w:spacing w:line="300" w:lineRule="auto" w:before="115"/>
        <w:ind w:right="986" w:firstLine="360"/>
        <w:jc w:val="left"/>
      </w:pPr>
      <w:r>
        <w:rPr>
          <w:spacing w:val="-1"/>
        </w:rPr>
        <w:t>期末银行存款中</w:t>
      </w:r>
      <w:r>
        <w:rPr>
          <w:rFonts w:ascii="Times New Roman" w:hAnsi="Times New Roman" w:cs="Times New Roman" w:eastAsia="Times New Roman" w:hint="default"/>
          <w:spacing w:val="-1"/>
        </w:rPr>
        <w:t>123,668.46</w:t>
      </w:r>
      <w:r>
        <w:rPr>
          <w:spacing w:val="-1"/>
        </w:rPr>
        <w:t>元系财政预算购买设备专用款；其他货币资金中有保函保证金</w:t>
      </w:r>
      <w:r>
        <w:rPr>
          <w:rFonts w:ascii="Times New Roman" w:hAnsi="Times New Roman" w:cs="Times New Roman" w:eastAsia="Times New Roman" w:hint="default"/>
          <w:spacing w:val="-1"/>
        </w:rPr>
        <w:t>3,753,084.54</w:t>
      </w:r>
      <w:r>
        <w:rPr>
          <w:spacing w:val="-1"/>
        </w:rPr>
        <w:t>元，银行承兑汇票</w:t>
      </w:r>
      <w:r>
        <w:rPr/>
        <w:t> 保证金</w:t>
      </w:r>
      <w:r>
        <w:rPr>
          <w:rFonts w:ascii="Times New Roman" w:hAnsi="Times New Roman" w:cs="Times New Roman" w:eastAsia="Times New Roman" w:hint="default"/>
        </w:rPr>
        <w:t>19,228,682.14</w:t>
      </w:r>
      <w:r>
        <w:rPr/>
        <w:t>元，产业基金托管专项资金</w:t>
      </w:r>
      <w:r>
        <w:rPr>
          <w:rFonts w:ascii="Times New Roman" w:hAnsi="Times New Roman" w:cs="Times New Roman" w:eastAsia="Times New Roman" w:hint="default"/>
        </w:rPr>
        <w:t>39,905,155.05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63,300,000.00</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银行短期理财产品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63,300,000.00</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63,300,000.00</w:t>
            </w:r>
          </w:p>
        </w:tc>
      </w:tr>
    </w:tbl>
    <w:p>
      <w:pPr>
        <w:pStyle w:val="BodyText"/>
        <w:spacing w:line="240" w:lineRule="auto" w:before="49"/>
        <w:ind w:right="986"/>
        <w:jc w:val="left"/>
      </w:pPr>
      <w:r>
        <w:rPr/>
        <w:t>其他说明：</w:t>
      </w:r>
    </w:p>
    <w:p>
      <w:pPr>
        <w:pStyle w:val="BodyText"/>
        <w:spacing w:line="240" w:lineRule="auto" w:before="115"/>
        <w:ind w:left="513" w:right="986"/>
        <w:jc w:val="left"/>
      </w:pPr>
      <w:r>
        <w:rPr/>
        <w:t>期初数与上期期末余额（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其中本期坏账准备收回或转回金额重要的：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0"/>
        <w:ind w:left="225" w:right="2251" w:hanging="73"/>
        <w:jc w:val="left"/>
      </w:pPr>
      <w:r>
        <w:rPr/>
        <w:t>其他说明 期初数与上期期末余额（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986"/>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6"/>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986"/>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3,555,461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3,555,461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3,555,461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3,555,461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928,231,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315.15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133,106,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991.29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795,124,3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23.86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740,664,9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51.94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109,273,6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631,391,34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4.65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按账龄组合计提坏 账准备的应收账款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928,231,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315.15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133,106,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991.29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795,124,3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23.86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740,664,9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51.94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109,273,6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631,391,34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4.65</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931,786,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776.15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136,662,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452.29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795,124,3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23.86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744,220,4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12.94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112,829,0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631,391,34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4.65</w:t>
            </w:r>
          </w:p>
        </w:tc>
      </w:tr>
    </w:tbl>
    <w:p>
      <w:pPr>
        <w:pStyle w:val="BodyText"/>
        <w:spacing w:line="240" w:lineRule="auto" w:before="49"/>
        <w:ind w:right="986"/>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惠州仲恺创业广场发展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广州市合富投资有限公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1,651,836.00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1,651,836.00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3,555,461.00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3,555,461.00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81"/>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612,216,900.52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30,610,845.03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183,616,373.21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18,361,637.34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65,142,113.50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26,056,845.40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45,891,321.95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36,713,057.55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21,364,605.97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21,364,605.97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928,231,315.15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133,106,991.29</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确定该组合依据的说明：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60" w:lineRule="auto"/>
        <w:ind w:right="-20"/>
        <w:jc w:val="left"/>
      </w:pPr>
      <w:r>
        <w:rPr/>
        <w:t>按应收账款账龄确定该组合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13" w:space="65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612,216,900.52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612,216,900.52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183,616,373.21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65,142,113.50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70,811,388.92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34,679,979.45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11,211,342.50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24,920,066.97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931,786,776.15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3,555,461.00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3,555,461.00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109,273,607.29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28,184,863.69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4,375,082.96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133,106,991.29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112,829,068.29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28,184,863.69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4,375,082.96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136,662,452.29</w:t>
            </w:r>
          </w:p>
        </w:tc>
      </w:tr>
    </w:tbl>
    <w:p>
      <w:pPr>
        <w:pStyle w:val="BodyText"/>
        <w:spacing w:line="240" w:lineRule="auto" w:before="49"/>
        <w:ind w:right="986"/>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4,375,082.96</w:t>
            </w:r>
          </w:p>
        </w:tc>
      </w:tr>
    </w:tbl>
    <w:p>
      <w:pPr>
        <w:pStyle w:val="BodyText"/>
        <w:spacing w:line="240" w:lineRule="auto" w:before="49"/>
        <w:ind w:right="986"/>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河北天柱钢铁集团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3,661,914.10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0"/>
              <w:jc w:val="left"/>
              <w:rPr>
                <w:rFonts w:ascii="宋体" w:hAnsi="宋体" w:cs="宋体" w:eastAsia="宋体" w:hint="default"/>
                <w:sz w:val="18"/>
                <w:szCs w:val="18"/>
              </w:rPr>
            </w:pPr>
            <w:r>
              <w:rPr>
                <w:rFonts w:ascii="宋体" w:hAnsi="宋体" w:cs="宋体" w:eastAsia="宋体" w:hint="default"/>
                <w:sz w:val="18"/>
                <w:szCs w:val="18"/>
              </w:rPr>
              <w:t>中煤科工集团上海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山东能源重装集团 鲁南装备制造有限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212,750.00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0"/>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4,134,664.10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34,675,088.80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1,733,754.44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25,884,463.29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3,275,371.23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22,525,374.59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1,126,268.73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18,438,260.78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921,913.04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16,814,018.88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840,700.94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118,337,206.34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pStyle w:val="BodyText"/>
        <w:spacing w:line="316" w:lineRule="auto" w:before="115"/>
        <w:ind w:right="986" w:firstLine="420"/>
        <w:jc w:val="left"/>
      </w:pPr>
      <w:r>
        <w:rPr/>
        <w:t>根据子公司伟创自动化公司与中国银行股份有限公司深圳福田支行（以下简称中行深圳福田支行）签订的《授信额度 </w:t>
      </w:r>
      <w:r>
        <w:rPr>
          <w:spacing w:val="-4"/>
        </w:rPr>
        <w:t>协议》，伟创自动化公司与中行深圳福田支行签署了该《授信额度协议》项下的《应收账款质押合同》，约定在授信期间内，</w:t>
      </w:r>
      <w:r>
        <w:rPr>
          <w:spacing w:val="-41"/>
        </w:rPr>
        <w:t> </w:t>
      </w:r>
      <w:r>
        <w:rPr>
          <w:spacing w:val="-41"/>
        </w:rPr>
      </w:r>
      <w:r>
        <w:rPr>
          <w:spacing w:val="-2"/>
        </w:rPr>
        <w:t>将伟创自动化公司对外销售货物及提供服务所产生的应收账款（万科、绿地、保利及其关联公司的应收账款除外）质押给中</w:t>
      </w:r>
      <w:r>
        <w:rPr>
          <w:spacing w:val="-66"/>
        </w:rPr>
        <w:t> </w:t>
      </w:r>
      <w:r>
        <w:rPr>
          <w:spacing w:val="-66"/>
        </w:rPr>
      </w:r>
      <w:r>
        <w:rPr/>
        <w:t>行深圳福田支行。截止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日，伟创自动化公司质押给中行深圳福田支行的应收账款余额为</w:t>
      </w:r>
      <w:r>
        <w:rPr>
          <w:rFonts w:ascii="Times New Roman" w:hAnsi="Times New Roman" w:cs="Times New Roman" w:eastAsia="Times New Roman" w:hint="default"/>
        </w:rPr>
        <w:t>27,205,326.33</w:t>
      </w:r>
      <w:r>
        <w:rPr/>
        <w:t>元。具体</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该质押项下的融资情况详见本财务报表第十二节、十四、</w:t>
      </w:r>
      <w:r>
        <w:rPr>
          <w:rFonts w:ascii="Times New Roman" w:hAnsi="Times New Roman" w:cs="Times New Roman" w:eastAsia="Times New Roman" w:hint="default"/>
        </w:rPr>
        <w:t>1.</w:t>
      </w:r>
      <w:r>
        <w:rPr/>
        <w:t>重要承诺事项。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986"/>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50,644,291.00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55,610,191.47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50,644,291.00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55,610,191.47</w:t>
            </w:r>
          </w:p>
        </w:tc>
      </w:tr>
    </w:tbl>
    <w:p>
      <w:pPr>
        <w:pStyle w:val="BodyText"/>
        <w:spacing w:line="240" w:lineRule="auto" w:before="49"/>
        <w:ind w:right="986"/>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240" w:lineRule="auto" w:before="42"/>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明细情况</w:t>
      </w:r>
    </w:p>
    <w:p>
      <w:pPr>
        <w:pStyle w:val="BodyText"/>
        <w:spacing w:line="24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类别明细</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604"/>
        <w:gridCol w:w="1534"/>
        <w:gridCol w:w="790"/>
        <w:gridCol w:w="950"/>
        <w:gridCol w:w="1037"/>
        <w:gridCol w:w="1493"/>
        <w:gridCol w:w="1071"/>
      </w:tblGrid>
      <w:tr>
        <w:trPr>
          <w:trHeight w:val="348" w:hRule="exact"/>
        </w:trPr>
        <w:tc>
          <w:tcPr>
            <w:tcW w:w="160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87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58" w:hRule="exact"/>
        </w:trPr>
        <w:tc>
          <w:tcPr>
            <w:tcW w:w="1604" w:type="dxa"/>
            <w:vMerge/>
            <w:tcBorders>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hAnsi="宋体" w:cs="宋体" w:eastAsia="宋体" w:hint="default"/>
                <w:sz w:val="18"/>
                <w:szCs w:val="18"/>
              </w:rPr>
              <w:t>初始成本</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31" w:right="149" w:hanging="181"/>
              <w:jc w:val="left"/>
              <w:rPr>
                <w:rFonts w:ascii="宋体" w:hAnsi="宋体" w:cs="宋体" w:eastAsia="宋体" w:hint="default"/>
                <w:sz w:val="18"/>
                <w:szCs w:val="18"/>
              </w:rPr>
            </w:pPr>
            <w:r>
              <w:rPr>
                <w:rFonts w:ascii="宋体" w:hAnsi="宋体" w:cs="宋体" w:eastAsia="宋体" w:hint="default"/>
                <w:sz w:val="18"/>
                <w:szCs w:val="18"/>
              </w:rPr>
              <w:t>公允价值 变动</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4"/>
              <w:jc w:val="righ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48"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53,551,152.65</w:t>
            </w:r>
          </w:p>
        </w:tc>
        <w:tc>
          <w:tcPr>
            <w:tcW w:w="79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-407,847.65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53,143,305.00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8"/>
              <w:jc w:val="right"/>
              <w:rPr>
                <w:rFonts w:ascii="Times New Roman" w:hAnsi="Times New Roman" w:cs="Times New Roman" w:eastAsia="Times New Roman" w:hint="default"/>
                <w:sz w:val="18"/>
                <w:szCs w:val="18"/>
              </w:rPr>
            </w:pPr>
            <w:r>
              <w:rPr>
                <w:rFonts w:ascii="Times New Roman"/>
                <w:spacing w:val="-1"/>
                <w:sz w:val="18"/>
              </w:rPr>
              <w:t>407,847.65</w:t>
            </w:r>
          </w:p>
        </w:tc>
      </w:tr>
      <w:tr>
        <w:trPr>
          <w:trHeight w:val="348"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抵销</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2,499,014.00</w:t>
            </w:r>
          </w:p>
        </w:tc>
        <w:tc>
          <w:tcPr>
            <w:tcW w:w="79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2,499,014.00</w:t>
            </w:r>
          </w:p>
        </w:tc>
        <w:tc>
          <w:tcPr>
            <w:tcW w:w="107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51,052,138.65</w:t>
            </w:r>
          </w:p>
        </w:tc>
        <w:tc>
          <w:tcPr>
            <w:tcW w:w="790"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-407,847.65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50,644,291.00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8"/>
              <w:jc w:val="right"/>
              <w:rPr>
                <w:rFonts w:ascii="Times New Roman" w:hAnsi="Times New Roman" w:cs="Times New Roman" w:eastAsia="Times New Roman" w:hint="default"/>
                <w:sz w:val="18"/>
                <w:szCs w:val="18"/>
              </w:rPr>
            </w:pPr>
            <w:r>
              <w:rPr>
                <w:rFonts w:ascii="Times New Roman"/>
                <w:spacing w:val="-1"/>
                <w:sz w:val="18"/>
              </w:rPr>
              <w:t>407,847.65</w:t>
            </w:r>
          </w:p>
        </w:tc>
      </w:tr>
    </w:tbl>
    <w:p>
      <w:pPr>
        <w:pStyle w:val="BodyText"/>
        <w:spacing w:line="240" w:lineRule="auto" w:before="8"/>
        <w:ind w:right="986"/>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604"/>
        <w:gridCol w:w="1534"/>
        <w:gridCol w:w="790"/>
        <w:gridCol w:w="953"/>
        <w:gridCol w:w="1035"/>
        <w:gridCol w:w="1493"/>
        <w:gridCol w:w="1071"/>
      </w:tblGrid>
      <w:tr>
        <w:trPr>
          <w:trHeight w:val="348" w:hRule="exact"/>
        </w:trPr>
        <w:tc>
          <w:tcPr>
            <w:tcW w:w="160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87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660" w:hRule="exact"/>
        </w:trPr>
        <w:tc>
          <w:tcPr>
            <w:tcW w:w="1604" w:type="dxa"/>
            <w:vMerge/>
            <w:tcBorders>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hAnsi="宋体" w:cs="宋体" w:eastAsia="宋体" w:hint="default"/>
                <w:sz w:val="18"/>
                <w:szCs w:val="18"/>
              </w:rPr>
              <w:t>初始成本</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9" w:right="149" w:hanging="181"/>
              <w:jc w:val="left"/>
              <w:rPr>
                <w:rFonts w:ascii="宋体" w:hAnsi="宋体" w:cs="宋体" w:eastAsia="宋体" w:hint="default"/>
                <w:sz w:val="18"/>
                <w:szCs w:val="18"/>
              </w:rPr>
            </w:pPr>
            <w:r>
              <w:rPr>
                <w:rFonts w:ascii="宋体" w:hAnsi="宋体" w:cs="宋体" w:eastAsia="宋体" w:hint="default"/>
                <w:sz w:val="18"/>
                <w:szCs w:val="18"/>
              </w:rPr>
              <w:t>公允价值 变动</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77"/>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3"/>
              <w:jc w:val="righ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46"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72,466,691.47</w:t>
            </w:r>
          </w:p>
        </w:tc>
        <w:tc>
          <w:tcPr>
            <w:tcW w:w="790"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-792,440.96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9"/>
              <w:jc w:val="right"/>
              <w:rPr>
                <w:rFonts w:ascii="Times New Roman" w:hAnsi="Times New Roman" w:cs="Times New Roman" w:eastAsia="Times New Roman" w:hint="default"/>
                <w:sz w:val="18"/>
                <w:szCs w:val="18"/>
              </w:rPr>
            </w:pPr>
            <w:r>
              <w:rPr>
                <w:rFonts w:ascii="Times New Roman"/>
                <w:spacing w:val="-1"/>
                <w:sz w:val="18"/>
              </w:rPr>
              <w:t>72,466,691.47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8"/>
              <w:jc w:val="right"/>
              <w:rPr>
                <w:rFonts w:ascii="Times New Roman" w:hAnsi="Times New Roman" w:cs="Times New Roman" w:eastAsia="Times New Roman" w:hint="default"/>
                <w:sz w:val="18"/>
                <w:szCs w:val="18"/>
              </w:rPr>
            </w:pPr>
            <w:r>
              <w:rPr>
                <w:rFonts w:ascii="Times New Roman"/>
                <w:spacing w:val="-1"/>
                <w:sz w:val="18"/>
              </w:rPr>
              <w:t>792,440.96</w:t>
            </w:r>
          </w:p>
        </w:tc>
      </w:tr>
      <w:tr>
        <w:trPr>
          <w:trHeight w:val="348"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抵销</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16,856,500.00</w:t>
            </w:r>
          </w:p>
        </w:tc>
        <w:tc>
          <w:tcPr>
            <w:tcW w:w="790"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39"/>
              <w:jc w:val="right"/>
              <w:rPr>
                <w:rFonts w:ascii="Times New Roman" w:hAnsi="Times New Roman" w:cs="Times New Roman" w:eastAsia="Times New Roman" w:hint="default"/>
                <w:sz w:val="18"/>
                <w:szCs w:val="18"/>
              </w:rPr>
            </w:pPr>
            <w:r>
              <w:rPr>
                <w:rFonts w:ascii="Times New Roman"/>
                <w:spacing w:val="-1"/>
                <w:sz w:val="18"/>
              </w:rPr>
              <w:t>16,856,500.00</w:t>
            </w:r>
          </w:p>
        </w:tc>
        <w:tc>
          <w:tcPr>
            <w:tcW w:w="107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55,610,191.47</w:t>
            </w:r>
          </w:p>
        </w:tc>
        <w:tc>
          <w:tcPr>
            <w:tcW w:w="790"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-792,440.96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9"/>
              <w:jc w:val="right"/>
              <w:rPr>
                <w:rFonts w:ascii="Times New Roman" w:hAnsi="Times New Roman" w:cs="Times New Roman" w:eastAsia="Times New Roman" w:hint="default"/>
                <w:sz w:val="18"/>
                <w:szCs w:val="18"/>
              </w:rPr>
            </w:pPr>
            <w:r>
              <w:rPr>
                <w:rFonts w:ascii="Times New Roman"/>
                <w:spacing w:val="-1"/>
                <w:sz w:val="18"/>
              </w:rPr>
              <w:t>55,610,191.47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8"/>
              <w:jc w:val="right"/>
              <w:rPr>
                <w:rFonts w:ascii="Times New Roman" w:hAnsi="Times New Roman" w:cs="Times New Roman" w:eastAsia="Times New Roman" w:hint="default"/>
                <w:sz w:val="18"/>
                <w:szCs w:val="18"/>
              </w:rPr>
            </w:pPr>
            <w:r>
              <w:rPr>
                <w:rFonts w:ascii="Times New Roman"/>
                <w:spacing w:val="-1"/>
                <w:sz w:val="18"/>
              </w:rPr>
              <w:t>792,440.96</w:t>
            </w:r>
          </w:p>
        </w:tc>
      </w:tr>
    </w:tbl>
    <w:p>
      <w:pPr>
        <w:pStyle w:val="BodyText"/>
        <w:spacing w:line="300" w:lineRule="auto" w:before="8"/>
        <w:ind w:left="513" w:right="166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r>
        <w:rPr>
          <w:w w:val="99"/>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采用组合计提减值准备的应收款项融资</w:t>
      </w:r>
    </w:p>
    <w:tbl>
      <w:tblPr>
        <w:tblW w:w="0" w:type="auto"/>
        <w:jc w:val="left"/>
        <w:tblInd w:w="145" w:type="dxa"/>
        <w:tblLayout w:type="fixed"/>
        <w:tblCellMar>
          <w:top w:w="0" w:type="dxa"/>
          <w:left w:w="0" w:type="dxa"/>
          <w:bottom w:w="0" w:type="dxa"/>
          <w:right w:w="0" w:type="dxa"/>
        </w:tblCellMar>
        <w:tblLook w:val="01E0"/>
      </w:tblPr>
      <w:tblGrid>
        <w:gridCol w:w="1952"/>
        <w:gridCol w:w="2033"/>
        <w:gridCol w:w="2268"/>
        <w:gridCol w:w="2271"/>
      </w:tblGrid>
      <w:tr>
        <w:trPr>
          <w:trHeight w:val="346" w:hRule="exact"/>
        </w:trPr>
        <w:tc>
          <w:tcPr>
            <w:tcW w:w="1952"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57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952" w:type="dxa"/>
            <w:vMerge/>
            <w:tcBorders>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45,394,199.66</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8,156,952.99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407,847.65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5.00</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抵销</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2,499,014.00</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51,052,138.65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407,847.65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0.80</w:t>
            </w:r>
          </w:p>
        </w:tc>
      </w:tr>
    </w:tbl>
    <w:p>
      <w:pPr>
        <w:pStyle w:val="BodyText"/>
        <w:spacing w:line="240" w:lineRule="auto" w:before="13"/>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应收款项融资减值准备</w:t>
      </w:r>
    </w:p>
    <w:p>
      <w:pPr>
        <w:pStyle w:val="BodyText"/>
        <w:spacing w:line="240" w:lineRule="auto" w:before="63"/>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明细情况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325"/>
        <w:gridCol w:w="1419"/>
        <w:gridCol w:w="1558"/>
        <w:gridCol w:w="710"/>
        <w:gridCol w:w="636"/>
        <w:gridCol w:w="804"/>
        <w:gridCol w:w="809"/>
        <w:gridCol w:w="1136"/>
      </w:tblGrid>
      <w:tr>
        <w:trPr>
          <w:trHeight w:val="348" w:hRule="exact"/>
        </w:trPr>
        <w:tc>
          <w:tcPr>
            <w:tcW w:w="1325" w:type="dxa"/>
            <w:vMerge w:val="restart"/>
            <w:tcBorders>
              <w:top w:val="single" w:sz="6" w:space="0" w:color="000000"/>
              <w:left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20"/>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2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32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2"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25"/>
        <w:gridCol w:w="1419"/>
        <w:gridCol w:w="1558"/>
        <w:gridCol w:w="710"/>
        <w:gridCol w:w="636"/>
        <w:gridCol w:w="804"/>
        <w:gridCol w:w="809"/>
        <w:gridCol w:w="1136"/>
      </w:tblGrid>
      <w:tr>
        <w:trPr>
          <w:trHeight w:val="660" w:hRule="exact"/>
        </w:trPr>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5"/>
              <w:jc w:val="left"/>
              <w:rPr>
                <w:rFonts w:ascii="宋体" w:hAnsi="宋体" w:cs="宋体" w:eastAsia="宋体" w:hint="default"/>
                <w:sz w:val="18"/>
                <w:szCs w:val="18"/>
              </w:rPr>
            </w:pPr>
            <w:r>
              <w:rPr>
                <w:rFonts w:ascii="宋体" w:hAnsi="宋体" w:cs="宋体" w:eastAsia="宋体" w:hint="default"/>
                <w:spacing w:val="7"/>
                <w:sz w:val="18"/>
                <w:szCs w:val="18"/>
              </w:rPr>
              <w:t>商业承兑汇票组 </w:t>
            </w:r>
            <w:r>
              <w:rPr>
                <w:rFonts w:ascii="宋体" w:hAnsi="宋体" w:cs="宋体" w:eastAsia="宋体" w:hint="default"/>
                <w:sz w:val="18"/>
                <w:szCs w:val="18"/>
              </w:rPr>
              <w:t>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792,440.96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-384,593.31</w:t>
            </w:r>
          </w:p>
        </w:tc>
        <w:tc>
          <w:tcPr>
            <w:tcW w:w="71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407,847.65</w:t>
            </w:r>
          </w:p>
        </w:tc>
      </w:tr>
      <w:tr>
        <w:trPr>
          <w:trHeight w:val="346" w:hRule="exact"/>
        </w:trPr>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792,440.96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-384,593.31</w:t>
            </w:r>
          </w:p>
        </w:tc>
        <w:tc>
          <w:tcPr>
            <w:tcW w:w="71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407,847.65</w:t>
            </w:r>
          </w:p>
        </w:tc>
      </w:tr>
    </w:tbl>
    <w:p>
      <w:pPr>
        <w:pStyle w:val="BodyText"/>
        <w:spacing w:line="300" w:lineRule="auto" w:before="8"/>
        <w:ind w:left="573" w:right="1663" w:hanging="6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r>
        <w:rPr>
          <w:w w:val="99"/>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期末公司已质押的应收票据情况</w:t>
      </w:r>
    </w:p>
    <w:tbl>
      <w:tblPr>
        <w:tblW w:w="0" w:type="auto"/>
        <w:jc w:val="left"/>
        <w:tblInd w:w="145" w:type="dxa"/>
        <w:tblLayout w:type="fixed"/>
        <w:tblCellMar>
          <w:top w:w="0" w:type="dxa"/>
          <w:left w:w="0" w:type="dxa"/>
          <w:bottom w:w="0" w:type="dxa"/>
          <w:right w:w="0" w:type="dxa"/>
        </w:tblCellMar>
        <w:tblLook w:val="01E0"/>
      </w:tblPr>
      <w:tblGrid>
        <w:gridCol w:w="2376"/>
        <w:gridCol w:w="3121"/>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4" w:right="0"/>
              <w:jc w:val="left"/>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12,581,376.95</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12,581,376.95</w:t>
            </w:r>
          </w:p>
        </w:tc>
      </w:tr>
    </w:tbl>
    <w:p>
      <w:pPr>
        <w:pStyle w:val="BodyText"/>
        <w:spacing w:line="240" w:lineRule="auto" w:before="13"/>
        <w:ind w:left="578"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期末公司已背书或贴现且在资产负债表日尚未到期的应收票据情况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376"/>
        <w:gridCol w:w="3121"/>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33"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132,452,991.99</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47,973,416.81</w:t>
            </w:r>
          </w:p>
        </w:tc>
      </w:tr>
      <w:tr>
        <w:trPr>
          <w:trHeight w:val="349"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180,426,408.80</w:t>
            </w:r>
          </w:p>
        </w:tc>
      </w:tr>
    </w:tbl>
    <w:p>
      <w:pPr>
        <w:pStyle w:val="BodyText"/>
        <w:spacing w:line="316" w:lineRule="auto" w:before="8"/>
        <w:ind w:right="1133" w:firstLine="420"/>
        <w:jc w:val="both"/>
      </w:pPr>
      <w:r>
        <w:rPr/>
        <w:t>银行承兑汇票的承兑人是商业银行，由于商业银行具有较高的信用，银行承兑汇票到期不获支付的可能性较低，故本 </w:t>
      </w:r>
      <w:r>
        <w:rPr>
          <w:spacing w:val="-2"/>
        </w:rPr>
        <w:t>公司将已背书或贴现的银行承兑汇票予以终止确认。但如果该等票据到期不获支付，依据《票据法》之规定，公司仍将对持</w:t>
      </w:r>
      <w:r>
        <w:rPr>
          <w:spacing w:val="-65"/>
        </w:rPr>
        <w:t> </w:t>
      </w:r>
      <w:r>
        <w:rPr>
          <w:spacing w:val="-65"/>
        </w:rPr>
      </w:r>
      <w:r>
        <w:rPr/>
        <w:t>票人承担连带责任。</w:t>
      </w:r>
    </w:p>
    <w:p>
      <w:pPr>
        <w:pStyle w:val="BodyText"/>
        <w:spacing w:line="240" w:lineRule="auto" w:before="59"/>
        <w:ind w:right="986"/>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3"/>
        <w:spacing w:line="240" w:lineRule="auto"/>
        <w:ind w:right="986"/>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32,389,305.03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33,127,595.93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3,757,916.66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5,482,552.77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3,392,804.71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2,372,592.75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2,429,884.32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41,912,619.15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41,052,477.65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131"/>
        <w:gridCol w:w="2410"/>
        <w:gridCol w:w="2127"/>
      </w:tblGrid>
      <w:tr>
        <w:trPr>
          <w:trHeight w:val="353" w:hRule="exact"/>
        </w:trPr>
        <w:tc>
          <w:tcPr>
            <w:tcW w:w="3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3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铜山经济开发区财政局</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2,249,092.00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预付土地款，尚未结算</w:t>
            </w:r>
          </w:p>
        </w:tc>
      </w:tr>
      <w:tr>
        <w:trPr>
          <w:trHeight w:val="353" w:hRule="exact"/>
        </w:trPr>
        <w:tc>
          <w:tcPr>
            <w:tcW w:w="3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苏州富士德物流设备有限公司</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1,415,000.00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r>
        <w:trPr>
          <w:trHeight w:val="353" w:hRule="exact"/>
        </w:trPr>
        <w:tc>
          <w:tcPr>
            <w:tcW w:w="3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深圳市引升自动化设备有限公司</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1,125,000.00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r>
        <w:trPr>
          <w:trHeight w:val="350" w:hRule="exact"/>
        </w:trPr>
        <w:tc>
          <w:tcPr>
            <w:tcW w:w="3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上海诺力智能科技有限公司</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780,395.00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r>
        <w:trPr>
          <w:trHeight w:val="353" w:hRule="exact"/>
        </w:trPr>
        <w:tc>
          <w:tcPr>
            <w:tcW w:w="3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5,569,487.00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2989"/>
        <w:gridCol w:w="2268"/>
        <w:gridCol w:w="2552"/>
      </w:tblGrid>
      <w:tr>
        <w:trPr>
          <w:trHeight w:val="350"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占预付款项余额的比例</w:t>
            </w:r>
            <w:r>
              <w:rPr>
                <w:rFonts w:ascii="Times New Roman" w:hAnsi="Times New Roman" w:cs="Times New Roman" w:eastAsia="Times New Roman" w:hint="default"/>
                <w:sz w:val="18"/>
                <w:szCs w:val="18"/>
              </w:rPr>
              <w:t>(%)</w:t>
            </w:r>
          </w:p>
        </w:tc>
      </w:tr>
      <w:tr>
        <w:trPr>
          <w:trHeight w:val="353"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MPE Trading Corporation</w:t>
            </w:r>
            <w:r>
              <w:rPr>
                <w:rFonts w:ascii="Times New Roman"/>
                <w:spacing w:val="-10"/>
                <w:sz w:val="18"/>
              </w:rPr>
              <w:t> </w:t>
            </w:r>
            <w:r>
              <w:rPr>
                <w:rFonts w:ascii="Times New Roman"/>
                <w:sz w:val="18"/>
              </w:rPr>
              <w:t>Limited</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8,037,199.46</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19.18</w:t>
            </w:r>
          </w:p>
        </w:tc>
      </w:tr>
      <w:tr>
        <w:trPr>
          <w:trHeight w:val="353"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聊城荣程商贸有限公司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2,944,782.95</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7.03</w:t>
            </w:r>
          </w:p>
        </w:tc>
      </w:tr>
      <w:tr>
        <w:trPr>
          <w:trHeight w:val="350"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义城建设集团有限公司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2,252,000.00</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5.37</w:t>
            </w:r>
          </w:p>
        </w:tc>
      </w:tr>
      <w:tr>
        <w:trPr>
          <w:trHeight w:val="353"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江苏省铜山县经济开发区财政局</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2,249,092.00</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5.37</w:t>
            </w:r>
          </w:p>
        </w:tc>
      </w:tr>
      <w:tr>
        <w:trPr>
          <w:trHeight w:val="353"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日照型钢有限公司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1,685,699.45</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4.02</w:t>
            </w:r>
          </w:p>
        </w:tc>
      </w:tr>
      <w:tr>
        <w:trPr>
          <w:trHeight w:val="353" w:hRule="exact"/>
        </w:trPr>
        <w:tc>
          <w:tcPr>
            <w:tcW w:w="2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17,168,773.86</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40.97</w:t>
            </w:r>
          </w:p>
        </w:tc>
      </w:tr>
    </w:tbl>
    <w:p>
      <w:pPr>
        <w:spacing w:line="240" w:lineRule="auto" w:before="2"/>
        <w:rPr>
          <w:rFonts w:ascii="宋体" w:hAnsi="宋体" w:cs="宋体" w:eastAsia="宋体" w:hint="default"/>
          <w:b/>
          <w:bCs/>
          <w:sz w:val="24"/>
          <w:szCs w:val="24"/>
        </w:rPr>
      </w:pPr>
    </w:p>
    <w:p>
      <w:pPr>
        <w:pStyle w:val="BodyText"/>
        <w:spacing w:line="240" w:lineRule="auto"/>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71,239,694.88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45,796,303.04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71,239,694.88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45,796,303.04</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4"/>
        <w:rPr>
          <w:rFonts w:ascii="宋体" w:hAnsi="宋体" w:cs="宋体" w:eastAsia="宋体" w:hint="default"/>
          <w:sz w:val="21"/>
          <w:szCs w:val="21"/>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39,809,276.84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33,379,788.88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职工借款、备用金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21,201,868.03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14,483,697.03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钢结构合作开发保证金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17,999,980.00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474,608.96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612,199.53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83,715,402.06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53,350,294.40</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1,850,991.64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568,787.58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5,134,212.14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7,553,991.36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-644,605.69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644,605.69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-3,002,250.59</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3,002,250.59</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1,752,184.63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3,078,068.70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91,462.49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4,921,715.82</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2,958,570.58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1,289,211.38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8,227,925.22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12,475,707.18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240" w:lineRule="auto"/>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59,171,411.49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59,171,411.49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12,892,113.82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3,002,250.59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8,649,626.16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7,118,638.96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994,367.00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536,620.20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83,715,402.06</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7,553,991.36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4,921,715.82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12,475,707.18</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7,553,991.36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4,921,715.82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12,475,707.18</w:t>
            </w:r>
          </w:p>
        </w:tc>
      </w:tr>
    </w:tbl>
    <w:p>
      <w:pPr>
        <w:pStyle w:val="BodyText"/>
        <w:spacing w:line="240" w:lineRule="auto" w:before="49"/>
        <w:ind w:right="986"/>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6"/>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986"/>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合作意向金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2,693,495.00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269,349.50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100,368.00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25,050,855.00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1,607,217.50</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986"/>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1"/>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0"/>
        <w:ind w:right="986"/>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49"/>
        <w:ind w:right="986"/>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57" w:lineRule="auto"/>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按主要项目分类：</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4</w:t>
      </w:r>
      <w:r>
        <w:rPr/>
        <w:t>）存货受限情况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按项目披露受限存货情况：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6"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5</w:t>
      </w:r>
      <w:r>
        <w:rPr/>
        <w:t>）存货分类</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340" w:lineRule="auto"/>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49"/>
        <w:ind w:right="986"/>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50"/>
        <w:ind w:right="986"/>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6</w:t>
      </w:r>
      <w:r>
        <w:rPr/>
        <w:t>）存货跌价准备</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60" w:lineRule="auto"/>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按主要项目分类：</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8</w:t>
      </w:r>
      <w:r>
        <w:rPr/>
        <w:t>）存货受限情况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按项目披露受限存货情况：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6"/>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10</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5"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81,798,082.56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81,798,082.56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70,981,900.04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70,981,900.04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262,685,819.43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262,685,819.43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184,968,566.49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184,968,566.49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92,556,652.80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92,556,652.80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46,851,799.02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46,851,799.02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437,040,554.79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437,040,554.79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302,802,265.55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302,802,265.55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11</w:t>
      </w:r>
      <w:r>
        <w:rPr/>
        <w:t>）存货跌价准备和合同履约成本减值准备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13</w:t>
      </w:r>
      <w:r>
        <w:rPr/>
        <w:t>）合同履约成本本期摊销金额的说明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14</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81,798,082.56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81,798,082.56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70,981,900.04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70,981,900.04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262,685,819.43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262,685,819.43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184,968,566.49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184,968,566.49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92,556,652.80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92,556,652.80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46,851,799.02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46,851,799.02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437,040,554.79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437,040,554.79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302,802,265.55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302,802,265.55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15</w:t>
      </w:r>
      <w:r>
        <w:rPr/>
        <w:t>）存货跌价准备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16</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17</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986"/>
        <w:jc w:val="left"/>
      </w:pPr>
      <w:r>
        <w:rPr/>
        <w:t>合同资产的账面价值在本期内发生的重大变动金额和原因：</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986"/>
        <w:jc w:val="left"/>
      </w:pPr>
      <w:r>
        <w:rPr/>
        <w:t>如是按照预期信用损失一般模型计提合同资产坏账准备，请参照其他应收款的披露方式披露坏账准备的相关信息：</w:t>
      </w:r>
    </w:p>
    <w:p>
      <w:pPr>
        <w:pStyle w:val="BodyText"/>
        <w:spacing w:line="340" w:lineRule="auto" w:before="11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11,480,475.38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37,907,564.98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11,480,475.38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37,907,564.98</w:t>
            </w:r>
          </w:p>
        </w:tc>
      </w:tr>
    </w:tbl>
    <w:p>
      <w:pPr>
        <w:pStyle w:val="BodyText"/>
        <w:spacing w:line="240" w:lineRule="auto" w:before="49"/>
        <w:ind w:right="986"/>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1,033,070.08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1,140,183.16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6,845,400.59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3,591,467.72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18,579.32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8,065,048.45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4,750,230.20</w:t>
            </w:r>
          </w:p>
        </w:tc>
      </w:tr>
    </w:tbl>
    <w:p>
      <w:pPr>
        <w:pStyle w:val="BodyText"/>
        <w:spacing w:line="360" w:lineRule="auto" w:before="49"/>
        <w:ind w:right="2324"/>
        <w:jc w:val="left"/>
      </w:pPr>
      <w:r>
        <w:rPr/>
        <w:t>其他说明： 期初数与上期期末余额（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0"/>
        <w:ind w:right="986"/>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986"/>
        <w:jc w:val="left"/>
      </w:pPr>
      <w:r>
        <w:rPr/>
        <w:t>重要的债权投资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986"/>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986"/>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9"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986"/>
        <w:jc w:val="left"/>
      </w:pPr>
      <w:r>
        <w:rPr/>
        <w:t>重要的其他债权投资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986"/>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986"/>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4"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44,008,007.73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440,080.08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43,567,927.65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9,528,974.99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136,636.42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9,392,338.57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4,708,934.35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2,638,357.28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10.58%-10.99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44,008,007.73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440,080.08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43,567,927.65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9,528,974.99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136,636.42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9,392,338.57</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136,636.42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136,636.42</w:t>
            </w:r>
          </w:p>
        </w:tc>
      </w:tr>
      <w:tr>
        <w:trPr>
          <w:trHeight w:val="162"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303,443.66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303,443.66</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440,080.08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440,080.08</w:t>
            </w:r>
          </w:p>
        </w:tc>
      </w:tr>
    </w:tbl>
    <w:p>
      <w:pPr>
        <w:pStyle w:val="BodyText"/>
        <w:spacing w:line="240" w:lineRule="auto" w:before="49"/>
        <w:ind w:right="986"/>
        <w:jc w:val="left"/>
      </w:pPr>
      <w:r>
        <w:rPr/>
        <w:t>损失准备本期变动金额重大的账面余额变动情况</w:t>
      </w:r>
    </w:p>
    <w:p>
      <w:pPr>
        <w:pStyle w:val="BodyText"/>
        <w:spacing w:line="240" w:lineRule="auto" w:before="11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福建比硕 停车运营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-955,832.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5,517,759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重庆鸿达 智慧城市 发展有限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-427,746.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-1,383,57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-1,383,57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分类为以公允价值计量且其变动计入当 期损益的金融资产（权益工具投资）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pStyle w:val="BodyText"/>
        <w:spacing w:line="304" w:lineRule="auto" w:before="115"/>
        <w:ind w:right="1130"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日经公司第三届董事会第十六次会议决议，同意子公司五洋智慧交通公司作为有限合伙人投资上海常鹏投 资中心（有限合伙）（以下简称常鹏投资），以自有资金认缴出资额</w:t>
      </w:r>
      <w:r>
        <w:rPr>
          <w:spacing w:val="-15"/>
        </w:rPr>
        <w:t> </w:t>
      </w:r>
      <w:r>
        <w:rPr>
          <w:rFonts w:ascii="Times New Roman" w:hAnsi="Times New Roman" w:cs="Times New Roman" w:eastAsia="Times New Roman" w:hint="default"/>
        </w:rPr>
        <w:t>9,603</w:t>
      </w:r>
      <w:r>
        <w:rPr/>
        <w:t>万元，持股</w:t>
      </w:r>
      <w:r>
        <w:rPr>
          <w:rFonts w:ascii="Times New Roman" w:hAnsi="Times New Roman" w:cs="Times New Roman" w:eastAsia="Times New Roman" w:hint="default"/>
        </w:rPr>
        <w:t>99%</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日，五洋智 慧交通公司已实际出资</w:t>
      </w:r>
      <w:r>
        <w:rPr>
          <w:rFonts w:ascii="Times New Roman" w:hAnsi="Times New Roman" w:cs="Times New Roman" w:eastAsia="Times New Roman" w:hint="default"/>
        </w:rPr>
        <w:t>9,603</w:t>
      </w:r>
      <w:r>
        <w:rPr/>
        <w:t>万元。同意子公司五洋智慧交通公司作为有限合伙人投资上海长太投资中心（有限合伙）（以</w:t>
      </w:r>
      <w:r>
        <w:rPr>
          <w:spacing w:val="-44"/>
        </w:rPr>
        <w:t> </w:t>
      </w:r>
      <w:r>
        <w:rPr>
          <w:spacing w:val="-44"/>
        </w:rPr>
      </w:r>
      <w:r>
        <w:rPr>
          <w:spacing w:val="-5"/>
        </w:rPr>
        <w:t>下简称长太投资），以自有资金认缴出资额</w:t>
      </w:r>
      <w:r>
        <w:rPr>
          <w:spacing w:val="-12"/>
        </w:rPr>
        <w:t> </w:t>
      </w:r>
      <w:r>
        <w:rPr>
          <w:rFonts w:ascii="Times New Roman" w:hAnsi="Times New Roman" w:cs="Times New Roman" w:eastAsia="Times New Roman" w:hint="default"/>
          <w:spacing w:val="-3"/>
        </w:rPr>
        <w:t>5,940</w:t>
      </w:r>
      <w:r>
        <w:rPr>
          <w:spacing w:val="-3"/>
        </w:rPr>
        <w:t>万元，持股</w:t>
      </w:r>
      <w:r>
        <w:rPr>
          <w:rFonts w:ascii="Times New Roman" w:hAnsi="Times New Roman" w:cs="Times New Roman" w:eastAsia="Times New Roman" w:hint="default"/>
          <w:spacing w:val="-3"/>
        </w:rPr>
        <w:t>99%</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日，五洋智慧交通公司已实际出资</w:t>
      </w:r>
      <w:r>
        <w:rPr>
          <w:rFonts w:ascii="Times New Roman" w:hAnsi="Times New Roman" w:cs="Times New Roman" w:eastAsia="Times New Roman" w:hint="default"/>
          <w:spacing w:val="-3"/>
        </w:rPr>
        <w:t>5,940</w:t>
      </w:r>
      <w:r>
        <w:rPr>
          <w:rFonts w:ascii="Times New Roman" w:hAnsi="Times New Roman" w:cs="Times New Roman" w:eastAsia="Times New Roman" w:hint="default"/>
        </w:rPr>
        <w:t> </w:t>
      </w:r>
      <w:r>
        <w:rPr>
          <w:spacing w:val="-2"/>
        </w:rPr>
        <w:t>万元。同意子公司五洋智慧交通公司作为有限合伙人投资北京长静投资中心（有限合伙）（以下简称长静投资），以自有资</w:t>
      </w:r>
      <w:r>
        <w:rPr>
          <w:spacing w:val="-67"/>
        </w:rPr>
        <w:t> </w:t>
      </w:r>
      <w:r>
        <w:rPr>
          <w:spacing w:val="-67"/>
        </w:rPr>
      </w:r>
      <w:r>
        <w:rPr/>
        <w:t>金认缴出资额</w:t>
      </w:r>
      <w:r>
        <w:rPr>
          <w:spacing w:val="-23"/>
        </w:rPr>
        <w:t> </w:t>
      </w:r>
      <w:r>
        <w:rPr>
          <w:rFonts w:ascii="Times New Roman" w:hAnsi="Times New Roman" w:cs="Times New Roman" w:eastAsia="Times New Roman" w:hint="default"/>
        </w:rPr>
        <w:t>3,465</w:t>
      </w:r>
      <w:r>
        <w:rPr/>
        <w:t>万元，持股</w:t>
      </w:r>
      <w:r>
        <w:rPr>
          <w:rFonts w:ascii="Times New Roman" w:hAnsi="Times New Roman" w:cs="Times New Roman" w:eastAsia="Times New Roman" w:hint="default"/>
        </w:rPr>
        <w:t>99%</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日，五洋智慧交通公司已实际出资</w:t>
      </w:r>
      <w:r>
        <w:rPr>
          <w:rFonts w:ascii="Times New Roman" w:hAnsi="Times New Roman" w:cs="Times New Roman" w:eastAsia="Times New Roman" w:hint="default"/>
        </w:rPr>
        <w:t>3,465</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986"/>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98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282,312,139.15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200,769,175.74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282,312,139.15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200,769,175.74</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225,812,158.22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12,562,932.95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53,428,435.65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19,608,888.94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311,412,415.76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56,451,272.72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3,267,266.26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43,826,322.92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2,552,388.12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106,097,250.02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1,675,293.47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3,263,036.35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10,083,909.96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2,552,388.12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17,574,627.90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54,775,979.25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33,742,412.96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88,518,392.21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4,229.91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4,229.91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1,600,765.95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238,310.61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788,303.13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2,665,338.00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1,600,765.95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238,310.61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788,303.13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2,665,338.00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280,662,664.99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15,591,888.60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97,216,800.26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21,372,973.93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414,844,327.78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64,579,902.94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6,849,313.50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26,068,984.47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13,145,039.11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110,643,240.02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13,304,727.94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1,651,305.46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6,814,757.09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1,632,688.29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23,403,478.78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13,304,727.94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1,647,075.55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6,814,757.09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1,632,688.29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23,399,248.87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4,229.91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4,229.91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519,467.45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754,472.71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1,514,530.17</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519,467.45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754,472.71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1,514,530.17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77,365,163.43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8,280,807.28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32,862,963.23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14,023,254.69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132,532,188.63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203,297,501.56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7,311,081.32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64,353,837.03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7,349,719.24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282,312,139.15</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161,232,255.28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5,713,619.45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27,359,451.18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6,463,849.83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200,769,175.74</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1,473,014.76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1,473,014.76</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78,590,542.70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78,590,542.70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10,140,636.58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52,277,662.89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10,140,636.58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52,277,662.89</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青云市政公司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包家花园停车场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10,140,636.58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10,140,636.58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9,622,452.74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9,622,452.74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伟创华鑫公司新 厂房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29,124,405.99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29,124,405.99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徐州五洋公司配 套工程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5,771,340.00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5,771,340.00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7,759,464.16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7,759,464.16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10,140,636.58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10,140,636.58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52,277,662.89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52,277,662.89</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包家花 园停车 场项目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9,622,45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518,183.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10,140,6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56"/>
              <w:jc w:val="left"/>
              <w:rPr>
                <w:rFonts w:ascii="宋体" w:hAnsi="宋体" w:cs="宋体" w:eastAsia="宋体" w:hint="default"/>
                <w:sz w:val="18"/>
                <w:szCs w:val="18"/>
              </w:rPr>
            </w:pPr>
            <w:r>
              <w:rPr>
                <w:rFonts w:ascii="宋体" w:hAnsi="宋体" w:cs="宋体" w:eastAsia="宋体" w:hint="default"/>
                <w:sz w:val="18"/>
                <w:szCs w:val="18"/>
              </w:rPr>
              <w:t>伟创华 鑫公司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29,124,4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05.99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7,243,32</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36,367,7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33.75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新厂房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徐州五 洋公司 配套工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5,771,34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3,008,17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8,779,51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7,759,46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25,982,9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33,742,4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伟创华 鑫宿舍 楼</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9,628,73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9,628,73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52,277,6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46,381,3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88,518,3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10,140,6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36.58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80,795,076.26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23,211,118.64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130,452,038.80</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80,795,076.26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23,211,118.64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945,843.90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130,452,038.80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9,190,739.88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9,042,537.35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550,552.75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19,492,163.30</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1,805,039.58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2,179,819.82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159,168.84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6,269,028.20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1,805,039.58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2,179,819.82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159,168.84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6,269,028.20</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10,995,779.46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11,222,357.17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709,721.59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2,833,333.28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25,761,191.50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69,799,296.80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11,988,761.47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236,122.31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22,666,666.72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104,690,847.30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71,604,336.38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14,168,581.29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395,291.15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24,791,666.68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110,959,875.50</w:t>
            </w:r>
          </w:p>
        </w:tc>
      </w:tr>
    </w:tbl>
    <w:p>
      <w:pPr>
        <w:pStyle w:val="BodyText"/>
        <w:spacing w:line="240" w:lineRule="auto" w:before="49"/>
        <w:ind w:right="986"/>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1"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伟创自动化公司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334,964,694.37</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334,964,694.37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北京华逸奇公司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13,425,367.55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13,425,367.55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天辰智能公司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167,156,998.87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167,156,998.87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北京泊创公司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618,393.76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618,393.76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515,547,060.79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618,393.76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516,165,454.55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北京华逸奇公司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13,425,367.55</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13,425,367.55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北京泊创公司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618,393.76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618,393.76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13,425,367.55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618,393.76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14,043,761.31</w:t>
            </w:r>
          </w:p>
        </w:tc>
      </w:tr>
    </w:tbl>
    <w:p>
      <w:pPr>
        <w:pStyle w:val="BodyText"/>
        <w:spacing w:line="240" w:lineRule="auto" w:before="49"/>
        <w:ind w:right="986"/>
        <w:jc w:val="left"/>
      </w:pPr>
      <w:r>
        <w:rPr/>
        <w:t>商誉所在资产组或资产组组合的相关信息</w:t>
      </w:r>
    </w:p>
    <w:p>
      <w:pPr>
        <w:pStyle w:val="BodyText"/>
        <w:spacing w:line="300" w:lineRule="auto" w:before="115"/>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伟创自动化公司 </w:t>
      </w:r>
      <w:r>
        <w:rPr>
          <w:spacing w:val="-3"/>
        </w:rPr>
        <w:t>本公司</w:t>
      </w:r>
      <w:r>
        <w:rPr>
          <w:rFonts w:ascii="Times New Roman" w:hAnsi="Times New Roman" w:cs="Times New Roman" w:eastAsia="Times New Roman" w:hint="default"/>
          <w:spacing w:val="-3"/>
        </w:rPr>
        <w:t>2015</w:t>
      </w:r>
      <w:r>
        <w:rPr>
          <w:spacing w:val="-3"/>
        </w:rPr>
        <w:t>年度以发行股份及支付现金的方式购买伟创自动化</w:t>
      </w:r>
      <w:r>
        <w:rPr>
          <w:rFonts w:ascii="Times New Roman" w:hAnsi="Times New Roman" w:cs="Times New Roman" w:eastAsia="Times New Roman" w:hint="default"/>
          <w:spacing w:val="-3"/>
        </w:rPr>
        <w:t>100%</w:t>
      </w:r>
      <w:r>
        <w:rPr>
          <w:spacing w:val="-3"/>
        </w:rPr>
        <w:t>股权，交易定价系以中联资产评估集团有限公司（以</w:t>
      </w:r>
    </w:p>
    <w:p>
      <w:pPr>
        <w:pStyle w:val="BodyText"/>
        <w:spacing w:line="300" w:lineRule="auto" w:before="13"/>
        <w:ind w:right="986"/>
        <w:jc w:val="left"/>
      </w:pPr>
      <w:r>
        <w:rPr/>
        <w:t>下简称评估公司）以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日为评估基准日，对伟创自动化</w:t>
      </w:r>
      <w:r>
        <w:rPr>
          <w:rFonts w:ascii="Times New Roman" w:hAnsi="Times New Roman" w:cs="Times New Roman" w:eastAsia="Times New Roman" w:hint="default"/>
        </w:rPr>
        <w:t>100%</w:t>
      </w:r>
      <w:r>
        <w:rPr/>
        <w:t>的股东权益价值以收益法确定的评估价值为基础， 经交易各方协商确定交易价格为</w:t>
      </w:r>
      <w:r>
        <w:rPr>
          <w:rFonts w:ascii="Times New Roman" w:hAnsi="Times New Roman" w:cs="Times New Roman" w:eastAsia="Times New Roman" w:hint="default"/>
        </w:rPr>
        <w:t>55,000</w:t>
      </w:r>
      <w:r>
        <w:rPr/>
        <w:t>万元。上述合并对价与合并日（即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日）伟创自动化可辨认净资产的公允 价值差额</w:t>
      </w:r>
      <w:r>
        <w:rPr>
          <w:rFonts w:ascii="Times New Roman" w:hAnsi="Times New Roman" w:cs="Times New Roman" w:eastAsia="Times New Roman" w:hint="default"/>
        </w:rPr>
        <w:t>334,964,694.37</w:t>
      </w:r>
      <w:r>
        <w:rPr/>
        <w:t>元在合并报表中确认为商誉。</w:t>
      </w:r>
    </w:p>
    <w:p>
      <w:pPr>
        <w:pStyle w:val="BodyText"/>
        <w:spacing w:line="240" w:lineRule="auto" w:before="13"/>
        <w:ind w:left="645" w:right="986"/>
        <w:jc w:val="left"/>
      </w:pPr>
      <w:r>
        <w:rPr/>
        <w:t>商誉所在资产组相关信息</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71"/>
        <w:gridCol w:w="5154"/>
      </w:tblGrid>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资产组的构成</w:t>
            </w:r>
            <w:r>
              <w:rPr>
                <w:rFonts w:ascii="宋体" w:hAnsi="宋体" w:cs="宋体" w:eastAsia="宋体" w:hint="default"/>
                <w:sz w:val="18"/>
                <w:szCs w:val="18"/>
              </w:rPr>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70" w:right="0"/>
              <w:jc w:val="left"/>
              <w:rPr>
                <w:rFonts w:ascii="宋体" w:hAnsi="宋体" w:cs="宋体" w:eastAsia="宋体" w:hint="default"/>
                <w:sz w:val="18"/>
                <w:szCs w:val="18"/>
              </w:rPr>
            </w:pPr>
            <w:r>
              <w:rPr>
                <w:rFonts w:ascii="宋体" w:hAnsi="宋体" w:cs="宋体" w:eastAsia="宋体" w:hint="default"/>
                <w:sz w:val="18"/>
                <w:szCs w:val="18"/>
              </w:rPr>
              <w:t>固定资产、无形资产、在建工程等可辨认资产</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230,347,566.71</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分摊至本资产组的商誉账面价值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334,964,694.37</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包含商誉的资产组的账面价值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565,312,261.08</w:t>
            </w:r>
          </w:p>
        </w:tc>
      </w:tr>
      <w:tr>
        <w:trPr>
          <w:trHeight w:val="660"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资产组是否与购买日、以前年度商誉减值测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试时所确定的资产组一致</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00" w:lineRule="auto" w:before="8"/>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天辰智能公司 本期公司以发行股份及支付现金的方式购买天辰智能公司</w:t>
      </w:r>
      <w:r>
        <w:rPr>
          <w:rFonts w:ascii="Times New Roman" w:hAnsi="Times New Roman" w:cs="Times New Roman" w:eastAsia="Times New Roman" w:hint="default"/>
        </w:rPr>
        <w:t>100%</w:t>
      </w:r>
      <w:r>
        <w:rPr/>
        <w:t>股权，交易定价系以中联资产评估集团有限公司（以下</w:t>
      </w:r>
    </w:p>
    <w:p>
      <w:pPr>
        <w:pStyle w:val="BodyText"/>
        <w:spacing w:line="300" w:lineRule="auto" w:before="13"/>
        <w:ind w:right="1131"/>
        <w:jc w:val="both"/>
      </w:pPr>
      <w:r>
        <w:rPr/>
        <w:t>简称评估公司）以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日为评估基准日，对天辰智能公司</w:t>
      </w:r>
      <w:r>
        <w:rPr>
          <w:rFonts w:ascii="Times New Roman" w:hAnsi="Times New Roman" w:cs="Times New Roman" w:eastAsia="Times New Roman" w:hint="default"/>
        </w:rPr>
        <w:t>100%</w:t>
      </w:r>
      <w:r>
        <w:rPr/>
        <w:t>的股东权益价值以收益法确定的评估价值为基础，</w:t>
      </w:r>
      <w:r>
        <w:rPr>
          <w:spacing w:val="-63"/>
        </w:rPr>
        <w:t> </w:t>
      </w:r>
      <w:r>
        <w:rPr>
          <w:spacing w:val="-63"/>
        </w:rPr>
      </w:r>
      <w:r>
        <w:rPr>
          <w:spacing w:val="-1"/>
        </w:rPr>
        <w:t>经交易各方协商确定交易价格为</w:t>
      </w:r>
      <w:r>
        <w:rPr>
          <w:rFonts w:ascii="Times New Roman" w:hAnsi="Times New Roman" w:cs="Times New Roman" w:eastAsia="Times New Roman" w:hint="default"/>
          <w:spacing w:val="-1"/>
        </w:rPr>
        <w:t>25,000</w:t>
      </w:r>
      <w:r>
        <w:rPr>
          <w:spacing w:val="-1"/>
        </w:rPr>
        <w:t>万元。上述合并对价与合并日（即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日）天辰智能公司可辨认净资产的公</w:t>
      </w:r>
      <w:r>
        <w:rPr>
          <w:spacing w:val="-74"/>
        </w:rPr>
        <w:t> </w:t>
      </w:r>
      <w:r>
        <w:rPr>
          <w:spacing w:val="-74"/>
        </w:rPr>
      </w:r>
      <w:r>
        <w:rPr/>
        <w:t>允价值差额</w:t>
      </w:r>
      <w:r>
        <w:rPr>
          <w:rFonts w:ascii="Times New Roman" w:hAnsi="Times New Roman" w:cs="Times New Roman" w:eastAsia="Times New Roman" w:hint="default"/>
        </w:rPr>
        <w:t>167,156,998.87</w:t>
      </w:r>
      <w:r>
        <w:rPr/>
        <w:t>元在合并报表中确认为商誉。</w:t>
      </w:r>
    </w:p>
    <w:p>
      <w:pPr>
        <w:pStyle w:val="BodyText"/>
        <w:spacing w:line="240" w:lineRule="auto" w:before="13"/>
        <w:ind w:left="513" w:right="986"/>
        <w:jc w:val="left"/>
      </w:pPr>
      <w:r>
        <w:rPr>
          <w:color w:val="333333"/>
        </w:rPr>
        <w:t>商誉所在资产组相关信息</w:t>
      </w:r>
      <w:r>
        <w:rPr/>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71"/>
        <w:gridCol w:w="5154"/>
      </w:tblGrid>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color w:val="333333"/>
                <w:sz w:val="18"/>
                <w:szCs w:val="18"/>
              </w:rPr>
              <w:t>资产组的构成</w:t>
            </w:r>
            <w:r>
              <w:rPr>
                <w:rFonts w:ascii="宋体" w:hAnsi="宋体" w:cs="宋体" w:eastAsia="宋体" w:hint="default"/>
                <w:sz w:val="18"/>
                <w:szCs w:val="18"/>
              </w:rPr>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19" w:right="0"/>
              <w:jc w:val="left"/>
              <w:rPr>
                <w:rFonts w:ascii="宋体" w:hAnsi="宋体" w:cs="宋体" w:eastAsia="宋体" w:hint="default"/>
                <w:sz w:val="18"/>
                <w:szCs w:val="18"/>
              </w:rPr>
            </w:pPr>
            <w:r>
              <w:rPr>
                <w:rFonts w:ascii="宋体" w:hAnsi="宋体" w:cs="宋体" w:eastAsia="宋体" w:hint="default"/>
                <w:sz w:val="18"/>
                <w:szCs w:val="18"/>
              </w:rPr>
              <w:t>固定资产、无形资产等可辨认资产</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49,978,092.70</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分摊至本资产组的商誉账面价值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167,156,998.87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371"/>
        <w:gridCol w:w="5154"/>
      </w:tblGrid>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包含商誉的资产组的账面价值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217,135,091.57</w:t>
            </w:r>
          </w:p>
        </w:tc>
      </w:tr>
      <w:tr>
        <w:trPr>
          <w:trHeight w:val="65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资产组是否与购买日、以前年度商誉减值测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试时所确定的资产组一致</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left="51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北京泊创公司</w:t>
      </w:r>
    </w:p>
    <w:p>
      <w:pPr>
        <w:pStyle w:val="BodyText"/>
        <w:spacing w:line="300" w:lineRule="auto" w:before="63"/>
        <w:ind w:right="112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月，子公司五洋智慧交通公司以股权置换的方式受让自然人单醇林持有的北京泊创公司</w:t>
      </w:r>
      <w:r>
        <w:rPr>
          <w:rFonts w:ascii="Times New Roman" w:hAnsi="Times New Roman" w:cs="Times New Roman" w:eastAsia="Times New Roman" w:hint="default"/>
        </w:rPr>
        <w:t>60.00%</w:t>
      </w:r>
      <w:r>
        <w:rPr/>
        <w:t>股权，经交易各 </w:t>
      </w:r>
      <w:r>
        <w:rPr>
          <w:spacing w:val="-2"/>
        </w:rPr>
        <w:t>方协商确定股权转让价格为</w:t>
      </w:r>
      <w:r>
        <w:rPr>
          <w:rFonts w:ascii="Times New Roman" w:hAnsi="Times New Roman" w:cs="Times New Roman" w:eastAsia="Times New Roman" w:hint="default"/>
          <w:spacing w:val="-2"/>
        </w:rPr>
        <w:t>120</w:t>
      </w:r>
      <w:r>
        <w:rPr>
          <w:spacing w:val="-2"/>
        </w:rPr>
        <w:t>万元。上述合并对价与合并日北京泊创公司可辨认净资产的公允价值差额</w:t>
      </w:r>
      <w:r>
        <w:rPr>
          <w:rFonts w:ascii="Times New Roman" w:hAnsi="Times New Roman" w:cs="Times New Roman" w:eastAsia="Times New Roman" w:hint="default"/>
          <w:spacing w:val="-2"/>
        </w:rPr>
        <w:t>618,393.76</w:t>
      </w:r>
      <w:r>
        <w:rPr>
          <w:spacing w:val="-2"/>
        </w:rPr>
        <w:t>元在合并</w:t>
      </w:r>
      <w:r>
        <w:rPr>
          <w:spacing w:val="-48"/>
        </w:rPr>
        <w:t> </w:t>
      </w:r>
      <w:r>
        <w:rPr/>
        <w:t>报表中确认为商誉。</w:t>
      </w:r>
    </w:p>
    <w:tbl>
      <w:tblPr>
        <w:tblW w:w="0" w:type="auto"/>
        <w:jc w:val="left"/>
        <w:tblInd w:w="145" w:type="dxa"/>
        <w:tblLayout w:type="fixed"/>
        <w:tblCellMar>
          <w:top w:w="0" w:type="dxa"/>
          <w:left w:w="0" w:type="dxa"/>
          <w:bottom w:w="0" w:type="dxa"/>
          <w:right w:w="0" w:type="dxa"/>
        </w:tblCellMar>
        <w:tblLook w:val="01E0"/>
      </w:tblPr>
      <w:tblGrid>
        <w:gridCol w:w="3371"/>
        <w:gridCol w:w="5154"/>
      </w:tblGrid>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333333"/>
                <w:sz w:val="18"/>
                <w:szCs w:val="18"/>
              </w:rPr>
              <w:t>资产组的构成</w:t>
            </w:r>
            <w:r>
              <w:rPr>
                <w:rFonts w:ascii="宋体" w:hAnsi="宋体" w:cs="宋体" w:eastAsia="宋体" w:hint="default"/>
                <w:sz w:val="18"/>
                <w:szCs w:val="18"/>
              </w:rPr>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9" w:right="0"/>
              <w:jc w:val="left"/>
              <w:rPr>
                <w:rFonts w:ascii="宋体" w:hAnsi="宋体" w:cs="宋体" w:eastAsia="宋体" w:hint="default"/>
                <w:sz w:val="18"/>
                <w:szCs w:val="18"/>
              </w:rPr>
            </w:pPr>
            <w:r>
              <w:rPr>
                <w:rFonts w:ascii="宋体" w:hAnsi="宋体" w:cs="宋体" w:eastAsia="宋体" w:hint="default"/>
                <w:sz w:val="18"/>
                <w:szCs w:val="18"/>
              </w:rPr>
              <w:t>北京泊创公司相关资产及负债</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669,181.95</w:t>
            </w:r>
          </w:p>
        </w:tc>
      </w:tr>
      <w:tr>
        <w:trPr>
          <w:trHeight w:val="346"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分摊至本资产组的商誉账面价值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618,393.76</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包含商誉的资产组的账面价值</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1,287,575.71</w:t>
            </w:r>
          </w:p>
        </w:tc>
      </w:tr>
      <w:tr>
        <w:trPr>
          <w:trHeight w:val="661"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资产组是否与购买日、以前年度商誉减值测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试时所确定的资产组一致</w:t>
            </w:r>
          </w:p>
        </w:tc>
        <w:tc>
          <w:tcPr>
            <w:tcW w:w="5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3"/>
        <w:rPr>
          <w:rFonts w:ascii="宋体" w:hAnsi="宋体" w:cs="宋体" w:eastAsia="宋体" w:hint="default"/>
          <w:sz w:val="25"/>
          <w:szCs w:val="25"/>
        </w:rPr>
      </w:pPr>
    </w:p>
    <w:p>
      <w:pPr>
        <w:pStyle w:val="BodyText"/>
        <w:spacing w:line="314" w:lineRule="auto"/>
        <w:ind w:right="986"/>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240" w:lineRule="auto" w:before="61"/>
        <w:ind w:left="51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伟创自动化公司</w:t>
      </w:r>
    </w:p>
    <w:p>
      <w:pPr>
        <w:pStyle w:val="BodyText"/>
        <w:spacing w:line="300" w:lineRule="auto" w:before="63"/>
        <w:ind w:right="986" w:firstLine="360"/>
        <w:jc w:val="left"/>
      </w:pPr>
      <w:r>
        <w:rPr/>
        <w:t>商誉的可收回金额按照预计未来现金流量的现值计算，以伟创自动化公司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-2024</w:t>
      </w:r>
      <w:r>
        <w:rPr/>
        <w:t>年度的现金流量预测为基础，现 金流量预测使用的折现率</w:t>
      </w:r>
      <w:r>
        <w:rPr>
          <w:rFonts w:ascii="Times New Roman" w:hAnsi="Times New Roman" w:cs="Times New Roman" w:eastAsia="Times New Roman" w:hint="default"/>
        </w:rPr>
        <w:t>14.497%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12.53%</w:t>
      </w:r>
      <w:r>
        <w:rPr/>
        <w:t>），预测期以后的现金流量按</w:t>
      </w:r>
      <w:r>
        <w:rPr>
          <w:rFonts w:ascii="Times New Roman" w:hAnsi="Times New Roman" w:cs="Times New Roman" w:eastAsia="Times New Roman" w:hint="default"/>
        </w:rPr>
        <w:t>2024</w:t>
      </w:r>
      <w:r>
        <w:rPr/>
        <w:t>年现金流量为基础推断得出。</w:t>
      </w:r>
    </w:p>
    <w:p>
      <w:pPr>
        <w:pStyle w:val="BodyText"/>
        <w:spacing w:line="316" w:lineRule="auto" w:before="13"/>
        <w:ind w:right="986" w:firstLine="360"/>
        <w:jc w:val="left"/>
      </w:pPr>
      <w:r>
        <w:rPr/>
        <w:t>减值测试中采用的其他关键数据包括：收入增长率、生产成本及其他相关费用。 </w:t>
      </w:r>
      <w:r>
        <w:rPr>
          <w:spacing w:val="-2"/>
        </w:rPr>
        <w:t>公司根据历史经验及对市场发展的预测确定上述关键数据。公司采用的折现率是反映当前市场货币时间价值和相关资产组特</w:t>
      </w:r>
      <w:r>
        <w:rPr>
          <w:spacing w:val="-64"/>
        </w:rPr>
        <w:t> </w:t>
      </w:r>
      <w:r>
        <w:rPr>
          <w:spacing w:val="-64"/>
        </w:rPr>
      </w:r>
      <w:r>
        <w:rPr/>
        <w:t>定风险的税前利率。</w:t>
      </w:r>
    </w:p>
    <w:p>
      <w:pPr>
        <w:pStyle w:val="BodyText"/>
        <w:spacing w:line="300" w:lineRule="auto" w:before="19"/>
        <w:ind w:right="986" w:firstLine="360"/>
        <w:jc w:val="left"/>
      </w:pPr>
      <w:r>
        <w:rPr>
          <w:spacing w:val="-2"/>
        </w:rPr>
        <w:t>根据公司聘请的沃克森（北京）国际资产评估有限公司出具的《评估报告》（沃克森评报字（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0504</w:t>
      </w:r>
      <w:r>
        <w:rPr>
          <w:spacing w:val="-2"/>
        </w:rPr>
        <w:t>号），包含</w:t>
      </w:r>
      <w:r>
        <w:rPr/>
        <w:t> 商誉的资产组未来现金流量现值为</w:t>
      </w:r>
      <w:r>
        <w:rPr>
          <w:rFonts w:ascii="Times New Roman" w:hAnsi="Times New Roman" w:cs="Times New Roman" w:eastAsia="Times New Roman" w:hint="default"/>
        </w:rPr>
        <w:t>58,204.12</w:t>
      </w:r>
      <w:r>
        <w:rPr/>
        <w:t>万元，高于账面价值</w:t>
      </w:r>
      <w:r>
        <w:rPr>
          <w:rFonts w:ascii="Times New Roman" w:hAnsi="Times New Roman" w:cs="Times New Roman" w:eastAsia="Times New Roman" w:hint="default"/>
        </w:rPr>
        <w:t>56,531.23</w:t>
      </w:r>
      <w:r>
        <w:rPr/>
        <w:t>万元，商誉未出现减值情形。</w:t>
      </w:r>
    </w:p>
    <w:p>
      <w:pPr>
        <w:pStyle w:val="BodyText"/>
        <w:spacing w:line="240" w:lineRule="auto" w:before="13"/>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天辰智能公司</w:t>
      </w:r>
    </w:p>
    <w:p>
      <w:pPr>
        <w:pStyle w:val="BodyText"/>
        <w:spacing w:line="300" w:lineRule="auto" w:before="63"/>
        <w:ind w:right="986" w:firstLine="360"/>
        <w:jc w:val="left"/>
      </w:pPr>
      <w:r>
        <w:rPr/>
        <w:t>商誉的可收回金额按照预计未来现金流量的现值计算，以天辰智能公司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-2024</w:t>
      </w:r>
      <w:r>
        <w:rPr/>
        <w:t>年度的现金流量预测为基础，现金 流量预测使用的折现率</w:t>
      </w:r>
      <w:r>
        <w:rPr>
          <w:rFonts w:ascii="Times New Roman" w:hAnsi="Times New Roman" w:cs="Times New Roman" w:eastAsia="Times New Roman" w:hint="default"/>
        </w:rPr>
        <w:t>14.681%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12.84%</w:t>
      </w:r>
      <w:r>
        <w:rPr/>
        <w:t>），预测期以后的现金流量按</w:t>
      </w:r>
      <w:r>
        <w:rPr>
          <w:rFonts w:ascii="Times New Roman" w:hAnsi="Times New Roman" w:cs="Times New Roman" w:eastAsia="Times New Roman" w:hint="default"/>
        </w:rPr>
        <w:t>2024</w:t>
      </w:r>
      <w:r>
        <w:rPr/>
        <w:t>年现金流量为基础推断得出。</w:t>
      </w:r>
    </w:p>
    <w:p>
      <w:pPr>
        <w:pStyle w:val="BodyText"/>
        <w:spacing w:line="300" w:lineRule="auto" w:before="13"/>
        <w:ind w:right="986" w:firstLine="360"/>
        <w:jc w:val="left"/>
      </w:pPr>
      <w:r>
        <w:rPr/>
        <w:t>商誉的可收回金额按照预计未来现金流量的现值计算，以天辰智能公司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-2024</w:t>
      </w:r>
      <w:r>
        <w:rPr/>
        <w:t>年度的现金流量预测为基础，现金 流量预测使用的折现率</w:t>
      </w:r>
      <w:r>
        <w:rPr>
          <w:rFonts w:ascii="Times New Roman" w:hAnsi="Times New Roman" w:cs="Times New Roman" w:eastAsia="Times New Roman" w:hint="default"/>
        </w:rPr>
        <w:t>14.681%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12.84%</w:t>
      </w:r>
      <w:r>
        <w:rPr/>
        <w:t>），预测期以后的现金流量按</w:t>
      </w:r>
      <w:r>
        <w:rPr>
          <w:rFonts w:ascii="Times New Roman" w:hAnsi="Times New Roman" w:cs="Times New Roman" w:eastAsia="Times New Roman" w:hint="default"/>
        </w:rPr>
        <w:t>2024</w:t>
      </w:r>
      <w:r>
        <w:rPr/>
        <w:t>年现金流量为基础推断得出。</w:t>
      </w:r>
    </w:p>
    <w:p>
      <w:pPr>
        <w:pStyle w:val="BodyText"/>
        <w:spacing w:line="316" w:lineRule="auto" w:before="13"/>
        <w:ind w:right="986" w:firstLine="360"/>
        <w:jc w:val="left"/>
      </w:pPr>
      <w:r>
        <w:rPr/>
        <w:t>减值测试中采用的其他关键数据包括：收入增长率、生产成本及其他相关费用。 </w:t>
      </w:r>
      <w:r>
        <w:rPr>
          <w:spacing w:val="-2"/>
        </w:rPr>
        <w:t>公司根据历史经验及对市场发展的预测确定上述关键数据。公司采用的折现率是反映当前市场货币时间价值和相关资产组特</w:t>
      </w:r>
      <w:r>
        <w:rPr>
          <w:spacing w:val="-64"/>
        </w:rPr>
        <w:t> </w:t>
      </w:r>
      <w:r>
        <w:rPr>
          <w:spacing w:val="-64"/>
        </w:rPr>
      </w:r>
      <w:r>
        <w:rPr/>
        <w:t>定风险的税前利率。</w:t>
      </w:r>
    </w:p>
    <w:p>
      <w:pPr>
        <w:pStyle w:val="BodyText"/>
        <w:spacing w:line="300" w:lineRule="auto" w:before="19"/>
        <w:ind w:right="986" w:firstLine="360"/>
        <w:jc w:val="left"/>
      </w:pPr>
      <w:r>
        <w:rPr>
          <w:spacing w:val="-2"/>
        </w:rPr>
        <w:t>根据公司聘请的沃克森（北京）国际资产评估有限公司出具的《评估报告》（沃克森评报字（</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0525</w:t>
      </w:r>
      <w:r>
        <w:rPr>
          <w:spacing w:val="-2"/>
        </w:rPr>
        <w:t>号），包含</w:t>
      </w:r>
      <w:r>
        <w:rPr/>
        <w:t> 商誉的资产组未来现金流量现值为</w:t>
      </w:r>
      <w:r>
        <w:rPr>
          <w:rFonts w:ascii="Times New Roman" w:hAnsi="Times New Roman" w:cs="Times New Roman" w:eastAsia="Times New Roman" w:hint="default"/>
        </w:rPr>
        <w:t>34,631.63</w:t>
      </w:r>
      <w:r>
        <w:rPr/>
        <w:t>万元，高于账面价值</w:t>
      </w:r>
      <w:r>
        <w:rPr>
          <w:rFonts w:ascii="Times New Roman" w:hAnsi="Times New Roman" w:cs="Times New Roman" w:eastAsia="Times New Roman" w:hint="default"/>
        </w:rPr>
        <w:t>21,713.51</w:t>
      </w:r>
      <w:r>
        <w:rPr/>
        <w:t>万元，商誉未出现减值情形。</w:t>
      </w:r>
    </w:p>
    <w:p>
      <w:pPr>
        <w:pStyle w:val="BodyText"/>
        <w:spacing w:line="300" w:lineRule="auto" w:before="13"/>
        <w:ind w:right="98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北京泊创公司本期自收购后，由于尚处业务发展初期，根据谨慎性原则，对因并购北京泊创公司而确认的商誉一次 性全额计提减值准备。</w:t>
      </w:r>
    </w:p>
    <w:p>
      <w:pPr>
        <w:pStyle w:val="BodyText"/>
        <w:spacing w:line="357" w:lineRule="auto" w:before="73"/>
        <w:ind w:right="8594"/>
        <w:jc w:val="left"/>
      </w:pPr>
      <w:r>
        <w:rPr/>
        <w:t>商誉减值测试的影响 其他说明</w:t>
      </w:r>
    </w:p>
    <w:p>
      <w:pPr>
        <w:spacing w:line="240" w:lineRule="auto" w:before="6"/>
        <w:rPr>
          <w:rFonts w:ascii="宋体" w:hAnsi="宋体" w:cs="宋体" w:eastAsia="宋体" w:hint="default"/>
          <w:sz w:val="20"/>
          <w:szCs w:val="20"/>
        </w:rPr>
      </w:pPr>
    </w:p>
    <w:p>
      <w:pPr>
        <w:pStyle w:val="Heading3"/>
        <w:spacing w:line="240" w:lineRule="auto"/>
        <w:ind w:right="986"/>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3,346,864.54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755,968.29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2,890,896.25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2,996,138.01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1,190,069.95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2,431,876.61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停车场工程支出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2,406,261.69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90,344.20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709,171.05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1,787,434.84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6,378,934.78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3,386,482.21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2,655,209.29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7,110,207.70</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148,919,548.66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21,985,292.03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117,378,145.68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17,769,769.38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10,914,355.00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1,587,499.19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3,166,652.06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474,997.81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16,780,360.56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2,517,054.08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13,504,757.58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2,025,713.64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176,614,264.22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26,089,845.30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134,049,555.32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20,270,480.83</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7"/>
        <w:gridCol w:w="1914"/>
        <w:gridCol w:w="1914"/>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26,089,845.30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20,270,480.83</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2,318,377.00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4,316,896.05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37,478,144.29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30,468,230.16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39,796,521.29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34,785,126.21</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1,945,865.83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2,210,066.27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4,348,391.87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2,610,291.90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2,610,291.90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7,622,193.11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7,536,946.51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12,684,600.24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14,026,734.05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12,350,992.77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37,478,144.29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30,468,230.16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pStyle w:val="BodyText"/>
        <w:spacing w:line="240" w:lineRule="auto" w:before="115"/>
        <w:ind w:left="573" w:right="986"/>
        <w:jc w:val="left"/>
      </w:pPr>
      <w:r>
        <w:rPr/>
        <w:t>本期增加的递延所得税资产中，包含因将北京泊创公司纳入合并范围而增加的递延所得税资产</w:t>
      </w:r>
      <w:r>
        <w:rPr>
          <w:rFonts w:ascii="Times New Roman" w:hAnsi="Times New Roman" w:cs="Times New Roman" w:eastAsia="Times New Roman" w:hint="default"/>
        </w:rPr>
        <w:t>2,360.33</w:t>
      </w:r>
      <w:r>
        <w:rPr>
          <w:rFonts w:ascii="Times New Roman" w:hAnsi="Times New Roman" w:cs="Times New Roman" w:eastAsia="Times New Roman" w:hint="default"/>
          <w:spacing w:val="29"/>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986"/>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1,919,792.00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3,631,620.81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11,719,792.00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3,631,620.81</w:t>
            </w:r>
          </w:p>
        </w:tc>
      </w:tr>
    </w:tbl>
    <w:p>
      <w:pPr>
        <w:pStyle w:val="BodyText"/>
        <w:spacing w:line="240" w:lineRule="auto" w:before="49"/>
        <w:ind w:right="986"/>
        <w:jc w:val="left"/>
      </w:pPr>
      <w:r>
        <w:rPr/>
        <w:t>其他说明：</w:t>
      </w:r>
    </w:p>
    <w:p>
      <w:pPr>
        <w:pStyle w:val="BodyText"/>
        <w:spacing w:line="300" w:lineRule="auto" w:before="115"/>
        <w:ind w:right="1129"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日经公司第三届董事会第十六次会议决议，同意子公司五洋智慧交通公司以</w:t>
      </w:r>
      <w:r>
        <w:rPr>
          <w:rFonts w:ascii="Times New Roman" w:hAnsi="Times New Roman" w:cs="Times New Roman" w:eastAsia="Times New Roman" w:hint="default"/>
          <w:spacing w:val="-2"/>
        </w:rPr>
        <w:t>980</w:t>
      </w:r>
      <w:r>
        <w:rPr>
          <w:spacing w:val="-2"/>
        </w:rPr>
        <w:t>万的价格受让苏州优越文化</w:t>
      </w:r>
      <w:r>
        <w:rPr/>
        <w:t> </w:t>
      </w:r>
      <w:r>
        <w:rPr>
          <w:spacing w:val="-1"/>
        </w:rPr>
        <w:t>发展股份有限公司持有的长安停车投资管理（上海）有限公司</w:t>
      </w:r>
      <w:r>
        <w:rPr>
          <w:rFonts w:ascii="Times New Roman" w:hAnsi="Times New Roman" w:cs="Times New Roman" w:eastAsia="Times New Roman" w:hint="default"/>
          <w:spacing w:val="-1"/>
        </w:rPr>
        <w:t>49%</w:t>
      </w:r>
      <w:r>
        <w:rPr>
          <w:spacing w:val="-1"/>
        </w:rPr>
        <w:t>的股权。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日，五洋智慧交通公司支付股权转</w:t>
      </w:r>
      <w:r>
        <w:rPr/>
        <w:t> 让款</w:t>
      </w:r>
      <w:r>
        <w:rPr>
          <w:rFonts w:ascii="Times New Roman" w:hAnsi="Times New Roman" w:cs="Times New Roman" w:eastAsia="Times New Roman" w:hint="default"/>
        </w:rPr>
        <w:t>980</w:t>
      </w:r>
      <w:r>
        <w:rPr/>
        <w:t>万元，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日完成股权过户的工商登记手续。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3"/>
        <w:spacing w:line="240" w:lineRule="auto"/>
        <w:ind w:right="986"/>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抵押兼保证借款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质押兼保证借款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融资性信用证贴现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融资性银行承兑汇票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应付短期借款利息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227,794.77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76,584.16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227,727,794.77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50,076,584.16</w:t>
            </w:r>
          </w:p>
        </w:tc>
      </w:tr>
    </w:tbl>
    <w:p>
      <w:pPr>
        <w:pStyle w:val="BodyText"/>
        <w:spacing w:line="357" w:lineRule="auto" w:before="49"/>
        <w:ind w:right="2504"/>
        <w:jc w:val="left"/>
      </w:pPr>
      <w:r>
        <w:rPr/>
        <w:t>短期借款分类的说明： 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47,638,676.00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45,469,050.00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47,638,676.00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45,469,050.00</w:t>
            </w:r>
          </w:p>
        </w:tc>
      </w:tr>
    </w:tbl>
    <w:p>
      <w:pPr>
        <w:pStyle w:val="BodyText"/>
        <w:spacing w:line="240" w:lineRule="auto" w:before="49"/>
        <w:ind w:right="986"/>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8,571,254.17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2,067,509.05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279,882,185.82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198,614,649.30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288,453,439.99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200,682,158.35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214,522,664.42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146,480,149.20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214,522,664.42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146,480,149.20</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9,663,820.00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建溢（贵州）机器人有限公司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8,938,690.00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惠州国墅园地产有限公司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海南海航国瑞投资开发有限公司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1,578,549.70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开封市隆万达实业有限公司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23,269,559.70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15,284,634.85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162,475,031.59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157,710,614.40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20,049,052.04</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5,432.71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11,693,499.28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11,342,539.00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356,392.99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643,606.00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643,606.00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15,290,067.56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174,812,136.87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169,696,759.40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20,405,445.03</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13,594,335.31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147,088,859.85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142,450,872.44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18,232,322.72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4,351,047.93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4,325,031.52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26,016.41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2,339.41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6,065,196.22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5,992,809.65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74,725.98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2,228.27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5,196,589.46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5,154,613.01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44,204.72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w w:val="95"/>
                <w:sz w:val="18"/>
              </w:rPr>
              <w:t>111.14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447,930.63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435,513.27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12,528.50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420,676.13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402,683.37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17,992.76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96,394.69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3,844,692.83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3,750,926.83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190,160.69</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1,591,565.44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1,125,234.76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1,190,973.96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1,525,826.24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15,284,634.85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162,475,031.59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157,710,614.40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20,049,052.04</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5,293.59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11,144,747.63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10,806,904.58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343,136.64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548,751.65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535,634.42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13,256.35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5,432.71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11,693,499.28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11,342,539.00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356,392.99</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18,906,544.62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22,391,480.46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18,547,093.12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20,093,119.47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301,752.06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393,795.63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504,711.84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537,307.02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528,812.67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341,267.86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436,592.26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569,404.05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340,512.60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333,165.98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310,291.18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135,843.34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172,401.08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19,656.11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4,206.00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40,368,244.61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45,107,735.73</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140,522,682.41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107,864,011.34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140,522,682.41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107,864,011.34</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89,384,997.93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76,461,435.58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5,009,330.00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应计未付市场推广费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8,139,177.03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10,516,528.49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23,858,695.91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11,534,599.19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7,833,972.37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4,031,839.17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4,342,118.08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140,522,682.41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107,864,011.34</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60" w:lineRule="auto" w:before="49"/>
        <w:ind w:left="225" w:right="2251" w:hanging="73"/>
        <w:jc w:val="left"/>
      </w:pPr>
      <w:r>
        <w:rPr/>
        <w:t>其他说明 期初数与上期期末余额（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spacing w:after="0" w:line="360" w:lineRule="auto"/>
        <w:jc w:val="left"/>
        <w:sectPr>
          <w:footerReference w:type="default" r:id="rId19"/>
          <w:pgSz w:w="11910" w:h="16840"/>
          <w:pgMar w:footer="980" w:header="745" w:top="1060" w:bottom="1160" w:left="980" w:right="0"/>
          <w:pgNumType w:start="15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6"/>
        <w:ind w:right="986"/>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8594"/>
        <w:jc w:val="left"/>
      </w:pPr>
      <w:r>
        <w:rPr/>
        <w:t>长期借款分类的说明： 其他说明，包括利率区间：</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986"/>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设定受益计划义务现值：</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计划资产：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设定受益计划净负债（净资产）</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1,766,739.06</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1,766,739.06</w:t>
            </w:r>
          </w:p>
        </w:tc>
        <w:tc>
          <w:tcPr>
            <w:tcW w:w="2393"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详见本公司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 第十二节财务报告十四、</w:t>
            </w:r>
            <w:r>
              <w:rPr>
                <w:rFonts w:ascii="Times New Roman" w:hAnsi="Times New Roman" w:cs="Times New Roman" w:eastAsia="Times New Roman" w:hint="default"/>
                <w:sz w:val="18"/>
                <w:szCs w:val="18"/>
              </w:rPr>
              <w:t>2.</w:t>
            </w:r>
            <w:r>
              <w:rPr>
                <w:rFonts w:ascii="宋体" w:hAnsi="宋体" w:cs="宋体" w:eastAsia="宋体" w:hint="default"/>
                <w:sz w:val="18"/>
                <w:szCs w:val="18"/>
              </w:rPr>
              <w:t>或 有事项</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405"/>
        <w:gridCol w:w="2369"/>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1" w:right="0"/>
              <w:jc w:val="left"/>
              <w:rPr>
                <w:rFonts w:ascii="Times New Roman" w:hAnsi="Times New Roman" w:cs="Times New Roman" w:eastAsia="Times New Roman" w:hint="default"/>
                <w:sz w:val="18"/>
                <w:szCs w:val="18"/>
              </w:rPr>
            </w:pPr>
            <w:r>
              <w:rPr>
                <w:rFonts w:ascii="Times New Roman"/>
                <w:sz w:val="18"/>
              </w:rPr>
              <w:t>1,766,739.06</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1,766,739.06</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1"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14,781,914.33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4,766,220.00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2,103,784.98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17,444,349.35</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4"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1"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14,781,914.33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4,766,220.00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2,103,784.98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17,444,349.35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涉及政府补助的项目：</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工业机器 人智能私服 驱控一体化 集成装置关 键技术研究 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300,000.00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立体停车设 备生产线</w:t>
            </w:r>
          </w:p>
          <w:p>
            <w:pPr>
              <w:pStyle w:val="TableParagraph"/>
              <w:spacing w:line="316" w:lineRule="auto" w:before="17"/>
              <w:ind w:left="24" w:right="77"/>
              <w:jc w:val="left"/>
              <w:rPr>
                <w:rFonts w:ascii="宋体" w:hAnsi="宋体" w:cs="宋体" w:eastAsia="宋体" w:hint="default"/>
                <w:sz w:val="18"/>
                <w:szCs w:val="18"/>
              </w:rPr>
            </w:pPr>
            <w:r>
              <w:rPr>
                <w:rFonts w:ascii="宋体" w:hAnsi="宋体" w:cs="宋体" w:eastAsia="宋体" w:hint="default"/>
                <w:sz w:val="18"/>
                <w:szCs w:val="18"/>
              </w:rPr>
              <w:t>（一期）项 目补助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977,156.75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313,167.96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663,988.79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面向智慧矿 山的带式输 送机智能装 备及安全技 术研发与产 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5,066,666.67</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3,866,666.67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天辰智能公 司土地出让 金返还</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8,438,090.91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4,766,220.00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290,617.02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12,913,693.89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14,781,914.33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4,766,220.00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2,103,784.98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17,444,349.35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715,630,489.00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715,630,489.00</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986"/>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469,881,696.47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469,881,696.47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1,271,147.23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1,271,147.23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471,152,843.70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471,152,843.70</w:t>
            </w:r>
          </w:p>
        </w:tc>
      </w:tr>
    </w:tbl>
    <w:p>
      <w:pPr>
        <w:pStyle w:val="BodyText"/>
        <w:spacing w:line="240" w:lineRule="auto" w:before="49"/>
        <w:ind w:right="986"/>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1"/>
        <w:ind w:right="986"/>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986"/>
        <w:jc w:val="left"/>
      </w:pPr>
      <w:r>
        <w:rPr/>
        <w:t>其他说明，包括本期增减变动情况、变动原因说明：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49"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986"/>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17,006,833.68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2,263,071.47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19,269,905.15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17,006,833.68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2,263,071.47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19,269,905.15</w:t>
            </w:r>
          </w:p>
        </w:tc>
      </w:tr>
    </w:tbl>
    <w:p>
      <w:pPr>
        <w:pStyle w:val="BodyText"/>
        <w:spacing w:line="360" w:lineRule="auto" w:before="49"/>
        <w:ind w:right="2699"/>
        <w:jc w:val="left"/>
      </w:pPr>
      <w:r>
        <w:rPr/>
        <w:t>盈余公积说明，包括本期增减变动情况、变动原因说明： 本期盈余公积增加数系根据公司</w:t>
      </w:r>
      <w:r>
        <w:rPr>
          <w:rFonts w:ascii="Times New Roman" w:hAnsi="Times New Roman" w:cs="Times New Roman" w:eastAsia="Times New Roman" w:hint="default"/>
        </w:rPr>
        <w:t>2019</w:t>
      </w:r>
      <w:r>
        <w:rPr/>
        <w:t>年度实现净利润</w:t>
      </w:r>
      <w:r>
        <w:rPr>
          <w:rFonts w:ascii="Times New Roman" w:hAnsi="Times New Roman" w:cs="Times New Roman" w:eastAsia="Times New Roman" w:hint="default"/>
        </w:rPr>
        <w:t>(</w:t>
      </w:r>
      <w:r>
        <w:rPr/>
        <w:t>母公司</w:t>
      </w:r>
      <w:r>
        <w:rPr>
          <w:rFonts w:ascii="Times New Roman" w:hAnsi="Times New Roman" w:cs="Times New Roman" w:eastAsia="Times New Roman" w:hint="default"/>
        </w:rPr>
        <w:t>)</w:t>
      </w:r>
      <w:r>
        <w:rPr/>
        <w:t>的</w:t>
      </w:r>
      <w:r>
        <w:rPr>
          <w:rFonts w:ascii="Times New Roman" w:hAnsi="Times New Roman" w:cs="Times New Roman" w:eastAsia="Times New Roman" w:hint="default"/>
        </w:rPr>
        <w:t>10%</w:t>
      </w:r>
      <w:r>
        <w:rPr/>
        <w:t>计提的法定盈余公积</w:t>
      </w:r>
      <w:r>
        <w:rPr>
          <w:rFonts w:ascii="Times New Roman" w:hAnsi="Times New Roman" w:cs="Times New Roman" w:eastAsia="Times New Roman" w:hint="default"/>
        </w:rPr>
        <w:t>2,263,071.47</w:t>
      </w:r>
      <w:r>
        <w:rPr/>
        <w:t>元</w:t>
      </w:r>
    </w:p>
    <w:p>
      <w:pPr>
        <w:spacing w:line="240" w:lineRule="auto" w:before="7"/>
        <w:rPr>
          <w:rFonts w:ascii="宋体" w:hAnsi="宋体" w:cs="宋体" w:eastAsia="宋体" w:hint="default"/>
          <w:sz w:val="18"/>
          <w:szCs w:val="18"/>
        </w:rPr>
      </w:pPr>
    </w:p>
    <w:p>
      <w:pPr>
        <w:pStyle w:val="Heading3"/>
        <w:spacing w:line="240" w:lineRule="auto"/>
        <w:ind w:right="986"/>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344,518,369.74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245,888,132.21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344,518,369.74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245,888,132.21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155,397,825.80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130,995,099.47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2,263,071.47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1,694,983.84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26,478,328.09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30,669,878.10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471,174,795.98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344,518,369.74</w:t>
            </w:r>
          </w:p>
        </w:tc>
      </w:tr>
    </w:tbl>
    <w:p>
      <w:pPr>
        <w:pStyle w:val="BodyText"/>
        <w:spacing w:line="240" w:lineRule="auto" w:before="49"/>
        <w:ind w:right="986"/>
        <w:jc w:val="left"/>
      </w:pPr>
      <w:r>
        <w:rPr/>
        <w:t>调整期初未分配利润明细：</w:t>
      </w:r>
    </w:p>
    <w:p>
      <w:pPr>
        <w:pStyle w:val="BodyText"/>
        <w:spacing w:line="240" w:lineRule="auto" w:before="115"/>
        <w:ind w:right="986"/>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986"/>
        <w:jc w:val="left"/>
      </w:pPr>
      <w:r>
        <w:rPr>
          <w:rFonts w:ascii="Times New Roman" w:hAnsi="Times New Roman" w:cs="Times New Roman" w:eastAsia="Times New Roman" w:hint="default"/>
        </w:rPr>
        <w:t>2)</w:t>
      </w:r>
      <w:r>
        <w:rPr/>
        <w:t>、由于会计政策变更，影响期初未分配利润元。</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4"/>
        <w:ind w:right="986"/>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986"/>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1,279,778,205.50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837,431,370.17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996,981,628.56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647,970,428.03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11,599,630.90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11,085,962.24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5,094,788.86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3,391,397.22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1,291,377,836.40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848,517,332.41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1,002,076,417.42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651,361,825.25</w:t>
            </w:r>
          </w:p>
        </w:tc>
      </w:tr>
    </w:tbl>
    <w:p>
      <w:pPr>
        <w:pStyle w:val="BodyText"/>
        <w:spacing w:line="240" w:lineRule="auto" w:before="49"/>
        <w:ind w:right="986"/>
        <w:jc w:val="left"/>
      </w:pPr>
      <w:r>
        <w:rPr/>
        <w:t>是否已执行新收入准则</w:t>
      </w:r>
    </w:p>
    <w:p>
      <w:pPr>
        <w:pStyle w:val="BodyText"/>
        <w:spacing w:line="338" w:lineRule="auto" w:before="117"/>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7"/>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2,599,091.64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2,670,036.90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1,277,451.20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1,233,725.83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18,027.00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1,737,401.74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1,369,554.58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1,522,374.77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1,704,744.60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11,765.52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4,945.52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942,821.14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503,956.25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788,803.99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821,660.47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25,392.00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8,925,893.50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8,352,043.15</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22,052,176.38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18,898,350.46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4,681,413.19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6,214,497.84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13,721,612.46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9,614,115.80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8,216,894.11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5,320,132.13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29,189,827.56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25,554,381.25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7,102,144.38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6,661,659.95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1,292,285.91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1,242,537.25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3,683,870.86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2,002,311.76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89,940,224.85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75,507,986.44</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23,832,478.00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22,055,184.48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14,897,837.16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13,632,616.71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8,483,136.49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7,988,213.84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6,547,298.76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4,468,859.74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7,530,588.34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6,416,600.07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3,409,958.94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3,236,289.55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1,671,691.25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1,991,332.70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66,372,988.94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59,789,097.09</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33,010,124.32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25,741,474.38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折旧费用与长期费用摊销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1,520,789.35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1,456,512.12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36,668,380.69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30,039,573.55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1,846,927.62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1,996,895.92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73,046,221.98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59,234,455.97</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12,802,881.87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5,418,774.48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-619,818.33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-265,652.95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690,079.71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631,144.84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12,883,413.63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5,784,266.68</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2,103,784.98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7,556,027.05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13,050,220.14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13,932,333.98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15,154,005.12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21,488,361.03</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-1,383,579.43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-1,032,620.51</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5,960.05</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1,072,333.62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3,948,515.59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-311,245.81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2,921,855.13</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-33,894,363.62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-33,894,363.62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-20,479,224.42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-618,393.76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-618,393.76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-20,479,224.42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124,217.43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630,587.13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124,217.43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630,587.13</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45,557.55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150,240.00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45,557.55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612,479.25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356,684.99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612,479.25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130,800.64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130,800.73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788,837.44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507,123.67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788,837.53</w:t>
            </w:r>
          </w:p>
        </w:tc>
      </w:tr>
    </w:tbl>
    <w:p>
      <w:pPr>
        <w:pStyle w:val="BodyText"/>
        <w:spacing w:line="240" w:lineRule="auto" w:before="49"/>
        <w:ind w:right="986"/>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055"/>
        <w:gridCol w:w="1062"/>
        <w:gridCol w:w="1064"/>
        <w:gridCol w:w="1063"/>
        <w:gridCol w:w="1064"/>
        <w:gridCol w:w="1062"/>
        <w:gridCol w:w="1063"/>
        <w:gridCol w:w="1064"/>
        <w:gridCol w:w="1051"/>
      </w:tblGrid>
      <w:tr>
        <w:trPr>
          <w:trHeight w:val="382"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5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9"/>
      </w:tblGrid>
      <w:tr>
        <w:trPr>
          <w:trHeight w:val="36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24,999.05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41,332.08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41,332.08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31,540.00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466,516.49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31,540.00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1,211,242.00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557,991.86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1,211,242.00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预计诉讼赔偿支出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1,766,739.06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2,732.28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246,151.71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2,732.28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67,989.28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84,028.62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67,989.28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1,357,495.86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3,341,122.66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1,357,495.86</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24,483,962.63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19,814,217.38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-5,817,004.14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-5,322,795.69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18,666,958.49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14,491,421.69</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171,577,322.03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25,736,598.28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810,034.99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115,435.53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207,536.91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1,194,558.33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-490,678.21</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1,956,621.26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研发费加计扣除对所得税的影响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-11,173,713.54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税率的变动对递延所得税费用的影响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310,564.94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18,666,958.49</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13,413,257.97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26,096,958.85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619,818.33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265,652.95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收到的其他及往来款净额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4,468,522.64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9,497,802.75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7,409,156.26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25,910,755.20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35,860,414.55</w:t>
            </w:r>
          </w:p>
        </w:tc>
      </w:tr>
    </w:tbl>
    <w:p>
      <w:pPr>
        <w:pStyle w:val="BodyText"/>
        <w:spacing w:line="240" w:lineRule="auto" w:before="49"/>
        <w:ind w:right="986"/>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支付办公、差旅、招待费等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57,918,618.56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48,501,691.51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市场推广费、运输费等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44,919,264.64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34,512,263.13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10,556,401.73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16,748,482.61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支付技术开发服务、检验费等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10,594,370.45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6,449,603.56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支付咨询服务费等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5,017,271.19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3,176,846.03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支付其他往来款净额及费用等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4,461,054.95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4,121,660.49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支付退回的政府补助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133,466,981.52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115,560,547.33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收回理财产品本金净额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收到深圳伟创原股东股权转让的代交个 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31,700,000.00</w:t>
            </w:r>
          </w:p>
        </w:tc>
      </w:tr>
    </w:tbl>
    <w:p>
      <w:pPr>
        <w:pStyle w:val="BodyText"/>
        <w:spacing w:line="240" w:lineRule="auto" w:before="49"/>
        <w:ind w:right="986"/>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986"/>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支付天辰原股东股权转让的代交个人所 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15,991,738.64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缴存产业基金专用资金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24,705,155.05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支付购买理财产品本金净额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支付上海长太投资中心（有限合伙）</w:t>
            </w:r>
            <w:r>
              <w:rPr>
                <w:rFonts w:ascii="宋体" w:hAnsi="宋体" w:cs="宋体" w:eastAsia="宋体" w:hint="default"/>
                <w:spacing w:val="-17"/>
                <w:sz w:val="18"/>
                <w:szCs w:val="18"/>
              </w:rPr>
              <w:t> </w:t>
            </w:r>
            <w:r>
              <w:rPr>
                <w:rFonts w:ascii="宋体" w:hAnsi="宋体" w:cs="宋体" w:eastAsia="宋体" w:hint="default"/>
                <w:sz w:val="18"/>
                <w:szCs w:val="18"/>
              </w:rPr>
              <w:t>暂</w:t>
            </w:r>
            <w:r>
              <w:rPr>
                <w:rFonts w:ascii="宋体" w:hAnsi="宋体" w:cs="宋体" w:eastAsia="宋体" w:hint="default"/>
                <w:sz w:val="18"/>
                <w:szCs w:val="18"/>
              </w:rPr>
              <w:t> 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支付北京长静投资中心（有限合伙）</w:t>
            </w:r>
            <w:r>
              <w:rPr>
                <w:rFonts w:ascii="宋体" w:hAnsi="宋体" w:cs="宋体" w:eastAsia="宋体" w:hint="default"/>
                <w:spacing w:val="-17"/>
                <w:sz w:val="18"/>
                <w:szCs w:val="18"/>
              </w:rPr>
              <w:t> </w:t>
            </w:r>
            <w:r>
              <w:rPr>
                <w:rFonts w:ascii="宋体" w:hAnsi="宋体" w:cs="宋体" w:eastAsia="宋体" w:hint="default"/>
                <w:sz w:val="18"/>
                <w:szCs w:val="18"/>
              </w:rPr>
              <w:t>暂</w:t>
            </w:r>
            <w:r>
              <w:rPr>
                <w:rFonts w:ascii="宋体" w:hAnsi="宋体" w:cs="宋体" w:eastAsia="宋体" w:hint="default"/>
                <w:sz w:val="18"/>
                <w:szCs w:val="18"/>
              </w:rPr>
              <w:t> 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43,355,155.05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31,191,738.64</w:t>
            </w:r>
          </w:p>
        </w:tc>
      </w:tr>
    </w:tbl>
    <w:p>
      <w:pPr>
        <w:pStyle w:val="BodyText"/>
        <w:spacing w:line="240" w:lineRule="auto" w:before="49"/>
        <w:ind w:right="986"/>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收到济南天辰机器集团有限公司暂借款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融资性质的票据贴现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9,748,611.12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收到林伟通暂借款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收到刘龙保暂借款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收到尤立明暂借款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收到朱玉梅暂借款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82,748,611.12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986"/>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归还山东天辰地产有限公司暂借款及利 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18,637,766.00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归还山东特利尔营销策划有限公司医药 分公司暂借款及利息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10,574,438.36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归还禹城市财政局暂借款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5,664,110.00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归还济南天龙机械有限公司暂借款及利 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4,209,157.53</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归还济南天辰机器集团有限公司暂借款 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35,691,351.24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归还林伟通暂借款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归还刘龙保暂借款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50,691,351.24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39,085,471.89</w:t>
            </w:r>
          </w:p>
        </w:tc>
      </w:tr>
    </w:tbl>
    <w:p>
      <w:pPr>
        <w:pStyle w:val="BodyText"/>
        <w:spacing w:line="240" w:lineRule="auto" w:before="49"/>
        <w:ind w:right="986"/>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152,910,363.54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129,282,901.03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34,512,757.38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20,479,224.42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23,399,248.87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19,514,484.08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6,269,028.20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4,782,774.43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2,655,209.29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1,566,107.51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-124,217.43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-630,587.13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41,332.08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149,078.83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12,817,684.93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5,418,774.79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127.759979pt;width:151.25pt;height:20.65pt;mso-position-horizontal-relative:page;mso-position-vertical-relative:page;z-index:-1176928" coordorigin="4467,2555" coordsize="3025,413">
            <v:group style="position:absolute;left:4478;top:2566;width:2;height:392" coordorigin="4478,2566" coordsize="2,392">
              <v:shape style="position:absolute;left:4478;top:2566;width:2;height:392" coordorigin="4478,2566" coordsize="0,392" path="m4478,2566l4478,2957e" filled="false" stroked="true" strokeweight="1.08pt" strokecolor="#ffffff">
                <v:path arrowok="t"/>
              </v:shape>
            </v:group>
            <v:group style="position:absolute;left:4489;top:2566;width:3003;height:392" coordorigin="4489,2566" coordsize="3003,392">
              <v:shape style="position:absolute;left:4489;top:2566;width:3003;height:392" coordorigin="4489,2566" coordsize="3003,392" path="m4489,2957l7492,2957,7492,2566,4489,2566,4489,295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967"/>
        <w:gridCol w:w="2101"/>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311,245.81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-2,921,855.13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-5,817,004.14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-5,322,795.69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6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94" w:right="0"/>
              <w:jc w:val="left"/>
              <w:rPr>
                <w:rFonts w:ascii="Times New Roman" w:hAnsi="Times New Roman" w:cs="Times New Roman" w:eastAsia="Times New Roman" w:hint="default"/>
                <w:sz w:val="18"/>
                <w:szCs w:val="18"/>
              </w:rPr>
            </w:pPr>
            <w:r>
              <w:rPr>
                <w:rFonts w:ascii="Times New Roman"/>
                <w:sz w:val="18"/>
              </w:rPr>
              <w:t>-159,112,997.52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-92,064,890.19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-224,548,175.55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-224,375,994.65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184,906,541.14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61,917,590.04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28,221,016.60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-82,205,187.66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71,751,496.08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60,594,501.34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60,594,501.34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158,142,185.24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11,156,994.74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-97,547,683.90</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北京泊创公司</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526,920.52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北京泊创公司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526,920.52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-526,920.52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71,751,496.08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60,594,501.34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211,609.39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155,352.84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71,537,109.05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60,439,148.50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2,777.64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71,751,496.08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60,594,501.34</w:t>
            </w:r>
          </w:p>
        </w:tc>
      </w:tr>
    </w:tbl>
    <w:p>
      <w:pPr>
        <w:pStyle w:val="BodyText"/>
        <w:spacing w:line="240" w:lineRule="auto" w:before="49"/>
        <w:ind w:right="986"/>
        <w:jc w:val="left"/>
      </w:pPr>
      <w:r>
        <w:rPr/>
        <w:t>其他说明：</w:t>
      </w:r>
    </w:p>
    <w:p>
      <w:pPr>
        <w:pStyle w:val="BodyText"/>
        <w:spacing w:line="300" w:lineRule="auto" w:before="117"/>
        <w:ind w:right="1093" w:firstLine="360"/>
        <w:jc w:val="both"/>
      </w:pPr>
      <w:r>
        <w:rPr>
          <w:spacing w:val="18"/>
        </w:rPr>
        <w:t>期初货币资金中，财政预算购买设备专用款</w:t>
      </w:r>
      <w:r>
        <w:rPr>
          <w:spacing w:val="-72"/>
        </w:rPr>
        <w:t> </w:t>
      </w:r>
      <w:r>
        <w:rPr>
          <w:rFonts w:ascii="Times New Roman" w:hAnsi="Times New Roman" w:cs="Times New Roman" w:eastAsia="Times New Roman" w:hint="default"/>
        </w:rPr>
        <w:t>2,173,008.18</w:t>
      </w:r>
      <w:r>
        <w:rPr>
          <w:rFonts w:ascii="Times New Roman" w:hAnsi="Times New Roman" w:cs="Times New Roman" w:eastAsia="Times New Roman" w:hint="default"/>
          <w:spacing w:val="-27"/>
        </w:rPr>
        <w:t> </w:t>
      </w:r>
      <w:r>
        <w:rPr>
          <w:spacing w:val="16"/>
        </w:rPr>
        <w:t>元，保函保证金</w:t>
      </w:r>
      <w:r>
        <w:rPr>
          <w:spacing w:val="-72"/>
        </w:rPr>
        <w:t> </w:t>
      </w:r>
      <w:r>
        <w:rPr>
          <w:rFonts w:ascii="Times New Roman" w:hAnsi="Times New Roman" w:cs="Times New Roman" w:eastAsia="Times New Roman" w:hint="default"/>
        </w:rPr>
        <w:t>4,141,851.66</w:t>
      </w:r>
      <w:r>
        <w:rPr>
          <w:rFonts w:ascii="Times New Roman" w:hAnsi="Times New Roman" w:cs="Times New Roman" w:eastAsia="Times New Roman" w:hint="default"/>
          <w:spacing w:val="-27"/>
        </w:rPr>
        <w:t> </w:t>
      </w:r>
      <w:r>
        <w:rPr>
          <w:spacing w:val="17"/>
        </w:rPr>
        <w:t>元、银行承兑汇票保证金</w:t>
      </w:r>
      <w:r>
        <w:rPr>
          <w:spacing w:val="-71"/>
        </w:rPr>
        <w:t> </w:t>
      </w:r>
      <w:r>
        <w:rPr>
          <w:rFonts w:ascii="Times New Roman" w:hAnsi="Times New Roman" w:cs="Times New Roman" w:eastAsia="Times New Roman" w:hint="default"/>
          <w:spacing w:val="-2"/>
        </w:rPr>
        <w:t>25,636,683.33</w:t>
      </w:r>
      <w:r>
        <w:rPr>
          <w:spacing w:val="-2"/>
        </w:rPr>
        <w:t>元，托管资金</w:t>
      </w:r>
      <w:r>
        <w:rPr>
          <w:rFonts w:ascii="Times New Roman" w:hAnsi="Times New Roman" w:cs="Times New Roman" w:eastAsia="Times New Roman" w:hint="default"/>
          <w:spacing w:val="-2"/>
        </w:rPr>
        <w:t>15,200,000.00</w:t>
      </w:r>
      <w:r>
        <w:rPr>
          <w:spacing w:val="-2"/>
        </w:rPr>
        <w:t>元不属于现金及现金等价物。期末货币资金中，财政预算购买设备专用款</w:t>
      </w:r>
      <w:r>
        <w:rPr>
          <w:rFonts w:ascii="Times New Roman" w:hAnsi="Times New Roman" w:cs="Times New Roman" w:eastAsia="Times New Roman" w:hint="default"/>
          <w:spacing w:val="-2"/>
        </w:rPr>
        <w:t>123,668.46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元，保函保证金</w:t>
      </w:r>
      <w:r>
        <w:rPr>
          <w:rFonts w:ascii="Times New Roman" w:hAnsi="Times New Roman" w:cs="Times New Roman" w:eastAsia="Times New Roman" w:hint="default"/>
        </w:rPr>
        <w:t>3,753,084.54</w:t>
      </w:r>
      <w:r>
        <w:rPr/>
        <w:t>元、银行承兑汇票保证金</w:t>
      </w:r>
      <w:r>
        <w:rPr>
          <w:rFonts w:ascii="Times New Roman" w:hAnsi="Times New Roman" w:cs="Times New Roman" w:eastAsia="Times New Roman" w:hint="default"/>
        </w:rPr>
        <w:t>19,228,682.14</w:t>
      </w:r>
      <w:r>
        <w:rPr/>
        <w:t>元，托管资金</w:t>
      </w:r>
      <w:r>
        <w:rPr>
          <w:rFonts w:ascii="Times New Roman" w:hAnsi="Times New Roman" w:cs="Times New Roman" w:eastAsia="Times New Roman" w:hint="default"/>
        </w:rPr>
        <w:t>39,905,155.05</w:t>
      </w:r>
      <w:r>
        <w:rPr/>
        <w:t>元不属于现金及现金等价物。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spacing w:line="544" w:lineRule="auto" w:before="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62,886,921.73</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保函及银行承兑汇票保证金、产业基金 托管专项资金</w:t>
            </w:r>
          </w:p>
        </w:tc>
      </w:tr>
      <w:tr>
        <w:trPr>
          <w:trHeight w:val="391"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12,581,376.95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银行承兑汇票质押担保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76,658,421.26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借款及银行承兑汇票抵押担保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33,755,900.92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借款及银行承兑汇票抵押担保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24,767,527.32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保函及银行承兑汇票质押担保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210,650,148.18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1"/>
        <w:gridCol w:w="237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119.09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98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工业机器人智能私服驱控一 体化集成装置关键技术研究 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立体停车设备生产线（一期） 项目补助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313,167.96</w:t>
            </w: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面向智慧矿山的带式输送机 智能装备及安全技术研发与</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产业化</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天辰智能公司土地出让金返 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4,766,220.00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290,617.02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网络化智能控制输送机用张 紧卷带一体机研发及产业化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4,402,943.15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4,402,943.15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年研发支助款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省经信委转型升级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万人计划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年铜山区双创人才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山东省科学技术厅研发补助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290,200.00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禹城科技局奖励金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工贸发展金融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国高企业认定支持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禹城市市场奖励资金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双创补助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年度企业研究发开费用 省级奖励财政资金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东莞市职业训练指导中心政 府补贴款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71,444.97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62,393.00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年国家高新技术企业认 定奖补支持金发放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其他（附加税返还等）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17,816,440.14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15,154,005.12</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986"/>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北京泊创公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864,100.71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-300,161.79</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581,606.24</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618,393.76</w:t>
            </w:r>
          </w:p>
        </w:tc>
      </w:tr>
    </w:tbl>
    <w:p>
      <w:pPr>
        <w:pStyle w:val="BodyText"/>
        <w:spacing w:line="357" w:lineRule="auto" w:before="49"/>
        <w:ind w:right="6074"/>
        <w:jc w:val="left"/>
      </w:pPr>
      <w:r>
        <w:rPr/>
        <w:t>合并成本公允价值的确定方法、或有对价及其变动的说明： 大额商誉形成的主要原因：</w:t>
      </w:r>
    </w:p>
    <w:p>
      <w:pPr>
        <w:pStyle w:val="BodyText"/>
        <w:spacing w:line="240" w:lineRule="auto" w:before="2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北京泊创公司</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526,920.52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526,920.52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448,462.21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448,462.21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428,637.39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428,637.39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2,360.33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2,360.33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32,889.55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32,889.55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1,216.57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1,216.57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86,503.94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86,503.94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316,426.65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316,426.65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969,343.74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969,343.74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387,737.50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387,737.50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581,606.24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581,606.24</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ind w:right="859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15pt;height:21.15pt;mso-position-horizontal-relative:char;mso-position-vertical-relative:line" coordorigin="0,0" coordsize="9583,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4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181;height:2" coordorigin="10,413" coordsize="3181,2">
              <v:shape style="position:absolute;left:10;top:413;width:3181;height:2" coordorigin="10,413" coordsize="3181,0" path="m10,413l3191,413e" filled="false" stroked="true" strokeweight=".47998pt" strokecolor="#000000">
                <v:path arrowok="t"/>
              </v:shape>
            </v:group>
            <v:group style="position:absolute;left:3195;top:5;width:2;height:413" coordorigin="3195,5" coordsize="2,413">
              <v:shape style="position:absolute;left:3195;top:5;width:2;height:413" coordorigin="3195,5" coordsize="0,413" path="m3195,5l3195,418e" filled="false" stroked="true" strokeweight=".48pt" strokecolor="#000000">
                <v:path arrowok="t"/>
              </v:shape>
            </v:group>
            <v:group style="position:absolute;left:3200;top:413;width:6373;height:2" coordorigin="3200,413" coordsize="6373,2">
              <v:shape style="position:absolute;left:3200;top:413;width:6373;height:2" coordorigin="3200,413" coordsize="6373,0" path="m3200,413l9573,413e" filled="false" stroked="true" strokeweight=".4799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7998pt" strokecolor="#000000">
                <v:path arrowok="t"/>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上期期末</w:t>
            </w:r>
          </w:p>
        </w:tc>
      </w:tr>
    </w:tbl>
    <w:p>
      <w:pPr>
        <w:pStyle w:val="BodyText"/>
        <w:spacing w:line="357" w:lineRule="auto" w:before="50"/>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986"/>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是否存在单次处置对子公司投资即丧失控制权的情形</w:t>
      </w:r>
    </w:p>
    <w:p>
      <w:pPr>
        <w:pStyle w:val="BodyText"/>
        <w:spacing w:line="338" w:lineRule="auto" w:before="118"/>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说明其他原因导致的合并范围变动（如，新设子公司、清算子公司等）及其相关情况：</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570"/>
        <w:gridCol w:w="1275"/>
        <w:gridCol w:w="1560"/>
        <w:gridCol w:w="1560"/>
        <w:gridCol w:w="1560"/>
        <w:gridCol w:w="1133"/>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1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665"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8" w:right="0"/>
              <w:jc w:val="left"/>
              <w:rPr>
                <w:rFonts w:ascii="宋体" w:hAnsi="宋体" w:cs="宋体" w:eastAsia="宋体" w:hint="default"/>
                <w:sz w:val="18"/>
                <w:szCs w:val="18"/>
              </w:rPr>
            </w:pPr>
            <w:r>
              <w:rPr>
                <w:rFonts w:ascii="宋体" w:hAnsi="宋体" w:cs="宋体" w:eastAsia="宋体" w:hint="default"/>
                <w:sz w:val="18"/>
                <w:szCs w:val="18"/>
              </w:rPr>
              <w:t>五洋智慧交通产业</w:t>
            </w:r>
          </w:p>
          <w:p>
            <w:pPr>
              <w:pStyle w:val="TableParagraph"/>
              <w:spacing w:line="240" w:lineRule="auto" w:before="76"/>
              <w:ind w:left="58" w:right="0"/>
              <w:jc w:val="left"/>
              <w:rPr>
                <w:rFonts w:ascii="宋体" w:hAnsi="宋体" w:cs="宋体" w:eastAsia="宋体" w:hint="default"/>
                <w:sz w:val="18"/>
                <w:szCs w:val="18"/>
              </w:rPr>
            </w:pPr>
            <w:r>
              <w:rPr>
                <w:rFonts w:ascii="宋体" w:hAnsi="宋体" w:cs="宋体" w:eastAsia="宋体" w:hint="default"/>
                <w:sz w:val="18"/>
                <w:szCs w:val="18"/>
              </w:rPr>
              <w:t>（徐州）有限公司</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2019-6-13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7040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6400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90.91%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986"/>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徐州五洋科技有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江苏天沃重工科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江苏五岳科技实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深圳市伟创自动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化设备有限公司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山东天辰智能停 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东莞市伟创东洋 自动化设备有限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东莞市伟创华鑫 自动化设备有限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北京伟创停车场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合肥伟创自动化 设备有限公司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昆明五洋伟创停 车服务有限公司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江西泰壬科技有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安徽惠邦融资租 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深圳市前海弘毅 华浩投资有限公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北京华逸奇科贸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南昌市青云市政 运营有限公司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同方佰宜科技</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沈阳市五洋恒信 泊车有限公司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抚州五洋智慧交 通产业发展有限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江西抚州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江西抚州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徐州疌盛五洋智 能装备产业基金 合伙企业（有限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60.84%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五洋智慧交通产 业（徐州）有限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北京泊创科技有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49"/>
        <w:ind w:right="2834"/>
        <w:jc w:val="left"/>
      </w:pPr>
      <w:r>
        <w:rPr/>
        <w:t>在子公司的持股比例不同于表决权比例的说明： 持有半数或以下表决权但仍控制被投资单位、以及持有半数以上表决权但不控制被投资单位的依据：</w:t>
      </w:r>
    </w:p>
    <w:p>
      <w:pPr>
        <w:pStyle w:val="BodyText"/>
        <w:spacing w:line="309" w:lineRule="auto" w:before="25"/>
        <w:ind w:right="1129" w:firstLine="288"/>
        <w:jc w:val="both"/>
      </w:pPr>
      <w:r>
        <w:rPr/>
        <w:t>本公司全资子公司伟创自动化公司持有沈阳市五洋恒信泊车有限公司</w:t>
      </w:r>
      <w:r>
        <w:rPr>
          <w:rFonts w:ascii="Times New Roman" w:hAnsi="Times New Roman" w:cs="Times New Roman" w:eastAsia="Times New Roman" w:hint="default"/>
        </w:rPr>
        <w:t>50%</w:t>
      </w:r>
      <w:r>
        <w:rPr/>
        <w:t>的股权份额，为该公司第一大股东，根据该公 </w:t>
      </w:r>
      <w:r>
        <w:rPr>
          <w:spacing w:val="-2"/>
        </w:rPr>
        <w:t>司章程约定，其董事会成员</w:t>
      </w:r>
      <w:r>
        <w:rPr>
          <w:rFonts w:ascii="Times New Roman" w:hAnsi="Times New Roman" w:cs="Times New Roman" w:eastAsia="Times New Roman" w:hint="default"/>
          <w:spacing w:val="-2"/>
        </w:rPr>
        <w:t>5</w:t>
      </w:r>
      <w:r>
        <w:rPr>
          <w:spacing w:val="-2"/>
        </w:rPr>
        <w:t>名，其中伟创自动化公司委派</w:t>
      </w:r>
      <w:r>
        <w:rPr>
          <w:rFonts w:ascii="Times New Roman" w:hAnsi="Times New Roman" w:cs="Times New Roman" w:eastAsia="Times New Roman" w:hint="default"/>
          <w:spacing w:val="-2"/>
        </w:rPr>
        <w:t>2</w:t>
      </w:r>
      <w:r>
        <w:rPr>
          <w:spacing w:val="-2"/>
        </w:rPr>
        <w:t>名，董事长由伟创自动化公司委派的董事担任，根据沈阳市五洋</w:t>
      </w:r>
      <w:r>
        <w:rPr>
          <w:spacing w:val="-62"/>
        </w:rPr>
        <w:t> </w:t>
      </w:r>
      <w:r>
        <w:rPr>
          <w:spacing w:val="-62"/>
        </w:rPr>
      </w:r>
      <w:r>
        <w:rPr>
          <w:spacing w:val="-2"/>
        </w:rPr>
        <w:t>恒信泊车有限公司《资金支付授权暂行规定》，沈阳市五洋恒信泊车有限公司日常经营、对外投资等业务支付的资金收付均</w:t>
      </w:r>
      <w:r>
        <w:rPr>
          <w:spacing w:val="-62"/>
        </w:rPr>
        <w:t> </w:t>
      </w:r>
      <w:r>
        <w:rPr>
          <w:spacing w:val="-62"/>
        </w:rPr>
      </w:r>
      <w:r>
        <w:rPr>
          <w:spacing w:val="-2"/>
        </w:rPr>
        <w:t>须董事长审批，并经本公司财务部复核，对外战略型投资须本公司决策委员会审批，故本公司实际拥有对沈阳恒信公司的控</w:t>
      </w:r>
      <w:r>
        <w:rPr>
          <w:spacing w:val="-63"/>
        </w:rPr>
        <w:t> </w:t>
      </w:r>
      <w:r>
        <w:rPr>
          <w:spacing w:val="-63"/>
        </w:rPr>
      </w:r>
      <w:r>
        <w:rPr/>
        <w:t>制权。</w:t>
      </w:r>
    </w:p>
    <w:p>
      <w:pPr>
        <w:pStyle w:val="BodyText"/>
        <w:spacing w:line="360" w:lineRule="auto" w:before="65"/>
        <w:ind w:right="6434"/>
        <w:jc w:val="left"/>
      </w:pPr>
      <w:r>
        <w:rPr/>
        <w:t>对于纳入合并范围的重要的结构化主体，控制的依据： 确定公司是代理人还是委托人的依据：</w:t>
      </w:r>
    </w:p>
    <w:p>
      <w:pPr>
        <w:pStyle w:val="BodyText"/>
        <w:spacing w:line="240" w:lineRule="auto" w:before="25"/>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-499,664.66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98,925,335.34</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徐州疌 盛</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57,612,9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199,882,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408.19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257,495,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377.28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349,507.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349,507.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15,200,0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15,200,0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864,100.71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-1,766,867.57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-1,766,867.57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-475,222.43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4364"/>
        <w:jc w:val="left"/>
      </w:pPr>
      <w:r>
        <w:rPr/>
        <w:t>其他说明： 原江苏五九机电科技有限公司，于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日更名为徐州五洋科技有限公司。</w:t>
      </w:r>
    </w:p>
    <w:p>
      <w:pPr>
        <w:spacing w:line="240" w:lineRule="auto" w:before="7"/>
        <w:rPr>
          <w:rFonts w:ascii="宋体" w:hAnsi="宋体" w:cs="宋体" w:eastAsia="宋体" w:hint="default"/>
          <w:sz w:val="18"/>
          <w:szCs w:val="18"/>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福建比硕停车运 营股份有限公司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重庆鸿达智慧城 市发展有限公司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986"/>
        <w:jc w:val="left"/>
      </w:pPr>
      <w:r>
        <w:rPr/>
        <w:t>在合营企业或联营企业的持股比例不同于表决权比例的说明：</w:t>
      </w:r>
    </w:p>
    <w:p>
      <w:pPr>
        <w:pStyle w:val="BodyText"/>
        <w:spacing w:line="340" w:lineRule="auto" w:before="115"/>
        <w:ind w:left="513" w:right="1116" w:hanging="361"/>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w:t>
      </w:r>
      <w:r>
        <w:rPr>
          <w:spacing w:val="-1"/>
        </w:rPr>
        <w:t>本公司持有重庆鸿达智慧城市发展有限公司</w:t>
      </w:r>
      <w:r>
        <w:rPr>
          <w:rFonts w:ascii="Times New Roman" w:hAnsi="Times New Roman" w:cs="Times New Roman" w:eastAsia="Times New Roman" w:hint="default"/>
          <w:spacing w:val="-1"/>
        </w:rPr>
        <w:t>10%</w:t>
      </w:r>
      <w:r>
        <w:rPr>
          <w:spacing w:val="-1"/>
        </w:rPr>
        <w:t>的股权份额，根据该公司章程约定，股东会会议由股东按照认缴出资比</w:t>
      </w:r>
    </w:p>
    <w:p>
      <w:pPr>
        <w:pStyle w:val="BodyText"/>
        <w:spacing w:line="228" w:lineRule="exact" w:before="0"/>
        <w:ind w:right="986"/>
        <w:jc w:val="left"/>
      </w:pPr>
      <w:r>
        <w:rPr/>
        <w:t>例行使表决权</w:t>
      </w:r>
      <w:r>
        <w:rPr>
          <w:rFonts w:ascii="Times New Roman" w:hAnsi="Times New Roman" w:cs="Times New Roman" w:eastAsia="Times New Roman" w:hint="default"/>
        </w:rPr>
        <w:t>,</w:t>
      </w:r>
      <w:r>
        <w:rPr/>
        <w:t>本公司委派董事，可以参与重庆鸿达智慧城市发展有限公司日常经营、对外投资等业务，故本公司实际对重</w:t>
      </w:r>
    </w:p>
    <w:p>
      <w:pPr>
        <w:pStyle w:val="BodyText"/>
        <w:spacing w:line="240" w:lineRule="auto" w:before="63"/>
        <w:ind w:right="986"/>
        <w:jc w:val="left"/>
      </w:pPr>
      <w:r>
        <w:rPr/>
        <w:t>庆鸿达智慧城市发展有限公司具有重大影响。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913"/>
        <w:gridCol w:w="1916"/>
        <w:gridCol w:w="1913"/>
        <w:gridCol w:w="1904"/>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重庆鸿达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重庆鸿达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18,742,136.32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12,858,676.89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20,050,692.36</w:t>
            </w:r>
          </w:p>
        </w:tc>
        <w:tc>
          <w:tcPr>
            <w:tcW w:w="19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5,560,155.46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2,154,745.30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6,411,974.39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24,302,291.78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15,013,422.19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26,462,666.75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5,965,401.15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3,146,230.84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4,905,656.28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5,965,401.15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3,146,230.84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4,905,656.28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77,996.13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-21,630.09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18,392,530.66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11,789,195.22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21,578,640.56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5,517,759.20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1,178,919.52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6,473,592.16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986"/>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3"/>
        </w:rPr>
        <w:t> </w:t>
      </w:r>
      <w:r>
        <w:rPr>
          <w:spacing w:val="-43"/>
        </w:rPr>
      </w:r>
      <w:r>
        <w:rPr/>
        <w:t>建立适当的风险承受底线和进行风险管理，并及时可靠地对各种风险进行监督，将风险控制在限定的范围内。</w:t>
      </w:r>
    </w:p>
    <w:p>
      <w:pPr>
        <w:pStyle w:val="BodyText"/>
        <w:spacing w:line="319" w:lineRule="auto" w:before="19"/>
        <w:ind w:right="986" w:firstLine="420"/>
        <w:jc w:val="left"/>
      </w:pPr>
      <w:r>
        <w:rPr/>
        <w:t>本公司在日常活动中面临各种与金融工具相关的风险，主要包括信用风险、流动性风险及市场风险。管理层已审议并 批准管理这些风险的政策，概括如下。</w:t>
      </w:r>
    </w:p>
    <w:p>
      <w:pPr>
        <w:pStyle w:val="BodyText"/>
        <w:spacing w:line="309" w:lineRule="auto" w:before="17"/>
        <w:ind w:left="57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信用风险</w:t>
      </w:r>
      <w:r>
        <w:rPr>
          <w:w w:val="99"/>
        </w:rPr>
        <w:t> </w:t>
      </w:r>
      <w:r>
        <w:rPr/>
        <w:t>信用风险，是指金融工具的一方不能履行义务，造成另一方发生财务损失的风险。</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信用风险管理实务</w:t>
      </w:r>
    </w:p>
    <w:p>
      <w:pPr>
        <w:pStyle w:val="BodyText"/>
        <w:spacing w:line="300" w:lineRule="auto" w:before="5"/>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信用风险的评价方法</w:t>
      </w:r>
      <w:r>
        <w:rPr>
          <w:w w:val="99"/>
        </w:rPr>
        <w:t> </w:t>
      </w:r>
      <w:r>
        <w:rPr/>
        <w:t>公司在每个资产负债表日评估相关金融工具的信用风险自初始确认后是否已显著增加。在确定信用风险自初始确认后</w:t>
      </w:r>
    </w:p>
    <w:p>
      <w:pPr>
        <w:pStyle w:val="BodyText"/>
        <w:spacing w:line="316" w:lineRule="auto" w:before="31"/>
        <w:ind w:right="1130"/>
        <w:jc w:val="both"/>
      </w:pPr>
      <w:r>
        <w:rPr>
          <w:spacing w:val="-2"/>
        </w:rPr>
        <w:t>是否显著增加时，公司考虑在无须付出不必要的额外成本或努力即可获得合理且有依据的信息，包括基于历史数据的定性和</w:t>
      </w:r>
      <w:r>
        <w:rPr>
          <w:spacing w:val="-64"/>
        </w:rPr>
        <w:t> </w:t>
      </w:r>
      <w:r>
        <w:rPr>
          <w:spacing w:val="-64"/>
        </w:rPr>
      </w:r>
      <w:r>
        <w:rPr>
          <w:spacing w:val="-2"/>
        </w:rPr>
        <w:t>定量分析、外部信用风险评级以及前瞻性信息。公司以单项金融工具或者具有相似信用风险特征的金融工具组合为基础，通</w:t>
      </w:r>
      <w:r>
        <w:rPr>
          <w:spacing w:val="-63"/>
        </w:rPr>
        <w:t> </w:t>
      </w:r>
      <w:r>
        <w:rPr>
          <w:spacing w:val="-63"/>
        </w:rPr>
      </w:r>
      <w:r>
        <w:rPr>
          <w:spacing w:val="-2"/>
        </w:rPr>
        <w:t>过比较金融工具在资产负债表日发生违约的风险与在初始确认日发生违约的风险，以确定金融工具预计存续期内发生违约风</w:t>
      </w:r>
      <w:r>
        <w:rPr>
          <w:spacing w:val="-64"/>
        </w:rPr>
        <w:t> </w:t>
      </w:r>
      <w:r>
        <w:rPr>
          <w:spacing w:val="-64"/>
        </w:rPr>
      </w:r>
      <w:r>
        <w:rPr/>
        <w:t>险的变化情况。</w:t>
      </w:r>
    </w:p>
    <w:p>
      <w:pPr>
        <w:pStyle w:val="BodyText"/>
        <w:spacing w:line="240" w:lineRule="auto" w:before="19"/>
        <w:ind w:left="573" w:right="986"/>
        <w:jc w:val="left"/>
      </w:pPr>
      <w:r>
        <w:rPr/>
        <w:t>当触发以下一个或多个定量、定性标准时，公司认为金融工具的信用风险已发生显著增加：</w:t>
      </w:r>
    </w:p>
    <w:p>
      <w:pPr>
        <w:pStyle w:val="BodyText"/>
        <w:spacing w:line="240" w:lineRule="auto" w:before="76"/>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定量标准主要为资产负债表日剩余存续期违约概率较初始确认时上升超过一定比例；</w:t>
      </w:r>
    </w:p>
    <w:p>
      <w:pPr>
        <w:pStyle w:val="BodyText"/>
        <w:spacing w:line="300" w:lineRule="auto" w:before="63"/>
        <w:ind w:right="1118"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定性标准主要为债务人经营或财务情况出现重大不利变化、现存的或预期的技术、市场、经济或法律环境变化并将 对债务人对公司的还款能力产生重大不利影响等。</w:t>
      </w:r>
    </w:p>
    <w:p>
      <w:pPr>
        <w:pStyle w:val="BodyText"/>
        <w:spacing w:line="309" w:lineRule="auto" w:before="31"/>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违约和已发生信用减值资产的定义</w:t>
      </w:r>
      <w:r>
        <w:rPr>
          <w:w w:val="99"/>
        </w:rPr>
        <w:t> </w:t>
      </w:r>
      <w:r>
        <w:rPr>
          <w:spacing w:val="-2"/>
        </w:rPr>
        <w:t>当金融工具符合以下一项或多项条件时，公司将该金融资产界定为已发生违约，其标准与已发生信用减值的定义一致：</w:t>
      </w:r>
      <w:r>
        <w:rPr>
          <w:spacing w:val="-41"/>
        </w:rPr>
        <w:t> </w:t>
      </w:r>
      <w:r>
        <w:rPr>
          <w:spacing w:val="-41"/>
        </w:rPr>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债务人发生重大财务困难；</w:t>
      </w:r>
    </w:p>
    <w:p>
      <w:pPr>
        <w:pStyle w:val="BodyText"/>
        <w:spacing w:line="240" w:lineRule="auto" w:before="5"/>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债务人违反合同中对债务人的约束条款；</w:t>
      </w:r>
    </w:p>
    <w:p>
      <w:pPr>
        <w:pStyle w:val="BodyText"/>
        <w:spacing w:line="240" w:lineRule="auto" w:before="62"/>
        <w:ind w:left="57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债务人很可能破产或进行其他财务重组；</w:t>
      </w:r>
    </w:p>
    <w:p>
      <w:pPr>
        <w:pStyle w:val="BodyText"/>
        <w:spacing w:line="240" w:lineRule="auto" w:before="63"/>
        <w:ind w:left="57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债权人出于与债务人财务困难有关的经济或合同考虑，给予债务人在任何其他情况下都不会做出的让步。</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left="573" w:right="10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预期信用损失的计量 预期信用损失计量的关键参数包括违约概率、违约损失率和违约风险敞口。公司考虑历史统计数据</w:t>
      </w:r>
      <w:r>
        <w:rPr>
          <w:rFonts w:ascii="Times New Roman" w:hAnsi="Times New Roman" w:cs="Times New Roman" w:eastAsia="Times New Roman" w:hint="default"/>
        </w:rPr>
        <w:t>(</w:t>
      </w:r>
      <w:r>
        <w:rPr/>
        <w:t>如交易对手评级、</w:t>
      </w:r>
    </w:p>
    <w:p>
      <w:pPr>
        <w:pStyle w:val="BodyText"/>
        <w:spacing w:line="240" w:lineRule="auto" w:before="13"/>
        <w:ind w:right="986"/>
        <w:jc w:val="left"/>
      </w:pPr>
      <w:r>
        <w:rPr/>
        <w:t>担保方式及抵质押物类别、还款方式等</w:t>
      </w:r>
      <w:r>
        <w:rPr>
          <w:rFonts w:ascii="Times New Roman" w:hAnsi="Times New Roman" w:cs="Times New Roman" w:eastAsia="Times New Roman" w:hint="default"/>
        </w:rPr>
        <w:t>)</w:t>
      </w:r>
      <w:r>
        <w:rPr/>
        <w:t>的定量分析及前瞻性信息，建立违约概率、违约损失率及违约风险敞口模型。</w:t>
      </w:r>
    </w:p>
    <w:p>
      <w:pPr>
        <w:pStyle w:val="BodyText"/>
        <w:spacing w:line="240" w:lineRule="auto" w:before="63"/>
        <w:ind w:left="57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金融工具损失准备期初余额与期末余额调节表详见本财务报告第十二节、五、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p>
    <w:p>
      <w:pPr>
        <w:pStyle w:val="BodyText"/>
        <w:spacing w:line="309" w:lineRule="auto" w:before="63"/>
        <w:ind w:left="513" w:right="2251" w:firstLine="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信用风险敞口及信用风险集中度 本公司的信用风险主要来自货币资金和应收款项。为控制上述相关风险，本公司分别采取了以下措施。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货币资金</w:t>
      </w:r>
    </w:p>
    <w:p>
      <w:pPr>
        <w:pStyle w:val="BodyText"/>
        <w:spacing w:line="240" w:lineRule="auto" w:before="5"/>
        <w:ind w:left="513" w:right="986"/>
        <w:jc w:val="left"/>
      </w:pPr>
      <w:r>
        <w:rPr/>
        <w:t>本公司将银行存款和其他货币资金存放于信用评级较高的金融机构，故其信用风险较低。</w:t>
      </w:r>
    </w:p>
    <w:p>
      <w:pPr>
        <w:pStyle w:val="BodyText"/>
        <w:spacing w:line="300" w:lineRule="auto" w:before="76"/>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应收款项</w:t>
      </w:r>
      <w:r>
        <w:rPr>
          <w:w w:val="99"/>
        </w:rPr>
        <w:t> </w:t>
      </w:r>
      <w:r>
        <w:rPr/>
        <w:t>本公司定期</w:t>
      </w:r>
      <w:r>
        <w:rPr>
          <w:rFonts w:ascii="Times New Roman" w:hAnsi="Times New Roman" w:cs="Times New Roman" w:eastAsia="Times New Roman" w:hint="default"/>
        </w:rPr>
        <w:t>/</w:t>
      </w:r>
      <w:r>
        <w:rPr/>
        <w:t>持续对采用信用方式交易的客户进行信用评估。根据信用评估结果，本公司选择与经认可的且信用良好的</w:t>
      </w:r>
    </w:p>
    <w:p>
      <w:pPr>
        <w:pStyle w:val="BodyText"/>
        <w:spacing w:line="316" w:lineRule="auto" w:before="13"/>
        <w:ind w:left="573" w:right="986" w:hanging="421"/>
        <w:jc w:val="left"/>
      </w:pPr>
      <w:r>
        <w:rPr/>
        <w:t>客户进行交易，并对其应收款项余额进行监控，以确保本公司不会面临重大坏账风险。 </w:t>
      </w:r>
      <w:r>
        <w:rPr>
          <w:spacing w:val="-1"/>
        </w:rPr>
        <w:t>由于本公司的应收账款风险点分布于多个合作方和多个客户，截至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日，本公司应收账款的</w:t>
      </w:r>
      <w:r>
        <w:rPr>
          <w:rFonts w:ascii="Times New Roman" w:hAnsi="Times New Roman" w:cs="Times New Roman" w:eastAsia="Times New Roman" w:hint="default"/>
          <w:spacing w:val="-1"/>
        </w:rPr>
        <w:t>12.70%(2018</w:t>
      </w:r>
      <w:r>
        <w:rPr>
          <w:spacing w:val="-1"/>
        </w:rPr>
        <w:t>年</w:t>
      </w:r>
    </w:p>
    <w:p>
      <w:pPr>
        <w:pStyle w:val="BodyText"/>
        <w:spacing w:line="300" w:lineRule="auto" w:before="0"/>
        <w:ind w:right="986"/>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13.41%)</w:t>
      </w:r>
      <w:r>
        <w:rPr/>
        <w:t>源于余额前五名客户，除个别房地产开发商客户以可售房源抵款外，本公司对应收账款余额未持有其他</w:t>
      </w:r>
      <w:r>
        <w:rPr>
          <w:spacing w:val="-72"/>
        </w:rPr>
        <w:t> </w:t>
      </w:r>
      <w:r>
        <w:rPr>
          <w:spacing w:val="-72"/>
        </w:rPr>
      </w:r>
      <w:r>
        <w:rPr/>
        <w:t>担保物或其他信用增级，本公司不存在重大的信用集中风险。</w:t>
      </w:r>
    </w:p>
    <w:p>
      <w:pPr>
        <w:pStyle w:val="BodyText"/>
        <w:spacing w:line="240" w:lineRule="auto" w:before="31"/>
        <w:ind w:left="573" w:right="986"/>
        <w:jc w:val="left"/>
      </w:pPr>
      <w:r>
        <w:rPr/>
        <w:t>本公司所承受的最大信用风险敞口为资产负债表中每项金融资产的账面价值。</w:t>
      </w:r>
    </w:p>
    <w:p>
      <w:pPr>
        <w:pStyle w:val="BodyText"/>
        <w:spacing w:line="300" w:lineRule="auto" w:before="76"/>
        <w:ind w:left="573" w:right="98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流动性风险</w:t>
      </w:r>
      <w:r>
        <w:rPr>
          <w:w w:val="99"/>
        </w:rPr>
        <w:t> </w:t>
      </w:r>
      <w:r>
        <w:rPr/>
        <w:t>流动性风险，是指本公司在履行以交付现金或其他金融资产的方式结算的义务时发生资金短缺的风险。流动性风险可</w:t>
      </w:r>
    </w:p>
    <w:p>
      <w:pPr>
        <w:pStyle w:val="BodyText"/>
        <w:spacing w:line="316" w:lineRule="auto" w:before="31"/>
        <w:ind w:right="986"/>
        <w:jc w:val="left"/>
      </w:pPr>
      <w:r>
        <w:rPr>
          <w:spacing w:val="-2"/>
        </w:rPr>
        <w:t>能源于无法尽快以公允价值售出金融资产；或者源于对方无法偿还其合同债务；或者源于提前到期的债务；或者源于无法产</w:t>
      </w:r>
      <w:r>
        <w:rPr>
          <w:spacing w:val="-63"/>
        </w:rPr>
        <w:t> </w:t>
      </w:r>
      <w:r>
        <w:rPr>
          <w:spacing w:val="-63"/>
        </w:rPr>
      </w:r>
      <w:r>
        <w:rPr/>
        <w:t>生预期的现金流量。</w:t>
      </w:r>
    </w:p>
    <w:p>
      <w:pPr>
        <w:pStyle w:val="BodyText"/>
        <w:spacing w:line="316" w:lineRule="auto" w:before="19"/>
        <w:ind w:right="1132" w:firstLine="420"/>
        <w:jc w:val="both"/>
      </w:pPr>
      <w:r>
        <w:rPr/>
        <w:t>为控制该项风险，本公司综合运用票据结算、银行借款等多种融资手段，并采取长、短期融资方式适当结合，优化融 </w:t>
      </w:r>
      <w:r>
        <w:rPr>
          <w:spacing w:val="-2"/>
        </w:rPr>
        <w:t>资结构的方法，保持融资持续性与灵活性之间的平衡。本公司已从多家商业银行取得银行授信额度以满足营运资金需求和资</w:t>
      </w:r>
      <w:r>
        <w:rPr>
          <w:spacing w:val="-63"/>
        </w:rPr>
        <w:t> </w:t>
      </w:r>
      <w:r>
        <w:rPr>
          <w:spacing w:val="-63"/>
        </w:rPr>
      </w:r>
      <w:r>
        <w:rPr/>
        <w:t>本开支。</w:t>
      </w:r>
    </w:p>
    <w:p>
      <w:pPr>
        <w:pStyle w:val="BodyText"/>
        <w:spacing w:line="240" w:lineRule="auto" w:before="19"/>
        <w:ind w:left="573" w:right="986"/>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1702"/>
        <w:gridCol w:w="1700"/>
        <w:gridCol w:w="1560"/>
        <w:gridCol w:w="852"/>
        <w:gridCol w:w="867"/>
      </w:tblGrid>
      <w:tr>
        <w:trPr>
          <w:trHeight w:val="348"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68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844"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227,727,794.77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231,722,984.27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231,722,984.27</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47,638,676.00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47,638,676.00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47,638,676.00</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288,453,439.99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288,453,439.99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288,453,439.99</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2" w:right="0"/>
              <w:jc w:val="left"/>
              <w:rPr>
                <w:rFonts w:ascii="Times New Roman" w:hAnsi="Times New Roman" w:cs="Times New Roman" w:eastAsia="Times New Roman" w:hint="default"/>
                <w:sz w:val="18"/>
                <w:szCs w:val="18"/>
              </w:rPr>
            </w:pPr>
            <w:r>
              <w:rPr>
                <w:rFonts w:ascii="Times New Roman"/>
                <w:sz w:val="18"/>
              </w:rPr>
              <w:t>140,522,682.41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0" w:right="0"/>
              <w:jc w:val="left"/>
              <w:rPr>
                <w:rFonts w:ascii="Times New Roman" w:hAnsi="Times New Roman" w:cs="Times New Roman" w:eastAsia="Times New Roman" w:hint="default"/>
                <w:sz w:val="18"/>
                <w:szCs w:val="18"/>
              </w:rPr>
            </w:pPr>
            <w:r>
              <w:rPr>
                <w:rFonts w:ascii="Times New Roman"/>
                <w:sz w:val="18"/>
              </w:rPr>
              <w:t>140,522,682.41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140,522,682.41</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704,342,593.17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708,3377,782.67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708,337,782.67</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986"/>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844"/>
        <w:gridCol w:w="1702"/>
        <w:gridCol w:w="1700"/>
        <w:gridCol w:w="1560"/>
        <w:gridCol w:w="852"/>
        <w:gridCol w:w="867"/>
      </w:tblGrid>
      <w:tr>
        <w:trPr>
          <w:trHeight w:val="348"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68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844"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50,076,584.16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51,090,098.08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51,090,098.08</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45,469,050.00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45,469,050.00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45,469,050.00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200,682,158.35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200,682,158.35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200,682,158.35</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107,864,011.34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107,864,011.34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107,864,011.34</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404,091,803.85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405,105,317.77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405,105,317.77</w:t>
            </w:r>
          </w:p>
        </w:tc>
        <w:tc>
          <w:tcPr>
            <w:tcW w:w="852"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5"/>
          <w:szCs w:val="25"/>
        </w:rPr>
      </w:pPr>
    </w:p>
    <w:p>
      <w:pPr>
        <w:pStyle w:val="BodyText"/>
        <w:spacing w:line="300" w:lineRule="auto"/>
        <w:ind w:left="573" w:right="98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1"/>
        <w:ind w:right="986"/>
        <w:jc w:val="left"/>
      </w:pPr>
      <w:r>
        <w:rPr/>
        <w:t>和外汇风险。</w:t>
      </w:r>
    </w:p>
    <w:p>
      <w:pPr>
        <w:pStyle w:val="BodyText"/>
        <w:spacing w:line="240" w:lineRule="auto" w:before="76"/>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利率风险</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3" w:firstLine="420"/>
        <w:jc w:val="both"/>
      </w:pPr>
      <w:r>
        <w:rPr/>
        <w:t>利率风险，是指金融工具的公允价值或未来现金流量因市场利率变动而发生波动的风险。固定利率的带息金融工具使 </w:t>
      </w:r>
      <w:r>
        <w:rPr>
          <w:spacing w:val="-2"/>
        </w:rPr>
        <w:t>本公司面临公允价值利率风险，浮动利率的带息金融工具使本公司面临现金流量利率风险。本公司根据市场环境来决定固定</w:t>
      </w:r>
      <w:r>
        <w:rPr>
          <w:spacing w:val="-64"/>
        </w:rPr>
        <w:t> </w:t>
      </w:r>
      <w:r>
        <w:rPr>
          <w:spacing w:val="-64"/>
        </w:rPr>
      </w:r>
      <w:r>
        <w:rPr>
          <w:spacing w:val="-2"/>
        </w:rPr>
        <w:t>利率与浮动利率金融工具的比例，并通过定期审阅与监控维持适当的金融工具组合。本公司面临的现金流量利率风险主要与</w:t>
      </w:r>
      <w:r>
        <w:rPr>
          <w:spacing w:val="-64"/>
        </w:rPr>
        <w:t> </w:t>
      </w:r>
      <w:r>
        <w:rPr>
          <w:spacing w:val="-64"/>
        </w:rPr>
      </w:r>
      <w:r>
        <w:rPr/>
        <w:t>本公司以浮动利率计息的银行借款有关。</w:t>
      </w:r>
    </w:p>
    <w:p>
      <w:pPr>
        <w:pStyle w:val="BodyText"/>
        <w:spacing w:line="300" w:lineRule="auto" w:before="17"/>
        <w:ind w:right="1131" w:firstLine="360"/>
        <w:jc w:val="both"/>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日，本公司以浮动利率计息的银行借款人民币</w:t>
      </w:r>
      <w:r>
        <w:rPr>
          <w:rFonts w:ascii="Times New Roman" w:hAnsi="Times New Roman" w:cs="Times New Roman" w:eastAsia="Times New Roman" w:hint="default"/>
          <w:spacing w:val="-1"/>
        </w:rPr>
        <w:t>50,000,000.00</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日：人民币</w:t>
      </w:r>
      <w:r>
        <w:rPr>
          <w:rFonts w:ascii="Times New Roman" w:hAnsi="Times New Roman" w:cs="Times New Roman" w:eastAsia="Times New Roman" w:hint="default"/>
          <w:spacing w:val="-1"/>
        </w:rPr>
        <w:t>20,000,000.00</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个基准点，不会对本公司的利润总额和股东权益产生重大的影响。</w:t>
      </w:r>
    </w:p>
    <w:p>
      <w:pPr>
        <w:pStyle w:val="BodyText"/>
        <w:spacing w:line="300" w:lineRule="auto" w:before="13"/>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外汇风险 </w:t>
      </w:r>
      <w:r>
        <w:rPr>
          <w:spacing w:val="-2"/>
        </w:rPr>
        <w:t>外汇风险，是指金融工具的公允价值或未来现金流量因外汇汇率变动而发生波动的风险。本公司面临的汇率变动的风险</w:t>
      </w:r>
    </w:p>
    <w:p>
      <w:pPr>
        <w:pStyle w:val="BodyText"/>
        <w:spacing w:line="316" w:lineRule="auto" w:before="31"/>
        <w:ind w:right="1119"/>
        <w:jc w:val="left"/>
      </w:pPr>
      <w:r>
        <w:rPr>
          <w:spacing w:val="-2"/>
        </w:rPr>
        <w:t>主要与本公司外币货币性资产和负债有关。对于外币资产和负债，如果出现短期的失衡情况，本公司会在必要时按市场汇率</w:t>
      </w:r>
      <w:r>
        <w:rPr>
          <w:spacing w:val="-63"/>
        </w:rPr>
        <w:t> </w:t>
      </w:r>
      <w:r>
        <w:rPr>
          <w:spacing w:val="-63"/>
        </w:rPr>
      </w:r>
      <w:r>
        <w:rPr>
          <w:spacing w:val="-2"/>
        </w:rPr>
        <w:t>买卖外币，以确保将净风险敞口维持在可接受的水平。本公司于中国内地经营，且主要活动以人民币计价。因此，本公司所</w:t>
      </w:r>
      <w:r>
        <w:rPr>
          <w:spacing w:val="-67"/>
        </w:rPr>
        <w:t> </w:t>
      </w:r>
      <w:r>
        <w:rPr>
          <w:spacing w:val="-67"/>
        </w:rPr>
      </w:r>
      <w:r>
        <w:rPr/>
        <w:t>承担的外汇变动市场风险不重大。 本公司期末外币货币性资产和负债情况详见本财务报表第十二节、七、</w:t>
      </w:r>
      <w:r>
        <w:rPr>
          <w:rFonts w:ascii="Times New Roman" w:hAnsi="Times New Roman" w:cs="Times New Roman" w:eastAsia="Times New Roman" w:hint="default"/>
        </w:rPr>
        <w:t>82</w:t>
      </w:r>
      <w:r>
        <w:rPr/>
        <w:t>外币货币性项目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侯友夫、蔡敏、寿招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爱家族</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26.03%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26.03%</w:t>
            </w:r>
          </w:p>
        </w:tc>
      </w:tr>
    </w:tbl>
    <w:p>
      <w:pPr>
        <w:pStyle w:val="BodyText"/>
        <w:spacing w:line="357" w:lineRule="auto" w:before="49"/>
        <w:ind w:right="6794"/>
        <w:jc w:val="left"/>
      </w:pPr>
      <w:r>
        <w:rPr/>
        <w:t>本企业的母公司情况的说明 侯友夫与蔡敏为夫妻关系，寿招爱为侯友夫的母亲 本企业最终控制方是侯友夫、蔡敏、寿招爱家族。 其他说明：</w:t>
      </w:r>
    </w:p>
    <w:p>
      <w:pPr>
        <w:spacing w:line="240" w:lineRule="auto" w:before="3"/>
        <w:rPr>
          <w:rFonts w:ascii="宋体" w:hAnsi="宋体" w:cs="宋体" w:eastAsia="宋体" w:hint="default"/>
          <w:sz w:val="20"/>
          <w:szCs w:val="20"/>
        </w:rPr>
      </w:pPr>
    </w:p>
    <w:p>
      <w:pPr>
        <w:pStyle w:val="Heading3"/>
        <w:spacing w:line="240" w:lineRule="auto"/>
        <w:ind w:right="986"/>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本企业子公司的情况详见附注第十二节、九、在其他主体中的权益。</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2294"/>
        <w:jc w:val="left"/>
      </w:pPr>
      <w:r>
        <w:rPr/>
        <w:t>本企业重要的合营或联营企业详见附注第十二节、九、在其他主体中的权益。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7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1.93%</w:t>
            </w:r>
            <w:r>
              <w:rPr>
                <w:rFonts w:ascii="宋体" w:hAnsi="宋体" w:cs="宋体" w:eastAsia="宋体" w:hint="default"/>
                <w:sz w:val="18"/>
                <w:szCs w:val="18"/>
              </w:rPr>
              <w:t>，侯秀峰控制的公司</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济南天辰铝机股份有限公司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公司副总经理侯玉鹏持股比例为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11.19%</w:t>
            </w:r>
            <w:r>
              <w:rPr>
                <w:rFonts w:ascii="宋体" w:hAnsi="宋体" w:cs="宋体" w:eastAsia="宋体" w:hint="default"/>
                <w:sz w:val="18"/>
                <w:szCs w:val="18"/>
              </w:rPr>
              <w:t>，侯秀峰间接控制的 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张敦玉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公司董事侯秀峰之配偶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宋骁彦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公司副总经理侯玉鹏之配偶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r>
              <w:rPr>
                <w:rFonts w:ascii="宋体" w:hAnsi="宋体" w:cs="宋体" w:eastAsia="宋体" w:hint="default"/>
                <w:sz w:val="18"/>
                <w:szCs w:val="18"/>
              </w:rPr>
              <w:t>，公司董事</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公司实际控制人之一蔡敏的堂兄之女蔡秀芳配偶的父母控制 的企业，视作关联方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上海长太投资中心（有限合伙）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子公司五洋智慧交通公司持有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有限合伙人份额的合伙企 业</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北京长静投资中心（有限合伙）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子公司五洋智慧交通公司持有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有限合伙人份额的合伙企 业</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徐州苏兴金属材料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3,840,281.90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5,403,638.21</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3,840,281.90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5,403,638.21</w:t>
            </w:r>
          </w:p>
        </w:tc>
      </w:tr>
    </w:tbl>
    <w:p>
      <w:pPr>
        <w:pStyle w:val="BodyText"/>
        <w:spacing w:line="240" w:lineRule="auto" w:before="49"/>
        <w:ind w:right="98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986"/>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986"/>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851,028.00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710,822.88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756,399.96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1,708,776.00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1,467,222.84</w:t>
            </w:r>
          </w:p>
        </w:tc>
      </w:tr>
    </w:tbl>
    <w:p>
      <w:pPr>
        <w:pStyle w:val="BodyText"/>
        <w:spacing w:line="240" w:lineRule="auto" w:before="49"/>
        <w:ind w:right="986"/>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986"/>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侯友夫、蔡敏夫妇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侯友夫、蔡敏夫妇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五洋停车公司、侯玉鹏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侯玉鹏、宋骁彦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五洋停车、侯玉鹏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9,236,171.80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66,536,171.80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20"/>
        <w:ind w:right="986"/>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济南天辰机器集团有限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72,108,648.76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已经归还，不计息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已经归还，不计息</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上海长太投资中心（有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未计息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北京长静投资中心（有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未计息</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2,655,984.81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2,094,100.00</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73" w:right="986"/>
        <w:jc w:val="left"/>
      </w:pPr>
      <w:r>
        <w:rPr>
          <w:rFonts w:ascii="Times New Roman" w:hAnsi="Times New Roman" w:cs="Times New Roman" w:eastAsia="Times New Roman" w:hint="default"/>
        </w:rPr>
        <w:t>(1)</w:t>
      </w:r>
      <w:r>
        <w:rPr/>
        <w:t>公司实际控制人之一侯友夫为公司员工持股计划之集合资金信托计划优先级份额的权益实现承担差额补偿责任。</w:t>
      </w:r>
      <w:r>
        <w:rPr>
          <w:w w:val="99"/>
        </w:rPr>
        <w:t> </w:t>
      </w:r>
      <w:r>
        <w:rPr>
          <w:rFonts w:ascii="Times New Roman" w:hAnsi="Times New Roman" w:cs="Times New Roman" w:eastAsia="Times New Roman" w:hint="default"/>
          <w:spacing w:val="-2"/>
        </w:rPr>
        <w:t>(2)2019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日，本公司与徐州疌盛合伙企业、前海弘毅公司共同投资设立五洋智慧交通产业（徐州）有限公司。智</w:t>
      </w:r>
    </w:p>
    <w:p>
      <w:pPr>
        <w:pStyle w:val="BodyText"/>
        <w:spacing w:line="300" w:lineRule="auto" w:before="13"/>
        <w:ind w:right="986"/>
        <w:jc w:val="left"/>
      </w:pPr>
      <w:r>
        <w:rPr>
          <w:spacing w:val="-1"/>
        </w:rPr>
        <w:t>慧交通公司注册资本人民币</w:t>
      </w:r>
      <w:r>
        <w:rPr>
          <w:rFonts w:ascii="Times New Roman" w:hAnsi="Times New Roman" w:cs="Times New Roman" w:eastAsia="Times New Roman" w:hint="default"/>
          <w:spacing w:val="-1"/>
        </w:rPr>
        <w:t>8,000.00</w:t>
      </w:r>
      <w:r>
        <w:rPr>
          <w:spacing w:val="-1"/>
        </w:rPr>
        <w:t>万元，其中徐州疌盛合伙企业认缴</w:t>
      </w:r>
      <w:r>
        <w:rPr>
          <w:rFonts w:ascii="Times New Roman" w:hAnsi="Times New Roman" w:cs="Times New Roman" w:eastAsia="Times New Roman" w:hint="default"/>
          <w:spacing w:val="-1"/>
        </w:rPr>
        <w:t>6,400.00</w:t>
      </w:r>
      <w:r>
        <w:rPr>
          <w:spacing w:val="-1"/>
        </w:rPr>
        <w:t>万元，占比</w:t>
      </w:r>
      <w:r>
        <w:rPr>
          <w:rFonts w:ascii="Times New Roman" w:hAnsi="Times New Roman" w:cs="Times New Roman" w:eastAsia="Times New Roman" w:hint="default"/>
          <w:spacing w:val="-1"/>
        </w:rPr>
        <w:t>80%</w:t>
      </w:r>
      <w:r>
        <w:rPr>
          <w:spacing w:val="-1"/>
        </w:rPr>
        <w:t>；本公司认缴</w:t>
      </w:r>
      <w:r>
        <w:rPr>
          <w:rFonts w:ascii="Times New Roman" w:hAnsi="Times New Roman" w:cs="Times New Roman" w:eastAsia="Times New Roman" w:hint="default"/>
          <w:spacing w:val="-1"/>
        </w:rPr>
        <w:t>400.00</w:t>
      </w:r>
      <w:r>
        <w:rPr>
          <w:spacing w:val="-1"/>
        </w:rPr>
        <w:t>万元，占</w:t>
      </w:r>
      <w:r>
        <w:rPr>
          <w:spacing w:val="-38"/>
        </w:rPr>
        <w:t> </w:t>
      </w:r>
      <w:r>
        <w:rPr>
          <w:spacing w:val="-38"/>
        </w:rPr>
      </w:r>
      <w:r>
        <w:rPr/>
        <w:t>比</w:t>
      </w:r>
      <w:r>
        <w:rPr>
          <w:rFonts w:ascii="Times New Roman" w:hAnsi="Times New Roman" w:cs="Times New Roman" w:eastAsia="Times New Roman" w:hint="default"/>
        </w:rPr>
        <w:t>5%</w:t>
      </w:r>
      <w:r>
        <w:rPr/>
        <w:t>；前海弘毅公司认缴</w:t>
      </w:r>
      <w:r>
        <w:rPr>
          <w:rFonts w:ascii="Times New Roman" w:hAnsi="Times New Roman" w:cs="Times New Roman" w:eastAsia="Times New Roman" w:hint="default"/>
        </w:rPr>
        <w:t>240.00</w:t>
      </w:r>
      <w:r>
        <w:rPr/>
        <w:t>万元，占比</w:t>
      </w:r>
      <w:r>
        <w:rPr>
          <w:rFonts w:ascii="Times New Roman" w:hAnsi="Times New Roman" w:cs="Times New Roman" w:eastAsia="Times New Roman" w:hint="default"/>
        </w:rPr>
        <w:t>3%</w:t>
      </w:r>
      <w:r>
        <w:rPr/>
        <w:t>。</w:t>
      </w:r>
    </w:p>
    <w:p>
      <w:pPr>
        <w:pStyle w:val="BodyText"/>
        <w:spacing w:line="307" w:lineRule="auto" w:before="13"/>
        <w:ind w:right="1126" w:firstLine="420"/>
        <w:jc w:val="both"/>
      </w:pPr>
      <w:r>
        <w:rPr>
          <w:rFonts w:ascii="Times New Roman" w:hAnsi="Times New Roman" w:cs="Times New Roman" w:eastAsia="Times New Roman" w:hint="default"/>
        </w:rPr>
        <w:t>(3)</w:t>
      </w:r>
      <w:r>
        <w:rPr/>
        <w:t>如本财务报告第十二节、十六、</w:t>
      </w:r>
      <w:r>
        <w:rPr>
          <w:rFonts w:ascii="Times New Roman" w:hAnsi="Times New Roman" w:cs="Times New Roman" w:eastAsia="Times New Roman" w:hint="default"/>
        </w:rPr>
        <w:t>7.</w:t>
      </w:r>
      <w:r>
        <w:rPr/>
        <w:t>其他对投资者决策有影响的重要交易和事项所述，本期第一期员工持股计划的管</w:t>
      </w:r>
      <w:r>
        <w:rPr>
          <w:w w:val="99"/>
        </w:rPr>
        <w:t> </w:t>
      </w:r>
      <w:r>
        <w:rPr>
          <w:spacing w:val="-2"/>
        </w:rPr>
        <w:t>理机构由四川信托有限公司变更为陕西省国际信托股份有限公司。变更过程中，因信托计划资金清算需要，实际控制人分别</w:t>
      </w:r>
      <w:r>
        <w:rPr>
          <w:spacing w:val="-67"/>
        </w:rPr>
        <w:t> </w:t>
      </w:r>
      <w:r>
        <w:rPr>
          <w:spacing w:val="-67"/>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日向公司借款</w:t>
      </w:r>
      <w:r>
        <w:rPr>
          <w:rFonts w:ascii="Times New Roman" w:hAnsi="Times New Roman" w:cs="Times New Roman" w:eastAsia="Times New Roman" w:hint="default"/>
        </w:rPr>
        <w:t>1,000.00</w:t>
      </w:r>
      <w:r>
        <w:rPr/>
        <w:t>万元和</w:t>
      </w:r>
      <w:r>
        <w:rPr>
          <w:rFonts w:ascii="Times New Roman" w:hAnsi="Times New Roman" w:cs="Times New Roman" w:eastAsia="Times New Roman" w:hint="default"/>
        </w:rPr>
        <w:t>2,000.00</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w:t>
      </w:r>
      <w:r>
        <w:rPr/>
        <w:t>侯友夫归还上述资金</w:t>
      </w:r>
      <w:r>
        <w:rPr>
          <w:rFonts w:ascii="Times New Roman" w:hAnsi="Times New Roman" w:cs="Times New Roman" w:eastAsia="Times New Roman" w:hint="default"/>
        </w:rPr>
        <w:t>3,000.00</w:t>
      </w:r>
      <w:r>
        <w:rPr/>
        <w:t>万</w:t>
      </w:r>
      <w:r>
        <w:rPr>
          <w:spacing w:val="-58"/>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上海长太投资中心</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北京长静投资中心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济南天辰铝机股份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1,062,500.00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1,062,500.00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499,586.46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913,601.21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719,586.46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913,601.21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75,986,694.70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73,578,891.13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81,986,694.70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73,578,891.13</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5"/>
        <w:ind w:right="986"/>
        <w:jc w:val="left"/>
      </w:pPr>
      <w:r>
        <w:rPr/>
        <w:t>资产负债表日存在的重要承诺</w:t>
      </w:r>
    </w:p>
    <w:p>
      <w:pPr>
        <w:pStyle w:val="BodyText"/>
        <w:spacing w:line="240" w:lineRule="auto" w:before="115"/>
        <w:ind w:left="494" w:right="8923"/>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借款和票据抵押</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994"/>
        <w:gridCol w:w="1274"/>
        <w:gridCol w:w="1277"/>
        <w:gridCol w:w="1418"/>
        <w:gridCol w:w="1275"/>
        <w:gridCol w:w="1419"/>
        <w:gridCol w:w="1133"/>
        <w:gridCol w:w="1291"/>
      </w:tblGrid>
      <w:tr>
        <w:trPr>
          <w:trHeight w:val="348"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20"/>
              <w:ind w:left="340" w:right="341" w:firstLine="88"/>
              <w:jc w:val="left"/>
              <w:rPr>
                <w:rFonts w:ascii="宋体" w:hAnsi="宋体" w:cs="宋体" w:eastAsia="宋体" w:hint="default"/>
                <w:sz w:val="18"/>
                <w:szCs w:val="18"/>
              </w:rPr>
            </w:pPr>
            <w:r>
              <w:rPr>
                <w:rFonts w:ascii="宋体" w:hAnsi="宋体" w:cs="宋体" w:eastAsia="宋体" w:hint="default"/>
                <w:sz w:val="18"/>
                <w:szCs w:val="18"/>
              </w:rPr>
              <w:t>抵押物 账面价值</w:t>
            </w:r>
          </w:p>
        </w:tc>
        <w:tc>
          <w:tcPr>
            <w:tcW w:w="38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5" w:right="0"/>
              <w:jc w:val="left"/>
              <w:rPr>
                <w:rFonts w:ascii="宋体" w:hAnsi="宋体" w:cs="宋体" w:eastAsia="宋体" w:hint="default"/>
                <w:sz w:val="18"/>
                <w:szCs w:val="18"/>
              </w:rPr>
            </w:pPr>
            <w:r>
              <w:rPr>
                <w:rFonts w:ascii="宋体" w:hAnsi="宋体" w:cs="宋体" w:eastAsia="宋体" w:hint="default"/>
                <w:sz w:val="18"/>
                <w:szCs w:val="18"/>
              </w:rPr>
              <w:t>抵押合同项下融资情况</w:t>
            </w:r>
          </w:p>
        </w:tc>
        <w:tc>
          <w:tcPr>
            <w:tcW w:w="1291"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融资金额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最后到期日</w:t>
            </w:r>
          </w:p>
        </w:tc>
        <w:tc>
          <w:tcPr>
            <w:tcW w:w="1291" w:type="dxa"/>
            <w:vMerge/>
            <w:tcBorders>
              <w:left w:val="single" w:sz="6" w:space="0" w:color="000000"/>
              <w:bottom w:val="single" w:sz="6" w:space="0" w:color="000000"/>
              <w:right w:val="single" w:sz="6" w:space="0" w:color="000000"/>
            </w:tcBorders>
          </w:tcPr>
          <w:p>
            <w:pPr/>
          </w:p>
        </w:tc>
      </w:tr>
      <w:tr>
        <w:trPr>
          <w:trHeight w:val="346"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4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4" w:type="dxa"/>
            <w:vMerge w:val="restart"/>
            <w:tcBorders>
              <w:top w:val="single" w:sz="6" w:space="0" w:color="000000"/>
              <w:left w:val="single" w:sz="6" w:space="0" w:color="000000"/>
              <w:right w:val="single" w:sz="6" w:space="0" w:color="000000"/>
            </w:tcBorders>
          </w:tcPr>
          <w:p>
            <w:pPr>
              <w:pStyle w:val="TableParagraph"/>
              <w:spacing w:line="316" w:lineRule="auto" w:before="17"/>
              <w:ind w:left="180" w:right="89" w:hanging="92"/>
              <w:jc w:val="left"/>
              <w:rPr>
                <w:rFonts w:ascii="宋体" w:hAnsi="宋体" w:cs="宋体" w:eastAsia="宋体" w:hint="default"/>
                <w:sz w:val="18"/>
                <w:szCs w:val="18"/>
              </w:rPr>
            </w:pPr>
            <w:r>
              <w:rPr>
                <w:rFonts w:ascii="宋体" w:hAnsi="宋体" w:cs="宋体" w:eastAsia="宋体" w:hint="default"/>
                <w:sz w:val="18"/>
                <w:szCs w:val="18"/>
              </w:rPr>
              <w:t>招商银行徐州 分行营业部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39,882,821.83</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7"/>
              <w:ind w:left="26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30,000,000.00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2020/5/30</w:t>
            </w:r>
          </w:p>
        </w:tc>
        <w:tc>
          <w:tcPr>
            <w:tcW w:w="1291" w:type="dxa"/>
            <w:vMerge w:val="restart"/>
            <w:tcBorders>
              <w:top w:val="single" w:sz="6" w:space="0" w:color="000000"/>
              <w:left w:val="single" w:sz="6" w:space="0" w:color="000000"/>
              <w:right w:val="single" w:sz="6" w:space="0" w:color="000000"/>
            </w:tcBorders>
          </w:tcPr>
          <w:p>
            <w:pPr/>
          </w:p>
        </w:tc>
      </w:tr>
      <w:tr>
        <w:trPr>
          <w:trHeight w:val="348" w:hRule="exact"/>
        </w:trPr>
        <w:tc>
          <w:tcPr>
            <w:tcW w:w="994" w:type="dxa"/>
            <w:vMerge/>
            <w:tcBorders>
              <w:left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15,987,251.13</w:t>
            </w:r>
          </w:p>
        </w:tc>
        <w:tc>
          <w:tcPr>
            <w:tcW w:w="127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r>
      <w:tr>
        <w:trPr>
          <w:trHeight w:val="346" w:hRule="exact"/>
        </w:trPr>
        <w:tc>
          <w:tcPr>
            <w:tcW w:w="994"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Style w:val="TableParagraph"/>
              <w:spacing w:line="316" w:lineRule="auto" w:before="17"/>
              <w:ind w:left="88" w:right="89"/>
              <w:jc w:val="left"/>
              <w:rPr>
                <w:rFonts w:ascii="宋体" w:hAnsi="宋体" w:cs="宋体" w:eastAsia="宋体" w:hint="default"/>
                <w:sz w:val="18"/>
                <w:szCs w:val="18"/>
              </w:rPr>
            </w:pPr>
            <w:r>
              <w:rPr>
                <w:rFonts w:ascii="宋体" w:hAnsi="宋体" w:cs="宋体" w:eastAsia="宋体" w:hint="default"/>
                <w:sz w:val="18"/>
                <w:szCs w:val="18"/>
              </w:rPr>
              <w:t>中国工商银行 徐州铜山支行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12,740,896.62</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7"/>
              <w:ind w:left="26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20,000,000.00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475" w:right="0"/>
              <w:jc w:val="left"/>
              <w:rPr>
                <w:rFonts w:ascii="Times New Roman" w:hAnsi="Times New Roman" w:cs="Times New Roman" w:eastAsia="Times New Roman" w:hint="default"/>
                <w:sz w:val="18"/>
                <w:szCs w:val="18"/>
              </w:rPr>
            </w:pPr>
            <w:r>
              <w:rPr>
                <w:rFonts w:ascii="Times New Roman"/>
                <w:sz w:val="18"/>
              </w:rPr>
              <w:t>2020/6/5</w:t>
            </w:r>
          </w:p>
        </w:tc>
        <w:tc>
          <w:tcPr>
            <w:tcW w:w="1291" w:type="dxa"/>
            <w:vMerge w:val="restart"/>
            <w:tcBorders>
              <w:top w:val="single" w:sz="6" w:space="0" w:color="000000"/>
              <w:left w:val="single" w:sz="6" w:space="0" w:color="000000"/>
              <w:right w:val="single" w:sz="6" w:space="0" w:color="000000"/>
            </w:tcBorders>
          </w:tcPr>
          <w:p>
            <w:pPr/>
          </w:p>
        </w:tc>
      </w:tr>
      <w:tr>
        <w:trPr>
          <w:trHeight w:val="348" w:hRule="exact"/>
        </w:trPr>
        <w:tc>
          <w:tcPr>
            <w:tcW w:w="994" w:type="dxa"/>
            <w:vMerge/>
            <w:tcBorders>
              <w:left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5,021,722.74</w:t>
            </w:r>
          </w:p>
        </w:tc>
        <w:tc>
          <w:tcPr>
            <w:tcW w:w="127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r>
      <w:tr>
        <w:trPr>
          <w:trHeight w:val="346" w:hRule="exact"/>
        </w:trPr>
        <w:tc>
          <w:tcPr>
            <w:tcW w:w="994"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Style w:val="TableParagraph"/>
              <w:spacing w:line="316" w:lineRule="auto" w:before="17"/>
              <w:ind w:left="268" w:right="89" w:hanging="180"/>
              <w:jc w:val="left"/>
              <w:rPr>
                <w:rFonts w:ascii="宋体" w:hAnsi="宋体" w:cs="宋体" w:eastAsia="宋体" w:hint="default"/>
                <w:sz w:val="18"/>
                <w:szCs w:val="18"/>
              </w:rPr>
            </w:pPr>
            <w:r>
              <w:rPr>
                <w:rFonts w:ascii="宋体" w:hAnsi="宋体" w:cs="宋体" w:eastAsia="宋体" w:hint="default"/>
                <w:sz w:val="18"/>
                <w:szCs w:val="18"/>
              </w:rPr>
              <w:t>兴业银行徐州 铜山支行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1,500,682.14</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7"/>
              <w:ind w:left="8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0"/>
              <w:ind w:left="455" w:right="0"/>
              <w:jc w:val="left"/>
              <w:rPr>
                <w:rFonts w:ascii="Times New Roman" w:hAnsi="Times New Roman" w:cs="Times New Roman" w:eastAsia="Times New Roman" w:hint="default"/>
                <w:sz w:val="18"/>
                <w:szCs w:val="18"/>
              </w:rPr>
            </w:pPr>
            <w:r>
              <w:rPr>
                <w:rFonts w:ascii="Times New Roman"/>
                <w:sz w:val="18"/>
              </w:rPr>
              <w:t>9,681,690.00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2020/6/10</w:t>
            </w:r>
          </w:p>
        </w:tc>
        <w:tc>
          <w:tcPr>
            <w:tcW w:w="1291" w:type="dxa"/>
            <w:vMerge w:val="restart"/>
            <w:tcBorders>
              <w:top w:val="single" w:sz="6" w:space="0" w:color="000000"/>
              <w:left w:val="single" w:sz="6" w:space="0" w:color="000000"/>
              <w:right w:val="single" w:sz="6" w:space="0" w:color="000000"/>
            </w:tcBorders>
          </w:tcPr>
          <w:p>
            <w:pPr/>
          </w:p>
        </w:tc>
      </w:tr>
      <w:tr>
        <w:trPr>
          <w:trHeight w:val="348"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12,581,376.95</w:t>
            </w:r>
          </w:p>
        </w:tc>
        <w:tc>
          <w:tcPr>
            <w:tcW w:w="127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r>
      <w:tr>
        <w:trPr>
          <w:trHeight w:val="66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惠邦租赁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68" w:right="89" w:hanging="180"/>
              <w:jc w:val="left"/>
              <w:rPr>
                <w:rFonts w:ascii="宋体" w:hAnsi="宋体" w:cs="宋体" w:eastAsia="宋体" w:hint="default"/>
                <w:sz w:val="18"/>
                <w:szCs w:val="18"/>
              </w:rPr>
            </w:pPr>
            <w:r>
              <w:rPr>
                <w:rFonts w:ascii="宋体" w:hAnsi="宋体" w:cs="宋体" w:eastAsia="宋体" w:hint="default"/>
                <w:sz w:val="18"/>
                <w:szCs w:val="18"/>
              </w:rPr>
              <w:t>淮南通商同村 商业银行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9,078,000.00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18,156,000.00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2020/4/23</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
              <w:jc w:val="left"/>
              <w:rPr>
                <w:rFonts w:ascii="宋体" w:hAnsi="宋体" w:cs="宋体" w:eastAsia="宋体" w:hint="default"/>
                <w:sz w:val="18"/>
                <w:szCs w:val="18"/>
              </w:rPr>
            </w:pPr>
            <w:r>
              <w:rPr>
                <w:rFonts w:ascii="宋体" w:hAnsi="宋体" w:cs="宋体" w:eastAsia="宋体" w:hint="default"/>
                <w:sz w:val="18"/>
                <w:szCs w:val="18"/>
              </w:rPr>
              <w:t>同时由五洋停车 公司，宋伟担保</w:t>
            </w:r>
          </w:p>
        </w:tc>
      </w:tr>
      <w:tr>
        <w:trPr>
          <w:trHeight w:val="346"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8"/>
              <w:ind w:left="130"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274" w:type="dxa"/>
            <w:vMerge w:val="restart"/>
            <w:tcBorders>
              <w:top w:val="single" w:sz="6" w:space="0" w:color="000000"/>
              <w:left w:val="single" w:sz="6" w:space="0" w:color="000000"/>
              <w:right w:val="single" w:sz="6" w:space="0" w:color="000000"/>
            </w:tcBorders>
          </w:tcPr>
          <w:p>
            <w:pPr>
              <w:pStyle w:val="TableParagraph"/>
              <w:spacing w:line="316" w:lineRule="auto" w:before="18"/>
              <w:ind w:left="448" w:right="89" w:hanging="360"/>
              <w:jc w:val="left"/>
              <w:rPr>
                <w:rFonts w:ascii="宋体" w:hAnsi="宋体" w:cs="宋体" w:eastAsia="宋体" w:hint="default"/>
                <w:sz w:val="18"/>
                <w:szCs w:val="18"/>
              </w:rPr>
            </w:pPr>
            <w:r>
              <w:rPr>
                <w:rFonts w:ascii="宋体" w:hAnsi="宋体" w:cs="宋体" w:eastAsia="宋体" w:hint="default"/>
                <w:sz w:val="18"/>
                <w:szCs w:val="18"/>
              </w:rPr>
              <w:t>中国银行禹城 支行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8,332,989.80</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8"/>
              <w:ind w:left="26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15,000,000.00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475" w:right="0"/>
              <w:jc w:val="left"/>
              <w:rPr>
                <w:rFonts w:ascii="Times New Roman" w:hAnsi="Times New Roman" w:cs="Times New Roman" w:eastAsia="Times New Roman" w:hint="default"/>
                <w:sz w:val="18"/>
                <w:szCs w:val="18"/>
              </w:rPr>
            </w:pPr>
            <w:r>
              <w:rPr>
                <w:rFonts w:ascii="Times New Roman"/>
                <w:sz w:val="18"/>
              </w:rPr>
              <w:t>2020/4/1</w:t>
            </w:r>
          </w:p>
        </w:tc>
        <w:tc>
          <w:tcPr>
            <w:tcW w:w="1291" w:type="dxa"/>
            <w:vMerge w:val="restart"/>
            <w:tcBorders>
              <w:top w:val="single" w:sz="6" w:space="0" w:color="000000"/>
              <w:left w:val="single" w:sz="6" w:space="0" w:color="000000"/>
              <w:right w:val="single" w:sz="6" w:space="0" w:color="000000"/>
            </w:tcBorders>
          </w:tcPr>
          <w:p>
            <w:pPr>
              <w:pStyle w:val="TableParagraph"/>
              <w:spacing w:line="316" w:lineRule="auto" w:before="18"/>
              <w:ind w:left="4" w:right="11"/>
              <w:jc w:val="left"/>
              <w:rPr>
                <w:rFonts w:ascii="宋体" w:hAnsi="宋体" w:cs="宋体" w:eastAsia="宋体" w:hint="default"/>
                <w:sz w:val="18"/>
                <w:szCs w:val="18"/>
              </w:rPr>
            </w:pPr>
            <w:r>
              <w:rPr>
                <w:rFonts w:ascii="宋体" w:hAnsi="宋体" w:cs="宋体" w:eastAsia="宋体" w:hint="default"/>
                <w:sz w:val="18"/>
                <w:szCs w:val="18"/>
              </w:rPr>
              <w:t>同时由侯玉鹏、 宋骁彦担保</w:t>
            </w:r>
          </w:p>
        </w:tc>
      </w:tr>
      <w:tr>
        <w:trPr>
          <w:trHeight w:val="348" w:hRule="exact"/>
        </w:trPr>
        <w:tc>
          <w:tcPr>
            <w:tcW w:w="994" w:type="dxa"/>
            <w:vMerge/>
            <w:tcBorders>
              <w:left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5,213,450.06</w:t>
            </w:r>
          </w:p>
        </w:tc>
        <w:tc>
          <w:tcPr>
            <w:tcW w:w="127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r>
      <w:tr>
        <w:trPr>
          <w:trHeight w:val="346" w:hRule="exact"/>
        </w:trPr>
        <w:tc>
          <w:tcPr>
            <w:tcW w:w="994"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禹城农商行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6,329,065.18</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7"/>
              <w:ind w:left="26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10,000,000.00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386" w:right="0"/>
              <w:jc w:val="left"/>
              <w:rPr>
                <w:rFonts w:ascii="Times New Roman" w:hAnsi="Times New Roman" w:cs="Times New Roman" w:eastAsia="Times New Roman" w:hint="default"/>
                <w:sz w:val="18"/>
                <w:szCs w:val="18"/>
              </w:rPr>
            </w:pPr>
            <w:r>
              <w:rPr>
                <w:rFonts w:ascii="Times New Roman"/>
                <w:sz w:val="18"/>
              </w:rPr>
              <w:t>2020/8/28</w:t>
            </w:r>
          </w:p>
        </w:tc>
        <w:tc>
          <w:tcPr>
            <w:tcW w:w="1291"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1"/>
              <w:jc w:val="left"/>
              <w:rPr>
                <w:rFonts w:ascii="宋体" w:hAnsi="宋体" w:cs="宋体" w:eastAsia="宋体" w:hint="default"/>
                <w:sz w:val="18"/>
                <w:szCs w:val="18"/>
              </w:rPr>
            </w:pPr>
            <w:r>
              <w:rPr>
                <w:rFonts w:ascii="宋体" w:hAnsi="宋体" w:cs="宋体" w:eastAsia="宋体" w:hint="default"/>
                <w:sz w:val="18"/>
                <w:szCs w:val="18"/>
              </w:rPr>
              <w:t>同时由侯玉鹏担 保</w:t>
            </w:r>
          </w:p>
        </w:tc>
      </w:tr>
      <w:tr>
        <w:trPr>
          <w:trHeight w:val="348" w:hRule="exact"/>
        </w:trPr>
        <w:tc>
          <w:tcPr>
            <w:tcW w:w="994" w:type="dxa"/>
            <w:vMerge/>
            <w:tcBorders>
              <w:left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19,368,037.76</w:t>
            </w:r>
          </w:p>
        </w:tc>
        <w:tc>
          <w:tcPr>
            <w:tcW w:w="127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91" w:type="dxa"/>
            <w:vMerge/>
            <w:tcBorders>
              <w:left w:val="single" w:sz="6" w:space="0" w:color="000000"/>
              <w:bottom w:val="single" w:sz="6" w:space="0" w:color="000000"/>
              <w:right w:val="single" w:sz="6" w:space="0" w:color="000000"/>
            </w:tcBorders>
          </w:tcPr>
          <w:p>
            <w:pPr/>
          </w:p>
        </w:tc>
      </w:tr>
      <w:tr>
        <w:trPr>
          <w:trHeight w:val="972" w:hRule="exact"/>
        </w:trPr>
        <w:tc>
          <w:tcPr>
            <w:tcW w:w="994"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48" w:right="89" w:hanging="360"/>
              <w:jc w:val="left"/>
              <w:rPr>
                <w:rFonts w:ascii="宋体" w:hAnsi="宋体" w:cs="宋体" w:eastAsia="宋体" w:hint="default"/>
                <w:sz w:val="18"/>
                <w:szCs w:val="18"/>
              </w:rPr>
            </w:pPr>
            <w:r>
              <w:rPr>
                <w:rFonts w:ascii="宋体" w:hAnsi="宋体" w:cs="宋体" w:eastAsia="宋体" w:hint="default"/>
                <w:sz w:val="18"/>
                <w:szCs w:val="18"/>
              </w:rPr>
              <w:t>齐鲁银行德州 分行</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2020/3/10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
              <w:jc w:val="both"/>
              <w:rPr>
                <w:rFonts w:ascii="宋体" w:hAnsi="宋体" w:cs="宋体" w:eastAsia="宋体" w:hint="default"/>
                <w:sz w:val="18"/>
                <w:szCs w:val="18"/>
              </w:rPr>
            </w:pPr>
            <w:r>
              <w:rPr>
                <w:rFonts w:ascii="宋体" w:hAnsi="宋体" w:cs="宋体" w:eastAsia="宋体" w:hint="default"/>
                <w:sz w:val="18"/>
                <w:szCs w:val="18"/>
              </w:rPr>
              <w:t>同时由五洋停车 限公司、侯玉鹏 担保</w:t>
            </w:r>
          </w:p>
        </w:tc>
      </w:tr>
      <w:tr>
        <w:trPr>
          <w:trHeight w:val="346"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7"/>
              <w:ind w:left="130" w:right="0"/>
              <w:jc w:val="left"/>
              <w:rPr>
                <w:rFonts w:ascii="宋体" w:hAnsi="宋体" w:cs="宋体" w:eastAsia="宋体" w:hint="default"/>
                <w:sz w:val="18"/>
                <w:szCs w:val="18"/>
              </w:rPr>
            </w:pPr>
            <w:r>
              <w:rPr>
                <w:rFonts w:ascii="宋体" w:hAnsi="宋体" w:cs="宋体" w:eastAsia="宋体" w:hint="default"/>
                <w:sz w:val="18"/>
                <w:szCs w:val="18"/>
              </w:rPr>
              <w:t>广东伟创</w:t>
            </w:r>
          </w:p>
        </w:tc>
        <w:tc>
          <w:tcPr>
            <w:tcW w:w="1274" w:type="dxa"/>
            <w:vMerge w:val="restart"/>
            <w:tcBorders>
              <w:top w:val="single" w:sz="6" w:space="0" w:color="000000"/>
              <w:left w:val="single" w:sz="6" w:space="0" w:color="000000"/>
              <w:right w:val="single" w:sz="6" w:space="0" w:color="000000"/>
            </w:tcBorders>
          </w:tcPr>
          <w:p>
            <w:pPr>
              <w:pStyle w:val="TableParagraph"/>
              <w:spacing w:line="316" w:lineRule="auto" w:before="17"/>
              <w:ind w:left="88" w:right="89"/>
              <w:jc w:val="center"/>
              <w:rPr>
                <w:rFonts w:ascii="宋体" w:hAnsi="宋体" w:cs="宋体" w:eastAsia="宋体" w:hint="default"/>
                <w:sz w:val="18"/>
                <w:szCs w:val="18"/>
              </w:rPr>
            </w:pPr>
            <w:r>
              <w:rPr>
                <w:rFonts w:ascii="宋体" w:hAnsi="宋体" w:cs="宋体" w:eastAsia="宋体" w:hint="default"/>
                <w:sz w:val="18"/>
                <w:szCs w:val="18"/>
              </w:rPr>
              <w:t>东莞农村商业 银行股份有限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2020/7/22</w:t>
            </w:r>
          </w:p>
        </w:tc>
        <w:tc>
          <w:tcPr>
            <w:tcW w:w="1291"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1"/>
              <w:jc w:val="left"/>
              <w:rPr>
                <w:rFonts w:ascii="宋体" w:hAnsi="宋体" w:cs="宋体" w:eastAsia="宋体" w:hint="default"/>
                <w:sz w:val="18"/>
                <w:szCs w:val="18"/>
              </w:rPr>
            </w:pPr>
            <w:r>
              <w:rPr>
                <w:rFonts w:ascii="宋体" w:hAnsi="宋体" w:cs="宋体" w:eastAsia="宋体" w:hint="default"/>
                <w:sz w:val="18"/>
                <w:szCs w:val="18"/>
              </w:rPr>
              <w:t>同时由五洋停车 公司担保</w:t>
            </w:r>
          </w:p>
        </w:tc>
      </w:tr>
      <w:tr>
        <w:trPr>
          <w:trHeight w:val="624" w:hRule="exact"/>
        </w:trPr>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24,126,140.81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2020/3/10</w:t>
            </w:r>
          </w:p>
        </w:tc>
        <w:tc>
          <w:tcPr>
            <w:tcW w:w="1291" w:type="dxa"/>
            <w:vMerge/>
            <w:tcBorders>
              <w:left w:val="single" w:sz="6" w:space="0" w:color="000000"/>
              <w:bottom w:val="single" w:sz="6" w:space="0" w:color="000000"/>
              <w:right w:val="single" w:sz="6" w:space="0" w:color="000000"/>
            </w:tcBorders>
          </w:tcPr>
          <w:p>
            <w:pP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168,812,435.02</w:t>
            </w:r>
          </w:p>
        </w:tc>
        <w:tc>
          <w:tcPr>
            <w:tcW w:w="127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147,637,690.00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9"/>
          <w:szCs w:val="9"/>
        </w:rPr>
      </w:pPr>
    </w:p>
    <w:p>
      <w:pPr>
        <w:pStyle w:val="BodyText"/>
        <w:spacing w:line="240" w:lineRule="auto"/>
        <w:ind w:left="51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借款和票据保证</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08"/>
        <w:gridCol w:w="1417"/>
        <w:gridCol w:w="2086"/>
        <w:gridCol w:w="1368"/>
        <w:gridCol w:w="1536"/>
        <w:gridCol w:w="1474"/>
        <w:gridCol w:w="907"/>
      </w:tblGrid>
      <w:tr>
        <w:trPr>
          <w:trHeight w:val="34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8" w:right="0"/>
              <w:jc w:val="left"/>
              <w:rPr>
                <w:rFonts w:ascii="宋体" w:hAnsi="宋体" w:cs="宋体" w:eastAsia="宋体" w:hint="default"/>
                <w:sz w:val="18"/>
                <w:szCs w:val="18"/>
              </w:rPr>
            </w:pPr>
            <w:r>
              <w:rPr>
                <w:rFonts w:ascii="宋体" w:hAnsi="宋体" w:cs="宋体" w:eastAsia="宋体" w:hint="default"/>
                <w:sz w:val="18"/>
                <w:szCs w:val="18"/>
              </w:rPr>
              <w:t>被担保人</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担保人</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6"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融资余额</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hAnsi="宋体" w:cs="宋体" w:eastAsia="宋体" w:hint="default"/>
                <w:sz w:val="18"/>
                <w:szCs w:val="18"/>
              </w:rPr>
              <w:t>借款最后到期日</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58" w:hRule="exact"/>
        </w:trPr>
        <w:tc>
          <w:tcPr>
            <w:tcW w:w="120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五洋停车</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6"/>
                <w:sz w:val="18"/>
                <w:szCs w:val="18"/>
              </w:rPr>
              <w:t>侯友夫、蔡敏夫妇</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中国银行徐州西关支行营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业部</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2020/7/15</w:t>
            </w:r>
          </w:p>
        </w:tc>
        <w:tc>
          <w:tcPr>
            <w:tcW w:w="9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08"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莱商银行徐州泉山支行</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2020/11/20</w:t>
            </w:r>
          </w:p>
        </w:tc>
        <w:tc>
          <w:tcPr>
            <w:tcW w:w="9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20"/>
              <w:jc w:val="center"/>
              <w:rPr>
                <w:rFonts w:ascii="宋体" w:hAnsi="宋体" w:cs="宋体" w:eastAsia="宋体" w:hint="default"/>
                <w:sz w:val="18"/>
                <w:szCs w:val="18"/>
              </w:rPr>
            </w:pPr>
            <w:r>
              <w:rPr>
                <w:rFonts w:ascii="宋体" w:hAnsi="宋体" w:cs="宋体" w:eastAsia="宋体" w:hint="default"/>
                <w:spacing w:val="-3"/>
                <w:sz w:val="18"/>
                <w:szCs w:val="18"/>
              </w:rPr>
              <w:t>伟创自动化公司、</w:t>
            </w:r>
            <w:r>
              <w:rPr>
                <w:rFonts w:ascii="宋体" w:hAnsi="宋体" w:cs="宋体" w:eastAsia="宋体" w:hint="default"/>
                <w:sz w:val="18"/>
                <w:szCs w:val="18"/>
              </w:rPr>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交通银行徐州科技支行</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2020/11/11</w:t>
            </w:r>
          </w:p>
        </w:tc>
        <w:tc>
          <w:tcPr>
            <w:tcW w:w="9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08"/>
        <w:gridCol w:w="1417"/>
        <w:gridCol w:w="2086"/>
        <w:gridCol w:w="1368"/>
        <w:gridCol w:w="1536"/>
        <w:gridCol w:w="1474"/>
        <w:gridCol w:w="907"/>
      </w:tblGrid>
      <w:tr>
        <w:trPr>
          <w:trHeight w:val="348" w:hRule="exact"/>
        </w:trPr>
        <w:tc>
          <w:tcPr>
            <w:tcW w:w="12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五洋停车公司</w:t>
            </w:r>
          </w:p>
        </w:tc>
        <w:tc>
          <w:tcPr>
            <w:tcW w:w="20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120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深圳伟创</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pacing w:val="10"/>
                <w:sz w:val="18"/>
                <w:szCs w:val="18"/>
              </w:rPr>
              <w:t>市高</w:t>
            </w:r>
            <w:r>
              <w:rPr>
                <w:rFonts w:ascii="宋体" w:hAnsi="宋体" w:cs="宋体" w:eastAsia="宋体" w:hint="default"/>
                <w:spacing w:val="-67"/>
                <w:sz w:val="18"/>
                <w:szCs w:val="18"/>
              </w:rPr>
              <w:t> </w:t>
            </w:r>
            <w:r>
              <w:rPr>
                <w:rFonts w:ascii="宋体" w:hAnsi="宋体" w:cs="宋体" w:eastAsia="宋体" w:hint="default"/>
                <w:spacing w:val="10"/>
                <w:sz w:val="18"/>
                <w:szCs w:val="18"/>
              </w:rPr>
              <w:t>新投</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z w:val="18"/>
                <w:szCs w:val="18"/>
              </w:rPr>
              <w:t> </w:t>
            </w:r>
            <w:r>
              <w:rPr>
                <w:rFonts w:ascii="宋体" w:hAnsi="宋体" w:cs="宋体" w:eastAsia="宋体" w:hint="default"/>
                <w:spacing w:val="-3"/>
                <w:sz w:val="18"/>
                <w:szCs w:val="18"/>
              </w:rPr>
              <w:t>资担保有限公司、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五洋停车公司</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招行深圳分行泰然金谷支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2020/9/27</w:t>
            </w:r>
          </w:p>
        </w:tc>
        <w:tc>
          <w:tcPr>
            <w:tcW w:w="90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08" w:type="dxa"/>
            <w:vMerge/>
            <w:tcBorders>
              <w:left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6"/>
                <w:sz w:val="18"/>
                <w:szCs w:val="18"/>
              </w:rPr>
              <w:t>广东伟创公司、五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洋停车公司</w:t>
            </w:r>
          </w:p>
        </w:tc>
        <w:tc>
          <w:tcPr>
            <w:tcW w:w="2086"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中国银行深圳福田支行</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2020/6/10</w:t>
            </w:r>
          </w:p>
        </w:tc>
        <w:tc>
          <w:tcPr>
            <w:tcW w:w="907"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36"/>
                <w:sz w:val="18"/>
                <w:szCs w:val="18"/>
              </w:rPr>
              <w:t>同时由</w:t>
            </w:r>
            <w:r>
              <w:rPr>
                <w:rFonts w:ascii="宋体" w:hAnsi="宋体" w:cs="宋体" w:eastAsia="宋体" w:hint="default"/>
                <w:spacing w:val="-34"/>
                <w:sz w:val="18"/>
                <w:szCs w:val="18"/>
              </w:rPr>
              <w:t> </w:t>
            </w:r>
            <w:r>
              <w:rPr>
                <w:rFonts w:ascii="宋体" w:hAnsi="宋体" w:cs="宋体" w:eastAsia="宋体" w:hint="default"/>
                <w:sz w:val="18"/>
                <w:szCs w:val="18"/>
              </w:rPr>
              <w:t>本</w:t>
            </w:r>
            <w:r>
              <w:rPr>
                <w:rFonts w:ascii="宋体" w:hAnsi="宋体" w:cs="宋体" w:eastAsia="宋体" w:hint="default"/>
                <w:sz w:val="18"/>
                <w:szCs w:val="18"/>
              </w:rPr>
              <w:t> </w:t>
            </w:r>
            <w:r>
              <w:rPr>
                <w:rFonts w:ascii="宋体" w:hAnsi="宋体" w:cs="宋体" w:eastAsia="宋体" w:hint="default"/>
                <w:spacing w:val="36"/>
                <w:sz w:val="18"/>
                <w:szCs w:val="18"/>
              </w:rPr>
              <w:t>公司应</w:t>
            </w:r>
            <w:r>
              <w:rPr>
                <w:rFonts w:ascii="宋体" w:hAnsi="宋体" w:cs="宋体" w:eastAsia="宋体" w:hint="default"/>
                <w:spacing w:val="-34"/>
                <w:sz w:val="18"/>
                <w:szCs w:val="18"/>
              </w:rPr>
              <w:t> </w:t>
            </w:r>
            <w:r>
              <w:rPr>
                <w:rFonts w:ascii="宋体" w:hAnsi="宋体" w:cs="宋体" w:eastAsia="宋体" w:hint="default"/>
                <w:sz w:val="18"/>
                <w:szCs w:val="18"/>
              </w:rPr>
              <w:t>收</w:t>
            </w:r>
            <w:r>
              <w:rPr>
                <w:rFonts w:ascii="宋体" w:hAnsi="宋体" w:cs="宋体" w:eastAsia="宋体" w:hint="default"/>
                <w:sz w:val="18"/>
                <w:szCs w:val="18"/>
              </w:rPr>
              <w:t> 账款质押</w:t>
            </w:r>
          </w:p>
        </w:tc>
      </w:tr>
      <w:tr>
        <w:trPr>
          <w:trHeight w:val="346" w:hRule="exact"/>
        </w:trPr>
        <w:tc>
          <w:tcPr>
            <w:tcW w:w="1208"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2020/11/27</w:t>
            </w:r>
          </w:p>
        </w:tc>
        <w:tc>
          <w:tcPr>
            <w:tcW w:w="907" w:type="dxa"/>
            <w:vMerge/>
            <w:tcBorders>
              <w:left w:val="single" w:sz="6" w:space="0" w:color="000000"/>
              <w:right w:val="single" w:sz="6" w:space="0" w:color="000000"/>
            </w:tcBorders>
          </w:tcPr>
          <w:p>
            <w:pPr/>
          </w:p>
        </w:tc>
      </w:tr>
      <w:tr>
        <w:trPr>
          <w:trHeight w:val="348" w:hRule="exact"/>
        </w:trPr>
        <w:tc>
          <w:tcPr>
            <w:tcW w:w="1208"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17" w:right="0"/>
              <w:jc w:val="left"/>
              <w:rPr>
                <w:rFonts w:ascii="Times New Roman" w:hAnsi="Times New Roman" w:cs="Times New Roman" w:eastAsia="Times New Roman" w:hint="default"/>
                <w:sz w:val="18"/>
                <w:szCs w:val="18"/>
              </w:rPr>
            </w:pPr>
            <w:r>
              <w:rPr>
                <w:rFonts w:ascii="Times New Roman"/>
                <w:sz w:val="18"/>
              </w:rPr>
              <w:t>2020/2/8</w:t>
            </w:r>
          </w:p>
        </w:tc>
        <w:tc>
          <w:tcPr>
            <w:tcW w:w="907" w:type="dxa"/>
            <w:vMerge/>
            <w:tcBorders>
              <w:left w:val="single" w:sz="6" w:space="0" w:color="000000"/>
              <w:right w:val="single" w:sz="6" w:space="0" w:color="000000"/>
            </w:tcBorders>
          </w:tcPr>
          <w:p>
            <w:pPr/>
          </w:p>
        </w:tc>
      </w:tr>
      <w:tr>
        <w:trPr>
          <w:trHeight w:val="348" w:hRule="exact"/>
        </w:trPr>
        <w:tc>
          <w:tcPr>
            <w:tcW w:w="1208"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2086" w:type="dxa"/>
            <w:vMerge/>
            <w:tcBorders>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信用证贴现</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2020/1/11</w:t>
            </w:r>
          </w:p>
        </w:tc>
        <w:tc>
          <w:tcPr>
            <w:tcW w:w="907" w:type="dxa"/>
            <w:vMerge/>
            <w:tcBorders>
              <w:left w:val="single" w:sz="6" w:space="0" w:color="000000"/>
              <w:bottom w:val="single" w:sz="6" w:space="0" w:color="000000"/>
              <w:right w:val="single" w:sz="6" w:space="0" w:color="000000"/>
            </w:tcBorders>
          </w:tcPr>
          <w:p>
            <w:pPr/>
          </w:p>
        </w:tc>
      </w:tr>
      <w:tr>
        <w:trPr>
          <w:trHeight w:val="346" w:hRule="exact"/>
        </w:trPr>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17" w:type="dxa"/>
            <w:tcBorders>
              <w:top w:val="single" w:sz="6" w:space="0" w:color="000000"/>
              <w:left w:val="single" w:sz="6" w:space="0" w:color="000000"/>
              <w:bottom w:val="single" w:sz="6" w:space="0" w:color="000000"/>
              <w:right w:val="single" w:sz="6" w:space="0" w:color="000000"/>
            </w:tcBorders>
          </w:tcPr>
          <w:p>
            <w:pPr/>
          </w:p>
        </w:tc>
        <w:tc>
          <w:tcPr>
            <w:tcW w:w="208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110,000,000.00</w:t>
            </w:r>
          </w:p>
        </w:tc>
        <w:tc>
          <w:tcPr>
            <w:tcW w:w="1474"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left="573" w:right="986" w:hanging="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保函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日，公司为了承接项目及与客户正常的合作关系，未撤销履约保函余额合计</w:t>
      </w:r>
      <w:r>
        <w:rPr>
          <w:rFonts w:ascii="Times New Roman" w:hAnsi="Times New Roman" w:cs="Times New Roman" w:eastAsia="Times New Roman" w:hint="default"/>
        </w:rPr>
        <w:t>59,744,442.67</w:t>
      </w:r>
      <w:r>
        <w:rPr/>
        <w:t>元，存入</w:t>
      </w:r>
    </w:p>
    <w:p>
      <w:pPr>
        <w:pStyle w:val="BodyText"/>
        <w:spacing w:line="240" w:lineRule="auto" w:before="13"/>
        <w:ind w:right="986"/>
        <w:jc w:val="left"/>
      </w:pPr>
      <w:r>
        <w:rPr/>
        <w:t>保证金金额</w:t>
      </w:r>
      <w:r>
        <w:rPr>
          <w:rFonts w:ascii="Times New Roman" w:hAnsi="Times New Roman" w:cs="Times New Roman" w:eastAsia="Times New Roman" w:hint="default"/>
        </w:rPr>
        <w:t>3,753,084.54</w:t>
      </w:r>
      <w:r>
        <w:rPr/>
        <w:t>元，具体如下：</w:t>
      </w:r>
    </w:p>
    <w:p>
      <w:pPr>
        <w:spacing w:line="240" w:lineRule="auto" w:before="2"/>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1270"/>
        <w:gridCol w:w="1558"/>
        <w:gridCol w:w="1843"/>
        <w:gridCol w:w="1560"/>
        <w:gridCol w:w="3142"/>
      </w:tblGrid>
      <w:tr>
        <w:trPr>
          <w:trHeight w:val="349"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保函开具单位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期末保函金额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z w:val="18"/>
                <w:szCs w:val="18"/>
              </w:rPr>
              <w:t>保函最后到期日</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7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深圳伟创公司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50,508,270.87</w:t>
            </w:r>
          </w:p>
        </w:tc>
        <w:tc>
          <w:tcPr>
            <w:tcW w:w="18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2023/1/20</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both"/>
              <w:rPr>
                <w:rFonts w:ascii="宋体" w:hAnsi="宋体" w:cs="宋体" w:eastAsia="宋体" w:hint="default"/>
                <w:sz w:val="18"/>
                <w:szCs w:val="18"/>
              </w:rPr>
            </w:pPr>
            <w:r>
              <w:rPr>
                <w:rFonts w:ascii="宋体" w:hAnsi="宋体" w:cs="宋体" w:eastAsia="宋体" w:hint="default"/>
                <w:spacing w:val="14"/>
                <w:sz w:val="18"/>
                <w:szCs w:val="18"/>
              </w:rPr>
              <w:t>深圳伟创公司的应收账款提供质押担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保，同时五洋停车公司、广东伟创公司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为该等保函融资授信提供连带担保</w:t>
            </w:r>
          </w:p>
        </w:tc>
      </w:tr>
      <w:tr>
        <w:trPr>
          <w:trHeight w:val="6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天辰智能公司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9,236,171.80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3,753,084.54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2021/12/26</w:t>
            </w:r>
          </w:p>
        </w:tc>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五洋停车公司、侯玉鹏为该等保函融资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授信提供连带担保</w:t>
            </w:r>
          </w:p>
        </w:tc>
      </w:tr>
      <w:tr>
        <w:trPr>
          <w:trHeight w:val="34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tabs>
                <w:tab w:pos="398" w:val="left" w:leader="none"/>
              </w:tabs>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59,744,442.67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3,753,084.54</w:t>
            </w:r>
          </w:p>
        </w:tc>
        <w:tc>
          <w:tcPr>
            <w:tcW w:w="1560" w:type="dxa"/>
            <w:tcBorders>
              <w:top w:val="single" w:sz="6" w:space="0" w:color="000000"/>
              <w:left w:val="single" w:sz="6" w:space="0" w:color="000000"/>
              <w:bottom w:val="single" w:sz="6" w:space="0" w:color="000000"/>
              <w:right w:val="single" w:sz="6" w:space="0" w:color="000000"/>
            </w:tcBorders>
          </w:tcPr>
          <w:p>
            <w:pPr/>
          </w:p>
        </w:tc>
        <w:tc>
          <w:tcPr>
            <w:tcW w:w="314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left="513" w:right="986"/>
        <w:jc w:val="left"/>
      </w:pPr>
      <w:r>
        <w:rPr/>
        <w:t>若公司未按合同履约，将在有效期内向受益人支付不超过保函金额的索赔。</w:t>
      </w:r>
    </w:p>
    <w:p>
      <w:pPr>
        <w:pStyle w:val="BodyText"/>
        <w:spacing w:line="240" w:lineRule="auto" w:before="76"/>
        <w:ind w:left="51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其他</w:t>
      </w:r>
    </w:p>
    <w:p>
      <w:pPr>
        <w:pStyle w:val="BodyText"/>
        <w:spacing w:line="300" w:lineRule="auto" w:before="63"/>
        <w:ind w:right="1128"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日，伟创自动化公司设立昆明五洋伟创停车服务有限公司。昆明伟创公司注册资本人民币</w:t>
      </w:r>
      <w:r>
        <w:rPr>
          <w:rFonts w:ascii="Times New Roman" w:hAnsi="Times New Roman" w:cs="Times New Roman" w:eastAsia="Times New Roman" w:hint="default"/>
          <w:spacing w:val="-1"/>
        </w:rPr>
        <w:t>3,000</w:t>
      </w:r>
      <w:r>
        <w:rPr>
          <w:spacing w:val="-1"/>
        </w:rPr>
        <w:t>万元，由伟</w:t>
      </w:r>
      <w:r>
        <w:rPr/>
        <w:t> 创自动化全额认缴。截至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日，伟创自动化实缴出资款</w:t>
      </w:r>
      <w:r>
        <w:rPr>
          <w:rFonts w:ascii="Times New Roman" w:hAnsi="Times New Roman" w:cs="Times New Roman" w:eastAsia="Times New Roman" w:hint="default"/>
        </w:rPr>
        <w:t>591.39</w:t>
      </w:r>
      <w:r>
        <w:rPr/>
        <w:t>万元，尚未缴纳出资款</w:t>
      </w:r>
      <w:r>
        <w:rPr>
          <w:rFonts w:ascii="Times New Roman" w:hAnsi="Times New Roman" w:cs="Times New Roman" w:eastAsia="Times New Roman" w:hint="default"/>
        </w:rPr>
        <w:t>2,408.61</w:t>
      </w:r>
      <w:r>
        <w:rPr/>
        <w:t>万元。</w:t>
      </w:r>
    </w:p>
    <w:p>
      <w:pPr>
        <w:pStyle w:val="BodyText"/>
        <w:spacing w:line="300" w:lineRule="auto" w:before="13"/>
        <w:ind w:right="1119" w:firstLine="360"/>
        <w:jc w:val="right"/>
      </w:pP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27</w:t>
      </w:r>
      <w:r>
        <w:rPr>
          <w:w w:val="95"/>
        </w:rPr>
        <w:t>日，本公司受让江西泰壬科技有限公司</w:t>
      </w:r>
      <w:r>
        <w:rPr>
          <w:rFonts w:ascii="Times New Roman" w:hAnsi="Times New Roman" w:cs="Times New Roman" w:eastAsia="Times New Roman" w:hint="default"/>
          <w:w w:val="95"/>
        </w:rPr>
        <w:t>51%</w:t>
      </w:r>
      <w:r>
        <w:rPr>
          <w:w w:val="95"/>
        </w:rPr>
        <w:t>的股权的出资义务，泰壬科技公司注册资本人民币</w:t>
      </w:r>
      <w:r>
        <w:rPr>
          <w:rFonts w:ascii="Times New Roman" w:hAnsi="Times New Roman" w:cs="Times New Roman" w:eastAsia="Times New Roman" w:hint="default"/>
          <w:w w:val="95"/>
        </w:rPr>
        <w:t>2,000</w:t>
      </w:r>
      <w:r>
        <w:rPr>
          <w:w w:val="95"/>
        </w:rPr>
        <w:t>万元，</w:t>
      </w:r>
      <w:r>
        <w:rPr>
          <w:spacing w:val="2"/>
          <w:w w:val="95"/>
        </w:rPr>
        <w:t> </w:t>
      </w:r>
      <w:r>
        <w:rPr>
          <w:spacing w:val="-1"/>
        </w:rPr>
        <w:t>其中本公司认缴</w:t>
      </w:r>
      <w:r>
        <w:rPr>
          <w:rFonts w:ascii="Times New Roman" w:hAnsi="Times New Roman" w:cs="Times New Roman" w:eastAsia="Times New Roman" w:hint="default"/>
          <w:spacing w:val="-1"/>
        </w:rPr>
        <w:t>1,020</w:t>
      </w:r>
      <w:r>
        <w:rPr>
          <w:spacing w:val="-1"/>
        </w:rPr>
        <w:t>万元，占比</w:t>
      </w:r>
      <w:r>
        <w:rPr>
          <w:rFonts w:ascii="Times New Roman" w:hAnsi="Times New Roman" w:cs="Times New Roman" w:eastAsia="Times New Roman" w:hint="default"/>
          <w:spacing w:val="-1"/>
        </w:rPr>
        <w:t>51%</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日，本公司实缴出资款</w:t>
      </w:r>
      <w:r>
        <w:rPr>
          <w:rFonts w:ascii="Times New Roman" w:hAnsi="Times New Roman" w:cs="Times New Roman" w:eastAsia="Times New Roman" w:hint="default"/>
          <w:spacing w:val="-1"/>
        </w:rPr>
        <w:t>734.40</w:t>
      </w:r>
      <w:r>
        <w:rPr>
          <w:spacing w:val="-1"/>
        </w:rPr>
        <w:t>万元，尚未缴纳出资款</w:t>
      </w:r>
      <w:r>
        <w:rPr>
          <w:rFonts w:ascii="Times New Roman" w:hAnsi="Times New Roman" w:cs="Times New Roman" w:eastAsia="Times New Roman" w:hint="default"/>
          <w:spacing w:val="-1"/>
        </w:rPr>
        <w:t>285.60</w:t>
      </w:r>
      <w:r>
        <w:rPr>
          <w:spacing w:val="-1"/>
        </w:rPr>
        <w:t>万元。</w:t>
      </w:r>
      <w:r>
        <w:rPr>
          <w:spacing w:val="-64"/>
        </w:rPr>
        <w:t> </w:t>
      </w:r>
      <w:r>
        <w:rPr>
          <w:spacing w:val="-64"/>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日，本公司设立抚州五洋智慧交通产业发展有限公司。抚州五洋公司注册资本人民币</w:t>
      </w:r>
      <w:r>
        <w:rPr>
          <w:rFonts w:ascii="Times New Roman" w:hAnsi="Times New Roman" w:cs="Times New Roman" w:eastAsia="Times New Roman" w:hint="default"/>
        </w:rPr>
        <w:t>10,000</w:t>
      </w:r>
      <w:r>
        <w:rPr/>
        <w:t>万元，其中本</w:t>
      </w:r>
    </w:p>
    <w:p>
      <w:pPr>
        <w:pStyle w:val="BodyText"/>
        <w:spacing w:line="240" w:lineRule="auto" w:before="13"/>
        <w:ind w:right="986"/>
        <w:jc w:val="left"/>
      </w:pPr>
      <w:r>
        <w:rPr/>
        <w:t>公司认缴</w:t>
      </w:r>
      <w:r>
        <w:rPr>
          <w:rFonts w:ascii="Times New Roman" w:hAnsi="Times New Roman" w:cs="Times New Roman" w:eastAsia="Times New Roman" w:hint="default"/>
        </w:rPr>
        <w:t>7,000</w:t>
      </w:r>
      <w:r>
        <w:rPr/>
        <w:t>万元，占比</w:t>
      </w:r>
      <w:r>
        <w:rPr>
          <w:rFonts w:ascii="Times New Roman" w:hAnsi="Times New Roman" w:cs="Times New Roman" w:eastAsia="Times New Roman" w:hint="default"/>
        </w:rPr>
        <w:t>70%</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日，本公司实缴出资款</w:t>
      </w:r>
      <w:r>
        <w:rPr>
          <w:rFonts w:ascii="Times New Roman" w:hAnsi="Times New Roman" w:cs="Times New Roman" w:eastAsia="Times New Roman" w:hint="default"/>
        </w:rPr>
        <w:t>910.00</w:t>
      </w:r>
      <w:r>
        <w:rPr/>
        <w:t>万元，尚未缴纳出资款</w:t>
      </w:r>
      <w:r>
        <w:rPr>
          <w:rFonts w:ascii="Times New Roman" w:hAnsi="Times New Roman" w:cs="Times New Roman" w:eastAsia="Times New Roman" w:hint="default"/>
        </w:rPr>
        <w:t>6,090.00</w:t>
      </w:r>
      <w:r>
        <w:rPr/>
        <w:t>万元。</w:t>
      </w:r>
    </w:p>
    <w:p>
      <w:pPr>
        <w:pStyle w:val="BodyText"/>
        <w:spacing w:line="240" w:lineRule="auto" w:before="63"/>
        <w:ind w:left="513" w:right="98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日，本公司设立徐州疌盛五洋智能装备产业基金合伙企业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。徐州疌盛合伙企业注册资本人民币</w:t>
      </w:r>
    </w:p>
    <w:p>
      <w:pPr>
        <w:pStyle w:val="BodyText"/>
        <w:spacing w:line="300" w:lineRule="auto" w:before="63"/>
        <w:ind w:right="986"/>
        <w:jc w:val="left"/>
      </w:pPr>
      <w:r>
        <w:rPr>
          <w:rFonts w:ascii="Times New Roman" w:hAnsi="Times New Roman" w:cs="Times New Roman" w:eastAsia="Times New Roman" w:hint="default"/>
          <w:spacing w:val="-2"/>
        </w:rPr>
        <w:t>50,200</w:t>
      </w:r>
      <w:r>
        <w:rPr>
          <w:spacing w:val="-2"/>
        </w:rPr>
        <w:t>万元，其中本公司认缴</w:t>
      </w:r>
      <w:r>
        <w:rPr>
          <w:rFonts w:ascii="Times New Roman" w:hAnsi="Times New Roman" w:cs="Times New Roman" w:eastAsia="Times New Roman" w:hint="default"/>
          <w:spacing w:val="-2"/>
        </w:rPr>
        <w:t>30,000</w:t>
      </w:r>
      <w:r>
        <w:rPr>
          <w:spacing w:val="-2"/>
        </w:rPr>
        <w:t>万元，占比</w:t>
      </w:r>
      <w:r>
        <w:rPr>
          <w:rFonts w:ascii="Times New Roman" w:hAnsi="Times New Roman" w:cs="Times New Roman" w:eastAsia="Times New Roman" w:hint="default"/>
          <w:spacing w:val="-2"/>
        </w:rPr>
        <w:t>59.76%</w:t>
      </w:r>
      <w:r>
        <w:rPr>
          <w:spacing w:val="-2"/>
        </w:rPr>
        <w:t>；其中前海弘毅公司认缴</w:t>
      </w:r>
      <w:r>
        <w:rPr>
          <w:rFonts w:ascii="Times New Roman" w:hAnsi="Times New Roman" w:cs="Times New Roman" w:eastAsia="Times New Roman" w:hint="default"/>
          <w:spacing w:val="-2"/>
        </w:rPr>
        <w:t>100</w:t>
      </w:r>
      <w:r>
        <w:rPr>
          <w:spacing w:val="-2"/>
        </w:rPr>
        <w:t>万元，占比</w:t>
      </w:r>
      <w:r>
        <w:rPr>
          <w:rFonts w:ascii="Times New Roman" w:hAnsi="Times New Roman" w:cs="Times New Roman" w:eastAsia="Times New Roman" w:hint="default"/>
          <w:spacing w:val="-2"/>
        </w:rPr>
        <w:t>0.20%</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71"/>
        </w:rPr>
        <w:t> </w:t>
      </w:r>
      <w:r>
        <w:rPr>
          <w:spacing w:val="-3"/>
        </w:rPr>
        <w:t>本公司实缴出资款</w:t>
      </w:r>
      <w:r>
        <w:rPr>
          <w:rFonts w:ascii="Times New Roman" w:hAnsi="Times New Roman" w:cs="Times New Roman" w:eastAsia="Times New Roman" w:hint="default"/>
          <w:spacing w:val="-3"/>
        </w:rPr>
        <w:t>15,535.00</w:t>
      </w:r>
      <w:r>
        <w:rPr>
          <w:spacing w:val="-3"/>
        </w:rPr>
        <w:t>万元，尚未缴纳出资款</w:t>
      </w:r>
      <w:r>
        <w:rPr>
          <w:rFonts w:ascii="Times New Roman" w:hAnsi="Times New Roman" w:cs="Times New Roman" w:eastAsia="Times New Roman" w:hint="default"/>
          <w:spacing w:val="-3"/>
        </w:rPr>
        <w:t>14,465.00</w:t>
      </w:r>
      <w:r>
        <w:rPr>
          <w:spacing w:val="-3"/>
        </w:rPr>
        <w:t>万元；前海弘毅公司实缴出资款</w:t>
      </w:r>
      <w:r>
        <w:rPr>
          <w:rFonts w:ascii="Times New Roman" w:hAnsi="Times New Roman" w:cs="Times New Roman" w:eastAsia="Times New Roman" w:hint="default"/>
          <w:spacing w:val="-3"/>
        </w:rPr>
        <w:t>55.00</w:t>
      </w:r>
      <w:r>
        <w:rPr>
          <w:spacing w:val="-3"/>
        </w:rPr>
        <w:t>万元，尚未缴纳出资款</w:t>
      </w:r>
      <w:r>
        <w:rPr>
          <w:rFonts w:ascii="Times New Roman" w:hAnsi="Times New Roman" w:cs="Times New Roman" w:eastAsia="Times New Roman" w:hint="default"/>
          <w:spacing w:val="-3"/>
        </w:rPr>
        <w:t>45.00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万元。</w:t>
      </w:r>
    </w:p>
    <w:p>
      <w:pPr>
        <w:pStyle w:val="BodyText"/>
        <w:spacing w:line="300" w:lineRule="auto" w:before="31"/>
        <w:ind w:right="1128"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日，本公司设立深圳市前海弘毅华浩投资有限公司。前海弘毅公司注册资本人民币</w:t>
      </w:r>
      <w:r>
        <w:rPr>
          <w:rFonts w:ascii="Times New Roman" w:hAnsi="Times New Roman" w:cs="Times New Roman" w:eastAsia="Times New Roman" w:hint="default"/>
          <w:spacing w:val="-2"/>
        </w:rPr>
        <w:t>6,000.00</w:t>
      </w:r>
      <w:r>
        <w:rPr>
          <w:spacing w:val="-2"/>
        </w:rPr>
        <w:t>万元，其中本公</w:t>
      </w:r>
      <w:r>
        <w:rPr/>
        <w:t> 司认缴</w:t>
      </w:r>
      <w:r>
        <w:rPr>
          <w:rFonts w:ascii="Times New Roman" w:hAnsi="Times New Roman" w:cs="Times New Roman" w:eastAsia="Times New Roman" w:hint="default"/>
        </w:rPr>
        <w:t>3,600.00</w:t>
      </w:r>
      <w:r>
        <w:rPr/>
        <w:t>万元，占比</w:t>
      </w:r>
      <w:r>
        <w:rPr>
          <w:rFonts w:ascii="Times New Roman" w:hAnsi="Times New Roman" w:cs="Times New Roman" w:eastAsia="Times New Roman" w:hint="default"/>
        </w:rPr>
        <w:t>60%</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日，本公司实缴出资款</w:t>
      </w:r>
      <w:r>
        <w:rPr>
          <w:rFonts w:ascii="Times New Roman" w:hAnsi="Times New Roman" w:cs="Times New Roman" w:eastAsia="Times New Roman" w:hint="default"/>
        </w:rPr>
        <w:t>1,304.00</w:t>
      </w:r>
      <w:r>
        <w:rPr/>
        <w:t>万元，尚未缴纳出资款</w:t>
      </w:r>
      <w:r>
        <w:rPr>
          <w:rFonts w:ascii="Times New Roman" w:hAnsi="Times New Roman" w:cs="Times New Roman" w:eastAsia="Times New Roman" w:hint="default"/>
        </w:rPr>
        <w:t>2,296.00</w:t>
      </w:r>
      <w:r>
        <w:rPr/>
        <w:t>万元。</w:t>
      </w:r>
    </w:p>
    <w:p>
      <w:pPr>
        <w:pStyle w:val="BodyText"/>
        <w:spacing w:line="300" w:lineRule="auto" w:before="13"/>
        <w:ind w:right="1126" w:firstLine="360"/>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日，伟创自动化公司设立广东伟创五洋智能设备有限公司。广东伟创公司注册资本人民币</w:t>
      </w:r>
      <w:r>
        <w:rPr>
          <w:rFonts w:ascii="Times New Roman" w:hAnsi="Times New Roman" w:cs="Times New Roman" w:eastAsia="Times New Roman" w:hint="default"/>
          <w:spacing w:val="-2"/>
        </w:rPr>
        <w:t>10,000.00</w:t>
      </w:r>
      <w:r>
        <w:rPr>
          <w:spacing w:val="-2"/>
        </w:rPr>
        <w:t>万元，由</w:t>
      </w:r>
      <w:r>
        <w:rPr/>
        <w:t> 伟创自动化全额认缴。截至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日，伟创自动化实缴出资款</w:t>
      </w:r>
      <w:r>
        <w:rPr>
          <w:rFonts w:ascii="Times New Roman" w:hAnsi="Times New Roman" w:cs="Times New Roman" w:eastAsia="Times New Roman" w:hint="default"/>
        </w:rPr>
        <w:t>3,640.00</w:t>
      </w:r>
      <w:r>
        <w:rPr/>
        <w:t>万元，尚未缴纳出资款</w:t>
      </w:r>
      <w:r>
        <w:rPr>
          <w:rFonts w:ascii="Times New Roman" w:hAnsi="Times New Roman" w:cs="Times New Roman" w:eastAsia="Times New Roman" w:hint="default"/>
        </w:rPr>
        <w:t>6,360.00</w:t>
      </w:r>
      <w:r>
        <w:rPr/>
        <w:t>万元。</w:t>
      </w:r>
    </w:p>
    <w:p>
      <w:pPr>
        <w:pStyle w:val="BodyText"/>
        <w:spacing w:line="300" w:lineRule="auto" w:before="13"/>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日，徐州疌盛合伙企业设立五洋智慧交通产业（徐州）有限公司。智慧交通公司注册资本人民币</w:t>
      </w:r>
      <w:r>
        <w:rPr>
          <w:rFonts w:ascii="Times New Roman" w:hAnsi="Times New Roman" w:cs="Times New Roman" w:eastAsia="Times New Roman" w:hint="default"/>
        </w:rPr>
        <w:t>8,000.00 </w:t>
      </w:r>
      <w:r>
        <w:rPr/>
        <w:t>万元，其中徐州疌盛合伙企业认缴</w:t>
      </w:r>
      <w:r>
        <w:rPr>
          <w:rFonts w:ascii="Times New Roman" w:hAnsi="Times New Roman" w:cs="Times New Roman" w:eastAsia="Times New Roman" w:hint="default"/>
        </w:rPr>
        <w:t>6,400.00</w:t>
      </w:r>
      <w:r>
        <w:rPr/>
        <w:t>万元，占比</w:t>
      </w:r>
      <w:r>
        <w:rPr>
          <w:rFonts w:ascii="Times New Roman" w:hAnsi="Times New Roman" w:cs="Times New Roman" w:eastAsia="Times New Roman" w:hint="default"/>
        </w:rPr>
        <w:t>80%</w:t>
      </w:r>
      <w:r>
        <w:rPr/>
        <w:t>；本公司认缴</w:t>
      </w:r>
      <w:r>
        <w:rPr>
          <w:rFonts w:ascii="Times New Roman" w:hAnsi="Times New Roman" w:cs="Times New Roman" w:eastAsia="Times New Roman" w:hint="default"/>
        </w:rPr>
        <w:t>400.00</w:t>
      </w:r>
      <w:r>
        <w:rPr/>
        <w:t>万元，占比</w:t>
      </w:r>
      <w:r>
        <w:rPr>
          <w:rFonts w:ascii="Times New Roman" w:hAnsi="Times New Roman" w:cs="Times New Roman" w:eastAsia="Times New Roman" w:hint="default"/>
        </w:rPr>
        <w:t>5%</w:t>
      </w:r>
      <w:r>
        <w:rPr/>
        <w:t>；前海弘毅公司认缴</w:t>
      </w:r>
      <w:r>
        <w:rPr>
          <w:rFonts w:ascii="Times New Roman" w:hAnsi="Times New Roman" w:cs="Times New Roman" w:eastAsia="Times New Roman" w:hint="default"/>
        </w:rPr>
        <w:t>240.00</w:t>
      </w:r>
      <w:r>
        <w:rPr/>
        <w:t>万</w:t>
      </w:r>
      <w:r>
        <w:rPr>
          <w:spacing w:val="-37"/>
        </w:rPr>
        <w:t> </w:t>
      </w:r>
      <w:r>
        <w:rPr/>
        <w:t>元，占比</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日，徐州疌盛合伙企业缴清全部出资；本公司尚未缴纳出资款</w:t>
      </w:r>
      <w:r>
        <w:rPr>
          <w:rFonts w:ascii="Times New Roman" w:hAnsi="Times New Roman" w:cs="Times New Roman" w:eastAsia="Times New Roman" w:hint="default"/>
        </w:rPr>
        <w:t>400.00</w:t>
      </w:r>
      <w:r>
        <w:rPr/>
        <w:t>万元；前海弘毅公司</w:t>
      </w:r>
      <w:r>
        <w:rPr>
          <w:spacing w:val="-21"/>
        </w:rPr>
        <w:t> </w:t>
      </w:r>
      <w:r>
        <w:rPr>
          <w:spacing w:val="-21"/>
        </w:rPr>
      </w:r>
      <w:r>
        <w:rPr/>
        <w:t>尚未缴纳出资款</w:t>
      </w:r>
      <w:r>
        <w:rPr>
          <w:rFonts w:ascii="Times New Roman" w:hAnsi="Times New Roman" w:cs="Times New Roman" w:eastAsia="Times New Roman" w:hint="default"/>
        </w:rPr>
        <w:t>240.00</w:t>
      </w:r>
      <w:r>
        <w:rPr/>
        <w:t>万元。</w:t>
      </w:r>
    </w:p>
    <w:p>
      <w:pPr>
        <w:pStyle w:val="BodyText"/>
        <w:spacing w:line="300" w:lineRule="auto" w:before="13"/>
        <w:ind w:right="112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月，子公司五洋智慧交通公司以股权置换的方式受让自然人单醇林持有的北京泊创公司</w:t>
      </w:r>
      <w:r>
        <w:rPr>
          <w:rFonts w:ascii="Times New Roman" w:hAnsi="Times New Roman" w:cs="Times New Roman" w:eastAsia="Times New Roman" w:hint="default"/>
        </w:rPr>
        <w:t>60.00%</w:t>
      </w:r>
      <w:r>
        <w:rPr/>
        <w:t>股权，经交易各 方协商确定股权转让价格为</w:t>
      </w:r>
      <w:r>
        <w:rPr>
          <w:rFonts w:ascii="Times New Roman" w:hAnsi="Times New Roman" w:cs="Times New Roman" w:eastAsia="Times New Roman" w:hint="default"/>
        </w:rPr>
        <w:t>120</w:t>
      </w:r>
      <w:r>
        <w:rPr/>
        <w:t>万元。北京泊创公司</w:t>
      </w:r>
      <w:r>
        <w:rPr>
          <w:rFonts w:ascii="Times New Roman" w:hAnsi="Times New Roman" w:cs="Times New Roman" w:eastAsia="Times New Roman" w:hint="default"/>
        </w:rPr>
        <w:t>60.00%</w:t>
      </w:r>
      <w:r>
        <w:rPr/>
        <w:t>股权对应出资额</w:t>
      </w:r>
      <w:r>
        <w:rPr>
          <w:rFonts w:ascii="Times New Roman" w:hAnsi="Times New Roman" w:cs="Times New Roman" w:eastAsia="Times New Roman" w:hint="default"/>
        </w:rPr>
        <w:t>120</w:t>
      </w:r>
      <w:r>
        <w:rPr/>
        <w:t>万元（其中实缴出资</w:t>
      </w:r>
      <w:r>
        <w:rPr>
          <w:rFonts w:ascii="Times New Roman" w:hAnsi="Times New Roman" w:cs="Times New Roman" w:eastAsia="Times New Roman" w:hint="default"/>
        </w:rPr>
        <w:t>20.46</w:t>
      </w:r>
      <w:r>
        <w:rPr/>
        <w:t>万元，认缴未缴出</w:t>
      </w:r>
      <w:r>
        <w:rPr>
          <w:spacing w:val="-59"/>
        </w:rPr>
        <w:t> </w:t>
      </w:r>
      <w:r>
        <w:rPr/>
        <w:t>资</w:t>
      </w:r>
      <w:r>
        <w:rPr>
          <w:rFonts w:ascii="Times New Roman" w:hAnsi="Times New Roman" w:cs="Times New Roman" w:eastAsia="Times New Roman" w:hint="default"/>
        </w:rPr>
        <w:t>99.54</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日，本公司尚未缴纳出资额</w:t>
      </w:r>
      <w:r>
        <w:rPr>
          <w:rFonts w:ascii="Times New Roman" w:hAnsi="Times New Roman" w:cs="Times New Roman" w:eastAsia="Times New Roman" w:hint="default"/>
        </w:rPr>
        <w:t>99.54</w:t>
      </w:r>
      <w:r>
        <w:rPr/>
        <w:t>万元。</w:t>
      </w:r>
    </w:p>
    <w:p>
      <w:pPr>
        <w:pStyle w:val="BodyText"/>
        <w:spacing w:line="240" w:lineRule="auto" w:before="13"/>
        <w:ind w:left="513" w:right="986"/>
        <w:jc w:val="left"/>
      </w:pPr>
      <w:r>
        <w:rPr/>
        <w:t>截至资产负债表日，本公司除上述事项外不存在其他需要披露的重大承诺事项。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未决诉讼</w:t>
      </w:r>
    </w:p>
    <w:p>
      <w:pPr>
        <w:pStyle w:val="BodyText"/>
        <w:spacing w:line="304" w:lineRule="auto" w:before="63"/>
        <w:ind w:right="1126"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日，徐州市铜山区人民法院做出一审判决，判决书编号为</w:t>
      </w:r>
      <w:r>
        <w:rPr>
          <w:rFonts w:ascii="Times New Roman" w:hAnsi="Times New Roman" w:cs="Times New Roman" w:eastAsia="Times New Roman" w:hint="default"/>
          <w:spacing w:val="-1"/>
        </w:rPr>
        <w:t>(2018)</w:t>
      </w:r>
      <w:r>
        <w:rPr>
          <w:spacing w:val="-1"/>
        </w:rPr>
        <w:t>苏</w:t>
      </w:r>
      <w:r>
        <w:rPr>
          <w:rFonts w:ascii="Times New Roman" w:hAnsi="Times New Roman" w:cs="Times New Roman" w:eastAsia="Times New Roman" w:hint="default"/>
          <w:spacing w:val="-1"/>
        </w:rPr>
        <w:t>0312</w:t>
      </w:r>
      <w:r>
        <w:rPr>
          <w:spacing w:val="-1"/>
        </w:rPr>
        <w:t>民初</w:t>
      </w:r>
      <w:r>
        <w:rPr>
          <w:rFonts w:ascii="Times New Roman" w:hAnsi="Times New Roman" w:cs="Times New Roman" w:eastAsia="Times New Roman" w:hint="default"/>
          <w:spacing w:val="-1"/>
        </w:rPr>
        <w:t>10005</w:t>
      </w:r>
      <w:r>
        <w:rPr>
          <w:spacing w:val="-1"/>
        </w:rPr>
        <w:t>号。一审判决认定事实情</w:t>
      </w:r>
      <w:r>
        <w:rPr/>
        <w:t> 况为：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日，子公司天沃重工公司在为陕西清珊新型建材有限公司（以下简称清珊公司）调试设备的过程中，因</w:t>
      </w:r>
      <w:r>
        <w:rPr>
          <w:spacing w:val="-86"/>
        </w:rPr>
        <w:t> </w:t>
      </w:r>
      <w:r>
        <w:rPr>
          <w:spacing w:val="-86"/>
        </w:rPr>
      </w:r>
      <w:r>
        <w:rPr>
          <w:spacing w:val="-2"/>
        </w:rPr>
        <w:t>操作不当，发生了沸腾炉爆燃的安全事故，造成包括清珊公司的两名员工在内的三人烧伤。本事故经汉阴县安监局及相关单</w:t>
      </w:r>
      <w:r>
        <w:rPr>
          <w:spacing w:val="-63"/>
        </w:rPr>
        <w:t> </w:t>
      </w:r>
      <w:r>
        <w:rPr>
          <w:spacing w:val="-63"/>
        </w:rPr>
      </w:r>
      <w:r>
        <w:rPr>
          <w:spacing w:val="-1"/>
        </w:rPr>
        <w:t>位联合调查，认定本公司应对本起事故负主要责任。事故发生后，清珊公司为受伤人员垫付医药费</w:t>
      </w:r>
      <w:r>
        <w:rPr>
          <w:rFonts w:ascii="Times New Roman" w:hAnsi="Times New Roman" w:cs="Times New Roman" w:eastAsia="Times New Roman" w:hint="default"/>
          <w:spacing w:val="-1"/>
        </w:rPr>
        <w:t>356.10</w:t>
      </w:r>
      <w:r>
        <w:rPr>
          <w:spacing w:val="-1"/>
        </w:rPr>
        <w:t>万元，支付专人工</w:t>
      </w:r>
      <w:r>
        <w:rPr>
          <w:spacing w:val="-76"/>
        </w:rPr>
        <w:t> </w:t>
      </w:r>
      <w:r>
        <w:rPr>
          <w:spacing w:val="-76"/>
        </w:rPr>
      </w:r>
      <w:r>
        <w:rPr/>
        <w:t>资</w:t>
      </w:r>
      <w:r>
        <w:rPr>
          <w:rFonts w:ascii="Times New Roman" w:hAnsi="Times New Roman" w:cs="Times New Roman" w:eastAsia="Times New Roman" w:hint="default"/>
        </w:rPr>
        <w:t>2.70</w:t>
      </w:r>
      <w:r>
        <w:rPr/>
        <w:t>万元，垫付费用利息</w:t>
      </w:r>
      <w:r>
        <w:rPr>
          <w:rFonts w:ascii="Times New Roman" w:hAnsi="Times New Roman" w:cs="Times New Roman" w:eastAsia="Times New Roman" w:hint="default"/>
        </w:rPr>
        <w:t>26.07</w:t>
      </w:r>
      <w:r>
        <w:rPr/>
        <w:t>万元，发生停产损失</w:t>
      </w:r>
      <w:r>
        <w:rPr>
          <w:rFonts w:ascii="Times New Roman" w:hAnsi="Times New Roman" w:cs="Times New Roman" w:eastAsia="Times New Roman" w:hint="default"/>
        </w:rPr>
        <w:t>454.23</w:t>
      </w:r>
      <w:r>
        <w:rPr/>
        <w:t>万元。清珊公司认为上述损失应由本公司赔偿。</w:t>
      </w:r>
    </w:p>
    <w:p>
      <w:pPr>
        <w:pStyle w:val="BodyText"/>
        <w:spacing w:line="300" w:lineRule="auto" w:before="9"/>
        <w:ind w:right="1133" w:firstLine="360"/>
        <w:jc w:val="both"/>
      </w:pPr>
      <w:r>
        <w:rPr/>
        <w:t>一审判决认定清珊公司的总损失为</w:t>
      </w:r>
      <w:r>
        <w:rPr>
          <w:rFonts w:ascii="Times New Roman" w:hAnsi="Times New Roman" w:cs="Times New Roman" w:eastAsia="Times New Roman" w:hint="default"/>
        </w:rPr>
        <w:t>2,806,561.84</w:t>
      </w:r>
      <w:r>
        <w:rPr/>
        <w:t>元，由本公司承担</w:t>
      </w:r>
      <w:r>
        <w:rPr>
          <w:rFonts w:ascii="Times New Roman" w:hAnsi="Times New Roman" w:cs="Times New Roman" w:eastAsia="Times New Roman" w:hint="default"/>
        </w:rPr>
        <w:t>70%</w:t>
      </w:r>
      <w:r>
        <w:rPr/>
        <w:t>的赔偿责任</w:t>
      </w:r>
      <w:r>
        <w:rPr>
          <w:rFonts w:ascii="Times New Roman" w:hAnsi="Times New Roman" w:cs="Times New Roman" w:eastAsia="Times New Roman" w:hint="default"/>
        </w:rPr>
        <w:t>1,964,593.29</w:t>
      </w:r>
      <w:r>
        <w:rPr/>
        <w:t>元，扣除各项垫付款后， 判赔清珊公司经济损失及费用共计人民币</w:t>
      </w:r>
      <w:r>
        <w:rPr>
          <w:rFonts w:ascii="Times New Roman" w:hAnsi="Times New Roman" w:cs="Times New Roman" w:eastAsia="Times New Roman" w:hint="default"/>
        </w:rPr>
        <w:t>1,766,739.06</w:t>
      </w:r>
      <w:r>
        <w:rPr/>
        <w:t>元。公司于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日向徐州市铜山区人民法院提起上诉，诉求撤</w:t>
      </w:r>
      <w:r>
        <w:rPr>
          <w:spacing w:val="-46"/>
        </w:rPr>
        <w:t> </w:t>
      </w:r>
      <w:r>
        <w:rPr>
          <w:spacing w:val="-46"/>
        </w:rPr>
      </w:r>
      <w:r>
        <w:rPr/>
        <w:t>销一审判决结果。</w:t>
      </w:r>
    </w:p>
    <w:p>
      <w:pPr>
        <w:pStyle w:val="BodyText"/>
        <w:spacing w:line="240" w:lineRule="auto" w:before="32"/>
        <w:ind w:left="513" w:right="986"/>
        <w:jc w:val="left"/>
      </w:pPr>
      <w:r>
        <w:rPr/>
        <w:t>截至财务报表批准报出日，本案二审尚未开庭审理。公司账面已根据一审判决情况确认预计负债</w:t>
      </w:r>
      <w:r>
        <w:rPr>
          <w:rFonts w:ascii="Times New Roman" w:hAnsi="Times New Roman" w:cs="Times New Roman" w:eastAsia="Times New Roman" w:hint="default"/>
        </w:rPr>
        <w:t>1,766,739.06</w:t>
      </w:r>
      <w:r>
        <w:rPr/>
        <w:t>元。</w:t>
      </w:r>
    </w:p>
    <w:p>
      <w:pPr>
        <w:pStyle w:val="BodyText"/>
        <w:spacing w:line="300" w:lineRule="auto" w:before="63"/>
        <w:ind w:right="1259"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其他或有事项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日，公司已背书但尚未到期的商业承兑汇票余额为</w:t>
      </w:r>
      <w:r>
        <w:rPr>
          <w:rFonts w:ascii="Times New Roman" w:hAnsi="Times New Roman" w:cs="Times New Roman" w:eastAsia="Times New Roman" w:hint="default"/>
        </w:rPr>
        <w:t>47,973,416.81</w:t>
      </w:r>
      <w:r>
        <w:rPr/>
        <w:t>元，该等商业承兑汇票的承兑人如下：</w:t>
      </w:r>
    </w:p>
    <w:tbl>
      <w:tblPr>
        <w:tblW w:w="0" w:type="auto"/>
        <w:jc w:val="left"/>
        <w:tblInd w:w="143" w:type="dxa"/>
        <w:tblLayout w:type="fixed"/>
        <w:tblCellMar>
          <w:top w:w="0" w:type="dxa"/>
          <w:left w:w="0" w:type="dxa"/>
          <w:bottom w:w="0" w:type="dxa"/>
          <w:right w:w="0" w:type="dxa"/>
        </w:tblCellMar>
        <w:tblLook w:val="01E0"/>
      </w:tblPr>
      <w:tblGrid>
        <w:gridCol w:w="3313"/>
        <w:gridCol w:w="2228"/>
        <w:gridCol w:w="2127"/>
      </w:tblGrid>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13"/>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56"/>
              <w:jc w:val="center"/>
              <w:rPr>
                <w:rFonts w:ascii="宋体" w:hAnsi="宋体" w:cs="宋体" w:eastAsia="宋体" w:hint="default"/>
                <w:sz w:val="18"/>
                <w:szCs w:val="18"/>
              </w:rPr>
            </w:pPr>
            <w:r>
              <w:rPr>
                <w:rFonts w:ascii="宋体" w:hAnsi="宋体" w:cs="宋体" w:eastAsia="宋体" w:hint="default"/>
                <w:sz w:val="18"/>
                <w:szCs w:val="18"/>
              </w:rPr>
              <w:t>金额</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票据到期日</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甘肃恒源房地产开发有限公司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7,377,720.00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2020/9/29</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东方影都融创投资有限公司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4,919,252.00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2020/6/27</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万宁南山融创实业有限公司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4,840,000.00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2020/5/25</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深圳市比亚迪锂电池有限公司坑梓分公司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3,350,000.00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2020/2/7</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南京名寓置业有限公司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3,201,825.46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w w:val="95"/>
                <w:sz w:val="18"/>
              </w:rPr>
              <w:t>2020/12/12</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常州世茂新城房地产开发有限公司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1,560,900.00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2020/4/9</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上海湖邦房地产有限公司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3,018,301.00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2020/9/18</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东莞市城邦房地产开发有限公司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2,128,751.13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2020/5/15</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桂林桂加房地产有限公司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1,983,311.88</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2020/5/16</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佛山市南海区欧泰置业有限公司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1,866,299.54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2020/8/14</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安徽中汇国银德源置业有限公司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1,739,640.00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w w:val="95"/>
                <w:sz w:val="18"/>
              </w:rPr>
              <w:t>2020/10/23</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廊坊市圣斌房地产开发有限公司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1,700,000.00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2020/5/16</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无锡幸福基业房地产开发有限公司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1,145,532.00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2020/4/28</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贵阳九地房地产开发有限公司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1,105,326.62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w w:val="95"/>
                <w:sz w:val="18"/>
              </w:rPr>
              <w:t>2020/10/24</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上海昊川置业有限公司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2,016,782.00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w w:val="95"/>
                <w:sz w:val="18"/>
              </w:rPr>
              <w:t>2020/10/29</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昆山世茂新发展置业有限公司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601,200.00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2020/1/29</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长沙市比亚迪汽车有限公司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724,052.70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2020/3/26</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合肥粤诚置业有限公司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588,137.48</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2020/6/14</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天津天房融创置业有限公司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514,951.00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2020/9/29</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上海世茂房地产有限公司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471,007.00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2020/6/13</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无锡融创城市建设有限公司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1,079,917.78</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2020/9/27</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万科企业股份有限公司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611,547.36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2020/11/12</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苏州朗坤置业有限公司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234,429.00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2020/7/12</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陕西陕煤韩城矿业有限公司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2020/1/10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313"/>
        <w:gridCol w:w="2228"/>
        <w:gridCol w:w="2127"/>
      </w:tblGrid>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淮安中南世纪城房地产有限公司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163,708.24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2020/6/25</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上海合砚房地产有限公司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368,209.62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2020/7/18</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佛山市南海新中建房地产发展有限公司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145,215.00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2020/5/15</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南宁恒大城市建设有限公司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136,200.00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2020/4/23</w:t>
            </w:r>
          </w:p>
        </w:tc>
      </w:tr>
      <w:tr>
        <w:trPr>
          <w:trHeight w:val="350"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惠州比亚迪电池有限公司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81,200.00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2020/4/23</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山西晋煤集团金鼎煤机矿业有限责任公司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2020/1/24</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2020/5/28</w:t>
            </w:r>
          </w:p>
        </w:tc>
      </w:tr>
      <w:tr>
        <w:trPr>
          <w:trHeight w:val="353" w:hRule="exact"/>
        </w:trPr>
        <w:tc>
          <w:tcPr>
            <w:tcW w:w="3313" w:type="dxa"/>
            <w:tcBorders>
              <w:top w:val="single" w:sz="8" w:space="0" w:color="000000"/>
              <w:left w:val="single" w:sz="8" w:space="0" w:color="000000"/>
              <w:bottom w:val="single" w:sz="8" w:space="0" w:color="000000"/>
              <w:right w:val="single" w:sz="8" w:space="0" w:color="000000"/>
            </w:tcBorders>
          </w:tcPr>
          <w:p>
            <w:pPr>
              <w:pStyle w:val="TableParagraph"/>
              <w:tabs>
                <w:tab w:pos="470" w:val="left" w:leader="none"/>
              </w:tabs>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47,973,416.81</w:t>
            </w:r>
          </w:p>
        </w:tc>
        <w:tc>
          <w:tcPr>
            <w:tcW w:w="2127"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16" w:lineRule="auto" w:before="8"/>
        <w:ind w:right="986" w:firstLine="420"/>
        <w:jc w:val="left"/>
      </w:pPr>
      <w:r>
        <w:rPr/>
        <w:t>由于上述承兑人具有较好的信用，故本公司将已背书的商业承兑汇票予以终止确认。但如果该等票据到期不获支付， 依据《票据法》之规定，公司仍将对持票人承担连带责任。</w:t>
      </w:r>
    </w:p>
    <w:p>
      <w:pPr>
        <w:pStyle w:val="BodyText"/>
        <w:spacing w:line="240" w:lineRule="auto" w:before="19"/>
        <w:ind w:left="513" w:right="986"/>
        <w:jc w:val="left"/>
      </w:pPr>
      <w:r>
        <w:rPr/>
        <w:t>截至资产负债表日，本公司除上述事项外不存在其他需要披露的重大或有事项。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64"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日收到中国证 券监督管理委员会出具的</w:t>
            </w:r>
          </w:p>
          <w:p>
            <w:pPr>
              <w:pStyle w:val="TableParagraph"/>
              <w:spacing w:line="316" w:lineRule="auto" w:before="31"/>
              <w:ind w:left="18" w:right="22"/>
              <w:jc w:val="left"/>
              <w:rPr>
                <w:rFonts w:ascii="宋体" w:hAnsi="宋体" w:cs="宋体" w:eastAsia="宋体" w:hint="default"/>
                <w:sz w:val="18"/>
                <w:szCs w:val="18"/>
              </w:rPr>
            </w:pPr>
            <w:r>
              <w:rPr>
                <w:rFonts w:ascii="宋体" w:hAnsi="宋体" w:cs="宋体" w:eastAsia="宋体" w:hint="default"/>
                <w:sz w:val="18"/>
                <w:szCs w:val="18"/>
              </w:rPr>
              <w:t>《关于核准江苏五洋停车产 业集团股份有限公司非公开 </w:t>
            </w:r>
            <w:r>
              <w:rPr>
                <w:rFonts w:ascii="宋体" w:hAnsi="宋体" w:cs="宋体" w:eastAsia="宋体" w:hint="default"/>
                <w:spacing w:val="-8"/>
                <w:sz w:val="18"/>
                <w:szCs w:val="18"/>
              </w:rPr>
              <w:t>发行股票的批复》（证监许可</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[2019]2279</w:t>
            </w:r>
            <w:r>
              <w:rPr>
                <w:rFonts w:ascii="Times New Roman" w:hAnsi="Times New Roman" w:cs="Times New Roman" w:eastAsia="Times New Roman" w:hint="default"/>
                <w:spacing w:val="15"/>
                <w:sz w:val="18"/>
                <w:szCs w:val="18"/>
              </w:rPr>
              <w:t> </w:t>
            </w:r>
            <w:r>
              <w:rPr>
                <w:rFonts w:ascii="宋体" w:hAnsi="宋体" w:cs="宋体" w:eastAsia="宋体" w:hint="default"/>
                <w:spacing w:val="-12"/>
                <w:sz w:val="18"/>
                <w:szCs w:val="18"/>
              </w:rPr>
              <w:t>号），核准公司非</w:t>
            </w:r>
          </w:p>
          <w:p>
            <w:pPr>
              <w:pStyle w:val="TableParagraph"/>
              <w:spacing w:line="309" w:lineRule="auto"/>
              <w:ind w:left="18" w:right="52"/>
              <w:jc w:val="both"/>
              <w:rPr>
                <w:rFonts w:ascii="Times New Roman" w:hAnsi="Times New Roman" w:cs="Times New Roman" w:eastAsia="Times New Roman" w:hint="default"/>
                <w:sz w:val="18"/>
                <w:szCs w:val="18"/>
              </w:rPr>
            </w:pPr>
            <w:r>
              <w:rPr>
                <w:rFonts w:ascii="宋体" w:hAnsi="宋体" w:cs="宋体" w:eastAsia="宋体" w:hint="default"/>
                <w:sz w:val="18"/>
                <w:szCs w:val="18"/>
              </w:rPr>
              <w:t>公开发行不超过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143,126,097 </w:t>
            </w:r>
            <w:r>
              <w:rPr>
                <w:rFonts w:ascii="宋体" w:hAnsi="宋体" w:cs="宋体" w:eastAsia="宋体" w:hint="default"/>
                <w:sz w:val="18"/>
                <w:szCs w:val="18"/>
              </w:rPr>
              <w:t>股新股，并申请在深圳证券 交易所上市流通。截至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p>
          <w:p>
            <w:pPr>
              <w:pStyle w:val="TableParagraph"/>
              <w:spacing w:line="300" w:lineRule="auto" w:before="5"/>
              <w:ind w:left="18"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日，本次非公开发 行尚在进行中。</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568"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986"/>
        <w:jc w:val="left"/>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日，除上述事项外，本公司不存在其他需要披露的资产负债表日后事项。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986"/>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87" w:right="986"/>
        <w:jc w:val="left"/>
      </w:pPr>
      <w:r>
        <w:rPr/>
        <w:t>确定报告分部考虑的因素</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986" w:firstLine="420"/>
        <w:jc w:val="left"/>
      </w:pPr>
      <w:r>
        <w:rPr/>
        <w:t>公司以内部组织结构、管理要求、内部报告制度等为依据确定报告分部。公司的经营分部是指同时满足下列条件的组 成部分：</w:t>
      </w:r>
    </w:p>
    <w:p>
      <w:pPr>
        <w:pStyle w:val="BodyText"/>
        <w:spacing w:line="240" w:lineRule="auto" w:before="17"/>
        <w:ind w:left="573" w:right="9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该组成部分能够在日常活动中产生收入、发生费用；</w:t>
      </w:r>
    </w:p>
    <w:p>
      <w:pPr>
        <w:pStyle w:val="BodyText"/>
        <w:spacing w:line="240" w:lineRule="auto" w:before="63"/>
        <w:ind w:left="573" w:right="9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管理层能够定期评价该组成部分的经营成果，以决定向其配置资源、评价其业绩；</w:t>
      </w:r>
    </w:p>
    <w:p>
      <w:pPr>
        <w:pStyle w:val="BodyText"/>
        <w:spacing w:line="240" w:lineRule="auto" w:before="63"/>
        <w:ind w:left="573" w:right="9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p>
    <w:p>
      <w:pPr>
        <w:pStyle w:val="Heading4"/>
        <w:spacing w:line="300" w:lineRule="auto" w:before="51"/>
        <w:ind w:right="1128" w:firstLine="420"/>
        <w:jc w:val="left"/>
        <w:rPr>
          <w:i w:val="0"/>
        </w:rPr>
      </w:pPr>
      <w:r>
        <w:rPr>
          <w:w w:val="95"/>
        </w:rPr>
        <w:t>本公司以产品分部为基础确定报告分部，与各分部共同使用的资产、负债因相关业务混合经营，故无法对各分部使用</w:t>
      </w:r>
      <w:r>
        <w:rPr>
          <w:w w:val="94"/>
        </w:rPr>
        <w:t> </w:t>
      </w:r>
      <w:r>
        <w:rPr/>
        <w:t>的资产、负债进行分配。</w:t>
      </w:r>
      <w:r>
        <w:rPr>
          <w:i w:val="0"/>
        </w:rPr>
      </w: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pStyle w:val="Heading3"/>
        <w:spacing w:line="240" w:lineRule="auto" w:before="148"/>
        <w:ind w:right="986"/>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主体车库及其安装服务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817,149,271.55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534,084,552.47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成套生产线及安装服务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206,388,297.15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153,526,698.80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散料搬运核心装置</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114,473,797.14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62,016,351.98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混凝土搅拌站</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113,865,281.15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76,149,461.86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2,749,497.76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999,540.25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固态电子盘及其他存储 设备</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10,199,370.47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4,580,932.35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融资租赁利息收入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6,996,141.53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5,172,367.87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5,705,964.20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2,784,180.88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2,563,281.48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1,279,778,205.50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839,626,783.39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73" w:right="6013" w:hanging="60"/>
        <w:jc w:val="left"/>
      </w:pPr>
      <w:r>
        <w:rPr>
          <w:rFonts w:ascii="Times New Roman" w:hAnsi="Times New Roman" w:cs="Times New Roman" w:eastAsia="Times New Roman" w:hint="default"/>
        </w:rPr>
        <w:t>1</w:t>
      </w:r>
      <w:r>
        <w:rPr/>
        <w:t>．股权质押情况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日，前十名股东股权质押情况如下：</w:t>
      </w:r>
    </w:p>
    <w:tbl>
      <w:tblPr>
        <w:tblW w:w="0" w:type="auto"/>
        <w:jc w:val="left"/>
        <w:tblInd w:w="145" w:type="dxa"/>
        <w:tblLayout w:type="fixed"/>
        <w:tblCellMar>
          <w:top w:w="0" w:type="dxa"/>
          <w:left w:w="0" w:type="dxa"/>
          <w:bottom w:w="0" w:type="dxa"/>
          <w:right w:w="0" w:type="dxa"/>
        </w:tblCellMar>
        <w:tblLook w:val="01E0"/>
      </w:tblPr>
      <w:tblGrid>
        <w:gridCol w:w="963"/>
        <w:gridCol w:w="1483"/>
        <w:gridCol w:w="841"/>
        <w:gridCol w:w="1543"/>
        <w:gridCol w:w="843"/>
        <w:gridCol w:w="984"/>
        <w:gridCol w:w="1265"/>
        <w:gridCol w:w="1339"/>
      </w:tblGrid>
      <w:tr>
        <w:trPr>
          <w:trHeight w:val="661" w:hRule="exact"/>
        </w:trPr>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股东姓名</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持有公司股份</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4"/>
              <w:jc w:val="left"/>
              <w:rPr>
                <w:rFonts w:ascii="宋体" w:hAnsi="宋体" w:cs="宋体" w:eastAsia="宋体" w:hint="default"/>
                <w:sz w:val="18"/>
                <w:szCs w:val="18"/>
              </w:rPr>
            </w:pPr>
            <w:r>
              <w:rPr>
                <w:rFonts w:ascii="宋体" w:hAnsi="宋体" w:cs="宋体" w:eastAsia="宋体" w:hint="default"/>
                <w:spacing w:val="24"/>
                <w:sz w:val="18"/>
                <w:szCs w:val="18"/>
              </w:rPr>
              <w:t>占注册资</w:t>
            </w:r>
            <w:r>
              <w:rPr>
                <w:rFonts w:ascii="宋体" w:hAnsi="宋体" w:cs="宋体" w:eastAsia="宋体" w:hint="default"/>
                <w:spacing w:val="-88"/>
                <w:sz w:val="18"/>
                <w:szCs w:val="18"/>
              </w:rPr>
              <w:t> </w:t>
            </w:r>
            <w:r>
              <w:rPr>
                <w:rFonts w:ascii="宋体" w:hAnsi="宋体" w:cs="宋体" w:eastAsia="宋体" w:hint="default"/>
                <w:sz w:val="18"/>
                <w:szCs w:val="18"/>
              </w:rPr>
              <w:t>本比</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质押股份</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占个人比</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12"/>
                <w:sz w:val="18"/>
                <w:szCs w:val="18"/>
              </w:rPr>
              <w:t>占注册资本</w:t>
            </w:r>
            <w:r>
              <w:rPr>
                <w:rFonts w:ascii="宋体" w:hAnsi="宋体" w:cs="宋体" w:eastAsia="宋体" w:hint="default"/>
                <w:sz w:val="18"/>
                <w:szCs w:val="18"/>
              </w:rPr>
              <w:t> 的比例</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质押期限</w:t>
            </w:r>
          </w:p>
        </w:tc>
      </w:tr>
      <w:tr>
        <w:trPr>
          <w:trHeight w:val="660" w:hRule="exact"/>
        </w:trPr>
        <w:tc>
          <w:tcPr>
            <w:tcW w:w="963"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483" w:type="dxa"/>
            <w:vMerge w:val="restart"/>
            <w:tcBorders>
              <w:top w:val="single" w:sz="6" w:space="0" w:color="000000"/>
              <w:left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76,606,500.00</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10.70%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25,000,000.00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32.63%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3.49%</w:t>
            </w:r>
          </w:p>
        </w:tc>
        <w:tc>
          <w:tcPr>
            <w:tcW w:w="1265"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57"/>
                <w:sz w:val="18"/>
                <w:szCs w:val="18"/>
              </w:rPr>
              <w:t> </w:t>
            </w:r>
            <w:r>
              <w:rPr>
                <w:rFonts w:ascii="宋体" w:hAnsi="宋体" w:cs="宋体" w:eastAsia="宋体" w:hint="default"/>
                <w:sz w:val="18"/>
                <w:szCs w:val="18"/>
              </w:rPr>
              <w:t>商</w:t>
            </w:r>
            <w:r>
              <w:rPr>
                <w:rFonts w:ascii="宋体" w:hAnsi="宋体" w:cs="宋体" w:eastAsia="宋体" w:hint="default"/>
                <w:spacing w:val="-57"/>
                <w:sz w:val="18"/>
                <w:szCs w:val="18"/>
              </w:rPr>
              <w:t> </w:t>
            </w:r>
            <w:r>
              <w:rPr>
                <w:rFonts w:ascii="宋体" w:hAnsi="宋体" w:cs="宋体" w:eastAsia="宋体" w:hint="default"/>
                <w:sz w:val="18"/>
                <w:szCs w:val="18"/>
              </w:rPr>
              <w:t>证</w:t>
            </w:r>
            <w:r>
              <w:rPr>
                <w:rFonts w:ascii="宋体" w:hAnsi="宋体" w:cs="宋体" w:eastAsia="宋体" w:hint="default"/>
                <w:spacing w:val="-57"/>
                <w:sz w:val="18"/>
                <w:szCs w:val="18"/>
              </w:rPr>
              <w:t> </w:t>
            </w:r>
            <w:r>
              <w:rPr>
                <w:rFonts w:ascii="宋体" w:hAnsi="宋体" w:cs="宋体" w:eastAsia="宋体" w:hint="default"/>
                <w:sz w:val="18"/>
                <w:szCs w:val="18"/>
              </w:rPr>
              <w:t>券</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2019-07-25</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2020-7-24</w:t>
            </w:r>
          </w:p>
        </w:tc>
      </w:tr>
      <w:tr>
        <w:trPr>
          <w:trHeight w:val="658" w:hRule="exact"/>
        </w:trPr>
        <w:tc>
          <w:tcPr>
            <w:tcW w:w="963" w:type="dxa"/>
            <w:vMerge/>
            <w:tcBorders>
              <w:left w:val="single" w:sz="6" w:space="0" w:color="000000"/>
              <w:right w:val="single" w:sz="6" w:space="0" w:color="000000"/>
            </w:tcBorders>
          </w:tcPr>
          <w:p>
            <w:pPr/>
          </w:p>
        </w:tc>
        <w:tc>
          <w:tcPr>
            <w:tcW w:w="1483"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15,000,000.00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19.58%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2.10%</w:t>
            </w:r>
          </w:p>
        </w:tc>
        <w:tc>
          <w:tcPr>
            <w:tcW w:w="1265" w:type="dxa"/>
            <w:vMerge/>
            <w:tcBorders>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2019-08-05</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2020-8-4</w:t>
            </w:r>
          </w:p>
        </w:tc>
      </w:tr>
      <w:tr>
        <w:trPr>
          <w:trHeight w:val="660" w:hRule="exact"/>
        </w:trPr>
        <w:tc>
          <w:tcPr>
            <w:tcW w:w="963" w:type="dxa"/>
            <w:vMerge/>
            <w:tcBorders>
              <w:left w:val="single" w:sz="6" w:space="0" w:color="000000"/>
              <w:bottom w:val="single" w:sz="6" w:space="0" w:color="000000"/>
              <w:right w:val="single" w:sz="6" w:space="0" w:color="000000"/>
            </w:tcBorders>
          </w:tcPr>
          <w:p>
            <w:pPr/>
          </w:p>
        </w:tc>
        <w:tc>
          <w:tcPr>
            <w:tcW w:w="1483"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7,480,000.00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9.76%</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1.05%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57"/>
                <w:sz w:val="18"/>
                <w:szCs w:val="18"/>
              </w:rPr>
              <w:t> </w:t>
            </w: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证</w:t>
            </w:r>
            <w:r>
              <w:rPr>
                <w:rFonts w:ascii="宋体" w:hAnsi="宋体" w:cs="宋体" w:eastAsia="宋体" w:hint="default"/>
                <w:spacing w:val="-57"/>
                <w:sz w:val="18"/>
                <w:szCs w:val="18"/>
              </w:rPr>
              <w:t> </w:t>
            </w:r>
            <w:r>
              <w:rPr>
                <w:rFonts w:ascii="宋体" w:hAnsi="宋体" w:cs="宋体" w:eastAsia="宋体" w:hint="default"/>
                <w:sz w:val="18"/>
                <w:szCs w:val="18"/>
              </w:rPr>
              <w:t>券</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20"/>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2019-05-20</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2020-5-19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963"/>
        <w:gridCol w:w="1483"/>
        <w:gridCol w:w="841"/>
        <w:gridCol w:w="1543"/>
        <w:gridCol w:w="843"/>
        <w:gridCol w:w="984"/>
        <w:gridCol w:w="1265"/>
        <w:gridCol w:w="1339"/>
      </w:tblGrid>
      <w:tr>
        <w:trPr>
          <w:trHeight w:val="660" w:hRule="exact"/>
        </w:trPr>
        <w:tc>
          <w:tcPr>
            <w:tcW w:w="963"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483" w:type="dxa"/>
            <w:vMerge w:val="restart"/>
            <w:tcBorders>
              <w:top w:val="single" w:sz="6" w:space="0" w:color="000000"/>
              <w:left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69,835,495.00</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9.76%</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18,320,000.00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26.23%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2.56%</w:t>
            </w:r>
          </w:p>
        </w:tc>
        <w:tc>
          <w:tcPr>
            <w:tcW w:w="1265" w:type="dxa"/>
            <w:vMerge w:val="restart"/>
            <w:tcBorders>
              <w:top w:val="single" w:sz="6" w:space="0" w:color="000000"/>
              <w:left w:val="single" w:sz="6" w:space="0" w:color="000000"/>
              <w:right w:val="single" w:sz="6" w:space="0" w:color="000000"/>
            </w:tcBorders>
          </w:tcPr>
          <w:p>
            <w:pPr>
              <w:pStyle w:val="TableParagraph"/>
              <w:spacing w:line="319" w:lineRule="auto" w:before="17"/>
              <w:ind w:left="4" w:right="1"/>
              <w:jc w:val="both"/>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57"/>
                <w:sz w:val="18"/>
                <w:szCs w:val="18"/>
              </w:rPr>
              <w:t> </w:t>
            </w:r>
            <w:r>
              <w:rPr>
                <w:rFonts w:ascii="宋体" w:hAnsi="宋体" w:cs="宋体" w:eastAsia="宋体" w:hint="default"/>
                <w:sz w:val="18"/>
                <w:szCs w:val="18"/>
              </w:rPr>
              <w:t>泰</w:t>
            </w:r>
            <w:r>
              <w:rPr>
                <w:rFonts w:ascii="宋体" w:hAnsi="宋体" w:cs="宋体" w:eastAsia="宋体" w:hint="default"/>
                <w:spacing w:val="-57"/>
                <w:sz w:val="18"/>
                <w:szCs w:val="18"/>
              </w:rPr>
              <w:t> </w:t>
            </w:r>
            <w:r>
              <w:rPr>
                <w:rFonts w:ascii="宋体" w:hAnsi="宋体" w:cs="宋体" w:eastAsia="宋体" w:hint="default"/>
                <w:sz w:val="18"/>
                <w:szCs w:val="18"/>
              </w:rPr>
              <w:t>证</w:t>
            </w:r>
            <w:r>
              <w:rPr>
                <w:rFonts w:ascii="宋体" w:hAnsi="宋体" w:cs="宋体" w:eastAsia="宋体" w:hint="default"/>
                <w:spacing w:val="-57"/>
                <w:sz w:val="18"/>
                <w:szCs w:val="18"/>
              </w:rPr>
              <w:t> </w:t>
            </w:r>
            <w:r>
              <w:rPr>
                <w:rFonts w:ascii="宋体" w:hAnsi="宋体" w:cs="宋体" w:eastAsia="宋体" w:hint="default"/>
                <w:sz w:val="18"/>
                <w:szCs w:val="18"/>
              </w:rPr>
              <w:t>券</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上</w:t>
            </w:r>
            <w:r>
              <w:rPr>
                <w:rFonts w:ascii="宋体" w:hAnsi="宋体" w:cs="宋体" w:eastAsia="宋体" w:hint="default"/>
                <w:sz w:val="18"/>
                <w:szCs w:val="18"/>
              </w:rPr>
              <w:t> </w:t>
            </w:r>
            <w:r>
              <w:rPr>
                <w:rFonts w:ascii="宋体" w:hAnsi="宋体" w:cs="宋体" w:eastAsia="宋体" w:hint="default"/>
                <w:spacing w:val="-3"/>
                <w:sz w:val="18"/>
                <w:szCs w:val="18"/>
              </w:rPr>
              <w:t>海）资产管理有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2019-3-26</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2020-3-25</w:t>
            </w:r>
          </w:p>
        </w:tc>
      </w:tr>
      <w:tr>
        <w:trPr>
          <w:trHeight w:val="658" w:hRule="exact"/>
        </w:trPr>
        <w:tc>
          <w:tcPr>
            <w:tcW w:w="963" w:type="dxa"/>
            <w:vMerge/>
            <w:tcBorders>
              <w:left w:val="single" w:sz="6" w:space="0" w:color="000000"/>
              <w:bottom w:val="single" w:sz="6" w:space="0" w:color="000000"/>
              <w:right w:val="single" w:sz="6" w:space="0" w:color="000000"/>
            </w:tcBorders>
          </w:tcPr>
          <w:p>
            <w:pPr/>
          </w:p>
        </w:tc>
        <w:tc>
          <w:tcPr>
            <w:tcW w:w="1483"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11,680,000.00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16.73%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1.63%</w:t>
            </w:r>
          </w:p>
        </w:tc>
        <w:tc>
          <w:tcPr>
            <w:tcW w:w="1265" w:type="dxa"/>
            <w:vMerge/>
            <w:tcBorders>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2019-3-27</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2020-3-26</w:t>
            </w:r>
          </w:p>
        </w:tc>
      </w:tr>
      <w:tr>
        <w:trPr>
          <w:trHeight w:val="660" w:hRule="exact"/>
        </w:trPr>
        <w:tc>
          <w:tcPr>
            <w:tcW w:w="963"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483" w:type="dxa"/>
            <w:vMerge w:val="restart"/>
            <w:tcBorders>
              <w:top w:val="single" w:sz="6" w:space="0" w:color="000000"/>
              <w:left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40,722,448.00</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5.69%</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7,276,000.00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17.87%</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1.02%</w:t>
            </w:r>
          </w:p>
        </w:tc>
        <w:tc>
          <w:tcPr>
            <w:tcW w:w="1265"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pacing w:val="-57"/>
                <w:sz w:val="18"/>
                <w:szCs w:val="18"/>
              </w:rPr>
              <w:t> </w:t>
            </w:r>
            <w:r>
              <w:rPr>
                <w:rFonts w:ascii="宋体" w:hAnsi="宋体" w:cs="宋体" w:eastAsia="宋体" w:hint="default"/>
                <w:sz w:val="18"/>
                <w:szCs w:val="18"/>
              </w:rPr>
              <w:t>创</w:t>
            </w:r>
            <w:r>
              <w:rPr>
                <w:rFonts w:ascii="宋体" w:hAnsi="宋体" w:cs="宋体" w:eastAsia="宋体" w:hint="default"/>
                <w:spacing w:val="-57"/>
                <w:sz w:val="18"/>
                <w:szCs w:val="18"/>
              </w:rPr>
              <w:t> </w:t>
            </w:r>
            <w:r>
              <w:rPr>
                <w:rFonts w:ascii="宋体" w:hAnsi="宋体" w:cs="宋体" w:eastAsia="宋体" w:hint="default"/>
                <w:sz w:val="18"/>
                <w:szCs w:val="18"/>
              </w:rPr>
              <w:t>证</w:t>
            </w:r>
            <w:r>
              <w:rPr>
                <w:rFonts w:ascii="宋体" w:hAnsi="宋体" w:cs="宋体" w:eastAsia="宋体" w:hint="default"/>
                <w:spacing w:val="-57"/>
                <w:sz w:val="18"/>
                <w:szCs w:val="18"/>
              </w:rPr>
              <w:t> </w:t>
            </w:r>
            <w:r>
              <w:rPr>
                <w:rFonts w:ascii="宋体" w:hAnsi="宋体" w:cs="宋体" w:eastAsia="宋体" w:hint="default"/>
                <w:sz w:val="18"/>
                <w:szCs w:val="18"/>
              </w:rPr>
              <w:t>券</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z w:val="18"/>
                <w:szCs w:val="18"/>
              </w:rPr>
              <w:t> 责任公司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20"/>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2018-04-18</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2020-4-17</w:t>
            </w:r>
          </w:p>
        </w:tc>
      </w:tr>
      <w:tr>
        <w:trPr>
          <w:trHeight w:val="658" w:hRule="exact"/>
        </w:trPr>
        <w:tc>
          <w:tcPr>
            <w:tcW w:w="963" w:type="dxa"/>
            <w:vMerge/>
            <w:tcBorders>
              <w:left w:val="single" w:sz="6" w:space="0" w:color="000000"/>
              <w:bottom w:val="single" w:sz="6" w:space="0" w:color="000000"/>
              <w:right w:val="single" w:sz="6" w:space="0" w:color="000000"/>
            </w:tcBorders>
          </w:tcPr>
          <w:p>
            <w:pPr/>
          </w:p>
        </w:tc>
        <w:tc>
          <w:tcPr>
            <w:tcW w:w="1483"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3,800,000.00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9.33%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0.53%</w:t>
            </w:r>
          </w:p>
        </w:tc>
        <w:tc>
          <w:tcPr>
            <w:tcW w:w="1265" w:type="dxa"/>
            <w:vMerge/>
            <w:tcBorders>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17"/>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2018-04-03</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2020-4-2</w:t>
            </w:r>
          </w:p>
        </w:tc>
      </w:tr>
      <w:tr>
        <w:trPr>
          <w:trHeight w:val="660" w:hRule="exact"/>
        </w:trPr>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7,120,757.00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1.00%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4,430,000.00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62.21%</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0.62%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57"/>
                <w:sz w:val="18"/>
                <w:szCs w:val="18"/>
              </w:rPr>
              <w:t> </w:t>
            </w:r>
            <w:r>
              <w:rPr>
                <w:rFonts w:ascii="宋体" w:hAnsi="宋体" w:cs="宋体" w:eastAsia="宋体" w:hint="default"/>
                <w:sz w:val="18"/>
                <w:szCs w:val="18"/>
              </w:rPr>
              <w:t>源</w:t>
            </w:r>
            <w:r>
              <w:rPr>
                <w:rFonts w:ascii="宋体" w:hAnsi="宋体" w:cs="宋体" w:eastAsia="宋体" w:hint="default"/>
                <w:spacing w:val="-57"/>
                <w:sz w:val="18"/>
                <w:szCs w:val="18"/>
              </w:rPr>
              <w:t> </w:t>
            </w:r>
            <w:r>
              <w:rPr>
                <w:rFonts w:ascii="宋体" w:hAnsi="宋体" w:cs="宋体" w:eastAsia="宋体" w:hint="default"/>
                <w:sz w:val="18"/>
                <w:szCs w:val="18"/>
              </w:rPr>
              <w:t>证</w:t>
            </w:r>
            <w:r>
              <w:rPr>
                <w:rFonts w:ascii="宋体" w:hAnsi="宋体" w:cs="宋体" w:eastAsia="宋体" w:hint="default"/>
                <w:spacing w:val="-57"/>
                <w:sz w:val="18"/>
                <w:szCs w:val="18"/>
              </w:rPr>
              <w:t> </w:t>
            </w:r>
            <w:r>
              <w:rPr>
                <w:rFonts w:ascii="宋体" w:hAnsi="宋体" w:cs="宋体" w:eastAsia="宋体" w:hint="default"/>
                <w:sz w:val="18"/>
                <w:szCs w:val="18"/>
              </w:rPr>
              <w:t>券</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tabs>
                <w:tab w:pos="1144" w:val="left" w:leader="none"/>
              </w:tabs>
              <w:spacing w:line="240" w:lineRule="auto" w:before="20"/>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2019-08-21</w:t>
              <w:tab/>
            </w:r>
            <w:r>
              <w:rPr>
                <w:rFonts w:ascii="宋体" w:hAnsi="宋体" w:cs="宋体" w:eastAsia="宋体" w:hint="default"/>
                <w:sz w:val="18"/>
                <w:szCs w:val="18"/>
              </w:rPr>
              <w:t>至</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2020-8-20</w:t>
            </w:r>
          </w:p>
        </w:tc>
      </w:tr>
      <w:tr>
        <w:trPr>
          <w:trHeight w:val="348" w:hRule="exact"/>
        </w:trPr>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194,285,200.00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27.15%</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92,986,000.00</w:t>
            </w:r>
          </w:p>
        </w:tc>
        <w:tc>
          <w:tcPr>
            <w:tcW w:w="843"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12.99%</w:t>
            </w:r>
          </w:p>
        </w:tc>
        <w:tc>
          <w:tcPr>
            <w:tcW w:w="1265"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left="573" w:right="986" w:hanging="60"/>
        <w:jc w:val="left"/>
      </w:pPr>
      <w:r>
        <w:rPr>
          <w:rFonts w:ascii="Times New Roman" w:hAnsi="Times New Roman" w:cs="Times New Roman" w:eastAsia="Times New Roman" w:hint="default"/>
        </w:rPr>
        <w:t>2</w:t>
      </w:r>
      <w:r>
        <w:rPr/>
        <w:t>．第一期员工持股计划 为进一步强化公司员工与股东的利益共享机制，实现股东、公司和员工利益的一致，提高公司治理水平。强化公司长</w:t>
      </w:r>
    </w:p>
    <w:p>
      <w:pPr>
        <w:pStyle w:val="BodyText"/>
        <w:spacing w:line="312" w:lineRule="auto" w:before="31"/>
        <w:ind w:right="1034"/>
        <w:jc w:val="left"/>
      </w:pPr>
      <w:r>
        <w:rPr/>
        <w:t>期、有效的激励约束机制，进一步提高员工的凝聚力和公司竞争力，更有效地调动员工的积极性和创造性，促进公司长期、 持续、健康发展。</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日，经</w:t>
      </w:r>
      <w:r>
        <w:rPr>
          <w:rFonts w:ascii="Times New Roman" w:hAnsi="Times New Roman" w:cs="Times New Roman" w:eastAsia="Times New Roman" w:hint="default"/>
        </w:rPr>
        <w:t>2017</w:t>
      </w:r>
      <w:r>
        <w:rPr/>
        <w:t>年第二次临时股东大会审议通过，本公司实施第一期员工持股计划。公司实施本</w:t>
      </w:r>
      <w:r>
        <w:rPr>
          <w:spacing w:val="-87"/>
        </w:rPr>
        <w:t> </w:t>
      </w:r>
      <w:r>
        <w:rPr>
          <w:spacing w:val="-87"/>
        </w:rPr>
      </w:r>
      <w:r>
        <w:rPr>
          <w:spacing w:val="-4"/>
        </w:rPr>
        <w:t>次员工持股计划遵循公司自主决定、员工自愿参加的原则，公司不以摊派、强行分配等方式强制员工参加本次员工持股计划。</w:t>
      </w:r>
      <w:r>
        <w:rPr>
          <w:spacing w:val="-44"/>
        </w:rPr>
        <w:t> </w:t>
      </w:r>
      <w:r>
        <w:rPr>
          <w:spacing w:val="-44"/>
        </w:rPr>
      </w:r>
      <w:r>
        <w:rPr/>
        <w:t>参加对象盈亏自负，风险自担，与其他投资者权益平等。参加对象需符合公司制定的标准，并经董事会确认、监事会核实。</w:t>
      </w:r>
    </w:p>
    <w:p>
      <w:pPr>
        <w:pStyle w:val="BodyText"/>
        <w:spacing w:line="302" w:lineRule="auto" w:before="22"/>
        <w:ind w:right="1128" w:firstLine="420"/>
        <w:jc w:val="both"/>
      </w:pPr>
      <w:r>
        <w:rPr/>
        <w:t>本次员工持股计划成立时认购投入的现金资金用以购买五洋科技股票，认购金额不超过人民币</w:t>
      </w:r>
      <w:r>
        <w:rPr>
          <w:rFonts w:ascii="Times New Roman" w:hAnsi="Times New Roman" w:cs="Times New Roman" w:eastAsia="Times New Roman" w:hint="default"/>
        </w:rPr>
        <w:t>8,000</w:t>
      </w:r>
      <w:r>
        <w:rPr/>
        <w:t>万元。将委托四川 信托有限公司设立集合资金信托计划，通过二级市场购买等法律法规许可的方式取得并持有五洋科技股票</w:t>
      </w:r>
      <w:r>
        <w:rPr>
          <w:rFonts w:ascii="Times New Roman" w:hAnsi="Times New Roman" w:cs="Times New Roman" w:eastAsia="Times New Roman" w:hint="default"/>
        </w:rPr>
        <w:t>,</w:t>
      </w:r>
      <w:r>
        <w:rPr/>
        <w:t>按照不超过</w:t>
      </w:r>
      <w:r>
        <w:rPr>
          <w:rFonts w:ascii="Times New Roman" w:hAnsi="Times New Roman" w:cs="Times New Roman" w:eastAsia="Times New Roman" w:hint="default"/>
        </w:rPr>
        <w:t>0.6:1 </w:t>
      </w:r>
      <w:r>
        <w:rPr/>
        <w:t>的比例设立优先级份额和劣后级份额。公司实际控制人之一侯友夫为本次信托计划优先级份额的权益实现承担差额补偿责</w:t>
      </w:r>
      <w:r>
        <w:rPr>
          <w:spacing w:val="-11"/>
        </w:rPr>
        <w:t> </w:t>
      </w:r>
      <w:r>
        <w:rPr>
          <w:spacing w:val="-11"/>
        </w:rPr>
      </w:r>
      <w:r>
        <w:rPr>
          <w:spacing w:val="-1"/>
        </w:rPr>
        <w:t>任。本次员工持股计划所持有的股票总数累计不得超过公司股本总额的</w:t>
      </w:r>
      <w:r>
        <w:rPr>
          <w:rFonts w:ascii="Times New Roman" w:hAnsi="Times New Roman" w:cs="Times New Roman" w:eastAsia="Times New Roman" w:hint="default"/>
          <w:spacing w:val="-1"/>
        </w:rPr>
        <w:t>10%</w:t>
      </w:r>
      <w:r>
        <w:rPr>
          <w:spacing w:val="-1"/>
        </w:rPr>
        <w:t>；单个员工所持员工持股计划份额所对应的股票</w:t>
      </w:r>
      <w:r>
        <w:rPr>
          <w:spacing w:val="-88"/>
        </w:rPr>
        <w:t> </w:t>
      </w:r>
      <w:r>
        <w:rPr>
          <w:spacing w:val="-88"/>
        </w:rPr>
      </w:r>
      <w:r>
        <w:rPr/>
        <w:t>总数累计不得超过公司股本总额的</w:t>
      </w:r>
      <w:r>
        <w:rPr>
          <w:rFonts w:ascii="Times New Roman" w:hAnsi="Times New Roman" w:cs="Times New Roman" w:eastAsia="Times New Roman" w:hint="default"/>
        </w:rPr>
        <w:t>1%</w:t>
      </w:r>
      <w:r>
        <w:rPr/>
        <w:t>。员工持股计划持有的股票总数不包括员工在公司首次公开发行股票上市前获得的股</w:t>
      </w:r>
      <w:r>
        <w:rPr>
          <w:spacing w:val="-59"/>
        </w:rPr>
        <w:t> </w:t>
      </w:r>
      <w:r>
        <w:rPr>
          <w:spacing w:val="-59"/>
        </w:rPr>
      </w:r>
      <w:r>
        <w:rPr>
          <w:spacing w:val="-2"/>
        </w:rPr>
        <w:t>份、通过二级市场自行购买的股份及通过股权激励获得的股份。本次员工持股计划的锁定期为</w:t>
      </w:r>
      <w:r>
        <w:rPr>
          <w:rFonts w:ascii="Times New Roman" w:hAnsi="Times New Roman" w:cs="Times New Roman" w:eastAsia="Times New Roman" w:hint="default"/>
          <w:spacing w:val="-2"/>
        </w:rPr>
        <w:t>12</w:t>
      </w:r>
      <w:r>
        <w:rPr>
          <w:spacing w:val="-2"/>
        </w:rPr>
        <w:t>个月，自公司公告标的股票</w:t>
      </w:r>
      <w:r>
        <w:rPr>
          <w:spacing w:val="-61"/>
        </w:rPr>
        <w:t> </w:t>
      </w:r>
      <w:r>
        <w:rPr>
          <w:spacing w:val="-61"/>
        </w:rPr>
      </w:r>
      <w:r>
        <w:rPr>
          <w:spacing w:val="-2"/>
        </w:rPr>
        <w:t>全部过户至信托计划名下之日起算。本次员工持股计划的存续期不超过</w:t>
      </w:r>
      <w:r>
        <w:rPr>
          <w:rFonts w:ascii="Times New Roman" w:hAnsi="Times New Roman" w:cs="Times New Roman" w:eastAsia="Times New Roman" w:hint="default"/>
          <w:spacing w:val="-2"/>
        </w:rPr>
        <w:t>24</w:t>
      </w:r>
      <w:r>
        <w:rPr>
          <w:spacing w:val="-2"/>
        </w:rPr>
        <w:t>个月，自股东大会审议通过本次员工持股计划之日</w:t>
      </w:r>
      <w:r>
        <w:rPr>
          <w:spacing w:val="-62"/>
        </w:rPr>
        <w:t> </w:t>
      </w:r>
      <w:r>
        <w:rPr>
          <w:spacing w:val="-62"/>
        </w:rPr>
      </w:r>
      <w:r>
        <w:rPr/>
        <w:t>起算，本次员工持股计划的存续期届满后自行终止。</w:t>
      </w:r>
    </w:p>
    <w:p>
      <w:pPr>
        <w:pStyle w:val="BodyText"/>
        <w:spacing w:line="300" w:lineRule="auto" w:before="29"/>
        <w:ind w:right="1042"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日，公司与四川信托有限公司签订《四川信托</w:t>
      </w:r>
      <w:r>
        <w:rPr>
          <w:rFonts w:ascii="Times New Roman" w:hAnsi="Times New Roman" w:cs="Times New Roman" w:eastAsia="Times New Roman" w:hint="default"/>
          <w:spacing w:val="-2"/>
        </w:rPr>
        <w:t>-</w:t>
      </w:r>
      <w:r>
        <w:rPr>
          <w:spacing w:val="-2"/>
        </w:rPr>
        <w:t>五洋科技员工持股计划集合资金信托计划信托合同》，</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w:t>
      </w:r>
      <w:r>
        <w:rPr>
          <w:spacing w:val="2"/>
        </w:rPr>
        <w:t>四川信托</w:t>
      </w:r>
      <w:r>
        <w:rPr>
          <w:rFonts w:ascii="Times New Roman" w:hAnsi="Times New Roman" w:cs="Times New Roman" w:eastAsia="Times New Roman" w:hint="default"/>
          <w:spacing w:val="2"/>
        </w:rPr>
        <w:t>-</w:t>
      </w:r>
      <w:r>
        <w:rPr>
          <w:spacing w:val="2"/>
        </w:rPr>
        <w:t>五洋科技员工持股计划集合资金信托计划</w:t>
      </w:r>
      <w:r>
        <w:rPr>
          <w:rFonts w:ascii="Times New Roman" w:hAnsi="Times New Roman" w:cs="Times New Roman" w:eastAsia="Times New Roman" w:hint="default"/>
          <w:spacing w:val="2"/>
        </w:rPr>
        <w:t>”</w:t>
      </w:r>
      <w:r>
        <w:rPr>
          <w:spacing w:val="2"/>
        </w:rPr>
        <w:t>已通过二级市场购买的方式共计买入公司股票</w:t>
      </w:r>
      <w:r>
        <w:rPr>
          <w:rFonts w:ascii="Times New Roman" w:hAnsi="Times New Roman" w:cs="Times New Roman" w:eastAsia="Times New Roman" w:hint="default"/>
          <w:spacing w:val="2"/>
        </w:rPr>
        <w:t>8,675,400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股，占公司总股本的</w:t>
      </w:r>
      <w:r>
        <w:rPr>
          <w:rFonts w:ascii="Times New Roman" w:hAnsi="Times New Roman" w:cs="Times New Roman" w:eastAsia="Times New Roman" w:hint="default"/>
          <w:spacing w:val="-2"/>
        </w:rPr>
        <w:t>1.79%</w:t>
      </w:r>
      <w:r>
        <w:rPr>
          <w:spacing w:val="-2"/>
        </w:rPr>
        <w:t>，成交均价约为人民币</w:t>
      </w:r>
      <w:r>
        <w:rPr>
          <w:rFonts w:ascii="Times New Roman" w:hAnsi="Times New Roman" w:cs="Times New Roman" w:eastAsia="Times New Roman" w:hint="default"/>
          <w:spacing w:val="-2"/>
        </w:rPr>
        <w:t>8.98</w:t>
      </w:r>
      <w:r>
        <w:rPr>
          <w:spacing w:val="-2"/>
        </w:rPr>
        <w:t>元</w:t>
      </w:r>
      <w:r>
        <w:rPr>
          <w:rFonts w:ascii="Times New Roman" w:hAnsi="Times New Roman" w:cs="Times New Roman" w:eastAsia="Times New Roman" w:hint="default"/>
          <w:spacing w:val="-2"/>
        </w:rPr>
        <w:t>/</w:t>
      </w:r>
      <w:r>
        <w:rPr>
          <w:spacing w:val="-2"/>
        </w:rPr>
        <w:t>股。该计划所购买的股票锁定期为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
    </w:p>
    <w:p>
      <w:pPr>
        <w:pStyle w:val="BodyText"/>
        <w:spacing w:line="300" w:lineRule="auto" w:before="13"/>
        <w:ind w:right="1130"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日公司召开持有人会议，经出席持有人会议的持有人所持</w:t>
      </w:r>
      <w:r>
        <w:rPr>
          <w:rFonts w:ascii="Times New Roman" w:hAnsi="Times New Roman" w:cs="Times New Roman" w:eastAsia="Times New Roman" w:hint="default"/>
        </w:rPr>
        <w:t>2/3</w:t>
      </w:r>
      <w:r>
        <w:rPr/>
        <w:t>以上份额同意，公司第一期员工持股计划存 续期延长一年，即存续期展期至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日，经公司第三届董事会第十五次会议审议通过。</w:t>
      </w:r>
    </w:p>
    <w:p>
      <w:pPr>
        <w:pStyle w:val="BodyText"/>
        <w:spacing w:line="300" w:lineRule="auto" w:before="13"/>
        <w:ind w:right="1130"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日，公司与陕西省国际信托股份有限公司签订《陕国投</w:t>
      </w:r>
      <w:r>
        <w:rPr>
          <w:rFonts w:ascii="Times New Roman" w:hAnsi="Times New Roman" w:cs="Times New Roman" w:eastAsia="Times New Roman" w:hint="default"/>
        </w:rPr>
        <w:t>-</w:t>
      </w:r>
      <w:r>
        <w:rPr/>
        <w:t>五洋停车第一期员工持股证券投资集合资金信托 计划信托合同》，认购金额不超过</w:t>
      </w:r>
      <w:r>
        <w:rPr>
          <w:rFonts w:ascii="Times New Roman" w:hAnsi="Times New Roman" w:cs="Times New Roman" w:eastAsia="Times New Roman" w:hint="default"/>
        </w:rPr>
        <w:t>7,000</w:t>
      </w:r>
      <w:r>
        <w:rPr/>
        <w:t>万元，按照不超过</w:t>
      </w:r>
      <w:r>
        <w:rPr>
          <w:rFonts w:ascii="Times New Roman" w:hAnsi="Times New Roman" w:cs="Times New Roman" w:eastAsia="Times New Roman" w:hint="default"/>
        </w:rPr>
        <w:t>1:1</w:t>
      </w:r>
      <w:r>
        <w:rPr/>
        <w:t>的比例设立优先级份额和劣后级份额，公司实际控制人之一侯 </w:t>
      </w:r>
      <w:r>
        <w:rPr>
          <w:spacing w:val="-1"/>
        </w:rPr>
        <w:t>友夫为本次信托计划优先级份额的权益实现承担差额补偿责任。</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w:t>
      </w:r>
      <w:r>
        <w:rPr>
          <w:rFonts w:ascii="Times New Roman" w:hAnsi="Times New Roman" w:cs="Times New Roman" w:eastAsia="Times New Roman" w:hint="default"/>
          <w:spacing w:val="-1"/>
        </w:rPr>
        <w:t>“</w:t>
      </w:r>
      <w:r>
        <w:rPr>
          <w:spacing w:val="-1"/>
        </w:rPr>
        <w:t>陕国投</w:t>
      </w:r>
      <w:r>
        <w:rPr>
          <w:rFonts w:ascii="Times New Roman" w:hAnsi="Times New Roman" w:cs="Times New Roman" w:eastAsia="Times New Roman" w:hint="default"/>
          <w:spacing w:val="-1"/>
        </w:rPr>
        <w:t>-</w:t>
      </w:r>
      <w:r>
        <w:rPr>
          <w:spacing w:val="-1"/>
        </w:rPr>
        <w:t>五洋停车第一期员工持股证券投资</w:t>
      </w:r>
      <w:r>
        <w:rPr>
          <w:spacing w:val="-76"/>
        </w:rPr>
        <w:t> </w:t>
      </w:r>
      <w:r>
        <w:rPr>
          <w:spacing w:val="13"/>
        </w:rPr>
        <w:t>集合资金信托计划</w:t>
      </w:r>
      <w:r>
        <w:rPr>
          <w:rFonts w:ascii="Times New Roman" w:hAnsi="Times New Roman" w:cs="Times New Roman" w:eastAsia="Times New Roman" w:hint="default"/>
          <w:spacing w:val="13"/>
        </w:rPr>
        <w:t>”</w:t>
      </w:r>
      <w:r>
        <w:rPr>
          <w:spacing w:val="13"/>
        </w:rPr>
        <w:t>通过大宗交易承接了</w:t>
      </w:r>
      <w:r>
        <w:rPr>
          <w:rFonts w:ascii="Times New Roman" w:hAnsi="Times New Roman" w:cs="Times New Roman" w:eastAsia="Times New Roman" w:hint="default"/>
          <w:spacing w:val="13"/>
        </w:rPr>
        <w:t>“</w:t>
      </w:r>
      <w:r>
        <w:rPr>
          <w:spacing w:val="13"/>
        </w:rPr>
        <w:t>四川信托</w:t>
      </w:r>
      <w:r>
        <w:rPr>
          <w:rFonts w:ascii="Times New Roman" w:hAnsi="Times New Roman" w:cs="Times New Roman" w:eastAsia="Times New Roman" w:hint="default"/>
          <w:spacing w:val="13"/>
        </w:rPr>
        <w:t>-</w:t>
      </w:r>
      <w:r>
        <w:rPr>
          <w:spacing w:val="13"/>
        </w:rPr>
        <w:t>五洋科技员工持股计划集合资金信托计划</w:t>
      </w:r>
      <w:r>
        <w:rPr>
          <w:rFonts w:ascii="Times New Roman" w:hAnsi="Times New Roman" w:cs="Times New Roman" w:eastAsia="Times New Roman" w:hint="default"/>
          <w:spacing w:val="13"/>
        </w:rPr>
        <w:t>”</w:t>
      </w:r>
      <w:r>
        <w:rPr>
          <w:spacing w:val="13"/>
        </w:rPr>
        <w:t>持有公司的全部股票</w:t>
      </w:r>
      <w:r>
        <w:rPr>
          <w:spacing w:val="-85"/>
        </w:rPr>
        <w:t> </w:t>
      </w:r>
      <w:r>
        <w:rPr>
          <w:spacing w:val="-85"/>
        </w:rPr>
      </w:r>
      <w:r>
        <w:rPr>
          <w:rFonts w:ascii="Times New Roman" w:hAnsi="Times New Roman" w:cs="Times New Roman" w:eastAsia="Times New Roman" w:hint="default"/>
        </w:rPr>
        <w:t>12,145,560</w:t>
      </w:r>
      <w:r>
        <w:rPr/>
        <w:t>股，占公司总股本的</w:t>
      </w:r>
      <w:r>
        <w:rPr>
          <w:rFonts w:ascii="Times New Roman" w:hAnsi="Times New Roman" w:cs="Times New Roman" w:eastAsia="Times New Roman" w:hint="default"/>
        </w:rPr>
        <w:t>1.70%</w:t>
      </w:r>
      <w:r>
        <w:rPr/>
        <w:t>。</w:t>
      </w:r>
    </w:p>
    <w:p>
      <w:pPr>
        <w:pStyle w:val="BodyText"/>
        <w:spacing w:line="240" w:lineRule="auto" w:before="13"/>
        <w:ind w:left="573" w:right="986"/>
        <w:jc w:val="left"/>
      </w:pPr>
      <w:r>
        <w:rPr>
          <w:rFonts w:ascii="Times New Roman" w:hAnsi="Times New Roman" w:cs="Times New Roman" w:eastAsia="Times New Roman" w:hint="default"/>
        </w:rPr>
        <w:t>3.</w:t>
      </w:r>
      <w:r>
        <w:rPr/>
        <w:t>设立产业基金</w:t>
      </w:r>
    </w:p>
    <w:p>
      <w:pPr>
        <w:pStyle w:val="BodyText"/>
        <w:spacing w:line="304" w:lineRule="auto" w:before="63"/>
        <w:ind w:right="986" w:firstLine="360"/>
        <w:jc w:val="left"/>
      </w:pPr>
      <w:r>
        <w:rPr>
          <w:rFonts w:ascii="Times New Roman" w:hAnsi="Times New Roman" w:cs="Times New Roman" w:eastAsia="Times New Roman" w:hint="default"/>
          <w:spacing w:val="-7"/>
        </w:rPr>
        <w:t>2018</w:t>
      </w:r>
      <w:r>
        <w:rPr>
          <w:spacing w:val="-7"/>
        </w:rPr>
        <w:t>年，公司、子公司弘毅华浩投资公司与江苏徐州老工业基地产业发展基金（有限合伙）（以下简称徐州老工业基金）、</w:t>
      </w:r>
      <w:r>
        <w:rPr/>
        <w:t> </w:t>
      </w:r>
      <w:r>
        <w:rPr>
          <w:spacing w:val="-2"/>
        </w:rPr>
        <w:t>徐州高新技术产业开发区创业发展有限公司（以下简称徐州高新区创业发展公司）、江苏盛世国金投资管理有限公司（以下</w:t>
      </w:r>
      <w:r>
        <w:rPr>
          <w:spacing w:val="-70"/>
        </w:rPr>
        <w:t> </w:t>
      </w:r>
      <w:r>
        <w:rPr>
          <w:spacing w:val="-70"/>
        </w:rPr>
      </w:r>
      <w:r>
        <w:rPr>
          <w:spacing w:val="-2"/>
        </w:rPr>
        <w:t>简称江苏盛世国金）共同出资设立徐州疌盛五洋智能装备产业基金合伙企业（有限合伙）。产业基金类型为有限合伙型私募</w:t>
      </w:r>
      <w:r>
        <w:rPr>
          <w:spacing w:val="-70"/>
        </w:rPr>
        <w:t> </w:t>
      </w:r>
      <w:r>
        <w:rPr>
          <w:spacing w:val="-70"/>
        </w:rPr>
      </w:r>
      <w:r>
        <w:rPr/>
        <w:t>投资基金，基金总规模不超过</w:t>
      </w:r>
      <w:r>
        <w:rPr>
          <w:rFonts w:ascii="Times New Roman" w:hAnsi="Times New Roman" w:cs="Times New Roman" w:eastAsia="Times New Roman" w:hint="default"/>
        </w:rPr>
        <w:t>10.02</w:t>
      </w:r>
      <w:r>
        <w:rPr/>
        <w:t>亿元，一期规模不超过</w:t>
      </w:r>
      <w:r>
        <w:rPr>
          <w:rFonts w:ascii="Times New Roman" w:hAnsi="Times New Roman" w:cs="Times New Roman" w:eastAsia="Times New Roman" w:hint="default"/>
        </w:rPr>
        <w:t>5.02</w:t>
      </w:r>
      <w:r>
        <w:rPr/>
        <w:t>亿元。其中，公司作为有限合伙人一期拟出资</w:t>
      </w:r>
      <w:r>
        <w:rPr>
          <w:rFonts w:ascii="Times New Roman" w:hAnsi="Times New Roman" w:cs="Times New Roman" w:eastAsia="Times New Roman" w:hint="default"/>
        </w:rPr>
        <w:t>30,000</w:t>
      </w:r>
      <w:r>
        <w:rPr/>
        <w:t>万元，占 基金一期的</w:t>
      </w:r>
      <w:r>
        <w:rPr>
          <w:rFonts w:ascii="Times New Roman" w:hAnsi="Times New Roman" w:cs="Times New Roman" w:eastAsia="Times New Roman" w:hint="default"/>
        </w:rPr>
        <w:t>59.76%</w:t>
      </w:r>
      <w:r>
        <w:rPr/>
        <w:t>；子公司弘毅华浩作为普通合伙人之一一期出资</w:t>
      </w:r>
      <w:r>
        <w:rPr>
          <w:rFonts w:ascii="Times New Roman" w:hAnsi="Times New Roman" w:cs="Times New Roman" w:eastAsia="Times New Roman" w:hint="default"/>
        </w:rPr>
        <w:t>100</w:t>
      </w:r>
      <w:r>
        <w:rPr/>
        <w:t>万元，占基金一期的</w:t>
      </w:r>
      <w:r>
        <w:rPr>
          <w:rFonts w:ascii="Times New Roman" w:hAnsi="Times New Roman" w:cs="Times New Roman" w:eastAsia="Times New Roman" w:hint="default"/>
        </w:rPr>
        <w:t>0.20%</w:t>
      </w:r>
      <w:r>
        <w:rPr/>
        <w:t>，徐州老工业基金作为有</w:t>
      </w:r>
      <w:r>
        <w:rPr>
          <w:spacing w:val="-34"/>
        </w:rPr>
        <w:t> </w:t>
      </w:r>
      <w:r>
        <w:rPr>
          <w:spacing w:val="-34"/>
        </w:rPr>
      </w:r>
      <w:r>
        <w:rPr/>
        <w:t>限合伙人一期拟出资</w:t>
      </w:r>
      <w:r>
        <w:rPr>
          <w:rFonts w:ascii="Times New Roman" w:hAnsi="Times New Roman" w:cs="Times New Roman" w:eastAsia="Times New Roman" w:hint="default"/>
        </w:rPr>
        <w:t>15,000</w:t>
      </w:r>
      <w:r>
        <w:rPr/>
        <w:t>万元，占基金一期的</w:t>
      </w:r>
      <w:r>
        <w:rPr>
          <w:rFonts w:ascii="Times New Roman" w:hAnsi="Times New Roman" w:cs="Times New Roman" w:eastAsia="Times New Roman" w:hint="default"/>
        </w:rPr>
        <w:t>29.88%</w:t>
      </w:r>
      <w:r>
        <w:rPr/>
        <w:t>；徐州高新区创业发展公司作为有限合伙人一期拟出资</w:t>
      </w:r>
      <w:r>
        <w:rPr>
          <w:rFonts w:ascii="Times New Roman" w:hAnsi="Times New Roman" w:cs="Times New Roman" w:eastAsia="Times New Roman" w:hint="default"/>
        </w:rPr>
        <w:t>5,000</w:t>
      </w:r>
      <w:r>
        <w:rPr/>
        <w:t>万元，</w:t>
      </w:r>
      <w:r>
        <w:rPr>
          <w:spacing w:val="-23"/>
        </w:rPr>
        <w:t> </w:t>
      </w:r>
      <w:r>
        <w:rPr/>
        <w:t>占基金一期的</w:t>
      </w:r>
      <w:r>
        <w:rPr>
          <w:rFonts w:ascii="Times New Roman" w:hAnsi="Times New Roman" w:cs="Times New Roman" w:eastAsia="Times New Roman" w:hint="default"/>
        </w:rPr>
        <w:t>9.96%</w:t>
      </w:r>
      <w:r>
        <w:rPr/>
        <w:t>；江苏盛世国金作为普通合伙人之一一期出资</w:t>
      </w:r>
      <w:r>
        <w:rPr>
          <w:rFonts w:ascii="Times New Roman" w:hAnsi="Times New Roman" w:cs="Times New Roman" w:eastAsia="Times New Roman" w:hint="default"/>
        </w:rPr>
        <w:t>100</w:t>
      </w:r>
      <w:r>
        <w:rPr/>
        <w:t>万元，占基金一期规模的</w:t>
      </w:r>
      <w:r>
        <w:rPr>
          <w:rFonts w:ascii="Times New Roman" w:hAnsi="Times New Roman" w:cs="Times New Roman" w:eastAsia="Times New Roman" w:hint="default"/>
        </w:rPr>
        <w:t>0.2%</w:t>
      </w:r>
      <w:r>
        <w:rPr/>
        <w:t>。基金存续期为</w:t>
      </w:r>
      <w:r>
        <w:rPr>
          <w:rFonts w:ascii="Times New Roman" w:hAnsi="Times New Roman" w:cs="Times New Roman" w:eastAsia="Times New Roman" w:hint="default"/>
        </w:rPr>
        <w:t>7</w:t>
      </w:r>
      <w:r>
        <w:rPr/>
        <w:t>年，江 </w:t>
      </w:r>
      <w:r>
        <w:rPr>
          <w:spacing w:val="-2"/>
        </w:rPr>
        <w:t>苏盛世国金作为执行事务合伙人。投资领域包括：主要围绕智慧停车产业的相关投资；参与上市公司的定向增发；参与智能</w:t>
      </w:r>
    </w:p>
    <w:p>
      <w:pPr>
        <w:spacing w:after="0" w:line="30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986"/>
        <w:jc w:val="left"/>
      </w:pPr>
      <w:r>
        <w:rPr>
          <w:spacing w:val="-2"/>
        </w:rPr>
        <w:t>装备制造相关领域的股权投资。主要投资于成长期和成熟期的项目，兼顾具有高成长性的初创期项目。投资范围不局限于停</w:t>
      </w:r>
      <w:r>
        <w:rPr>
          <w:spacing w:val="-69"/>
        </w:rPr>
        <w:t> </w:t>
      </w:r>
      <w:r>
        <w:rPr>
          <w:spacing w:val="-69"/>
        </w:rPr>
      </w:r>
      <w:r>
        <w:rPr/>
        <w:t>车产业，还包括定增、智能装备制造领域的股权投资等。期末，各合伙人认缴出资及比例，实际出资情况如下：</w:t>
      </w:r>
    </w:p>
    <w:tbl>
      <w:tblPr>
        <w:tblW w:w="0" w:type="auto"/>
        <w:jc w:val="left"/>
        <w:tblInd w:w="174" w:type="dxa"/>
        <w:tblLayout w:type="fixed"/>
        <w:tblCellMar>
          <w:top w:w="0" w:type="dxa"/>
          <w:left w:w="0" w:type="dxa"/>
          <w:bottom w:w="0" w:type="dxa"/>
          <w:right w:w="0" w:type="dxa"/>
        </w:tblCellMar>
        <w:tblLook w:val="01E0"/>
      </w:tblPr>
      <w:tblGrid>
        <w:gridCol w:w="1947"/>
        <w:gridCol w:w="1719"/>
        <w:gridCol w:w="1366"/>
        <w:gridCol w:w="1671"/>
        <w:gridCol w:w="1508"/>
      </w:tblGrid>
      <w:tr>
        <w:trPr>
          <w:trHeight w:val="348"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认缴出资额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sz w:val="18"/>
                <w:szCs w:val="18"/>
              </w:rPr>
              <w:t>认缴比例</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实际出资额</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6" w:right="0"/>
              <w:jc w:val="left"/>
              <w:rPr>
                <w:rFonts w:ascii="宋体" w:hAnsi="宋体" w:cs="宋体" w:eastAsia="宋体" w:hint="default"/>
                <w:sz w:val="18"/>
                <w:szCs w:val="18"/>
              </w:rPr>
            </w:pPr>
            <w:r>
              <w:rPr>
                <w:rFonts w:ascii="宋体" w:hAnsi="宋体" w:cs="宋体" w:eastAsia="宋体" w:hint="default"/>
                <w:sz w:val="18"/>
                <w:szCs w:val="18"/>
              </w:rPr>
              <w:t>实际出资比例</w:t>
            </w:r>
          </w:p>
        </w:tc>
      </w:tr>
      <w:tr>
        <w:trPr>
          <w:trHeight w:val="346"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江苏盛世国金</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0.22%</w:t>
            </w:r>
          </w:p>
        </w:tc>
      </w:tr>
      <w:tr>
        <w:trPr>
          <w:trHeight w:val="348"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弘毅华浩投资公司</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0.22%</w:t>
            </w:r>
          </w:p>
        </w:tc>
      </w:tr>
      <w:tr>
        <w:trPr>
          <w:trHeight w:val="658"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
              <w:jc w:val="left"/>
              <w:rPr>
                <w:rFonts w:ascii="宋体" w:hAnsi="宋体" w:cs="宋体" w:eastAsia="宋体" w:hint="default"/>
                <w:sz w:val="18"/>
                <w:szCs w:val="18"/>
              </w:rPr>
            </w:pPr>
            <w:r>
              <w:rPr>
                <w:rFonts w:ascii="宋体" w:hAnsi="宋体" w:cs="宋体" w:eastAsia="宋体" w:hint="default"/>
                <w:spacing w:val="14"/>
                <w:sz w:val="18"/>
                <w:szCs w:val="18"/>
              </w:rPr>
              <w:t>徐州高新区创业发展公 </w:t>
            </w:r>
            <w:r>
              <w:rPr>
                <w:rFonts w:ascii="宋体" w:hAnsi="宋体" w:cs="宋体" w:eastAsia="宋体" w:hint="default"/>
                <w:sz w:val="18"/>
                <w:szCs w:val="18"/>
              </w:rPr>
              <w:t>司</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9.96%</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21,200,000.00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8.30%</w:t>
            </w:r>
          </w:p>
        </w:tc>
      </w:tr>
      <w:tr>
        <w:trPr>
          <w:trHeight w:val="348"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徐州老工业基金</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29.88%</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77,675,000.00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30.42%</w:t>
            </w:r>
          </w:p>
        </w:tc>
      </w:tr>
      <w:tr>
        <w:trPr>
          <w:trHeight w:val="346"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59.76%</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155,350,000.00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60.84%</w:t>
            </w:r>
          </w:p>
        </w:tc>
      </w:tr>
      <w:tr>
        <w:trPr>
          <w:trHeight w:val="348" w:hRule="exact"/>
        </w:trPr>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502,000,000.00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255,325,000.00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0"/>
        <w:rPr>
          <w:rFonts w:ascii="宋体" w:hAnsi="宋体" w:cs="宋体" w:eastAsia="宋体" w:hint="default"/>
          <w:sz w:val="21"/>
          <w:szCs w:val="21"/>
        </w:rPr>
      </w:pPr>
    </w:p>
    <w:p>
      <w:pPr>
        <w:pStyle w:val="BodyText"/>
        <w:spacing w:line="300" w:lineRule="auto"/>
        <w:ind w:left="573" w:right="9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被收购方业绩承诺情况 本公司在</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2017</w:t>
      </w:r>
      <w:r>
        <w:rPr/>
        <w:t>年期间，陆续购买北京华逸奇公司、天辰智能公司相关股权，根据公司与前述被购买方签署的</w:t>
      </w:r>
    </w:p>
    <w:p>
      <w:pPr>
        <w:pStyle w:val="BodyText"/>
        <w:spacing w:line="316" w:lineRule="auto" w:before="13"/>
        <w:ind w:right="986"/>
        <w:jc w:val="left"/>
      </w:pPr>
      <w:r>
        <w:rPr>
          <w:spacing w:val="-2"/>
        </w:rPr>
        <w:t>《盈利补偿协议》，被购买方均作出了在一定期间内扣除非经常性损益后归属母公司股东净利润实现情况的相关承诺，具体</w:t>
      </w:r>
      <w:r>
        <w:rPr>
          <w:spacing w:val="-66"/>
        </w:rPr>
        <w:t> </w:t>
      </w:r>
      <w:r>
        <w:rPr>
          <w:spacing w:val="-66"/>
        </w:rPr>
      </w:r>
      <w:r>
        <w:rPr/>
        <w:t>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left="7107" w:right="986"/>
        <w:jc w:val="left"/>
      </w:pPr>
      <w:r>
        <w:rPr/>
        <w:pict>
          <v:shape style="position:absolute;margin-left:56.279999pt;margin-top:-81.008278pt;width:355.55pt;height:177.6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1"/>
                    <w:gridCol w:w="5007"/>
                  </w:tblGrid>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被购买方</w:t>
                        </w:r>
                      </w:p>
                    </w:tc>
                    <w:tc>
                      <w:tcPr>
                        <w:tcW w:w="5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业绩承诺情况</w:t>
                        </w:r>
                      </w:p>
                    </w:tc>
                  </w:tr>
                  <w:tr>
                    <w:trPr>
                      <w:trHeight w:val="97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华逸奇</w:t>
                        </w:r>
                      </w:p>
                    </w:tc>
                    <w:tc>
                      <w:tcPr>
                        <w:tcW w:w="50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年度，五年累计实现扣除非经常性损益后归属于母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公司股东的净利润不低于</w:t>
                        </w:r>
                        <w:r>
                          <w:rPr>
                            <w:rFonts w:ascii="Times New Roman" w:hAnsi="Times New Roman" w:cs="Times New Roman" w:eastAsia="Times New Roman" w:hint="default"/>
                            <w:sz w:val="18"/>
                            <w:szCs w:val="18"/>
                          </w:rPr>
                          <w:t>3,306</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年扣除非经常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性损益后归属于母公司所有者净利润合计为</w:t>
                        </w:r>
                        <w:r>
                          <w:rPr>
                            <w:rFonts w:ascii="Times New Roman" w:hAnsi="Times New Roman" w:cs="Times New Roman" w:eastAsia="Times New Roman" w:hint="default"/>
                            <w:sz w:val="18"/>
                            <w:szCs w:val="18"/>
                          </w:rPr>
                          <w:t>-1,229.36</w:t>
                        </w:r>
                        <w:r>
                          <w:rPr>
                            <w:rFonts w:ascii="宋体" w:hAnsi="宋体" w:cs="宋体" w:eastAsia="宋体" w:hint="default"/>
                            <w:sz w:val="18"/>
                            <w:szCs w:val="18"/>
                          </w:rPr>
                          <w:t>万元。</w:t>
                        </w:r>
                      </w:p>
                    </w:tc>
                  </w:tr>
                  <w:tr>
                    <w:trPr>
                      <w:trHeight w:val="222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天辰智能</w:t>
                        </w:r>
                      </w:p>
                    </w:tc>
                    <w:tc>
                      <w:tcPr>
                        <w:tcW w:w="5007"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天辰智能原股东济南天辰机器集团有限公司、侯秀峰及侯玉鹏承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诺天辰智能</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年和</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年净利润（扣非后 </w:t>
                        </w:r>
                        <w:r>
                          <w:rPr>
                            <w:rFonts w:ascii="宋体" w:hAnsi="宋体" w:cs="宋体" w:eastAsia="宋体" w:hint="default"/>
                            <w:spacing w:val="5"/>
                            <w:sz w:val="18"/>
                            <w:szCs w:val="18"/>
                          </w:rPr>
                          <w:t>分别为</w:t>
                        </w:r>
                        <w:r>
                          <w:rPr>
                            <w:rFonts w:ascii="Times New Roman" w:hAnsi="Times New Roman" w:cs="Times New Roman" w:eastAsia="Times New Roman" w:hint="default"/>
                            <w:spacing w:val="5"/>
                            <w:sz w:val="18"/>
                            <w:szCs w:val="18"/>
                          </w:rPr>
                          <w:t>2,300</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3,200</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3,900</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万元和</w:t>
                        </w:r>
                        <w:r>
                          <w:rPr>
                            <w:rFonts w:ascii="Times New Roman" w:hAnsi="Times New Roman" w:cs="Times New Roman" w:eastAsia="Times New Roman" w:hint="default"/>
                            <w:spacing w:val="5"/>
                            <w:sz w:val="18"/>
                            <w:szCs w:val="18"/>
                          </w:rPr>
                          <w:t>4,600</w:t>
                        </w:r>
                        <w:r>
                          <w:rPr>
                            <w:rFonts w:ascii="Times New Roman" w:hAnsi="Times New Roman" w:cs="Times New Roman" w:eastAsia="Times New Roman" w:hint="default"/>
                            <w:spacing w:val="-26"/>
                            <w:sz w:val="18"/>
                            <w:szCs w:val="18"/>
                          </w:rPr>
                          <w:t> </w:t>
                        </w:r>
                        <w:r>
                          <w:rPr>
                            <w:rFonts w:ascii="宋体" w:hAnsi="宋体" w:cs="宋体" w:eastAsia="宋体" w:hint="default"/>
                            <w:spacing w:val="11"/>
                            <w:sz w:val="18"/>
                            <w:szCs w:val="18"/>
                          </w:rPr>
                          <w:t>万元，承诺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2017-2020</w:t>
                        </w:r>
                        <w:r>
                          <w:rPr>
                            <w:rFonts w:ascii="宋体" w:hAnsi="宋体" w:cs="宋体" w:eastAsia="宋体" w:hint="default"/>
                            <w:sz w:val="18"/>
                            <w:szCs w:val="18"/>
                          </w:rPr>
                          <w:t>年扣除非经常性损益后四年归属母公司股东净利润累</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计不低于</w:t>
                        </w:r>
                        <w:r>
                          <w:rPr>
                            <w:rFonts w:ascii="Times New Roman" w:hAnsi="Times New Roman" w:cs="Times New Roman" w:eastAsia="Times New Roman" w:hint="default"/>
                            <w:sz w:val="18"/>
                            <w:szCs w:val="18"/>
                          </w:rPr>
                          <w:t>14,000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年扣除非经常性损 </w:t>
                        </w:r>
                        <w:r>
                          <w:rPr>
                            <w:rFonts w:ascii="宋体" w:hAnsi="宋体" w:cs="宋体" w:eastAsia="宋体" w:hint="default"/>
                            <w:spacing w:val="3"/>
                            <w:sz w:val="18"/>
                            <w:szCs w:val="18"/>
                          </w:rPr>
                          <w:t>益后归属于母公司所有者净利润分别为</w:t>
                        </w:r>
                        <w:r>
                          <w:rPr>
                            <w:rFonts w:ascii="Times New Roman" w:hAnsi="Times New Roman" w:cs="Times New Roman" w:eastAsia="Times New Roman" w:hint="default"/>
                            <w:spacing w:val="3"/>
                            <w:sz w:val="18"/>
                            <w:szCs w:val="18"/>
                          </w:rPr>
                          <w:t>1,869.03</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3,711.01</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万元和</w:t>
                        </w:r>
                        <w:r>
                          <w:rPr>
                            <w:rFonts w:ascii="Times New Roman" w:hAnsi="Times New Roman" w:cs="Times New Roman" w:eastAsia="Times New Roman" w:hint="default"/>
                            <w:sz w:val="18"/>
                            <w:szCs w:val="18"/>
                          </w:rPr>
                          <w:t>4,235.13</w:t>
                        </w:r>
                        <w:r>
                          <w:rPr>
                            <w:rFonts w:ascii="宋体" w:hAnsi="宋体" w:cs="宋体" w:eastAsia="宋体" w:hint="default"/>
                            <w:sz w:val="18"/>
                            <w:szCs w:val="18"/>
                          </w:rPr>
                          <w:t>万元，累计</w:t>
                        </w:r>
                        <w:r>
                          <w:rPr>
                            <w:rFonts w:ascii="Times New Roman" w:hAnsi="Times New Roman" w:cs="Times New Roman" w:eastAsia="Times New Roman" w:hint="default"/>
                            <w:sz w:val="18"/>
                            <w:szCs w:val="18"/>
                          </w:rPr>
                          <w:t>9,815.17</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98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87,045,7</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42.47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14,837,6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72.27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72,208,07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87,882,30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17,210,35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70,671,943.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按账龄组合计提坏 账准备的应收账款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87,045,7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42.47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14,837,6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72.27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72,208,07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87,882,30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17,210,35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70,671,943.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87,045,7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42.47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14,837,6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72,208,07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87,882,30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17,210,35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70,671,943.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bl>
    <w:p>
      <w:pPr>
        <w:pStyle w:val="BodyText"/>
        <w:spacing w:line="240" w:lineRule="auto" w:before="49"/>
        <w:ind w:right="986"/>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55,543,050.32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2,777,152.52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16,844,239.02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1,684,423.90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5,781,903.73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2,312,761.49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4,066,075.20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3,252,860.16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4,810,474.20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4,810,474.20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87,045,742.47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14,837,672.27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确定该组合依据的说明： 按账龄确认组合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55,543,050.32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55,543,050.32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16,844,239.02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5,781,903.73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8,876,549.40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2,353,721.00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1,712,354.20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4,810,474.20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87,045,742.47</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按账龄组合计提 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17,210,358.23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-1,659,517.10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713,168.86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14,837,672.27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17,210,358.23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-1,659,517.10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713,168.86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14,837,672.27</w:t>
            </w:r>
          </w:p>
        </w:tc>
      </w:tr>
    </w:tbl>
    <w:p>
      <w:pPr>
        <w:pStyle w:val="BodyText"/>
        <w:spacing w:line="240" w:lineRule="auto" w:before="49"/>
        <w:ind w:right="986"/>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713,168.86</w:t>
            </w:r>
          </w:p>
        </w:tc>
      </w:tr>
    </w:tbl>
    <w:p>
      <w:pPr>
        <w:pStyle w:val="BodyText"/>
        <w:spacing w:line="240" w:lineRule="auto" w:before="49"/>
        <w:ind w:right="986"/>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986"/>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1"/>
        <w:ind w:right="98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第一名</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7,606,205.71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541,301.45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5,148,105.16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327,977.76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280,800.00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3,208,174.63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160,408.73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2,639,400.00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136,970.00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23,137,885.50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26.58%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pStyle w:val="BodyText"/>
        <w:spacing w:line="240" w:lineRule="auto" w:before="115"/>
        <w:ind w:left="515" w:right="986"/>
        <w:jc w:val="left"/>
      </w:pPr>
      <w:r>
        <w:rPr/>
        <w:t>本财务报表披露的公司期末应收账款金额前</w:t>
      </w:r>
      <w:r>
        <w:rPr>
          <w:rFonts w:ascii="Times New Roman" w:hAnsi="Times New Roman" w:cs="Times New Roman" w:eastAsia="Times New Roman" w:hint="default"/>
        </w:rPr>
        <w:t>5</w:t>
      </w:r>
      <w:r>
        <w:rPr/>
        <w:t>名情况已将受同一实际控制人控制的销售客户合并计算。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58,169,557.62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66,744,355.29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58,169,557.62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66,744,355.29</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0"/>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应收代付款及暂借款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60,483,986.43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69,810,391.78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145,924.00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1,085,665.54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512,535.17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61,702,951.97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70,468,850.95</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3,473,095.66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171,239.99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3,724,495.65</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80,160.00</w:t>
            </w:r>
          </w:p>
        </w:tc>
        <w:tc>
          <w:tcPr>
            <w:tcW w:w="180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745"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-437,287.86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246,186.56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-191,101.30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3,033,807.80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497,586.55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3,533,394.35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60,676,156.02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60,676,156.02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801,600.00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205,195.95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12,947.00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63,948.95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61,702,951.97</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452"/>
        <w:gridCol w:w="1198"/>
        <w:gridCol w:w="1347"/>
        <w:gridCol w:w="1574"/>
      </w:tblGrid>
      <w:tr>
        <w:trPr>
          <w:trHeight w:val="401"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6"/>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986"/>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r>
        <w:rPr/>
        <w:pict>
          <v:group style="position:absolute;margin-left:373.98999pt;margin-top:227.899979pt;width:80.350pt;height:27.9pt;mso-position-horizontal-relative:page;mso-position-vertical-relative:page;z-index:-1176784" coordorigin="7480,4558" coordsize="1607,558">
            <v:group style="position:absolute;left:7480;top:4558;width:1607;height:156" coordorigin="7480,4558" coordsize="1607,156">
              <v:shape style="position:absolute;left:7480;top:4558;width:1607;height:156" coordorigin="7480,4558" coordsize="1607,156" path="m7480,4714l9086,4714,9086,4558,7480,4558,7480,4714xe" filled="true" fillcolor="#ffffff" stroked="false">
                <v:path arrowok="t"/>
                <v:fill type="solid"/>
              </v:shape>
            </v:group>
            <v:group style="position:absolute;left:7491;top:4714;width:2;height:392" coordorigin="7491,4714" coordsize="2,392">
              <v:shape style="position:absolute;left:7491;top:4714;width:2;height:392" coordorigin="7491,4714" coordsize="0,392" path="m7491,4714l7491,5105e" filled="false" stroked="true" strokeweight="1.08pt" strokecolor="#ffffff">
                <v:path arrowok="t"/>
              </v:shape>
            </v:group>
            <v:group style="position:absolute;left:7501;top:4714;width:1561;height:392" coordorigin="7501,4714" coordsize="1561,392">
              <v:shape style="position:absolute;left:7501;top:4714;width:1561;height:392" coordorigin="7501,4714" coordsize="1561,392" path="m7501,5105l9062,5105,9062,4714,7501,4714,7501,5105xe" filled="true" fillcolor="#ffffff" stroked="false">
                <v:path arrowok="t"/>
                <v:fill type="solid"/>
              </v:shape>
            </v:group>
            <w10:wrap type="none"/>
          </v:group>
        </w:pict>
      </w:r>
    </w:p>
    <w:p>
      <w:pPr>
        <w:pStyle w:val="Heading3"/>
        <w:spacing w:line="240" w:lineRule="auto" w:before="36"/>
        <w:ind w:right="986"/>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37,723,785.08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1,886,189.25</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21,089,276.15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1,054,463.81</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801,600.00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19"/>
              <w:jc w:val="right"/>
              <w:rPr>
                <w:rFonts w:ascii="Times New Roman" w:hAnsi="Times New Roman" w:cs="Times New Roman" w:eastAsia="Times New Roman" w:hint="default"/>
                <w:sz w:val="18"/>
                <w:szCs w:val="18"/>
              </w:rPr>
            </w:pPr>
            <w:r>
              <w:rPr>
                <w:rFonts w:ascii="Times New Roman"/>
                <w:sz w:val="18"/>
              </w:rPr>
              <w:t>1.33%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322,640.00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549,325.20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27,466.26</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60,483,986.43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3,305,759.32</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1,229,751,188.92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1,229,751,188.92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1,077,901,188.92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1,077,901,188.92</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7,706,012.73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7,706,012.73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6,473,592.16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6,473,592.16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1,237,457,201.65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1,237,457,201.65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1,084,374,781.08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1,084,374,781.08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徐州五洋公司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29,596,828.85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29,596,828.85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五岳科技公司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8,929,235.70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8,929,235.70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天沃重工公司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27,820,852.54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27,820,852.54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伟创自动化公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657,648,703.8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657,648,703.83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泰壬科技公司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7,344,000.00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安徽惠邦公司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北京华逸奇公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30,921,568.00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30,921,568.00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弘毅华浩投资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13,040,000.00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天辰智能公司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徐州疌盛合伙 企业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抚州五洋公司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2,100,000.00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1,077,901,188.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1,229,751,188.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-955,832.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5,517,759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重庆鸿达</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6,473,592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2,616,000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-1,383,57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7,706,012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-1,383,57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114,473,797.14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62,498,989.45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110,171,680.08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62,668,043.69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3,140,974.09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2,367,490.62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3,698,111.80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3,369,749.89</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117,614,771.23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64,866,480.07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113,869,791.88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66,037,793.58</w:t>
            </w:r>
          </w:p>
        </w:tc>
      </w:tr>
    </w:tbl>
    <w:p>
      <w:pPr>
        <w:pStyle w:val="BodyText"/>
        <w:spacing w:line="240" w:lineRule="auto" w:before="49"/>
        <w:ind w:right="986"/>
        <w:jc w:val="left"/>
      </w:pPr>
      <w:r>
        <w:rPr/>
        <w:t>是否已执行新收入准则</w:t>
      </w:r>
    </w:p>
    <w:p>
      <w:pPr>
        <w:pStyle w:val="BodyText"/>
        <w:spacing w:line="340" w:lineRule="auto" w:before="115"/>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1"/>
          <w:szCs w:val="21"/>
        </w:rPr>
      </w:pPr>
    </w:p>
    <w:p>
      <w:pPr>
        <w:pStyle w:val="Heading3"/>
        <w:spacing w:line="240" w:lineRule="auto"/>
        <w:ind w:right="98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-1,383,579.43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-1,032,620.51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-135,302.41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539,630.40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2,356,878.11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-843,949.03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1,188,955.19</w:t>
            </w:r>
          </w:p>
        </w:tc>
      </w:tr>
    </w:tbl>
    <w:p>
      <w:pPr>
        <w:spacing w:line="240" w:lineRule="auto" w:before="3"/>
        <w:rPr>
          <w:rFonts w:ascii="宋体" w:hAnsi="宋体" w:cs="宋体" w:eastAsia="宋体" w:hint="default"/>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986"/>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82,885.35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10,751,061.97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1,072,333.62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-459,337.06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1,683,798.25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93,395.32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9,669,750.31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8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0.20</w:t>
            </w:r>
          </w:p>
        </w:tc>
      </w:tr>
    </w:tbl>
    <w:p>
      <w:pPr>
        <w:spacing w:line="240" w:lineRule="auto" w:before="3"/>
        <w:rPr>
          <w:rFonts w:ascii="宋体" w:hAnsi="宋体" w:cs="宋体" w:eastAsia="宋体" w:hint="default"/>
          <w:b/>
          <w:bCs/>
          <w:sz w:val="19"/>
          <w:szCs w:val="19"/>
        </w:rPr>
      </w:pPr>
    </w:p>
    <w:p>
      <w:pPr>
        <w:pStyle w:val="Heading3"/>
        <w:spacing w:line="240" w:lineRule="auto" w:before="36"/>
        <w:ind w:right="98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98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986"/>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986"/>
        <w:jc w:val="left"/>
        <w:rPr>
          <w:b w:val="0"/>
          <w:bCs w:val="0"/>
        </w:rPr>
      </w:pPr>
      <w:bookmarkStart w:name="_TOC_250000" w:id="13"/>
      <w:r>
        <w:rPr/>
        <w:t>第十三节备查文件目录</w:t>
      </w:r>
      <w:bookmarkEnd w:id="13"/>
      <w:r>
        <w:rPr>
          <w:b w:val="0"/>
          <w:bCs w:val="0"/>
        </w:rPr>
      </w:r>
    </w:p>
    <w:p>
      <w:pPr>
        <w:spacing w:line="240" w:lineRule="auto" w:before="6"/>
        <w:rPr>
          <w:rFonts w:ascii="宋体" w:hAnsi="宋体" w:cs="宋体" w:eastAsia="宋体" w:hint="default"/>
          <w:b/>
          <w:bCs/>
          <w:sz w:val="42"/>
          <w:szCs w:val="42"/>
        </w:rPr>
      </w:pPr>
    </w:p>
    <w:p>
      <w:pPr>
        <w:pStyle w:val="BodyText"/>
        <w:spacing w:line="312" w:lineRule="auto" w:before="0"/>
        <w:ind w:right="2474"/>
        <w:jc w:val="left"/>
      </w:pPr>
      <w:r>
        <w:rPr/>
        <w:t>一、载有公司负责人、主管会计工作负责人、会计机构负责人（会计主管人员）签名并盖章的财务报表。 二、载有天健会计师事务所（特殊普通合伙）盖章、注册会计师签名并盖章的审计报告原件。 三、载有公司法定代表人签名的</w:t>
      </w:r>
      <w:r>
        <w:rPr>
          <w:rFonts w:ascii="Times New Roman" w:hAnsi="Times New Roman" w:cs="Times New Roman" w:eastAsia="Times New Roman" w:hint="default"/>
        </w:rPr>
        <w:t>2019</w:t>
      </w:r>
      <w:r>
        <w:rPr/>
        <w:t>年年度报告文本原件。 四、报告期内在中国证监会指定信息披露载体上公开披露过的所有公司文件的正本及公告的原稿。</w:t>
      </w:r>
    </w:p>
    <w:p>
      <w:pPr>
        <w:spacing w:line="240" w:lineRule="auto" w:before="7"/>
        <w:rPr>
          <w:rFonts w:ascii="宋体" w:hAnsi="宋体" w:cs="宋体" w:eastAsia="宋体" w:hint="default"/>
          <w:sz w:val="25"/>
          <w:szCs w:val="25"/>
        </w:rPr>
      </w:pPr>
    </w:p>
    <w:p>
      <w:pPr>
        <w:pStyle w:val="BodyText"/>
        <w:spacing w:line="240" w:lineRule="auto" w:before="0"/>
        <w:ind w:right="986"/>
        <w:jc w:val="left"/>
      </w:pPr>
      <w:r>
        <w:rPr/>
        <w:t>以上备查文件的备置地点：公司证券事务部。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456" type="#_x0000_t75" stroked="false">
          <v:imagedata r:id="rId1" o:title=""/>
        </v:shape>
      </w:pict>
    </w:r>
    <w:r>
      <w:rPr/>
      <w:pict>
        <v:shape style="position:absolute;margin-left:533.099976pt;margin-top:795.613892pt;width:6.5pt;height:11pt;mso-position-horizontal-relative:page;mso-position-vertical-relative:page;z-index:-11774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024" type="#_x0000_t75" stroked="false">
          <v:imagedata r:id="rId1" o:title=""/>
        </v:shape>
      </w:pict>
    </w:r>
    <w:r>
      <w:rPr/>
      <w:pict>
        <v:shape style="position:absolute;margin-left:523.099976pt;margin-top:781.933899pt;width:17.7pt;height:11pt;mso-position-horizontal-relative:page;mso-position-vertical-relative:page;z-index:-11770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408" type="#_x0000_t75" stroked="false">
          <v:imagedata r:id="rId1" o:title=""/>
        </v:shape>
      </w:pict>
    </w:r>
    <w:r>
      <w:rPr/>
      <w:pict>
        <v:shape style="position:absolute;margin-left:527.659973pt;margin-top:781.933899pt;width:13.15pt;height:11pt;mso-position-horizontal-relative:page;mso-position-vertical-relative:page;z-index:-11773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360" type="#_x0000_t75" stroked="false">
          <v:imagedata r:id="rId1" o:title=""/>
        </v:shape>
      </w:pict>
    </w:r>
    <w:r>
      <w:rPr/>
      <w:pict>
        <v:shape style="position:absolute;margin-left:524.099976pt;margin-top:781.933899pt;width:15.7pt;height:11pt;mso-position-horizontal-relative:page;mso-position-vertical-relative:page;z-index:-117733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312" type="#_x0000_t75" stroked="false">
          <v:imagedata r:id="rId1" o:title=""/>
        </v:shape>
      </w:pict>
    </w:r>
    <w:r>
      <w:rPr/>
      <w:pict>
        <v:shape style="position:absolute;margin-left:523.099976pt;margin-top:781.933899pt;width:17.7pt;height:11pt;mso-position-horizontal-relative:page;mso-position-vertical-relative:page;z-index:-11772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264" type="#_x0000_t75" stroked="false">
          <v:imagedata r:id="rId1" o:title=""/>
        </v:shape>
      </w:pict>
    </w:r>
    <w:r>
      <w:rPr/>
      <w:pict>
        <v:shape style="position:absolute;margin-left:523.099976pt;margin-top:781.933899pt;width:17.7pt;height:11pt;mso-position-horizontal-relative:page;mso-position-vertical-relative:page;z-index:-11772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103</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216" type="#_x0000_t75" stroked="false">
          <v:imagedata r:id="rId1" o:title=""/>
        </v:shape>
      </w:pict>
    </w:r>
    <w:r>
      <w:rPr/>
      <w:pict>
        <v:shape style="position:absolute;margin-left:523.460022pt;margin-top:781.933899pt;width:17.3pt;height:11pt;mso-position-horizontal-relative:page;mso-position-vertical-relative:page;z-index:-11771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168" type="#_x0000_t75" stroked="false">
          <v:imagedata r:id="rId1" o:title=""/>
        </v:shape>
      </w:pict>
    </w:r>
    <w:r>
      <w:rPr/>
      <w:pict>
        <v:shape style="position:absolute;margin-left:523.099976pt;margin-top:781.933899pt;width:17.7pt;height:11pt;mso-position-horizontal-relative:page;mso-position-vertical-relative:page;z-index:-11771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120" type="#_x0000_t75" stroked="false">
          <v:imagedata r:id="rId1" o:title=""/>
        </v:shape>
      </w:pict>
    </w:r>
    <w:r>
      <w:rPr/>
      <w:pict>
        <v:shape style="position:absolute;margin-left:523.099976pt;margin-top:781.933899pt;width:17.7pt;height:11pt;mso-position-horizontal-relative:page;mso-position-vertical-relative:page;z-index:-11770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156</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7072" type="#_x0000_t75" stroked="false">
          <v:imagedata r:id="rId1" o:title=""/>
        </v:shape>
      </w:pict>
    </w:r>
    <w:r>
      <w:rPr/>
      <w:pict>
        <v:shape style="position:absolute;margin-left:524.099976pt;margin-top:781.933899pt;width:15.7pt;height:11pt;mso-position-horizontal-relative:page;mso-position-vertical-relative:page;z-index:-117704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49988pt;margin-top:36.265610pt;width:231.75pt;height:11.5pt;mso-position-horizontal-relative:page;mso-position-vertical-relative:page;z-index:-1177480" type="#_x0000_t202" filled="false" stroked="false">
          <v:textbox inset="0,0,0,0">
            <w:txbxContent>
              <w:p>
                <w:pPr>
                  <w:pStyle w:val="BodyText"/>
                  <w:spacing w:line="214" w:lineRule="exact" w:before="0"/>
                  <w:ind w:left="20" w:right="0"/>
                  <w:jc w:val="left"/>
                </w:pPr>
                <w:r>
                  <w:rPr/>
                  <w:t>江苏五洋停车产业集团股份有限公司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49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uyangkeji.com/" TargetMode="External"/><Relationship Id="rId10" Type="http://schemas.openxmlformats.org/officeDocument/2006/relationships/hyperlink" Target="mailto:wuyangsh@163.com" TargetMode="External"/><Relationship Id="rId11" Type="http://schemas.openxmlformats.org/officeDocument/2006/relationships/hyperlink" Target="mailto:1002926635@qq.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江苏五洋停车产业集团股份有限公司</dc:creator>
  <dc:title>江苏五洋停车产业集团股份有限公司2019年年度报告全文</dc:title>
  <dcterms:created xsi:type="dcterms:W3CDTF">2020-05-19T07:26:54Z</dcterms:created>
  <dcterms:modified xsi:type="dcterms:W3CDTF">2020-05-19T07:26:54Z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2010</vt:lpwstr>
  </property>
  <property fmtid="{D5CDD505-2E9C-101B-9397-08002B2CF9AE}" pid="4" name="LastSaved">
    <vt:filetime>2020-05-18T00:00:00Z</vt:filetime>
  </property>
</Properties>
</file>