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6642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664210"/>
                    </a:xfrm>
                    <a:prstGeom prst="rect"/>
                  </pic:spPr>
                </pic:pic>
              </a:graphicData>
            </a:graphic>
          </wp:inline>
        </w:drawing>
      </w:r>
    </w:p>
    <w:p>
      <w:pPr>
        <w:widowControl w:val="0"/>
        <w:spacing w:after="219" w:line="1" w:lineRule="exact"/>
      </w:pPr>
    </w:p>
    <w:p>
      <w:pPr>
        <w:pStyle w:val="Style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江苏五洋停车产业集团股份有限公司</w:t>
      </w:r>
      <w:bookmarkEnd w:id="0"/>
      <w:bookmarkEnd w:id="1"/>
      <w:bookmarkEnd w:id="2"/>
    </w:p>
    <w:p>
      <w:pPr>
        <w:pStyle w:val="Style4"/>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3"/>
      <w:bookmarkEnd w:id="4"/>
      <w:bookmarkEnd w:id="5"/>
    </w:p>
    <w:p>
      <w:pPr>
        <w:pStyle w:val="Style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36" w:right="975" w:bottom="2636" w:left="1099"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4"/>
        <w:keepNext/>
        <w:keepLines/>
        <w:widowControl w:val="0"/>
        <w:shd w:val="clear" w:color="auto" w:fill="auto"/>
        <w:bidi w:val="0"/>
        <w:spacing w:before="68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0"/>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0"/>
        <w:keepNext w:val="0"/>
        <w:keepLines w:val="0"/>
        <w:widowControl w:val="0"/>
        <w:shd w:val="clear" w:color="auto" w:fill="auto"/>
        <w:bidi w:val="0"/>
        <w:spacing w:before="0" w:line="629" w:lineRule="exact"/>
        <w:ind w:left="0" w:right="0"/>
        <w:jc w:val="both"/>
      </w:pPr>
      <w:r>
        <w:rPr>
          <w:color w:val="000000"/>
          <w:spacing w:val="0"/>
          <w:w w:val="100"/>
          <w:position w:val="0"/>
        </w:rPr>
        <w:t>公司负责人侯友夫、主管会计工作负责人王兆勇及会计机构负责人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王侠声明：保证本年度报告中财务报告的真实、准确、完整。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tabs>
          <w:tab w:pos="1458" w:val="left"/>
        </w:tabs>
        <w:bidi w:val="0"/>
        <w:spacing w:before="0"/>
        <w:ind w:left="0" w:right="0"/>
        <w:jc w:val="both"/>
      </w:pPr>
      <w:bookmarkStart w:id="9" w:name="bookmark9"/>
      <w:r>
        <w:rPr>
          <w:color w:val="000000"/>
          <w:spacing w:val="0"/>
          <w:w w:val="100"/>
          <w:position w:val="0"/>
        </w:rPr>
        <w:t>（</w:t>
      </w:r>
      <w:bookmarkEnd w:id="9"/>
      <w:r>
        <w:rPr>
          <w:color w:val="000000"/>
          <w:spacing w:val="0"/>
          <w:w w:val="100"/>
          <w:position w:val="0"/>
        </w:rPr>
        <w:t>一）</w:t>
        <w:tab/>
        <w:t>业绩亏损的原因：报告期内，受大宗原材料价格大幅上涨、芯片短 缺等影响，导致公司产品毛利率下降；鉴于部分客户信用状况不佳，部分应收 账款可收回性存在重大不确定性，根据谨慎性原则，对部分应收账款单项全额 计提了坏账；基于当前疫情反复及影响持续，市场竞争激烈，部分业务开拓不 达预期等不利因素影响，对部分存货项目计提了存货跌价；报告期内，天辰智 能经营业绩亏损严重，</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年度对天辰智能计提商誉减值。</w:t>
      </w:r>
    </w:p>
    <w:p>
      <w:pPr>
        <w:pStyle w:val="Style10"/>
        <w:keepNext w:val="0"/>
        <w:keepLines w:val="0"/>
        <w:widowControl w:val="0"/>
        <w:shd w:val="clear" w:color="auto" w:fill="auto"/>
        <w:tabs>
          <w:tab w:pos="1448" w:val="left"/>
        </w:tabs>
        <w:bidi w:val="0"/>
        <w:spacing w:before="0" w:line="610" w:lineRule="exact"/>
        <w:ind w:left="0" w:right="0"/>
        <w:jc w:val="both"/>
      </w:pPr>
      <w:bookmarkStart w:id="10" w:name="bookmark10"/>
      <w:r>
        <w:rPr>
          <w:color w:val="000000"/>
          <w:spacing w:val="0"/>
          <w:w w:val="100"/>
          <w:position w:val="0"/>
        </w:rPr>
        <w:t>（</w:t>
      </w:r>
      <w:bookmarkEnd w:id="10"/>
      <w:r>
        <w:rPr>
          <w:color w:val="000000"/>
          <w:spacing w:val="0"/>
          <w:w w:val="100"/>
          <w:position w:val="0"/>
        </w:rPr>
        <w:t>二）</w:t>
        <w:tab/>
        <w:t>主营业务、核心竞争力、主要财务指标无重大不利变化，与行业趋 势一致。</w:t>
      </w:r>
    </w:p>
    <w:p>
      <w:pPr>
        <w:pStyle w:val="Style10"/>
        <w:keepNext w:val="0"/>
        <w:keepLines w:val="0"/>
        <w:widowControl w:val="0"/>
        <w:shd w:val="clear" w:color="auto" w:fill="auto"/>
        <w:tabs>
          <w:tab w:pos="1342" w:val="left"/>
        </w:tabs>
        <w:bidi w:val="0"/>
        <w:spacing w:before="0"/>
        <w:ind w:left="0" w:right="0"/>
        <w:jc w:val="both"/>
      </w:pPr>
      <w:bookmarkStart w:id="11" w:name="bookmark11"/>
      <w:r>
        <w:rPr>
          <w:color w:val="000000"/>
          <w:spacing w:val="0"/>
          <w:w w:val="100"/>
          <w:position w:val="0"/>
        </w:rPr>
        <w:t>（</w:t>
      </w:r>
      <w:bookmarkEnd w:id="11"/>
      <w:r>
        <w:rPr>
          <w:color w:val="000000"/>
          <w:spacing w:val="0"/>
          <w:w w:val="100"/>
          <w:position w:val="0"/>
        </w:rPr>
        <w:t>三）</w:t>
        <w:tab/>
        <w:t>所处行业景气，不存在产能过剩、持续衰退或技术替代等情形。</w:t>
      </w:r>
    </w:p>
    <w:p>
      <w:pPr>
        <w:pStyle w:val="Style10"/>
        <w:keepNext w:val="0"/>
        <w:keepLines w:val="0"/>
        <w:widowControl w:val="0"/>
        <w:shd w:val="clear" w:color="auto" w:fill="auto"/>
        <w:tabs>
          <w:tab w:pos="1342" w:val="left"/>
        </w:tabs>
        <w:bidi w:val="0"/>
        <w:spacing w:before="0"/>
        <w:ind w:left="0" w:right="0"/>
        <w:jc w:val="both"/>
      </w:pPr>
      <w:bookmarkStart w:id="12" w:name="bookmark12"/>
      <w:r>
        <w:rPr>
          <w:color w:val="000000"/>
          <w:spacing w:val="0"/>
          <w:w w:val="100"/>
          <w:position w:val="0"/>
        </w:rPr>
        <w:t>（</w:t>
      </w:r>
      <w:bookmarkEnd w:id="12"/>
      <w:r>
        <w:rPr>
          <w:color w:val="000000"/>
          <w:spacing w:val="0"/>
          <w:w w:val="100"/>
          <w:position w:val="0"/>
        </w:rPr>
        <w:t>四）</w:t>
        <w:tab/>
        <w:t>持续经营能力不存在重大风险。</w:t>
      </w:r>
    </w:p>
    <w:p>
      <w:pPr>
        <w:pStyle w:val="Style10"/>
        <w:keepNext w:val="0"/>
        <w:keepLines w:val="0"/>
        <w:widowControl w:val="0"/>
        <w:shd w:val="clear" w:color="auto" w:fill="auto"/>
        <w:bidi w:val="0"/>
        <w:spacing w:before="0" w:line="619" w:lineRule="exact"/>
        <w:ind w:left="0" w:right="0"/>
        <w:jc w:val="both"/>
      </w:pPr>
      <w:r>
        <w:rPr>
          <w:color w:val="000000"/>
          <w:spacing w:val="0"/>
          <w:w w:val="100"/>
          <w:position w:val="0"/>
        </w:rPr>
        <w:t>本报告中涉及未来计划等前瞻性陈述，不构成本公司对投资者的实质承诺， 投资者及相关人士均应对此保持足够的风险认识，并且应当理解计划、预测与 承诺之间的差异。</w:t>
      </w:r>
    </w:p>
    <w:p>
      <w:pPr>
        <w:pStyle w:val="Style10"/>
        <w:keepNext w:val="0"/>
        <w:keepLines w:val="0"/>
        <w:widowControl w:val="0"/>
        <w:shd w:val="clear" w:color="auto" w:fill="auto"/>
        <w:bidi w:val="0"/>
        <w:spacing w:before="0" w:after="60" w:line="658" w:lineRule="exact"/>
        <w:ind w:left="0" w:right="0"/>
        <w:jc w:val="left"/>
      </w:pPr>
      <w:r>
        <w:rPr>
          <w:color w:val="000000"/>
          <w:spacing w:val="0"/>
          <w:w w:val="100"/>
          <w:position w:val="0"/>
        </w:rPr>
        <w:t>公司在本报告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中，详细描述了公司经营中可能 存在的风险及应对措施，敬请投资者关注相关内容。</w:t>
      </w:r>
    </w:p>
    <w:p>
      <w:pPr>
        <w:pStyle w:val="Style10"/>
        <w:keepNext w:val="0"/>
        <w:keepLines w:val="0"/>
        <w:widowControl w:val="0"/>
        <w:shd w:val="clear" w:color="auto" w:fill="auto"/>
        <w:bidi w:val="0"/>
        <w:spacing w:before="0" w:after="0" w:line="658" w:lineRule="exact"/>
        <w:ind w:left="0" w:right="0"/>
        <w:jc w:val="left"/>
        <w:sectPr>
          <w:footnotePr>
            <w:pos w:val="pageBottom"/>
            <w:numFmt w:val="decimal"/>
            <w:numRestart w:val="continuous"/>
          </w:footnotePr>
          <w:pgSz w:w="11900" w:h="16840"/>
          <w:pgMar w:top="1282" w:right="1007" w:bottom="1594" w:left="106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keepLines/>
        <w:widowControl w:val="0"/>
        <w:shd w:val="clear" w:color="auto" w:fill="auto"/>
        <w:bidi w:val="0"/>
        <w:spacing w:before="0" w:after="1500"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13"/>
        <w:keepNext w:val="0"/>
        <w:keepLines w:val="0"/>
        <w:widowControl w:val="0"/>
        <w:shd w:val="clear" w:color="auto" w:fill="auto"/>
        <w:tabs>
          <w:tab w:leader="dot" w:pos="7608" w:val="left"/>
        </w:tabs>
        <w:bidi w:val="0"/>
        <w:spacing w:before="0" w:line="240" w:lineRule="auto"/>
        <w:ind w:left="0" w:right="0" w:firstLine="0"/>
        <w:jc w:val="left"/>
        <w:rPr>
          <w:sz w:val="24"/>
          <w:szCs w:val="24"/>
        </w:rPr>
      </w:pPr>
      <w:r>
        <w:rPr>
          <w:color w:val="000000"/>
          <w:spacing w:val="0"/>
          <w:w w:val="100"/>
          <w:position w:val="0"/>
          <w:sz w:val="22"/>
          <w:szCs w:val="22"/>
        </w:rPr>
        <w:t>第一节重要提示、目录和释义</w:t>
      </w:r>
      <w:r>
        <w:rPr>
          <w:color w:val="000000"/>
          <w:spacing w:val="0"/>
          <w:w w:val="100"/>
          <w:position w:val="0"/>
          <w:sz w:val="22"/>
          <w:szCs w:val="22"/>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3"/>
        <w:keepNext w:val="0"/>
        <w:keepLines w:val="0"/>
        <w:widowControl w:val="0"/>
        <w:shd w:val="clear" w:color="auto" w:fill="auto"/>
        <w:tabs>
          <w:tab w:leader="dot" w:pos="7608" w:val="left"/>
        </w:tabs>
        <w:bidi w:val="0"/>
        <w:spacing w:before="0" w:line="240" w:lineRule="auto"/>
        <w:ind w:left="0" w:right="0" w:firstLine="0"/>
        <w:jc w:val="left"/>
        <w:rPr>
          <w:sz w:val="24"/>
          <w:szCs w:val="24"/>
        </w:rPr>
      </w:pPr>
      <w:r>
        <w:rPr>
          <w:color w:val="000000"/>
          <w:spacing w:val="0"/>
          <w:w w:val="100"/>
          <w:position w:val="0"/>
          <w:sz w:val="22"/>
          <w:szCs w:val="22"/>
        </w:rPr>
        <w:t>第二节公司简介和主要财务指标</w:t>
      </w:r>
      <w:r>
        <w:rPr>
          <w:color w:val="000000"/>
          <w:spacing w:val="0"/>
          <w:w w:val="100"/>
          <w:position w:val="0"/>
          <w:sz w:val="22"/>
          <w:szCs w:val="22"/>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3"/>
        <w:keepNext w:val="0"/>
        <w:keepLines w:val="0"/>
        <w:widowControl w:val="0"/>
        <w:shd w:val="clear" w:color="auto" w:fill="auto"/>
        <w:tabs>
          <w:tab w:leader="dot" w:pos="7608" w:val="left"/>
        </w:tabs>
        <w:bidi w:val="0"/>
        <w:spacing w:before="0" w:line="240" w:lineRule="auto"/>
        <w:ind w:left="0" w:right="0" w:firstLine="0"/>
        <w:jc w:val="left"/>
        <w:rPr>
          <w:sz w:val="24"/>
          <w:szCs w:val="24"/>
        </w:rPr>
      </w:pPr>
      <w:r>
        <w:rPr>
          <w:color w:val="000000"/>
          <w:spacing w:val="0"/>
          <w:w w:val="100"/>
          <w:position w:val="0"/>
          <w:sz w:val="22"/>
          <w:szCs w:val="22"/>
        </w:rPr>
        <w:t>第三节管理层讨论与分析</w:t>
      </w:r>
      <w:r>
        <w:rPr>
          <w:color w:val="000000"/>
          <w:spacing w:val="0"/>
          <w:w w:val="100"/>
          <w:position w:val="0"/>
          <w:sz w:val="22"/>
          <w:szCs w:val="22"/>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3"/>
        <w:keepNext w:val="0"/>
        <w:keepLines w:val="0"/>
        <w:widowControl w:val="0"/>
        <w:shd w:val="clear" w:color="auto" w:fill="auto"/>
        <w:tabs>
          <w:tab w:leader="dot" w:pos="7608" w:val="left"/>
        </w:tabs>
        <w:bidi w:val="0"/>
        <w:spacing w:before="0" w:line="240" w:lineRule="auto"/>
        <w:ind w:left="0" w:right="0" w:firstLine="0"/>
        <w:jc w:val="left"/>
        <w:rPr>
          <w:sz w:val="24"/>
          <w:szCs w:val="24"/>
        </w:rPr>
      </w:pPr>
      <w:r>
        <w:rPr>
          <w:color w:val="000000"/>
          <w:spacing w:val="0"/>
          <w:w w:val="100"/>
          <w:position w:val="0"/>
          <w:sz w:val="22"/>
          <w:szCs w:val="22"/>
        </w:rPr>
        <w:t>第四节公司治理</w:t>
      </w:r>
      <w:r>
        <w:rPr>
          <w:color w:val="000000"/>
          <w:spacing w:val="0"/>
          <w:w w:val="100"/>
          <w:position w:val="0"/>
          <w:sz w:val="22"/>
          <w:szCs w:val="22"/>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3"/>
        <w:keepNext w:val="0"/>
        <w:keepLines w:val="0"/>
        <w:widowControl w:val="0"/>
        <w:shd w:val="clear" w:color="auto" w:fill="auto"/>
        <w:tabs>
          <w:tab w:leader="dot" w:pos="7608" w:val="left"/>
        </w:tabs>
        <w:bidi w:val="0"/>
        <w:spacing w:before="0" w:line="240" w:lineRule="auto"/>
        <w:ind w:left="0" w:right="0" w:firstLine="0"/>
        <w:jc w:val="left"/>
        <w:rPr>
          <w:sz w:val="24"/>
          <w:szCs w:val="24"/>
        </w:rPr>
      </w:pPr>
      <w:r>
        <w:rPr>
          <w:color w:val="000000"/>
          <w:spacing w:val="0"/>
          <w:w w:val="100"/>
          <w:position w:val="0"/>
          <w:sz w:val="22"/>
          <w:szCs w:val="22"/>
        </w:rPr>
        <w:t>第五节环境和社会责任</w:t>
      </w:r>
      <w:r>
        <w:rPr>
          <w:color w:val="000000"/>
          <w:spacing w:val="0"/>
          <w:w w:val="100"/>
          <w:position w:val="0"/>
          <w:sz w:val="22"/>
          <w:szCs w:val="22"/>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3"/>
        <w:keepNext w:val="0"/>
        <w:keepLines w:val="0"/>
        <w:widowControl w:val="0"/>
        <w:shd w:val="clear" w:color="auto" w:fill="auto"/>
        <w:tabs>
          <w:tab w:leader="dot" w:pos="7608" w:val="left"/>
        </w:tabs>
        <w:bidi w:val="0"/>
        <w:spacing w:before="0" w:line="240" w:lineRule="auto"/>
        <w:ind w:left="0" w:right="0" w:firstLine="0"/>
        <w:jc w:val="left"/>
        <w:rPr>
          <w:sz w:val="24"/>
          <w:szCs w:val="24"/>
        </w:rPr>
      </w:pPr>
      <w:r>
        <w:rPr>
          <w:color w:val="000000"/>
          <w:spacing w:val="0"/>
          <w:w w:val="100"/>
          <w:position w:val="0"/>
          <w:sz w:val="22"/>
          <w:szCs w:val="22"/>
        </w:rPr>
        <w:t>第六节重要事项</w:t>
      </w:r>
      <w:r>
        <w:rPr>
          <w:color w:val="000000"/>
          <w:spacing w:val="0"/>
          <w:w w:val="100"/>
          <w:position w:val="0"/>
          <w:sz w:val="22"/>
          <w:szCs w:val="22"/>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3"/>
        <w:keepNext w:val="0"/>
        <w:keepLines w:val="0"/>
        <w:widowControl w:val="0"/>
        <w:shd w:val="clear" w:color="auto" w:fill="auto"/>
        <w:tabs>
          <w:tab w:leader="dot" w:pos="7608" w:val="left"/>
        </w:tabs>
        <w:bidi w:val="0"/>
        <w:spacing w:before="0" w:line="240" w:lineRule="auto"/>
        <w:ind w:left="0" w:right="0" w:firstLine="0"/>
        <w:jc w:val="left"/>
        <w:rPr>
          <w:sz w:val="24"/>
          <w:szCs w:val="24"/>
        </w:rPr>
      </w:pPr>
      <w:r>
        <w:rPr>
          <w:color w:val="000000"/>
          <w:spacing w:val="0"/>
          <w:w w:val="100"/>
          <w:position w:val="0"/>
          <w:sz w:val="22"/>
          <w:szCs w:val="22"/>
        </w:rPr>
        <w:t>第七节股份变动及股东情况</w:t>
      </w:r>
      <w:r>
        <w:rPr>
          <w:color w:val="000000"/>
          <w:spacing w:val="0"/>
          <w:w w:val="100"/>
          <w:position w:val="0"/>
          <w:sz w:val="22"/>
          <w:szCs w:val="22"/>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3"/>
        <w:keepNext w:val="0"/>
        <w:keepLines w:val="0"/>
        <w:widowControl w:val="0"/>
        <w:shd w:val="clear" w:color="auto" w:fill="auto"/>
        <w:tabs>
          <w:tab w:leader="dot" w:pos="7608" w:val="left"/>
        </w:tabs>
        <w:bidi w:val="0"/>
        <w:spacing w:before="0" w:line="240" w:lineRule="auto"/>
        <w:ind w:left="0" w:right="0" w:firstLine="0"/>
        <w:jc w:val="left"/>
        <w:rPr>
          <w:sz w:val="24"/>
          <w:szCs w:val="24"/>
        </w:rPr>
      </w:pPr>
      <w:r>
        <w:rPr>
          <w:color w:val="000000"/>
          <w:spacing w:val="0"/>
          <w:w w:val="100"/>
          <w:position w:val="0"/>
          <w:sz w:val="22"/>
          <w:szCs w:val="22"/>
        </w:rPr>
        <w:t>第八节优先股相关情况</w:t>
      </w:r>
      <w:r>
        <w:rPr>
          <w:color w:val="000000"/>
          <w:spacing w:val="0"/>
          <w:w w:val="100"/>
          <w:position w:val="0"/>
          <w:sz w:val="22"/>
          <w:szCs w:val="22"/>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3"/>
        <w:keepNext w:val="0"/>
        <w:keepLines w:val="0"/>
        <w:widowControl w:val="0"/>
        <w:shd w:val="clear" w:color="auto" w:fill="auto"/>
        <w:tabs>
          <w:tab w:leader="dot" w:pos="7608" w:val="left"/>
        </w:tabs>
        <w:bidi w:val="0"/>
        <w:spacing w:before="0" w:line="240" w:lineRule="auto"/>
        <w:ind w:left="0" w:right="0" w:firstLine="0"/>
        <w:jc w:val="left"/>
        <w:rPr>
          <w:sz w:val="24"/>
          <w:szCs w:val="24"/>
        </w:rPr>
      </w:pPr>
      <w:r>
        <w:rPr>
          <w:color w:val="000000"/>
          <w:spacing w:val="0"/>
          <w:w w:val="100"/>
          <w:position w:val="0"/>
          <w:sz w:val="22"/>
          <w:szCs w:val="22"/>
        </w:rPr>
        <w:t>第九节债券相关情况</w:t>
      </w:r>
      <w:r>
        <w:rPr>
          <w:color w:val="000000"/>
          <w:spacing w:val="0"/>
          <w:w w:val="100"/>
          <w:position w:val="0"/>
          <w:sz w:val="22"/>
          <w:szCs w:val="22"/>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3"/>
        <w:keepNext w:val="0"/>
        <w:keepLines w:val="0"/>
        <w:widowControl w:val="0"/>
        <w:shd w:val="clear" w:color="auto" w:fill="auto"/>
        <w:tabs>
          <w:tab w:leader="dot" w:pos="7608" w:val="left"/>
        </w:tabs>
        <w:bidi w:val="0"/>
        <w:spacing w:before="0" w:line="240" w:lineRule="auto"/>
        <w:ind w:left="0" w:right="0" w:firstLine="0"/>
        <w:jc w:val="left"/>
        <w:rPr>
          <w:sz w:val="24"/>
          <w:szCs w:val="24"/>
        </w:rPr>
        <w:sectPr>
          <w:footnotePr>
            <w:pos w:val="pageBottom"/>
            <w:numFmt w:val="decimal"/>
            <w:numRestart w:val="continuous"/>
          </w:footnotePr>
          <w:pgSz w:w="11900" w:h="16840"/>
          <w:pgMar w:top="2857" w:right="1258" w:bottom="2857" w:left="1109" w:header="0" w:footer="3" w:gutter="0"/>
          <w:cols w:space="720"/>
          <w:noEndnote/>
          <w:rtlGutter w:val="0"/>
          <w:docGrid w:linePitch="360"/>
        </w:sectPr>
      </w:pPr>
      <w:r>
        <w:rPr>
          <w:color w:val="000000"/>
          <w:spacing w:val="0"/>
          <w:w w:val="100"/>
          <w:position w:val="0"/>
          <w:sz w:val="22"/>
          <w:szCs w:val="22"/>
        </w:rPr>
        <w:t>第十节财务报告</w:t>
      </w:r>
      <w:r>
        <w:rPr>
          <w:color w:val="000000"/>
          <w:spacing w:val="0"/>
          <w:w w:val="100"/>
          <w:position w:val="0"/>
          <w:sz w:val="22"/>
          <w:szCs w:val="22"/>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4"/>
        <w:keepNext/>
        <w:keepLines/>
        <w:widowControl w:val="0"/>
        <w:shd w:val="clear" w:color="auto" w:fill="auto"/>
        <w:bidi w:val="0"/>
        <w:spacing w:before="640" w:after="880" w:line="240" w:lineRule="auto"/>
        <w:ind w:left="0" w:right="0" w:firstLine="0"/>
        <w:jc w:val="center"/>
      </w:pPr>
      <w:bookmarkStart w:id="16" w:name="bookmark16"/>
      <w:bookmarkStart w:id="17" w:name="bookmark17"/>
      <w:bookmarkStart w:id="18" w:name="bookmark18"/>
      <w:r>
        <w:rPr>
          <w:color w:val="000000"/>
          <w:spacing w:val="0"/>
          <w:w w:val="100"/>
          <w:position w:val="0"/>
        </w:rPr>
        <w:t>备查文件目录</w:t>
      </w:r>
      <w:bookmarkEnd w:id="16"/>
      <w:bookmarkEnd w:id="17"/>
      <w:bookmarkEnd w:id="18"/>
    </w:p>
    <w:p>
      <w:pPr>
        <w:pStyle w:val="Style17"/>
        <w:keepNext w:val="0"/>
        <w:keepLines w:val="0"/>
        <w:widowControl w:val="0"/>
        <w:shd w:val="clear" w:color="auto" w:fill="auto"/>
        <w:tabs>
          <w:tab w:pos="435" w:val="left"/>
        </w:tabs>
        <w:bidi w:val="0"/>
        <w:spacing w:before="0" w:after="140" w:line="240" w:lineRule="auto"/>
        <w:ind w:left="0" w:right="0" w:firstLine="0"/>
        <w:jc w:val="left"/>
      </w:pPr>
      <w:bookmarkStart w:id="19" w:name="bookmark19"/>
      <w:r>
        <w:rPr>
          <w:color w:val="000000"/>
          <w:spacing w:val="0"/>
          <w:w w:val="100"/>
          <w:position w:val="0"/>
        </w:rPr>
        <w:t>一</w:t>
      </w:r>
      <w:bookmarkEnd w:id="19"/>
      <w:r>
        <w:rPr>
          <w:color w:val="000000"/>
          <w:spacing w:val="0"/>
          <w:w w:val="100"/>
          <w:position w:val="0"/>
        </w:rPr>
        <w:t>、</w:t>
        <w:tab/>
        <w:t>载有公司负责人、主管会计工作负责人、会计机构负责人（会计主管人员）签名并盖章的财务报表。</w:t>
      </w:r>
    </w:p>
    <w:p>
      <w:pPr>
        <w:pStyle w:val="Style17"/>
        <w:keepNext w:val="0"/>
        <w:keepLines w:val="0"/>
        <w:widowControl w:val="0"/>
        <w:shd w:val="clear" w:color="auto" w:fill="auto"/>
        <w:tabs>
          <w:tab w:pos="435" w:val="left"/>
        </w:tabs>
        <w:bidi w:val="0"/>
        <w:spacing w:before="0" w:after="140" w:line="240" w:lineRule="auto"/>
        <w:ind w:left="0" w:right="0" w:firstLine="0"/>
        <w:jc w:val="left"/>
      </w:pPr>
      <w:bookmarkStart w:id="20" w:name="bookmark20"/>
      <w:r>
        <w:rPr>
          <w:color w:val="000000"/>
          <w:spacing w:val="0"/>
          <w:w w:val="100"/>
          <w:position w:val="0"/>
        </w:rPr>
        <w:t>二</w:t>
      </w:r>
      <w:bookmarkEnd w:id="20"/>
      <w:r>
        <w:rPr>
          <w:color w:val="000000"/>
          <w:spacing w:val="0"/>
          <w:w w:val="100"/>
          <w:position w:val="0"/>
        </w:rPr>
        <w:t>、</w:t>
        <w:tab/>
        <w:t>载有中兴华会计师事务所（特殊普通合伙）盖章、注册会计师签名并盖章的审计报告原件。</w:t>
      </w:r>
    </w:p>
    <w:p>
      <w:pPr>
        <w:pStyle w:val="Style17"/>
        <w:keepNext w:val="0"/>
        <w:keepLines w:val="0"/>
        <w:widowControl w:val="0"/>
        <w:shd w:val="clear" w:color="auto" w:fill="auto"/>
        <w:tabs>
          <w:tab w:pos="435" w:val="left"/>
        </w:tabs>
        <w:bidi w:val="0"/>
        <w:spacing w:before="0" w:after="140" w:line="240" w:lineRule="auto"/>
        <w:ind w:left="0" w:right="0" w:firstLine="0"/>
        <w:jc w:val="left"/>
      </w:pPr>
      <w:bookmarkStart w:id="21" w:name="bookmark21"/>
      <w:r>
        <w:rPr>
          <w:color w:val="000000"/>
          <w:spacing w:val="0"/>
          <w:w w:val="100"/>
          <w:position w:val="0"/>
        </w:rPr>
        <w:t>三</w:t>
      </w:r>
      <w:bookmarkEnd w:id="21"/>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17"/>
        <w:keepNext w:val="0"/>
        <w:keepLines w:val="0"/>
        <w:widowControl w:val="0"/>
        <w:shd w:val="clear" w:color="auto" w:fill="auto"/>
        <w:tabs>
          <w:tab w:pos="435" w:val="left"/>
        </w:tabs>
        <w:bidi w:val="0"/>
        <w:spacing w:before="0" w:after="500" w:line="240" w:lineRule="auto"/>
        <w:ind w:left="0" w:right="0" w:firstLine="0"/>
        <w:jc w:val="left"/>
      </w:pPr>
      <w:bookmarkStart w:id="22" w:name="bookmark22"/>
      <w:r>
        <w:rPr>
          <w:color w:val="000000"/>
          <w:spacing w:val="0"/>
          <w:w w:val="100"/>
          <w:position w:val="0"/>
        </w:rPr>
        <w:t>四</w:t>
      </w:r>
      <w:bookmarkEnd w:id="22"/>
      <w:r>
        <w:rPr>
          <w:color w:val="000000"/>
          <w:spacing w:val="0"/>
          <w:w w:val="100"/>
          <w:position w:val="0"/>
        </w:rPr>
        <w:t>、</w:t>
        <w:tab/>
        <w:t>报告期内在中国证监会指定信息披露载体上公开披露过的所有公司文件的正本及公告的原稿。</w:t>
      </w:r>
    </w:p>
    <w:p>
      <w:pPr>
        <w:pStyle w:val="Style17"/>
        <w:keepNext w:val="0"/>
        <w:keepLines w:val="0"/>
        <w:widowControl w:val="0"/>
        <w:shd w:val="clear" w:color="auto" w:fill="auto"/>
        <w:bidi w:val="0"/>
        <w:spacing w:before="0" w:after="320" w:line="240" w:lineRule="auto"/>
        <w:ind w:left="0" w:right="0" w:firstLine="0"/>
        <w:jc w:val="left"/>
      </w:pPr>
      <w:r>
        <w:rPr>
          <w:color w:val="000000"/>
          <w:spacing w:val="0"/>
          <w:w w:val="100"/>
          <w:position w:val="0"/>
        </w:rPr>
        <w:t>以上备查文件的备置地点：公司证券事务部。</w:t>
      </w:r>
      <w:r>
        <w:br w:type="page"/>
      </w:r>
    </w:p>
    <w:p>
      <w:pPr>
        <w:pStyle w:val="Style4"/>
        <w:keepNext/>
        <w:keepLines/>
        <w:widowControl w:val="0"/>
        <w:shd w:val="clear" w:color="auto" w:fill="auto"/>
        <w:bidi w:val="0"/>
        <w:spacing w:before="0" w:after="800" w:line="240" w:lineRule="auto"/>
        <w:ind w:left="0" w:right="0" w:firstLine="0"/>
        <w:jc w:val="center"/>
      </w:pPr>
      <w:bookmarkStart w:id="23" w:name="bookmark23"/>
      <w:bookmarkStart w:id="24" w:name="bookmark24"/>
      <w:bookmarkStart w:id="25" w:name="bookmark25"/>
      <w:r>
        <w:rPr>
          <w:color w:val="000000"/>
          <w:spacing w:val="0"/>
          <w:w w:val="100"/>
          <w:position w:val="0"/>
        </w:rPr>
        <w:t>释义</w:t>
      </w:r>
      <w:bookmarkEnd w:id="23"/>
      <w:bookmarkEnd w:id="24"/>
      <w:bookmarkEnd w:id="25"/>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公司、股份公司、五洋停车、本公司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江苏五洋停车产业集团股份有限公司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侯友夫、蔡敏、</w:t>
            </w:r>
            <w:r>
              <w:rPr>
                <w:color w:val="000000"/>
                <w:spacing w:val="0"/>
                <w:w w:val="100"/>
                <w:position w:val="0"/>
                <w:u w:val="single"/>
              </w:rPr>
              <w:t>寿招爱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天沃重工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江苏天沃重工科技有限公司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五岳科技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江苏五岳科技实业有限公司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广东伟创</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广东伟创五洋智能设备有限公司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合肥伟创</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合肥市伟创自动化设备有限公司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伟创华鑫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东莞市伟创华鑫自动化设备有限公司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北京伟创</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北京伟创停车场管理有限公司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沈阳恒信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沈阳市五洋恒信泊车有限公司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昆明伟创</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昆明五洋伟创停车服务有限公司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天辰智能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山东天辰智能停车有限公司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泰壬科技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江西泰壬科技有限公司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青云市政</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南昌市青云市政运营有限公司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惠邦租赁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安徽惠邦融资租赁有限公司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华逸奇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北京华逸奇科贸有限公司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同方佰宜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同方佰宜科技（北京）有限公司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福建比硕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福建比硕停车运营股份有限公司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弘毅华浩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深圳市前海弘毅华浩投资有限公司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抚州五洋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抚州五洋智慧交通产业发展有限公司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徐州走盛</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徐州走盛五洋智能装备产业基金合伙企业（有限合伙）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五洋智慧交通（徐州）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五洋智慧交通产业（徐州）有限公司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五洋智慧交通（成都）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五洋智慧交通产业（成都）有限公司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重庆鸿达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重庆鸿达智慧城市发展有限公司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北京泊创</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北京泊创科技有限公司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长安停车投资管理（上海）有限公司</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迈泊停车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迈泊停车管理（上海）有限公司</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上海长太</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上海长太投资中心（有限合伙）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上海常鹏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上海常鹏投资中心（有限合伙）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北京长静投资中心（有限合伙）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重庆易思泊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重庆市綦江区易思泊信息技术有限公司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五洋停车服务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徐州五洋停车服务有限公司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宜春智慧停车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宜春市智慧停车科技有限公司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五洋智慧交通（东莞）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五洋智慧交通产业（东莞）有限公司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《江苏五洋停车产业集团股份有限公司章程》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208" w:bottom="1743" w:left="1111" w:header="0" w:footer="3" w:gutter="0"/>
          <w:cols w:space="720"/>
          <w:noEndnote/>
          <w:rtlGutter w:val="0"/>
          <w:docGrid w:linePitch="360"/>
        </w:sectPr>
      </w:pPr>
    </w:p>
    <w:p>
      <w:pPr>
        <w:pStyle w:val="Style4"/>
        <w:keepNext/>
        <w:keepLines/>
        <w:widowControl w:val="0"/>
        <w:shd w:val="clear" w:color="auto" w:fill="auto"/>
        <w:bidi w:val="0"/>
        <w:spacing w:before="480" w:after="560" w:line="240" w:lineRule="auto"/>
        <w:ind w:left="0" w:right="0" w:firstLine="0"/>
        <w:jc w:val="center"/>
      </w:pPr>
      <w:bookmarkStart w:id="26" w:name="bookmark26"/>
      <w:bookmarkStart w:id="27" w:name="bookmark27"/>
      <w:bookmarkStart w:id="28" w:name="bookmark28"/>
      <w:r>
        <w:rPr>
          <w:color w:val="000000"/>
          <w:spacing w:val="0"/>
          <w:w w:val="100"/>
          <w:position w:val="0"/>
        </w:rPr>
        <w:t>第二节公司简介和主要财务指标</w:t>
      </w:r>
      <w:bookmarkEnd w:id="26"/>
      <w:bookmarkEnd w:id="27"/>
      <w:bookmarkEnd w:id="28"/>
    </w:p>
    <w:p>
      <w:pPr>
        <w:pStyle w:val="Style24"/>
        <w:keepNext/>
        <w:keepLines/>
        <w:widowControl w:val="0"/>
        <w:shd w:val="clear" w:color="auto" w:fill="auto"/>
        <w:bidi w:val="0"/>
        <w:spacing w:before="0" w:after="320" w:line="240" w:lineRule="auto"/>
        <w:ind w:left="0" w:right="0" w:firstLine="240"/>
        <w:jc w:val="left"/>
      </w:pPr>
      <w:bookmarkStart w:id="29" w:name="bookmark29"/>
      <w:bookmarkStart w:id="30" w:name="bookmark30"/>
      <w:bookmarkStart w:id="31" w:name="bookmark31"/>
      <w:r>
        <w:rPr>
          <w:color w:val="000000"/>
          <w:spacing w:val="0"/>
          <w:w w:val="100"/>
          <w:position w:val="0"/>
        </w:rPr>
        <w:t>、公司信息</w:t>
      </w:r>
      <w:bookmarkEnd w:id="29"/>
      <w:bookmarkEnd w:id="30"/>
      <w:bookmarkEnd w:id="31"/>
    </w:p>
    <w:tbl>
      <w:tblPr>
        <w:tblOverlap w:val="never"/>
        <w:jc w:val="center"/>
        <w:tblLayout w:type="fixed"/>
      </w:tblPr>
      <w:tblGrid>
        <w:gridCol w:w="2290"/>
        <w:gridCol w:w="729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94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五洋停车</w:t>
              <w:tab/>
              <w:t>股票代码</w:t>
              <w:tab/>
            </w:r>
            <w:r>
              <w:rPr>
                <w:rFonts w:ascii="Times New Roman" w:eastAsia="Times New Roman" w:hAnsi="Times New Roman" w:cs="Times New Roman"/>
                <w:color w:val="000000"/>
                <w:spacing w:val="0"/>
                <w:w w:val="100"/>
                <w:position w:val="0"/>
                <w:sz w:val="18"/>
                <w:szCs w:val="18"/>
              </w:rPr>
              <w:t>300420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江苏五洋停车产业集团股份有限公司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五洋停车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Jiangsu Wuyang Parking Industry Group Co.,Ltd.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江苏省徐州市铜山新区工业园珠江路北、银山路东</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江苏省徐州市铜山新区工业园珠江路北、银山路东</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wuyangkeji. com/</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wuyang sh@163 .com</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二</w:t>
      </w:r>
      <w:bookmarkEnd w:id="34"/>
      <w:r>
        <w:rPr>
          <w:color w:val="000000"/>
          <w:spacing w:val="0"/>
          <w:w w:val="100"/>
          <w:position w:val="0"/>
        </w:rPr>
        <w:t>、联系人和联系方式</w:t>
      </w:r>
      <w:bookmarkEnd w:id="32"/>
      <w:bookmarkEnd w:id="33"/>
      <w:bookmarkEnd w:id="35"/>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王镜疑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历娜</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江苏省徐州市铜山新区工业园珠江路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北、银山路东</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江苏省徐州市铜山新区工业园珠江路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北、银山路东</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0516-83501768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0516-83501768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0516-83501768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0516-83501768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wuyang sh@163. com</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wuyang sh@163. com</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三</w:t>
      </w:r>
      <w:bookmarkEnd w:id="38"/>
      <w:r>
        <w:rPr>
          <w:color w:val="000000"/>
          <w:spacing w:val="0"/>
          <w:w w:val="100"/>
          <w:position w:val="0"/>
        </w:rPr>
        <w:t>、信息披露及备置地点</w:t>
      </w:r>
      <w:bookmarkEnd w:id="36"/>
      <w:bookmarkEnd w:id="37"/>
      <w:bookmarkEnd w:id="39"/>
    </w:p>
    <w:tbl>
      <w:tblPr>
        <w:tblOverlap w:val="never"/>
        <w:jc w:val="center"/>
        <w:tblLayout w:type="fixed"/>
      </w:tblPr>
      <w:tblGrid>
        <w:gridCol w:w="3994"/>
        <w:gridCol w:w="55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江苏五洋停车产业集团股份有限公司证券事务部</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四</w:t>
      </w:r>
      <w:bookmarkEnd w:id="42"/>
      <w:r>
        <w:rPr>
          <w:color w:val="000000"/>
          <w:spacing w:val="0"/>
          <w:w w:val="100"/>
          <w:position w:val="0"/>
        </w:rPr>
        <w:t>、其他有关资料</w:t>
      </w:r>
      <w:bookmarkEnd w:id="40"/>
      <w:bookmarkEnd w:id="41"/>
      <w:bookmarkEnd w:id="43"/>
    </w:p>
    <w:p>
      <w:pPr>
        <w:pStyle w:val="Style1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北京市丰台区东管头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2048-62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闻国胜、张舸</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北京市东城区建国内大街</w:t>
            </w:r>
            <w:r>
              <w:rPr>
                <w:rFonts w:ascii="Times New Roman" w:eastAsia="Times New Roman" w:hAnsi="Times New Roman" w:cs="Times New Roman"/>
                <w:color w:val="000000"/>
                <w:spacing w:val="0"/>
                <w:w w:val="100"/>
                <w:position w:val="0"/>
                <w:sz w:val="18"/>
                <w:szCs w:val="18"/>
              </w:rPr>
              <w:t>28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号民生金融中心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16-18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谢国敏、崔增英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五</w:t>
      </w:r>
      <w:bookmarkEnd w:id="46"/>
      <w:r>
        <w:rPr>
          <w:color w:val="000000"/>
          <w:spacing w:val="0"/>
          <w:w w:val="100"/>
          <w:position w:val="0"/>
        </w:rPr>
        <w:t>、主要会计数据和财务指标</w:t>
      </w:r>
      <w:bookmarkEnd w:id="44"/>
      <w:bookmarkEnd w:id="45"/>
      <w:bookmarkEnd w:id="47"/>
    </w:p>
    <w:p>
      <w:pPr>
        <w:pStyle w:val="Style17"/>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1,555,955,258.05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1,631,563,723.56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1,291,377,836.40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-177,177,478.96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148,416,990.20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155,397,825.80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-221,938,301.85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130,688,927.73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145,728,075.49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-102,364,068.50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-29,562,035.87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28,221,016.60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3,944,692,065.99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3,948,351,406.49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2,801,808,195.43</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2,360,061,913.65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2,577,290,880.14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1,677,228,033.83</w:t>
            </w: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1,555,955,258.05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1,631,563,723.56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全部收入</w:t>
            </w:r>
          </w:p>
        </w:tc>
      </w:tr>
    </w:tbl>
    <w:tbl>
      <w:tblPr>
        <w:tblOverlap w:val="never"/>
        <w:jc w:val="center"/>
        <w:tblLayout w:type="fixed"/>
      </w:tblPr>
      <w:tblGrid>
        <w:gridCol w:w="2395"/>
        <w:gridCol w:w="2390"/>
        <w:gridCol w:w="2395"/>
        <w:gridCol w:w="2400"/>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15,851,429.74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10,877,649.47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销售材料、低值易耗品、废物 废料、租赁收入、技术服务收 入等</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1,540,103,828.31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1,620,686,074.09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主营业务收入</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六</w:t>
      </w:r>
      <w:bookmarkEnd w:id="50"/>
      <w:r>
        <w:rPr>
          <w:color w:val="000000"/>
          <w:spacing w:val="0"/>
          <w:w w:val="100"/>
          <w:position w:val="0"/>
        </w:rPr>
        <w:t>、分季度主要财务指标</w:t>
      </w:r>
      <w:bookmarkEnd w:id="48"/>
      <w:bookmarkEnd w:id="49"/>
      <w:bookmarkEnd w:id="51"/>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232,317,588.97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473,555,164.62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333,032,576.69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517,049,927.77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31,868,297.48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35,527,830.00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14,198,770.33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-258,772,376.77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29,533,467.78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17,254,013.98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12,773,724.44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-281,499,508.05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-74,653,107.19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-95,188,365.97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-4,957,489.01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72,434,893.67</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七</w:t>
      </w:r>
      <w:bookmarkEnd w:id="54"/>
      <w:r>
        <w:rPr>
          <w:color w:val="000000"/>
          <w:spacing w:val="0"/>
          <w:w w:val="100"/>
          <w:position w:val="0"/>
        </w:rPr>
        <w:t>、</w:t>
        <w:tab/>
        <w:t>境内外会计准则下会计数据差异</w:t>
      </w:r>
      <w:bookmarkEnd w:id="52"/>
      <w:bookmarkEnd w:id="53"/>
      <w:bookmarkEnd w:id="55"/>
    </w:p>
    <w:p>
      <w:pPr>
        <w:pStyle w:val="Style28"/>
        <w:keepNext/>
        <w:keepLines/>
        <w:widowControl w:val="0"/>
        <w:shd w:val="clear" w:color="auto" w:fill="auto"/>
        <w:tabs>
          <w:tab w:pos="403" w:val="left"/>
        </w:tabs>
        <w:bidi w:val="0"/>
        <w:spacing w:before="0" w:after="360" w:line="240" w:lineRule="auto"/>
        <w:ind w:left="0" w:right="0" w:firstLine="0"/>
        <w:jc w:val="both"/>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1</w:t>
      </w:r>
      <w:bookmarkEnd w:id="58"/>
      <w:r>
        <w:rPr>
          <w:color w:val="000000"/>
          <w:spacing w:val="0"/>
          <w:w w:val="100"/>
          <w:position w:val="0"/>
        </w:rPr>
        <w:t>、</w:t>
        <w:tab/>
        <w:t>同时按照国际会计准则与按照中国会计准则披露的财务报告中净利润和净资产差异情况</w:t>
      </w:r>
      <w:bookmarkEnd w:id="56"/>
      <w:bookmarkEnd w:id="57"/>
      <w:bookmarkEnd w:id="59"/>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3" w:val="left"/>
        </w:tabs>
        <w:bidi w:val="0"/>
        <w:spacing w:before="0" w:after="360" w:line="240" w:lineRule="auto"/>
        <w:ind w:left="0" w:right="0" w:firstLine="0"/>
        <w:jc w:val="both"/>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2</w:t>
      </w:r>
      <w:bookmarkEnd w:id="62"/>
      <w:r>
        <w:rPr>
          <w:color w:val="000000"/>
          <w:spacing w:val="0"/>
          <w:w w:val="100"/>
          <w:position w:val="0"/>
        </w:rPr>
        <w:t>、</w:t>
        <w:tab/>
        <w:t>同时按照境外会计准则与按照中国会计准则披露的财务报告中净利润和净资产差异情况</w:t>
      </w:r>
      <w:bookmarkEnd w:id="60"/>
      <w:bookmarkEnd w:id="61"/>
      <w:bookmarkEnd w:id="63"/>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line="240" w:lineRule="auto"/>
        <w:ind w:left="0" w:right="0" w:firstLine="0"/>
        <w:jc w:val="both"/>
      </w:pPr>
      <w:bookmarkStart w:id="64" w:name="bookmark64"/>
      <w:bookmarkStart w:id="65" w:name="bookmark65"/>
      <w:bookmarkStart w:id="66" w:name="bookmark66"/>
      <w:bookmarkStart w:id="67" w:name="bookmark67"/>
      <w:r>
        <w:rPr>
          <w:color w:val="000000"/>
          <w:spacing w:val="0"/>
          <w:w w:val="100"/>
          <w:position w:val="0"/>
        </w:rPr>
        <w:t>八</w:t>
      </w:r>
      <w:bookmarkEnd w:id="66"/>
      <w:r>
        <w:rPr>
          <w:color w:val="000000"/>
          <w:spacing w:val="0"/>
          <w:w w:val="100"/>
          <w:position w:val="0"/>
        </w:rPr>
        <w:t>、</w:t>
        <w:tab/>
        <w:t>非经常性损益项目及金额</w:t>
      </w:r>
      <w:bookmarkEnd w:id="64"/>
      <w:bookmarkEnd w:id="65"/>
      <w:bookmarkEnd w:id="67"/>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-2,486,743.51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-450,984.39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82,885.35</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27,663,344.69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20,579,517.17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10,751,061.97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8"/>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143,599.51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9,573,664.24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1,840,967.50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1,072,333.62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15,145,184.27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北京华逸奇科贸有限 公司业绩补偿</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3,278,380.71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-866,185.93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-459,337.06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748,913.24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8,628,983.83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2,680,419.14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1,683,798.25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696,536.43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787,376.64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93,395.32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44,760,822.89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17,728,062.47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9,669,750.31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302" w:lineRule="exact"/>
        <w:ind w:left="0" w:right="0" w:firstLine="0"/>
        <w:jc w:val="both"/>
        <w:sectPr>
          <w:footnotePr>
            <w:pos w:val="pageBottom"/>
            <w:numFmt w:val="decimal"/>
            <w:numRestart w:val="continuous"/>
          </w:footnotePr>
          <w:pgSz w:w="11900" w:h="16840"/>
          <w:pgMar w:top="1441" w:right="1133" w:bottom="1604" w:left="109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4"/>
        <w:keepNext/>
        <w:keepLines/>
        <w:widowControl w:val="0"/>
        <w:shd w:val="clear" w:color="auto" w:fill="auto"/>
        <w:bidi w:val="0"/>
        <w:spacing w:before="520" w:after="560" w:line="240" w:lineRule="auto"/>
        <w:ind w:left="0" w:right="0" w:firstLine="0"/>
        <w:jc w:val="center"/>
      </w:pPr>
      <w:bookmarkStart w:id="68" w:name="bookmark68"/>
      <w:bookmarkStart w:id="69" w:name="bookmark69"/>
      <w:bookmarkStart w:id="70" w:name="bookmark70"/>
      <w:r>
        <w:rPr>
          <w:color w:val="000000"/>
          <w:spacing w:val="0"/>
          <w:w w:val="100"/>
          <w:position w:val="0"/>
        </w:rPr>
        <w:t>第三节管理层讨论与分析</w:t>
      </w:r>
      <w:bookmarkEnd w:id="68"/>
      <w:bookmarkEnd w:id="69"/>
      <w:bookmarkEnd w:id="70"/>
    </w:p>
    <w:p>
      <w:pPr>
        <w:pStyle w:val="Style24"/>
        <w:keepNext/>
        <w:keepLines/>
        <w:widowControl w:val="0"/>
        <w:shd w:val="clear" w:color="auto" w:fill="auto"/>
        <w:bidi w:val="0"/>
        <w:spacing w:before="0" w:after="2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一</w:t>
      </w:r>
      <w:bookmarkEnd w:id="73"/>
      <w:r>
        <w:rPr>
          <w:color w:val="000000"/>
          <w:spacing w:val="0"/>
          <w:w w:val="100"/>
          <w:position w:val="0"/>
        </w:rPr>
        <w:t>、报告期内公司所处行业情况</w:t>
      </w:r>
      <w:bookmarkEnd w:id="71"/>
      <w:bookmarkEnd w:id="72"/>
      <w:bookmarkEnd w:id="74"/>
    </w:p>
    <w:p>
      <w:pPr>
        <w:pStyle w:val="Style17"/>
        <w:keepNext w:val="0"/>
        <w:keepLines w:val="0"/>
        <w:widowControl w:val="0"/>
        <w:shd w:val="clear" w:color="auto" w:fill="auto"/>
        <w:tabs>
          <w:tab w:pos="858" w:val="left"/>
        </w:tabs>
        <w:bidi w:val="0"/>
        <w:spacing w:before="0" w:after="0" w:line="313" w:lineRule="exact"/>
        <w:ind w:left="0" w:right="0" w:firstLine="380"/>
        <w:jc w:val="both"/>
      </w:pPr>
      <w:bookmarkStart w:id="75" w:name="bookmark75"/>
      <w:r>
        <w:rPr>
          <w:color w:val="000000"/>
          <w:spacing w:val="0"/>
          <w:w w:val="100"/>
          <w:position w:val="0"/>
        </w:rPr>
        <w:t>（</w:t>
      </w:r>
      <w:bookmarkEnd w:id="75"/>
      <w:r>
        <w:rPr>
          <w:color w:val="000000"/>
          <w:spacing w:val="0"/>
          <w:w w:val="100"/>
          <w:position w:val="0"/>
        </w:rPr>
        <w:t>一）</w:t>
        <w:tab/>
        <w:t>公司所属行业分类</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根据中国证监会《上市公司行业分类指引》的分类标准，公司所属行业为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“C34</w:t>
      </w:r>
      <w:r>
        <w:rPr>
          <w:color w:val="000000"/>
          <w:spacing w:val="0"/>
          <w:w w:val="100"/>
          <w:position w:val="0"/>
        </w:rPr>
        <w:t>通用设备制造业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 制造端主营业务是散物料搬运核心装置、机械式停车设备、自动化生产线设备、智能物流及仓储系统、两站及机制砂设备； 公司依托装备制造优势，致力成为智慧城市停车投资建设运营一体化服务商</w:t>
      </w:r>
      <w:r>
        <w:rPr>
          <w:color w:val="000000"/>
          <w:spacing w:val="0"/>
          <w:w w:val="100"/>
          <w:position w:val="0"/>
          <w:sz w:val="18"/>
          <w:szCs w:val="18"/>
        </w:rPr>
        <w:t>，</w:t>
      </w:r>
      <w:r>
        <w:rPr>
          <w:color w:val="000000"/>
          <w:spacing w:val="0"/>
          <w:w w:val="100"/>
          <w:position w:val="0"/>
        </w:rPr>
        <w:t>公司投资运营业务包括城市停车资源获取及停 车场的运营管理。</w:t>
      </w:r>
    </w:p>
    <w:p>
      <w:pPr>
        <w:pStyle w:val="Style17"/>
        <w:keepNext w:val="0"/>
        <w:keepLines w:val="0"/>
        <w:widowControl w:val="0"/>
        <w:shd w:val="clear" w:color="auto" w:fill="auto"/>
        <w:tabs>
          <w:tab w:pos="858" w:val="left"/>
        </w:tabs>
        <w:bidi w:val="0"/>
        <w:spacing w:before="0" w:after="0" w:line="313" w:lineRule="exact"/>
        <w:ind w:left="0" w:right="0" w:firstLine="380"/>
        <w:jc w:val="both"/>
      </w:pPr>
      <w:bookmarkStart w:id="76" w:name="bookmark76"/>
      <w:r>
        <w:rPr>
          <w:color w:val="000000"/>
          <w:spacing w:val="0"/>
          <w:w w:val="100"/>
          <w:position w:val="0"/>
        </w:rPr>
        <w:t>（</w:t>
      </w:r>
      <w:bookmarkEnd w:id="76"/>
      <w:r>
        <w:rPr>
          <w:color w:val="000000"/>
          <w:spacing w:val="0"/>
          <w:w w:val="100"/>
          <w:position w:val="0"/>
        </w:rPr>
        <w:t>二）</w:t>
        <w:tab/>
        <w:t>所属行业情况及政策对行业的影响</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机械式立体停车设备制造业属于国务院发布的《关于加快培育和发展战略性新兴产业的决定》中国家扶持的高端装备制 造产业，属于国家发改委发布的《产业结构调整指导目录（</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年修正版）中国家鼓励发展的城市基础设施 产业。</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年以来，我国停车产业政策密集出台。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月，国家发改委等七部委联合发布《关于加强城市停车设施建设 的指导意见》，明确提出面对停车设施供给不足问题，吸引社会资本、推进停车产业化是解决城市停车难问题的重要途径。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月，住建部发布《城市停车设施规划导则》和《城市停车设施建设指南》，要求合理配置停车资源，科学安排停车 设施建设，从源头上缓解城市停车矛盾。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月，停车场设施建设运营被写入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规划之中。</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月国务院发布 《关于完善促进消费体制机制进一步激发居民消费潜力的若干意见》中也明确提到要构架更加成熟的消费细分市场，壮大消 费新增长点，住行消费方面特意提出要加强城市停车场和新能源汽车充电设施建设。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月国务院办公厅转发国家发展 改革委等部门《关于推动城市停车设施发展意见的通知国办函》〔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号，针对我国城市停车设施规模持续扩大，停车 秩序不断改善，产业化发展逐步深入，但仍存在供给能力短缺、治理水平不高、市场化进程滞后等问题，提出解决意见。</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机械式停车设备的需求主要受到汽车消费能力提高以及汽车工业发展的影响，同时也与下游行业房地产、城市基础设施 建设等产业的发展趋势密切相关。我国城市化、工业化进程的持续发展和产业政策的支持力度加大将带动机械化停车设备行 业未来持续发展。国家密集出台一系列停车行业的鼓励政策，为我国停车行业的发展提供了良好的政策环境。</w:t>
      </w:r>
    </w:p>
    <w:p>
      <w:pPr>
        <w:pStyle w:val="Style17"/>
        <w:keepNext w:val="0"/>
        <w:keepLines w:val="0"/>
        <w:widowControl w:val="0"/>
        <w:shd w:val="clear" w:color="auto" w:fill="auto"/>
        <w:tabs>
          <w:tab w:pos="858" w:val="left"/>
        </w:tabs>
        <w:bidi w:val="0"/>
        <w:spacing w:before="0" w:after="0" w:line="313" w:lineRule="exact"/>
        <w:ind w:left="0" w:right="0" w:firstLine="380"/>
        <w:jc w:val="both"/>
      </w:pPr>
      <w:bookmarkStart w:id="77" w:name="bookmark77"/>
      <w:r>
        <w:rPr>
          <w:color w:val="000000"/>
          <w:spacing w:val="0"/>
          <w:w w:val="100"/>
          <w:position w:val="0"/>
        </w:rPr>
        <w:t>（</w:t>
      </w:r>
      <w:bookmarkEnd w:id="77"/>
      <w:r>
        <w:rPr>
          <w:color w:val="000000"/>
          <w:spacing w:val="0"/>
          <w:w w:val="100"/>
          <w:position w:val="0"/>
        </w:rPr>
        <w:t>三）</w:t>
        <w:tab/>
        <w:t>公司所处行业地位情况</w:t>
      </w:r>
    </w:p>
    <w:p>
      <w:pPr>
        <w:pStyle w:val="Style17"/>
        <w:keepNext w:val="0"/>
        <w:keepLines w:val="0"/>
        <w:widowControl w:val="0"/>
        <w:shd w:val="clear" w:color="auto" w:fill="auto"/>
        <w:bidi w:val="0"/>
        <w:spacing w:before="0" w:after="700" w:line="313" w:lineRule="exact"/>
        <w:ind w:left="0" w:right="0"/>
        <w:jc w:val="both"/>
      </w:pPr>
      <w:r>
        <w:rPr>
          <w:color w:val="000000"/>
          <w:spacing w:val="0"/>
          <w:w w:val="100"/>
          <w:position w:val="0"/>
        </w:rPr>
        <w:t xml:space="preserve">公司始终致力于散料搬运自动化解决方案及智能装备制造技术的研发与应用，为客户提供优质的产品与服务；继续深化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的发展战略，持续发挥智能制造板块伟创自动化与天辰智能的品牌协同效应，在规模和质量上 继续保持行业领先地位；持续提高各业务板块的竞争力与可持续发展力，提升公司价值。</w:t>
      </w:r>
    </w:p>
    <w:p>
      <w:pPr>
        <w:pStyle w:val="Style24"/>
        <w:keepNext/>
        <w:keepLines/>
        <w:widowControl w:val="0"/>
        <w:shd w:val="clear" w:color="auto" w:fill="auto"/>
        <w:bidi w:val="0"/>
        <w:spacing w:before="0" w:after="2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二</w:t>
      </w:r>
      <w:bookmarkEnd w:id="80"/>
      <w:r>
        <w:rPr>
          <w:color w:val="000000"/>
          <w:spacing w:val="0"/>
          <w:w w:val="100"/>
          <w:position w:val="0"/>
        </w:rPr>
        <w:t>、报告期内公司从事的主要业务</w:t>
      </w:r>
      <w:bookmarkEnd w:id="78"/>
      <w:bookmarkEnd w:id="79"/>
      <w:bookmarkEnd w:id="81"/>
    </w:p>
    <w:p>
      <w:pPr>
        <w:pStyle w:val="Style17"/>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公司依托装备制造优势，致力成为智慧城市停车投资建设运营一体化服务商。公司制造业务包括散物料搬运核心装置、 机械式停车设备、自动化生产线设备、智能物流及仓储系统、两站及机制砂设备、固态电子盘及其他存储设备；公司投资运 营业务包括城市停车资源获取及停车场的运营管理。</w:t>
      </w:r>
    </w:p>
    <w:p>
      <w:pPr>
        <w:pStyle w:val="Style17"/>
        <w:keepNext w:val="0"/>
        <w:keepLines w:val="0"/>
        <w:widowControl w:val="0"/>
        <w:shd w:val="clear" w:color="auto" w:fill="auto"/>
        <w:bidi w:val="0"/>
        <w:spacing w:before="0" w:after="0" w:line="360" w:lineRule="auto"/>
        <w:ind w:left="0" w:right="0" w:firstLine="380"/>
        <w:jc w:val="both"/>
      </w:pPr>
      <w:bookmarkStart w:id="82" w:name="bookmark82"/>
      <w:r>
        <w:rPr>
          <w:rFonts w:ascii="Times New Roman" w:eastAsia="Times New Roman" w:hAnsi="Times New Roman" w:cs="Times New Roman"/>
          <w:color w:val="000000"/>
          <w:spacing w:val="0"/>
          <w:w w:val="100"/>
          <w:position w:val="0"/>
          <w:sz w:val="18"/>
          <w:szCs w:val="18"/>
        </w:rPr>
        <w:t>1</w:t>
      </w:r>
      <w:bookmarkEnd w:id="82"/>
      <w:r>
        <w:rPr>
          <w:color w:val="000000"/>
          <w:spacing w:val="0"/>
          <w:w w:val="100"/>
          <w:position w:val="0"/>
        </w:rPr>
        <w:t>、主要产品及用途</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公司自主研发的散物料搬运核心装置含有多项技术优势，张紧装置、永磁变频张紧控制系统、遥控收放带装置、集成化 液压控制系统等在智能化方面居国内领先地位。产品广泛应用于矿山开采、建筑、港口、码头、电力、水泥、制造、钢铁等 领域。特别是在上述危重行业中率先实现自动化，无人化。</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机械式停车设备是利用机械搬运的方式实现汽车平面停放或立体停放，集机、电、仪一体化的全成套设备，机械式立体 停车设备根据其工作原理，参照国家标准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GB/T26559</w:t>
      </w:r>
      <w:r>
        <w:rPr>
          <w:color w:val="000000"/>
          <w:spacing w:val="0"/>
          <w:w w:val="100"/>
          <w:position w:val="0"/>
        </w:rPr>
        <w:t>）</w:t>
      </w:r>
      <w:r>
        <w:rPr>
          <w:color w:val="000000"/>
          <w:spacing w:val="0"/>
          <w:w w:val="100"/>
          <w:position w:val="0"/>
        </w:rPr>
        <w:t xml:space="preserve">可分为：升降横移类、简易升降类、垂直循环类、垂直升降类、平 面移动类、巷道堆垛类、多层循环类、水平循环类、汽车升降机九大类。机械式立体停车设备使用对象，主要分为公共配建、 </w:t>
      </w:r>
      <w:r>
        <w:rPr>
          <w:color w:val="000000"/>
          <w:spacing w:val="0"/>
          <w:w w:val="100"/>
          <w:position w:val="0"/>
        </w:rPr>
        <w:t>单位自用、住宅小区配套三类。公司产品种类丰富，市场占有率高，位居行业领先地位。</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自动化生产线设备是根据生产工艺的需求，将多个工业机器人、自动化专机、输送系统及配套设施，集成在成套生产线 上，生产线的控制系统通过信号、数据交换对工业机器人、自动化专机、输送系统等实行控制，用机器代替人工，实现智能 化、自动化生产。产品主要用于家用电器、医疗卫生、智能家居、</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w:t>
      </w:r>
      <w:r>
        <w:rPr>
          <w:color w:val="000000"/>
          <w:spacing w:val="0"/>
          <w:w w:val="100"/>
          <w:position w:val="0"/>
        </w:rPr>
        <w:t>新能源等领域。</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智能物流及仓储系统是综合运用软件技术、互联网技术、自动分拣技术、无线射频技术等科技手段和设备对货物的进出、 库存、分拣、包装、配送及其信息进行有效的计划、执行和控制的物流活动。公司自主研发生产的产品设备主要有直行及转 弯堆垛机、带铠甲堆垛机、直行及环型</w:t>
      </w:r>
      <w:r>
        <w:rPr>
          <w:rFonts w:ascii="Times New Roman" w:eastAsia="Times New Roman" w:hAnsi="Times New Roman" w:cs="Times New Roman"/>
          <w:color w:val="000000"/>
          <w:spacing w:val="0"/>
          <w:w w:val="100"/>
          <w:position w:val="0"/>
          <w:sz w:val="18"/>
          <w:szCs w:val="18"/>
        </w:rPr>
        <w:t>RGV</w:t>
      </w:r>
      <w:r>
        <w:rPr>
          <w:color w:val="000000"/>
          <w:spacing w:val="0"/>
          <w:w w:val="100"/>
          <w:position w:val="0"/>
        </w:rPr>
        <w:t>、拆码盘机、自动堆垛机、链条输送机、滚筒输送机及</w:t>
      </w:r>
      <w:r>
        <w:rPr>
          <w:rFonts w:ascii="Times New Roman" w:eastAsia="Times New Roman" w:hAnsi="Times New Roman" w:cs="Times New Roman"/>
          <w:color w:val="000000"/>
          <w:spacing w:val="0"/>
          <w:w w:val="100"/>
          <w:position w:val="0"/>
          <w:sz w:val="18"/>
          <w:szCs w:val="18"/>
        </w:rPr>
        <w:t>AGV</w:t>
      </w:r>
      <w:r>
        <w:rPr>
          <w:color w:val="000000"/>
          <w:spacing w:val="0"/>
          <w:w w:val="100"/>
          <w:position w:val="0"/>
        </w:rPr>
        <w:t>输送机等。产品主 要运用于仓储货物的进出、分拣、输送及信息收集，是物流仓储、电商、快递行业核心设备。市场容量大，前景广阔。公司 重点对产品软件系统一智能仓储管理系统和智能仓储设备控制系统进行研发，进一步提升物流及仓储自动化成套设备智能 化程度。</w:t>
      </w:r>
    </w:p>
    <w:p>
      <w:pPr>
        <w:pStyle w:val="Style17"/>
        <w:keepNext w:val="0"/>
        <w:keepLines w:val="0"/>
        <w:widowControl w:val="0"/>
        <w:shd w:val="clear" w:color="auto" w:fill="auto"/>
        <w:bidi w:val="0"/>
        <w:spacing w:before="0" w:after="100" w:line="311" w:lineRule="exact"/>
        <w:ind w:left="0" w:right="0" w:firstLine="360"/>
        <w:jc w:val="both"/>
      </w:pPr>
      <w:r>
        <w:rPr>
          <w:color w:val="000000"/>
          <w:spacing w:val="0"/>
          <w:w w:val="100"/>
          <w:position w:val="0"/>
        </w:rPr>
        <w:t>机制砂设备是将石子通过制砂机破碎，整形，经振动筛筛分，选粉机选粉等生产出高品质人造砂。人造砂可代替天然河 砂，不但可以满足国家政策要求，而且一定程度上可以减少水泥及外加剂的用量，降低混凝土成本。机制砂站广泛配套应用 于各种砂浆站和搅拌站。</w:t>
      </w:r>
      <w:r>
        <w:rPr>
          <w:rFonts w:ascii="Times New Roman" w:eastAsia="Times New Roman" w:hAnsi="Times New Roman" w:cs="Times New Roman"/>
          <w:color w:val="000000"/>
          <w:spacing w:val="0"/>
          <w:w w:val="100"/>
          <w:position w:val="0"/>
          <w:sz w:val="18"/>
          <w:szCs w:val="18"/>
        </w:rPr>
        <w:t>Z40-8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型干混砂浆站是集物料储存、烘干、计量、搅拌、包装于一体，采用全自动电脑程序控制系 统的大型干混砂浆土搅拌设备。</w:t>
      </w:r>
      <w:r>
        <w:rPr>
          <w:rFonts w:ascii="Times New Roman" w:eastAsia="Times New Roman" w:hAnsi="Times New Roman" w:cs="Times New Roman"/>
          <w:color w:val="000000"/>
          <w:spacing w:val="0"/>
          <w:w w:val="100"/>
          <w:position w:val="0"/>
          <w:sz w:val="18"/>
          <w:szCs w:val="18"/>
        </w:rPr>
        <w:t>SZ10-20</w:t>
      </w:r>
      <w:r>
        <w:rPr>
          <w:color w:val="000000"/>
          <w:spacing w:val="0"/>
          <w:w w:val="100"/>
          <w:position w:val="0"/>
        </w:rPr>
        <w:t>特种干混砂浆站是主要生产有特殊用途的砂浆，如灌注砂浆，防水砂浆，粘合剂砂 浆，自流平砂浆，保温砂浆等，广泛应用于建筑行业等。混凝土搅拌站是集物料储存、计量、搅拌于一体的大型混凝土搅拌 设备，可搅拌各种类型的商品混凝土，尤其适合搅拌干硬性混凝土，适合中等规模以上的建筑工程、公路、港口、码头、桥 梁等工程建设及大中型预制件厂和混凝土生产厂。</w:t>
      </w:r>
    </w:p>
    <w:p>
      <w:pPr>
        <w:pStyle w:val="Style17"/>
        <w:keepNext w:val="0"/>
        <w:keepLines w:val="0"/>
        <w:widowControl w:val="0"/>
        <w:shd w:val="clear" w:color="auto" w:fill="auto"/>
        <w:tabs>
          <w:tab w:pos="677" w:val="left"/>
        </w:tabs>
        <w:bidi w:val="0"/>
        <w:spacing w:before="0" w:after="0" w:line="360" w:lineRule="auto"/>
        <w:ind w:left="0" w:right="0" w:firstLine="360"/>
        <w:jc w:val="both"/>
      </w:pPr>
      <w:bookmarkStart w:id="83" w:name="bookmark83"/>
      <w:r>
        <w:rPr>
          <w:rFonts w:ascii="Times New Roman" w:eastAsia="Times New Roman" w:hAnsi="Times New Roman" w:cs="Times New Roman"/>
          <w:color w:val="000000"/>
          <w:spacing w:val="0"/>
          <w:w w:val="100"/>
          <w:position w:val="0"/>
          <w:sz w:val="18"/>
          <w:szCs w:val="18"/>
        </w:rPr>
        <w:t>2</w:t>
      </w:r>
      <w:bookmarkEnd w:id="83"/>
      <w:r>
        <w:rPr>
          <w:color w:val="000000"/>
          <w:spacing w:val="0"/>
          <w:w w:val="100"/>
          <w:position w:val="0"/>
        </w:rPr>
        <w:t>、</w:t>
        <w:tab/>
        <w:t>经营模式</w:t>
      </w:r>
    </w:p>
    <w:p>
      <w:pPr>
        <w:pStyle w:val="Style17"/>
        <w:keepNext w:val="0"/>
        <w:keepLines w:val="0"/>
        <w:widowControl w:val="0"/>
        <w:shd w:val="clear" w:color="auto" w:fill="auto"/>
        <w:tabs>
          <w:tab w:pos="745" w:val="left"/>
        </w:tabs>
        <w:bidi w:val="0"/>
        <w:spacing w:before="0" w:after="0" w:line="311" w:lineRule="exact"/>
        <w:ind w:left="0" w:right="0" w:firstLine="360"/>
        <w:jc w:val="both"/>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制造端</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高端产品制造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专业化运营服务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的经营模式。采用以销定产、按单生产的生产模式，依据客户的具体需求， 设计合同产品，并依据设计图纸对产品各个零件部件进行生产组装，经检验合格的产品交付给客户，并根据客户需要为其提 供现场安装和调试服务。销售采用直销模式，不存在经销商销售产品的情况，公司直接与客户签订购销合同，明确产品的技 术要求、交货期限、运送方式及付款条件等条款后，按照合同要求组织生产、发货、安装、验收、收款。并通过售后服务以 及定期年检维护与客户的关系，在实现产品销售后，公司安排销售人员和技术人员分别进行定期回访和售后产品维护，增强 与客户合作的稳定性和品牌认知度，并且在新产品开发成功后积极主动向老客户进行推介。</w:t>
      </w:r>
    </w:p>
    <w:p>
      <w:pPr>
        <w:pStyle w:val="Style17"/>
        <w:keepNext w:val="0"/>
        <w:keepLines w:val="0"/>
        <w:widowControl w:val="0"/>
        <w:shd w:val="clear" w:color="auto" w:fill="auto"/>
        <w:tabs>
          <w:tab w:pos="745" w:val="left"/>
        </w:tabs>
        <w:bidi w:val="0"/>
        <w:spacing w:before="0" w:after="0" w:line="311" w:lineRule="exact"/>
        <w:ind w:left="0" w:right="0" w:firstLine="36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运营端</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的经营模式，依托智能制造优势，探索互联网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停车资源模式，积极参与智慧城市建设，努 力打造城市级停车产业投资、建设、运营一体化的新模式。</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公司的停车资源主要分为三大类，即维保车位、权益车位和联盟车位。公司通过维保车位与客户维持了长期稳定的合作 关系。权益车位分为两类：一是公司通过投资地方政府公共停车场建设或和非政府业主共同建设停车场的方式获取的停车资 源，公司积极主动地向停车场建设及停车产业运营管理服务的领域延伸，公司已在福建、辽宁、云南、江西等省份投资建设 了多个智慧停车项目；二是公司通过购买车位权益资质的方式获取停车资源，公司通过产业基金对长安停车进行整体收购。 公司对停车资源的整合将采取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轻重结合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以点带面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，对于时间长和经营价值高的停车资源，公司将采取整体经营权收购， 从而获得长期的经营性收入，采取重资产投入。联盟车位是公司在拥有长期停车资源的区域，将自身的管理平台、管理技术、 管理经验输出，从而联盟其他社会停车场，采取的是轻资产模式拓展。</w:t>
      </w:r>
    </w:p>
    <w:p>
      <w:pPr>
        <w:pStyle w:val="Style17"/>
        <w:keepNext w:val="0"/>
        <w:keepLines w:val="0"/>
        <w:widowControl w:val="0"/>
        <w:shd w:val="clear" w:color="auto" w:fill="auto"/>
        <w:bidi w:val="0"/>
        <w:spacing w:before="0" w:after="100" w:line="311" w:lineRule="exact"/>
        <w:ind w:left="0" w:right="0" w:firstLine="360"/>
        <w:jc w:val="both"/>
      </w:pPr>
      <w:r>
        <w:rPr>
          <w:color w:val="000000"/>
          <w:spacing w:val="0"/>
          <w:w w:val="100"/>
          <w:position w:val="0"/>
        </w:rPr>
        <w:t>通过对长安停车的整体收购，构建了五洋停车投资运营板块。公司设置区域公司，组建专业的投资团队、技术支持团队、 专业运营团队，实现了投资、建设、运营专业化分工，切实推进公司从装备制造商向投资建设运营一体化服务转变。</w:t>
      </w:r>
    </w:p>
    <w:p>
      <w:pPr>
        <w:pStyle w:val="Style17"/>
        <w:keepNext w:val="0"/>
        <w:keepLines w:val="0"/>
        <w:widowControl w:val="0"/>
        <w:shd w:val="clear" w:color="auto" w:fill="auto"/>
        <w:tabs>
          <w:tab w:pos="677" w:val="left"/>
        </w:tabs>
        <w:bidi w:val="0"/>
        <w:spacing w:before="0" w:after="0" w:line="360" w:lineRule="auto"/>
        <w:ind w:left="0" w:right="0" w:firstLine="360"/>
        <w:jc w:val="both"/>
      </w:pPr>
      <w:bookmarkStart w:id="86" w:name="bookmark86"/>
      <w:r>
        <w:rPr>
          <w:rFonts w:ascii="Times New Roman" w:eastAsia="Times New Roman" w:hAnsi="Times New Roman" w:cs="Times New Roman"/>
          <w:color w:val="000000"/>
          <w:spacing w:val="0"/>
          <w:w w:val="100"/>
          <w:position w:val="0"/>
          <w:sz w:val="18"/>
          <w:szCs w:val="18"/>
        </w:rPr>
        <w:t>3</w:t>
      </w:r>
      <w:bookmarkEnd w:id="86"/>
      <w:r>
        <w:rPr>
          <w:color w:val="000000"/>
          <w:spacing w:val="0"/>
          <w:w w:val="100"/>
          <w:position w:val="0"/>
        </w:rPr>
        <w:t>、</w:t>
        <w:tab/>
        <w:t>主要的业绩影响因素</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155,595.52</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 xml:space="preserve">4.63% </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-17,717.75</w:t>
      </w:r>
      <w:r>
        <w:rPr>
          <w:color w:val="000000"/>
          <w:spacing w:val="0"/>
          <w:w w:val="100"/>
          <w:position w:val="0"/>
        </w:rPr>
        <w:t>万元，同 比下降</w:t>
      </w:r>
      <w:r>
        <w:rPr>
          <w:rFonts w:ascii="Times New Roman" w:eastAsia="Times New Roman" w:hAnsi="Times New Roman" w:cs="Times New Roman"/>
          <w:color w:val="000000"/>
          <w:spacing w:val="0"/>
          <w:w w:val="100"/>
          <w:position w:val="0"/>
          <w:sz w:val="18"/>
          <w:szCs w:val="18"/>
        </w:rPr>
        <w:t>219.38%</w:t>
      </w:r>
      <w:r>
        <w:rPr>
          <w:color w:val="000000"/>
          <w:spacing w:val="0"/>
          <w:w w:val="100"/>
          <w:position w:val="0"/>
        </w:rPr>
        <w:t>；归属于上市公司股东的扣除非经常性损益的净利润</w:t>
      </w:r>
      <w:r>
        <w:rPr>
          <w:rFonts w:ascii="Times New Roman" w:eastAsia="Times New Roman" w:hAnsi="Times New Roman" w:cs="Times New Roman"/>
          <w:color w:val="000000"/>
          <w:spacing w:val="0"/>
          <w:w w:val="100"/>
          <w:position w:val="0"/>
          <w:sz w:val="18"/>
          <w:szCs w:val="18"/>
        </w:rPr>
        <w:t>-22,193.83</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269.28%</w:t>
      </w:r>
      <w:r>
        <w:rPr>
          <w:color w:val="000000"/>
          <w:spacing w:val="0"/>
          <w:w w:val="100"/>
          <w:position w:val="0"/>
        </w:rPr>
        <w:t>。主要原因如下：</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）制造类业务</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公司主营业务产品机械式立体停车设备、散料搬运核心装置、自动化生产线、智能物流及仓储系统、机制砂搅拌站等产 品销售仍保持良好势头。公司制造板块业务合同订单执行周期基本为</w:t>
      </w: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个月甚至更长，公司已确认收入订单大部分为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年签订的合同订单，因公司合同订单大部分通过招投标取得，基本为闭口合同，合同价格不能随着大宗物质价格变动进行调 </w:t>
      </w:r>
      <w:r>
        <w:rPr>
          <w:color w:val="000000"/>
          <w:spacing w:val="0"/>
          <w:w w:val="100"/>
          <w:position w:val="0"/>
        </w:rPr>
        <w:t>整，基于维系战略客户关系，部分合同出现亏损。</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公司制造类业务生产所需的原材料主要为钢材，公司年度钢材采购量达</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万吨以上，加上链条、铸件、锻件等外购件钢 材间接需求量增大，因铜、铝、锌大宗物质价格大幅上升导致部分外购件和表面处理成本急剧增加，短期内带来巨大的成本 增加难以消化，无法及时向下游传递，造成当期业绩承压。</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）停车投资运营板块</w:t>
      </w:r>
    </w:p>
    <w:p>
      <w:pPr>
        <w:pStyle w:val="Style17"/>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年，公司的停车投资运营板块发展速度持续加码，业务拓展范围持续扩大，市场占有率持续增长，行业投资占比持 续提升。在确保存量资产盘活，稳步经营提升的基础上，加大力度尝试新模式，拓展新资产，形成多管齐下的态势，发展模 式涵盖</w:t>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w:t>
      </w:r>
      <w:r>
        <w:rPr>
          <w:color w:val="000000"/>
          <w:spacing w:val="0"/>
          <w:w w:val="100"/>
          <w:position w:val="0"/>
        </w:rPr>
        <w:t>长期租赁、股权并购、资产收购。除了已积累投资运营经验的封闭式停车场业务外，投资重点同时转向城市级 智慧停车管理，积极与地方政府部门合作，搭建智慧停车平台，整合路内外停车泊位，同时不断完善云管理系统，提高科技 赋能，优化管理水平，实现重资产开发与轻资产运营并举。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年，完成了重庆綦江路测停车项目、江西宜春城市级停车项 目、山东中医药大学附属医院大学城医院项目的投资运营，针对特定项目进行优化重组，集中精力于重点项目。同时完成了 重庆高盛创富项目地下停车位的资产收购以及交接运营。</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目前，已投资运营的停车资产类别包括商办综合体、写字楼、交通枢纽、医院、城市级路侧停车、公园景区等。业务范 围主要集中在上海、北京、天津、江西、昆明、重庆等城市。</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通过近几年的快速发展，公司在行业内已处于头部领先地位，围绕公司三到五年发展规划的总体目标，下一步将继续加 快停车投资运营板块的市场布局，夯实既有优势，形成多元资产配置，推动业务规模增长，为公司利润收益作出贡献。</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截至报告期末，公司管理车位数近</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万个，在建车位数近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万余个。在报告期内，停车场运营板块收入</w:t>
      </w:r>
      <w:r>
        <w:rPr>
          <w:rFonts w:ascii="Times New Roman" w:eastAsia="Times New Roman" w:hAnsi="Times New Roman" w:cs="Times New Roman"/>
          <w:color w:val="000000"/>
          <w:spacing w:val="0"/>
          <w:w w:val="100"/>
          <w:position w:val="0"/>
          <w:sz w:val="18"/>
          <w:szCs w:val="18"/>
        </w:rPr>
        <w:t>8,201.25</w:t>
      </w:r>
      <w:r>
        <w:rPr>
          <w:color w:val="000000"/>
          <w:spacing w:val="0"/>
          <w:w w:val="100"/>
          <w:position w:val="0"/>
        </w:rPr>
        <w:t xml:space="preserve">万元， 增幅 </w:t>
      </w:r>
      <w:r>
        <w:rPr>
          <w:rFonts w:ascii="Times New Roman" w:eastAsia="Times New Roman" w:hAnsi="Times New Roman" w:cs="Times New Roman"/>
          <w:color w:val="000000"/>
          <w:spacing w:val="0"/>
          <w:w w:val="100"/>
          <w:position w:val="0"/>
          <w:sz w:val="18"/>
          <w:szCs w:val="18"/>
        </w:rPr>
        <w:t>28.33%</w:t>
      </w:r>
      <w:r>
        <w:rPr>
          <w:color w:val="000000"/>
          <w:spacing w:val="0"/>
          <w:w w:val="100"/>
          <w:position w:val="0"/>
        </w:rPr>
        <w:t>。</w:t>
      </w:r>
    </w:p>
    <w:p>
      <w:pPr>
        <w:pStyle w:val="Style17"/>
        <w:keepNext w:val="0"/>
        <w:keepLines w:val="0"/>
        <w:widowControl w:val="0"/>
        <w:shd w:val="clear" w:color="auto" w:fill="auto"/>
        <w:bidi w:val="0"/>
        <w:spacing w:before="0" w:after="1020" w:line="314" w:lineRule="exact"/>
        <w:ind w:left="0" w:right="0"/>
        <w:jc w:val="both"/>
      </w:pPr>
      <w:r>
        <w:rPr>
          <w:color w:val="000000"/>
          <w:spacing w:val="0"/>
          <w:w w:val="100"/>
          <w:position w:val="0"/>
        </w:rPr>
        <w:t>报告期内主营业务未发生重大改变。制造端公司主要通过定制化的方式销售获得订单，一般采取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的经营模式，依据市场需求趋势以及客户订单需求进行设计，通过客户认可后组织生产及安装，并持续进行售后服务；运营 端公司主要依托装备制造和资本双重优势，通过股权并购和合资共建等方式获取停车资源，通过运营平台实现专业化的运营 管理。</w:t>
      </w:r>
    </w:p>
    <w:p>
      <w:pPr>
        <w:pStyle w:val="Style24"/>
        <w:keepNext/>
        <w:keepLines/>
        <w:widowControl w:val="0"/>
        <w:shd w:val="clear" w:color="auto" w:fill="auto"/>
        <w:bidi w:val="0"/>
        <w:spacing w:before="0" w:after="26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rPr>
        <w:t>三</w:t>
      </w:r>
      <w:bookmarkEnd w:id="89"/>
      <w:r>
        <w:rPr>
          <w:color w:val="000000"/>
          <w:spacing w:val="0"/>
          <w:w w:val="100"/>
          <w:position w:val="0"/>
        </w:rPr>
        <w:t>、核心竞争力分析</w:t>
      </w:r>
      <w:bookmarkEnd w:id="87"/>
      <w:bookmarkEnd w:id="88"/>
      <w:bookmarkEnd w:id="90"/>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公司始终致力于散料搬运自动化解决方案及智能装备制造技术的研发与应用，为客户提供优质的产品与服务；通过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双轮驱动，全产业布局智慧停车市场，形成公司特有的核心竞争力。报告期内，公司核心竞争力得到 进一步巩固和增强，为提升公司管理水平及长远发展奠定了夯实的基础。主要有以下几个方面：</w:t>
      </w:r>
    </w:p>
    <w:p>
      <w:pPr>
        <w:pStyle w:val="Style17"/>
        <w:keepNext w:val="0"/>
        <w:keepLines w:val="0"/>
        <w:widowControl w:val="0"/>
        <w:shd w:val="clear" w:color="auto" w:fill="auto"/>
        <w:bidi w:val="0"/>
        <w:spacing w:before="0" w:after="0" w:line="314" w:lineRule="exact"/>
        <w:ind w:left="0" w:right="0" w:firstLine="380"/>
        <w:jc w:val="both"/>
      </w:pPr>
      <w:bookmarkStart w:id="91" w:name="bookmark91"/>
      <w:r>
        <w:rPr>
          <w:rFonts w:ascii="Times New Roman" w:eastAsia="Times New Roman" w:hAnsi="Times New Roman" w:cs="Times New Roman"/>
          <w:color w:val="000000"/>
          <w:spacing w:val="0"/>
          <w:w w:val="100"/>
          <w:position w:val="0"/>
          <w:sz w:val="18"/>
          <w:szCs w:val="18"/>
        </w:rPr>
        <w:t>1</w:t>
      </w:r>
      <w:bookmarkEnd w:id="91"/>
      <w:r>
        <w:rPr>
          <w:color w:val="000000"/>
          <w:spacing w:val="0"/>
          <w:w w:val="100"/>
          <w:position w:val="0"/>
        </w:rPr>
        <w:t>、产品核心技术优势</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公司生产的张紧装置主要采用了快速液压制动技术、输送带张力自适应控制技术、不停机移动机尾张紧技术，通过上述 技术的运用，张紧装置在提高散料搬运系统工作效率和可靠性方面优势比较明显;公司生产的制动装置运用了柔性制动技术， 通过柔性制动技术的运用，公司生产的制动装置在保障散料搬运系统运行可靠性方面优势较为突出，不仅可保证制动减速度 保持在</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0.3m/s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范围内，而且防止制动过程中减速度出现突变时导致的输送带张力的减小，避免了由制动减速度不当所 造成的断带以及物料堆积等恶性事故的发生；公司生产的给料机，通过防窜仓技术的运用，能够预防窜仓事故的发生，有效 地控制并减小了窜仓事故对运输设备造成的严重损坏以及对工作人员生命安全的危害。</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伟创自动化拥有涵盖升降横移类、垂直升降类、垂直循环类、水平循环类、多层循环类、平面移动类、巷道堆垛类、简 易升降类、汽车升降机全部九类机械式停车设备制造资质，是少数拥有全部机械式停车设备制造资质的企业。凭借多年来技 术沉淀和项目经验积累，伟创自动化目前已成为国内重要机械式停车设备制造商。</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伟创自动化生产工业机器人装备主要包括各式机械手、升降机、移载机、平移旋转机构等。工业机器人本体及配件连接， 通过</w:t>
      </w:r>
      <w:r>
        <w:rPr>
          <w:rFonts w:ascii="Times New Roman" w:eastAsia="Times New Roman" w:hAnsi="Times New Roman" w:cs="Times New Roman"/>
          <w:color w:val="000000"/>
          <w:spacing w:val="0"/>
          <w:w w:val="100"/>
          <w:position w:val="0"/>
          <w:sz w:val="18"/>
          <w:szCs w:val="18"/>
        </w:rPr>
        <w:t>PLC</w:t>
      </w:r>
      <w:r>
        <w:rPr>
          <w:color w:val="000000"/>
          <w:spacing w:val="0"/>
          <w:w w:val="100"/>
          <w:position w:val="0"/>
        </w:rPr>
        <w:t>完成指令输入，组件控制及信息收集，并与上位机（如工控机、人机界面等）生产系统软件进行对接，并由上位机 统一控制，共同协调作用完成某一特定功能。</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伟创自动化生产的物流及仓储自动化成套设备主要运用于仓储货物的进出、分拣、输送及信息收集，重点对产品软件系 </w:t>
      </w:r>
      <w:r>
        <w:rPr>
          <w:color w:val="000000"/>
          <w:spacing w:val="0"/>
          <w:w w:val="100"/>
          <w:position w:val="0"/>
        </w:rPr>
        <w:t>统一智能仓储管理系统和智能仓储设备控制系统进行研发，物流及仓储自动化成套设备智能化程度进一步提升。</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天辰智能拥有升降横移类、简易升降类、垂直循环类、平面移动类机械式停车设备制造资质，凭借多年来技术沉淀和项 目经验积累，智能搬运器性能稳定，拥有完全自主知识产权，质优价廉，一定程度上增强了产品的市场竞争力。</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天沃重工公司在全国省会及主要城市设立数十个直销和服务办事处，为客户提供方便快捷的服务。天沃重工自主设计、 生产和施工干混砂浆站、机制砂、搅拌站并得到客户广泛好评。在国内同行业中采用机械选粉，提高了成砂率，降低了客户 的质量风险！配合除尘加上封装达到环保要求！真正做到节能减排！达质，达标，达产！服务终端客户！</w:t>
      </w:r>
    </w:p>
    <w:p>
      <w:pPr>
        <w:pStyle w:val="Style17"/>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公司停车投资运营板块在行业中具有如下特点：一是资产优质，长期租赁与投资建设结合为主，资产具有长期属性，一 方面保证公司资产的回报价值，另一方面具备了资产持有的长期稳定属性。二是管理工具自主研发，运营平台智能化。通过 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智慧停车云平台的建设，打破单个停车场（库）信息孤岛难题，实现中央管控、远程监控、线上服务，可快速复制 多种业态下的多个停车项目的连锁化运营。以大数据联通城市信息平台，逐步实现城市级智慧停车网格化布局。三是投资能 力的优势，公司具有多元化的融资渠道，包括私募基金、产业资金、自有资金、股债融资、平台融资等渠道，为公司资产的 注入充沛血液，供其发展。</w:t>
      </w:r>
    </w:p>
    <w:p>
      <w:pPr>
        <w:pStyle w:val="Style17"/>
        <w:keepNext w:val="0"/>
        <w:keepLines w:val="0"/>
        <w:widowControl w:val="0"/>
        <w:shd w:val="clear" w:color="auto" w:fill="auto"/>
        <w:bidi w:val="0"/>
        <w:spacing w:before="0" w:after="0" w:line="360" w:lineRule="auto"/>
        <w:ind w:left="0" w:right="0"/>
        <w:jc w:val="left"/>
      </w:pPr>
      <w:bookmarkStart w:id="92" w:name="bookmark92"/>
      <w:r>
        <w:rPr>
          <w:rFonts w:ascii="Times New Roman" w:eastAsia="Times New Roman" w:hAnsi="Times New Roman" w:cs="Times New Roman"/>
          <w:color w:val="000000"/>
          <w:spacing w:val="0"/>
          <w:w w:val="100"/>
          <w:position w:val="0"/>
          <w:sz w:val="18"/>
          <w:szCs w:val="18"/>
        </w:rPr>
        <w:t>2</w:t>
      </w:r>
      <w:bookmarkEnd w:id="92"/>
      <w:r>
        <w:rPr>
          <w:color w:val="000000"/>
          <w:spacing w:val="0"/>
          <w:w w:val="100"/>
          <w:position w:val="0"/>
        </w:rPr>
        <w:t>、方案设计专业化优势</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散料搬运核心装置及设备的应用条件和环境各不相同，个性化需求较强，因此对设计能力要求较高。为适应客户需求， 公司十分注重对带式输送机整机特性的研究，在设计理念和辅助设计软件方面不断开拓创新，在行业中较早地将动态优化设 计的理论研究应用到生产经营中，并利用已有的设计经验自主开发了带式输送机设计分析系统，应用于辅助设计工作。</w:t>
      </w:r>
    </w:p>
    <w:p>
      <w:pPr>
        <w:pStyle w:val="Style17"/>
        <w:keepNext w:val="0"/>
        <w:keepLines w:val="0"/>
        <w:widowControl w:val="0"/>
        <w:shd w:val="clear" w:color="auto" w:fill="auto"/>
        <w:bidi w:val="0"/>
        <w:spacing w:before="0" w:after="100" w:line="311" w:lineRule="exact"/>
        <w:ind w:left="0" w:right="0"/>
        <w:jc w:val="both"/>
      </w:pPr>
      <w:r>
        <w:rPr>
          <w:color w:val="000000"/>
          <w:spacing w:val="0"/>
          <w:w w:val="100"/>
          <w:position w:val="0"/>
        </w:rPr>
        <w:t>机械停车技术中心对未来战略发展产品进行技术研发和验证，并根据项目现场实际情况和已签订合同中客户的特定需求 进行产品设计，以质量和有竞争力的价格优势作为研发设计策略，开发出系列满足客户特定需求的非标准化产品。机械停车 软件事业部系公司为实现工业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概念中信息化突破而设立的部门，软件事业部聘请具备专业技能且经验丰富的软件程序开 发人员对产品进行软件研发，由于伟创自动化本体产品均通过</w:t>
      </w:r>
      <w:r>
        <w:rPr>
          <w:rFonts w:ascii="Times New Roman" w:eastAsia="Times New Roman" w:hAnsi="Times New Roman" w:cs="Times New Roman"/>
          <w:color w:val="000000"/>
          <w:spacing w:val="0"/>
          <w:w w:val="100"/>
          <w:position w:val="0"/>
          <w:sz w:val="18"/>
          <w:szCs w:val="18"/>
        </w:rPr>
        <w:t>PLC</w:t>
      </w:r>
      <w:r>
        <w:rPr>
          <w:color w:val="000000"/>
          <w:spacing w:val="0"/>
          <w:w w:val="100"/>
          <w:position w:val="0"/>
        </w:rPr>
        <w:t>预留有信息采集、信息交互的各类数据接口，伟创自动化 计划与客户进行软件系统合作研发，使集成完整的工业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解决方案成为可能。</w:t>
      </w:r>
    </w:p>
    <w:p>
      <w:pPr>
        <w:pStyle w:val="Style17"/>
        <w:keepNext w:val="0"/>
        <w:keepLines w:val="0"/>
        <w:widowControl w:val="0"/>
        <w:shd w:val="clear" w:color="auto" w:fill="auto"/>
        <w:tabs>
          <w:tab w:pos="664" w:val="left"/>
        </w:tabs>
        <w:bidi w:val="0"/>
        <w:spacing w:before="0" w:after="0" w:line="360" w:lineRule="auto"/>
        <w:ind w:left="0" w:right="0" w:firstLine="380"/>
        <w:jc w:val="both"/>
      </w:pPr>
      <w:bookmarkStart w:id="93" w:name="bookmark93"/>
      <w:r>
        <w:rPr>
          <w:rFonts w:ascii="Times New Roman" w:eastAsia="Times New Roman" w:hAnsi="Times New Roman" w:cs="Times New Roman"/>
          <w:color w:val="000000"/>
          <w:spacing w:val="0"/>
          <w:w w:val="100"/>
          <w:position w:val="0"/>
          <w:sz w:val="18"/>
          <w:szCs w:val="18"/>
        </w:rPr>
        <w:t>3</w:t>
      </w:r>
      <w:bookmarkEnd w:id="93"/>
      <w:r>
        <w:rPr>
          <w:color w:val="000000"/>
          <w:spacing w:val="0"/>
          <w:w w:val="100"/>
          <w:position w:val="0"/>
        </w:rPr>
        <w:t>、</w:t>
        <w:tab/>
        <w:t>综合服务专业化优势</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在高端散料搬运核心装置及设备市场的竞争中，客户关注的不仅仅是产品本身，更加关注企业提供系统解决方案等配套 服务的能力，因此公司依靠技术支持，提供从售前到售后的持续服务，不断完善专业化综合服务，将专业化综合服务能力转 化为核心竞争力之一。</w:t>
      </w:r>
    </w:p>
    <w:p>
      <w:pPr>
        <w:pStyle w:val="Style17"/>
        <w:keepNext w:val="0"/>
        <w:keepLines w:val="0"/>
        <w:widowControl w:val="0"/>
        <w:shd w:val="clear" w:color="auto" w:fill="auto"/>
        <w:bidi w:val="0"/>
        <w:spacing w:before="0" w:after="100" w:line="311" w:lineRule="exact"/>
        <w:ind w:left="0" w:right="0" w:firstLine="0"/>
        <w:jc w:val="both"/>
      </w:pPr>
      <w:r>
        <w:rPr>
          <w:color w:val="000000"/>
          <w:spacing w:val="0"/>
          <w:w w:val="100"/>
          <w:position w:val="0"/>
        </w:rPr>
        <w:t>随着伟创自动化和天辰智能并购完成，公司在机械停车行业构建南有伟创自动化、北有天辰智能南北双核格局，建立和完善 销售、技术和售后服务网络，公司凭借其多年深耕行业的丰富经验和强大的技术储备，第一时间了解客户需求，并为客户提 供专业、及时的解决方案和服务。设立有售后服务部门，并在全国范围内设立办事处，负责对客户所购设备发生的问题进行 及时反馈和解决，并分配专人产品进行售后专业维修、保养以及机械式停车设备年检。</w:t>
      </w:r>
    </w:p>
    <w:p>
      <w:pPr>
        <w:pStyle w:val="Style17"/>
        <w:keepNext w:val="0"/>
        <w:keepLines w:val="0"/>
        <w:widowControl w:val="0"/>
        <w:shd w:val="clear" w:color="auto" w:fill="auto"/>
        <w:tabs>
          <w:tab w:pos="674" w:val="left"/>
        </w:tabs>
        <w:bidi w:val="0"/>
        <w:spacing w:before="0" w:after="0" w:line="360" w:lineRule="auto"/>
        <w:ind w:left="0" w:right="0" w:firstLine="380"/>
        <w:jc w:val="left"/>
      </w:pPr>
      <w:bookmarkStart w:id="94" w:name="bookmark94"/>
      <w:r>
        <w:rPr>
          <w:rFonts w:ascii="Times New Roman" w:eastAsia="Times New Roman" w:hAnsi="Times New Roman" w:cs="Times New Roman"/>
          <w:color w:val="000000"/>
          <w:spacing w:val="0"/>
          <w:w w:val="100"/>
          <w:position w:val="0"/>
          <w:sz w:val="18"/>
          <w:szCs w:val="18"/>
        </w:rPr>
        <w:t>4</w:t>
      </w:r>
      <w:bookmarkEnd w:id="94"/>
      <w:r>
        <w:rPr>
          <w:color w:val="000000"/>
          <w:spacing w:val="0"/>
          <w:w w:val="100"/>
          <w:position w:val="0"/>
        </w:rPr>
        <w:t>、</w:t>
        <w:tab/>
        <w:t>运营管理专业化优势</w:t>
      </w:r>
    </w:p>
    <w:p>
      <w:pPr>
        <w:pStyle w:val="Style17"/>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迈泊公司是公司主打的运营品牌，其管理的资产类别包括商办综合体、写字楼、交通枢纽、医院、城市级路侧停车、公 园景区等。核心运营能力由团队、工具、商业开发组成，团队是核心运营力的基石，工具是核心运营能力的手段，商业开发 为资产赋能，提升核心运营力。迈泊停车具有专业化运营管理团队、成熟商业停车场运营管理工具及平台、商业开发增值模 式不断成熟和优化。</w:t>
      </w:r>
    </w:p>
    <w:p>
      <w:pPr>
        <w:pStyle w:val="Style17"/>
        <w:keepNext w:val="0"/>
        <w:keepLines w:val="0"/>
        <w:widowControl w:val="0"/>
        <w:shd w:val="clear" w:color="auto" w:fill="auto"/>
        <w:tabs>
          <w:tab w:pos="620" w:val="left"/>
        </w:tabs>
        <w:bidi w:val="0"/>
        <w:spacing w:before="0" w:after="0" w:line="360" w:lineRule="auto"/>
        <w:ind w:left="0" w:right="0"/>
        <w:jc w:val="both"/>
      </w:pPr>
      <w:bookmarkStart w:id="95" w:name="bookmark95"/>
      <w:r>
        <w:rPr>
          <w:rFonts w:ascii="Times New Roman" w:eastAsia="Times New Roman" w:hAnsi="Times New Roman" w:cs="Times New Roman"/>
          <w:color w:val="000000"/>
          <w:spacing w:val="0"/>
          <w:w w:val="100"/>
          <w:position w:val="0"/>
          <w:sz w:val="18"/>
          <w:szCs w:val="18"/>
        </w:rPr>
        <w:t>5</w:t>
      </w:r>
      <w:bookmarkEnd w:id="95"/>
      <w:r>
        <w:rPr>
          <w:color w:val="000000"/>
          <w:spacing w:val="0"/>
          <w:w w:val="100"/>
          <w:position w:val="0"/>
        </w:rPr>
        <w:t>、</w:t>
        <w:tab/>
        <w:t>营销网络和服务优势</w:t>
      </w:r>
    </w:p>
    <w:p>
      <w:pPr>
        <w:pStyle w:val="Style17"/>
        <w:keepNext w:val="0"/>
        <w:keepLines w:val="0"/>
        <w:widowControl w:val="0"/>
        <w:shd w:val="clear" w:color="auto" w:fill="auto"/>
        <w:bidi w:val="0"/>
        <w:spacing w:before="0" w:after="100" w:line="311" w:lineRule="exact"/>
        <w:ind w:left="0" w:right="0"/>
        <w:jc w:val="both"/>
      </w:pPr>
      <w:r>
        <w:rPr>
          <w:color w:val="000000"/>
          <w:spacing w:val="0"/>
          <w:w w:val="100"/>
          <w:position w:val="0"/>
        </w:rPr>
        <w:t>通过营销网络与服务中心建设，继续推进全国销售网点的重点布局，进一步扩大产品市场份额，并积极开拓新兴市场， 实现市场销售量的稳步增长。并对现有产品进行改良和优化，加大新技术新产品投放市场力度，持续扩大产品在技术、性能、 质量等方面的优势，占据更大的市场份额。公司以市场为导向，效益最大化为出发点，通过合理布局，投资建设生产基地和 优化现有生产线，满足新增产能需求。</w:t>
      </w:r>
    </w:p>
    <w:p>
      <w:pPr>
        <w:pStyle w:val="Style17"/>
        <w:keepNext w:val="0"/>
        <w:keepLines w:val="0"/>
        <w:widowControl w:val="0"/>
        <w:shd w:val="clear" w:color="auto" w:fill="auto"/>
        <w:tabs>
          <w:tab w:pos="620" w:val="left"/>
        </w:tabs>
        <w:bidi w:val="0"/>
        <w:spacing w:before="0" w:after="0" w:line="360" w:lineRule="auto"/>
        <w:ind w:left="0" w:right="0"/>
        <w:jc w:val="left"/>
      </w:pPr>
      <w:bookmarkStart w:id="96" w:name="bookmark96"/>
      <w:r>
        <w:rPr>
          <w:rFonts w:ascii="Times New Roman" w:eastAsia="Times New Roman" w:hAnsi="Times New Roman" w:cs="Times New Roman"/>
          <w:color w:val="000000"/>
          <w:spacing w:val="0"/>
          <w:w w:val="100"/>
          <w:position w:val="0"/>
          <w:sz w:val="18"/>
          <w:szCs w:val="18"/>
        </w:rPr>
        <w:t>6</w:t>
      </w:r>
      <w:bookmarkEnd w:id="96"/>
      <w:r>
        <w:rPr>
          <w:color w:val="000000"/>
          <w:spacing w:val="0"/>
          <w:w w:val="100"/>
          <w:position w:val="0"/>
        </w:rPr>
        <w:t>、</w:t>
        <w:tab/>
        <w:t>资本和资金优势</w:t>
      </w:r>
    </w:p>
    <w:p>
      <w:pPr>
        <w:pStyle w:val="Style17"/>
        <w:keepNext w:val="0"/>
        <w:keepLines w:val="0"/>
        <w:widowControl w:val="0"/>
        <w:shd w:val="clear" w:color="auto" w:fill="auto"/>
        <w:bidi w:val="0"/>
        <w:spacing w:before="0" w:after="100" w:line="311" w:lineRule="exact"/>
        <w:ind w:left="0" w:right="0"/>
        <w:jc w:val="both"/>
      </w:pPr>
      <w:r>
        <w:rPr>
          <w:color w:val="000000"/>
          <w:spacing w:val="0"/>
          <w:w w:val="100"/>
          <w:position w:val="0"/>
        </w:rPr>
        <w:t>充分发挥产业基金和私募基金管理人的优势。依托江苏徐州老工业基地产业发展基金（有限合伙）成立徐州走盛五洋智 能装备产业基金合伙企业（有限合伙），一期注册资本</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亿元，总体规模</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亿元，该基金为五洋智能装备产业发展提供 资本支持；长安停车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其他类私募基金管理人牌照，管理基金规模</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亿元，为五洋停车资产的融资提供私募基金平台。惠 邦融资租赁业务不断开拓，为公司产品销售提供融资租赁专业化服务平台，提升公司产品的市场竞争力。</w:t>
      </w:r>
    </w:p>
    <w:p>
      <w:pPr>
        <w:pStyle w:val="Style17"/>
        <w:keepNext w:val="0"/>
        <w:keepLines w:val="0"/>
        <w:widowControl w:val="0"/>
        <w:shd w:val="clear" w:color="auto" w:fill="auto"/>
        <w:bidi w:val="0"/>
        <w:spacing w:before="0" w:after="0" w:line="314" w:lineRule="exact"/>
        <w:ind w:left="0" w:right="0"/>
        <w:jc w:val="both"/>
      </w:pPr>
      <w:bookmarkStart w:id="97" w:name="bookmark97"/>
      <w:r>
        <w:rPr>
          <w:rFonts w:ascii="Times New Roman" w:eastAsia="Times New Roman" w:hAnsi="Times New Roman" w:cs="Times New Roman"/>
          <w:color w:val="000000"/>
          <w:spacing w:val="0"/>
          <w:w w:val="100"/>
          <w:position w:val="0"/>
          <w:sz w:val="18"/>
          <w:szCs w:val="18"/>
        </w:rPr>
        <w:t>7</w:t>
      </w:r>
      <w:bookmarkEnd w:id="97"/>
      <w:r>
        <w:rPr>
          <w:color w:val="000000"/>
          <w:spacing w:val="0"/>
          <w:w w:val="100"/>
          <w:position w:val="0"/>
        </w:rPr>
        <w:t>、合作模式多元化优势</w:t>
      </w:r>
    </w:p>
    <w:p>
      <w:pPr>
        <w:pStyle w:val="Style17"/>
        <w:keepNext w:val="0"/>
        <w:keepLines w:val="0"/>
        <w:widowControl w:val="0"/>
        <w:shd w:val="clear" w:color="auto" w:fill="auto"/>
        <w:bidi w:val="0"/>
        <w:spacing w:before="0" w:after="700" w:line="314" w:lineRule="exact"/>
        <w:ind w:left="0" w:right="0"/>
        <w:jc w:val="both"/>
      </w:pPr>
      <w:r>
        <w:rPr>
          <w:color w:val="000000"/>
          <w:spacing w:val="0"/>
          <w:w w:val="100"/>
          <w:position w:val="0"/>
        </w:rPr>
        <w:t>公司依托资本和机械停车装备制造优势，通过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，大力发展混合所有制经济体，采取</w:t>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w:t>
      </w:r>
      <w:r>
        <w:rPr>
          <w:color w:val="000000"/>
          <w:spacing w:val="0"/>
          <w:w w:val="100"/>
          <w:position w:val="0"/>
        </w:rPr>
        <w:t>融资租赁和股权收购等多种方式，积极拓展商业停车场和城市级智慧停车产业的投资、建设、运营业务，快速切入智 慧城市停车领域，做大做强公司停车场投资运营板块，为公司快速成长奠定基础。</w:t>
      </w:r>
    </w:p>
    <w:p>
      <w:pPr>
        <w:pStyle w:val="Style24"/>
        <w:keepNext/>
        <w:keepLines/>
        <w:widowControl w:val="0"/>
        <w:shd w:val="clear" w:color="auto" w:fill="auto"/>
        <w:bidi w:val="0"/>
        <w:spacing w:before="0" w:line="240" w:lineRule="auto"/>
        <w:ind w:left="0" w:right="0" w:firstLine="0"/>
        <w:jc w:val="both"/>
      </w:pPr>
      <w:bookmarkStart w:id="100" w:name="bookmark100"/>
      <w:bookmarkStart w:id="101" w:name="bookmark101"/>
      <w:bookmarkStart w:id="98" w:name="bookmark98"/>
      <w:bookmarkStart w:id="99" w:name="bookmark99"/>
      <w:r>
        <w:rPr>
          <w:color w:val="000000"/>
          <w:spacing w:val="0"/>
          <w:w w:val="100"/>
          <w:position w:val="0"/>
        </w:rPr>
        <w:t>四</w:t>
      </w:r>
      <w:bookmarkEnd w:id="100"/>
      <w:r>
        <w:rPr>
          <w:color w:val="000000"/>
          <w:spacing w:val="0"/>
          <w:w w:val="100"/>
          <w:position w:val="0"/>
        </w:rPr>
        <w:t>、主营业务分析</w:t>
      </w:r>
      <w:bookmarkEnd w:id="101"/>
      <w:bookmarkEnd w:id="98"/>
      <w:bookmarkEnd w:id="99"/>
    </w:p>
    <w:p>
      <w:pPr>
        <w:pStyle w:val="Style28"/>
        <w:keepNext/>
        <w:keepLines/>
        <w:widowControl w:val="0"/>
        <w:shd w:val="clear" w:color="auto" w:fill="auto"/>
        <w:tabs>
          <w:tab w:pos="368" w:val="left"/>
        </w:tabs>
        <w:bidi w:val="0"/>
        <w:spacing w:before="0" w:after="260" w:line="240" w:lineRule="auto"/>
        <w:ind w:left="0" w:right="0" w:firstLine="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w:t>
        <w:tab/>
        <w:t>概述</w:t>
      </w:r>
      <w:bookmarkEnd w:id="102"/>
      <w:bookmarkEnd w:id="103"/>
      <w:bookmarkEnd w:id="105"/>
    </w:p>
    <w:p>
      <w:pPr>
        <w:pStyle w:val="Style1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参见第三节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8"/>
        <w:keepNext/>
        <w:keepLines/>
        <w:widowControl w:val="0"/>
        <w:shd w:val="clear" w:color="auto" w:fill="auto"/>
        <w:tabs>
          <w:tab w:pos="378" w:val="left"/>
        </w:tabs>
        <w:bidi w:val="0"/>
        <w:spacing w:before="0" w:after="360" w:line="240" w:lineRule="auto"/>
        <w:ind w:left="0" w:right="0" w:firstLine="0"/>
        <w:jc w:val="both"/>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w:t>
        <w:tab/>
        <w:t>收入与成本</w:t>
      </w:r>
      <w:bookmarkEnd w:id="106"/>
      <w:bookmarkEnd w:id="107"/>
      <w:bookmarkEnd w:id="109"/>
    </w:p>
    <w:p>
      <w:pPr>
        <w:pStyle w:val="Style28"/>
        <w:keepNext/>
        <w:keepLines/>
        <w:widowControl w:val="0"/>
        <w:shd w:val="clear" w:color="auto" w:fill="auto"/>
        <w:bidi w:val="0"/>
        <w:spacing w:before="0" w:after="260" w:line="240" w:lineRule="auto"/>
        <w:ind w:left="0" w:right="0" w:firstLine="0"/>
        <w:jc w:val="both"/>
      </w:pPr>
      <w:bookmarkStart w:id="106" w:name="bookmark106"/>
      <w:bookmarkStart w:id="107" w:name="bookmark107"/>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11"/>
    </w:p>
    <w:p>
      <w:pPr>
        <w:pStyle w:val="Style17"/>
        <w:keepNext w:val="0"/>
        <w:keepLines w:val="0"/>
        <w:widowControl w:val="0"/>
        <w:shd w:val="clear" w:color="auto" w:fill="auto"/>
        <w:bidi w:val="0"/>
        <w:spacing w:before="0" w:after="160" w:line="314" w:lineRule="exact"/>
        <w:ind w:left="0" w:right="0" w:firstLine="0"/>
        <w:jc w:val="both"/>
      </w:pPr>
      <w:r>
        <w:rPr>
          <w:color w:val="000000"/>
          <w:spacing w:val="0"/>
          <w:w w:val="100"/>
          <w:position w:val="0"/>
        </w:rPr>
        <w:t>营业收入整体情况</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1,555,955,258.05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1,631,563,723.56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1,445,628,671.42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1,517,312,066.62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其他电子设备制造 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3,037,491.06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30,790,115.36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9,425,141.46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8,678,628.78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82,012,524.37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63,905,263.33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15,851,429.74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10,877,649.47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散料搬运核心装置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138,194,650.68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110,195,264.58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两站及机制砂设备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148,636,123.81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151,675,349.10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管型母线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1,952,282.89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6" w:lineRule="exact"/>
              <w:ind w:left="0" w:right="0" w:firstLine="0"/>
              <w:jc w:val="left"/>
            </w:pPr>
            <w:r>
              <w:rPr>
                <w:color w:val="000000"/>
                <w:spacing w:val="0"/>
                <w:w w:val="100"/>
                <w:position w:val="0"/>
              </w:rPr>
              <w:t>立体车库及其安装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791,669,730.84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1,003,938,292.17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智能物流及仓储系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214,152,973.27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145,798,917.41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自动化生产线设备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152,975,192.82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103,751,960.47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固态电子盘及其他 存储设备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3,037,491.06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30,790,115.36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9,425,141.46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8,678,628.78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82,012,524.37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63,905,263.33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15,851,429.74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10,877,649.47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151,979,338.44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294,545,251.24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106,005,015.50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122,266,465.50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507,607,228.43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480,740,987.62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506,514,703.55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313,985,210.40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7,252,372.03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33,725,658.52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148,341,869.15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214,050,093.75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128,254,730.95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172,250,056.53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1,555,955,258.05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1,631,563,723.56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numPr>
          <w:ilvl w:val="0"/>
          <w:numId w:val="1"/>
        </w:numPr>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2"/>
      <w:bookmarkEnd w:id="113"/>
      <w:bookmarkEnd w:id="115"/>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1,445,628,671.42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1,227,290,023.43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立体车库及其安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791,669,730.84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684,252,752.44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智能物流及仓储 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214,152,973.27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210,838,327.74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自动化生产线设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152,975,192.82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143,856,064.69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散料搬运核心装 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138,194,650.68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87,143,531.17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两站及机制砂设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148,636,123.81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101,199,347.39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132,987,230.00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110,755,485.76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100,942,273.37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87,005,849.75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449,644,361.41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376,653,432.63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488,275,795.10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413,745,913.73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7,252,372.03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6,127,590.65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148,341,869.15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129,866,429.54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118,184,770.36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103,135,321.37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1,445,628,671.42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1,227,290,023.43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6"/>
      <w:bookmarkEnd w:id="117"/>
      <w:bookmarkEnd w:id="119"/>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散料搬运核心装置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两站及机制砂设备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立体车库及其安装 服务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智能物流及仓储系 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自动化生产线设备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年，公司智能物流及仓储系统、自动化生产线设备的销售额有较大提升。</w:t>
      </w:r>
    </w:p>
    <w:p>
      <w:pPr>
        <w:pStyle w:val="Style28"/>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20"/>
      <w:bookmarkEnd w:id="121"/>
      <w:bookmarkEnd w:id="123"/>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4"/>
      <w:bookmarkEnd w:id="125"/>
      <w:bookmarkEnd w:id="127"/>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产品分类</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987,540,339.88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806,657,534.07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155,539,886.75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153,951,092.81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152,798,533.85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152,739,446.24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1,295,878,760.48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1,113,348,073.12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8"/>
        <w:keepNext/>
        <w:keepLines/>
        <w:widowControl w:val="0"/>
        <w:shd w:val="clear" w:color="auto" w:fill="auto"/>
        <w:tabs>
          <w:tab w:pos="493" w:val="left"/>
        </w:tabs>
        <w:bidi w:val="0"/>
        <w:spacing w:before="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8"/>
      <w:bookmarkEnd w:id="129"/>
      <w:bookmarkEnd w:id="131"/>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详见本财务报告第十节、八、合并范围的变更</w:t>
      </w:r>
    </w:p>
    <w:p>
      <w:pPr>
        <w:pStyle w:val="Style28"/>
        <w:keepNext/>
        <w:keepLines/>
        <w:widowControl w:val="0"/>
        <w:shd w:val="clear" w:color="auto" w:fill="auto"/>
        <w:tabs>
          <w:tab w:pos="493" w:val="left"/>
        </w:tabs>
        <w:bidi w:val="0"/>
        <w:spacing w:before="0" w:line="240" w:lineRule="auto"/>
        <w:ind w:left="0" w:right="0" w:firstLine="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2"/>
      <w:bookmarkEnd w:id="133"/>
      <w:bookmarkEnd w:id="135"/>
    </w:p>
    <w:p>
      <w:pPr>
        <w:pStyle w:val="Style1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93" w:val="left"/>
        </w:tabs>
        <w:bidi w:val="0"/>
        <w:spacing w:before="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6"/>
      <w:bookmarkEnd w:id="137"/>
      <w:bookmarkEnd w:id="139"/>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206,724,150.74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55,026,466.60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49,674,551.98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42,673,663.13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31,384,867.26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27,964,601.77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206,724,150.74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主要客户其他情况说明</w:t>
      </w:r>
      <w:r>
        <w:br w:type="page"/>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259,042,306.55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113,488,938.06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72,096,447.35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39,726,536.29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18,632,842.45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15,097,542.40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259,042,306.55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116,870,671.17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101,873,888.82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89,353,437.16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74,540,270.63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17,863,728.54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7,270,633.91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利息支出增加及结构性存款收益重 分类所致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136,651,465.98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102,371,881.35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研发投入增加所致</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、研发投入</w:t>
      </w:r>
      <w:bookmarkEnd w:id="144"/>
      <w:bookmarkEnd w:id="145"/>
      <w:bookmarkEnd w:id="147"/>
    </w:p>
    <w:p>
      <w:pPr>
        <w:pStyle w:val="Style1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井下防爆型变频张 紧控制技术研发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提高产品性能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已研发完成、已导入 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采用防爆变频技术，提高张 紧的动态响应时间，适应煤 矿井下长距离皮带机的使用 工况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提高产品的市场占有率及核 心竞争力</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网络化智能控制输 送机用张紧卷带一 体机研发及产业化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提高产品性能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已研发完成、已导入 订单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能够减少设备数量，降低故 障点，提高设备智能化，为 实现现代化矿井提供</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提高产品的智能化配置，提 高产品的市场核心竟争力</w:t>
            </w:r>
          </w:p>
        </w:tc>
      </w:tr>
    </w:tbl>
    <w:p>
      <w:pPr>
        <w:spacing w:lineRule="exact" w:line="1"/>
        <w:rPr>
          <w:sz w:val="2"/>
          <w:szCs w:val="2"/>
        </w:rPr>
      </w:pPr>
      <w:r>
        <w:br w:type="page"/>
      </w:r>
    </w:p>
    <w:tbl>
      <w:tblPr>
        <w:tblOverlap w:val="never"/>
        <w:jc w:val="center"/>
        <w:tblLayout w:type="fixed"/>
      </w:tblPr>
      <w:tblGrid>
        <w:gridCol w:w="1526"/>
        <w:gridCol w:w="1915"/>
        <w:gridCol w:w="1622"/>
        <w:gridCol w:w="2256"/>
        <w:gridCol w:w="2261"/>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年产千万吨级建筑 固废高效制砂成套 装备研发及产业化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提高产品竞争力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正在进行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解决建筑废料制砂粉尘污染 问题，实现呼吸性粉尘过滤 </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提高产品的竞争力，拓宽业</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务市场</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高端制砂机关键核 心部件耐磨延寿技 术研发及产业化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提高产品竞争力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正在进行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引入石墨烯增强聚脲复合涂 层，赋予原构件材料表面优 异的抗冲击磨损性能，可较 无涂层材料耐磨性提高</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倍，彻底解决制砂机关键核 心部件的磨损问题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提高产品的竞争力，拓宽业</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务市场</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可视化垂直循环智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慧立体停车库研发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提高产品竞争力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已研发完成，己导入 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实现了人脸、指纹、</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 xml:space="preserve">、 </w:t>
            </w:r>
            <w:r>
              <w:rPr>
                <w:color w:val="000000"/>
                <w:spacing w:val="0"/>
                <w:w w:val="100"/>
                <w:position w:val="0"/>
              </w:rPr>
              <w:t>按键多种方式存取车，开发 了车牌识别跟停车诱导系 统，大大提升了垂直循环类 车库智能化水平，改善了用 户体验，设备更加安全便捷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提升了产品的附加值，该类 产品竞争力进一步提升，为 拓展市场提供了更多的支持</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链条分段式承重垂</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直循环立体停车库</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解决市场空白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已研发完成，己导入 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由于旧小区场地的限制，导 致设备运输、安装困难，满 足不了市场需求。项目实施 后，很多老旧小区场地紧张 的都能上该类设备，很好的 解决了停车难问题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拓宽公司产品线，助力销售 提升市场竞争力，创造新的 利润增长点</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立体车库自动传输</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控制系统研发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提高产品竞争力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已研发完成，己导入 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开发的智能化存取车系统， 可方便的实现预约存取车； 实现了远程诊断，远程监控 及技术支持，可对设备的运 行数据同步采集处理，数据 传送到云平台，可实现更多 的增值服务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提升了公司产品的智能化信 息化水平，提高了设备的安 全性、稳定性，增强了市场 竞争力，创造新的利润增长 点</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both"/>
            </w:pPr>
            <w:r>
              <w:rPr>
                <w:color w:val="000000"/>
                <w:spacing w:val="0"/>
                <w:w w:val="100"/>
                <w:position w:val="0"/>
              </w:rPr>
              <w:t>立体停车库用太阳 能充储技术研究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丰富产品性能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已研发完成、己导入 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利用太阳能充电节省，减少 车库耗电量减少车库的运营 成本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丰富现有产品线，成本减少， 性能提高</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both"/>
            </w:pPr>
            <w:r>
              <w:rPr>
                <w:color w:val="000000"/>
                <w:spacing w:val="0"/>
                <w:w w:val="100"/>
                <w:position w:val="0"/>
              </w:rPr>
              <w:t>立体车库智能一体 机控制系统开发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提高产品竞争力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已研发完成、己导入 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提高控制系统的效率，加快 取车速度，降低控制失灵风 险，提高控制系统的安全性 和稳定性。智能控制系统采 用了大量自动化设备，各环 节无缝对接，实现了全程自 动化操作、智能化控制，减 少人工依赖性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提高产品的竞争力，助力业 务拓展市场。</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多</w:t>
            </w:r>
            <w:r>
              <w:rPr>
                <w:rFonts w:ascii="Times New Roman" w:eastAsia="Times New Roman" w:hAnsi="Times New Roman" w:cs="Times New Roman"/>
                <w:color w:val="000000"/>
                <w:spacing w:val="0"/>
                <w:w w:val="100"/>
                <w:position w:val="0"/>
                <w:sz w:val="18"/>
                <w:szCs w:val="18"/>
              </w:rPr>
              <w:t>AGV</w:t>
            </w:r>
            <w:r>
              <w:rPr>
                <w:color w:val="000000"/>
                <w:spacing w:val="0"/>
                <w:w w:val="100"/>
                <w:position w:val="0"/>
              </w:rPr>
              <w:t>协同智能 机械式立体停车设 备研发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提升产品效率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已研发完成，待导入 订单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通过多台</w:t>
            </w:r>
            <w:r>
              <w:rPr>
                <w:rFonts w:ascii="Times New Roman" w:eastAsia="Times New Roman" w:hAnsi="Times New Roman" w:cs="Times New Roman"/>
                <w:color w:val="000000"/>
                <w:spacing w:val="0"/>
                <w:w w:val="100"/>
                <w:position w:val="0"/>
                <w:sz w:val="18"/>
                <w:szCs w:val="18"/>
              </w:rPr>
              <w:t>AGV</w:t>
            </w:r>
            <w:r>
              <w:rPr>
                <w:color w:val="000000"/>
                <w:spacing w:val="0"/>
                <w:w w:val="100"/>
                <w:position w:val="0"/>
              </w:rPr>
              <w:t>同步调度，跟 停车系统融合后，大幅度提 升存取车效率，解决了连续</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拓宽公司产品线，助力销售 提升市场竞争力，创造新的 利润增长点</w:t>
            </w:r>
          </w:p>
        </w:tc>
      </w:tr>
    </w:tbl>
    <w:p>
      <w:pPr>
        <w:spacing w:lineRule="exact" w:line="1"/>
        <w:rPr>
          <w:sz w:val="2"/>
          <w:szCs w:val="2"/>
        </w:rPr>
      </w:pPr>
      <w:r>
        <w:br w:type="page"/>
      </w:r>
    </w:p>
    <w:tbl>
      <w:tblPr>
        <w:tblOverlap w:val="never"/>
        <w:jc w:val="center"/>
        <w:tblLayout w:type="fixed"/>
      </w:tblPr>
      <w:tblGrid>
        <w:gridCol w:w="1526"/>
        <w:gridCol w:w="1915"/>
        <w:gridCol w:w="1622"/>
        <w:gridCol w:w="2256"/>
        <w:gridCol w:w="226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存取车智能化调度难题</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自动称重放倒技术 及使用该技术的动 态称重皮带机开发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提高产品竞争力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已研发完成、已导入 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主要用于快递物流等需要对 货物进行称重的行业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提高产品的竞争力，助力业 务拓展市场</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可提高分拣效率的 交叉带式分拣技术 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提高产品竞争力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已研发完成、已导入 订单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该交叉带式分拣机可以最大 化的利用环线内部场地，提 高工作场所的使用效率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提高产品的竞争力，助力业 务拓展市场。</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可使物品自动居中 靠边的输送线技术 开发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提高产品竞争力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正在进行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居中机，结构稳固，使用方 便，且能降低卡件风险，传 送效果更好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提高产品的竞争力，助力业 务拓展市场。</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136,651,465.98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102,371,881.35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73,046,221.98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5</w:t>
      </w:r>
      <w:bookmarkEnd w:id="150"/>
      <w:r>
        <w:rPr>
          <w:color w:val="000000"/>
          <w:spacing w:val="0"/>
          <w:w w:val="100"/>
          <w:position w:val="0"/>
        </w:rPr>
        <w:t>、现金流</w:t>
      </w:r>
      <w:bookmarkEnd w:id="148"/>
      <w:bookmarkEnd w:id="149"/>
      <w:bookmarkEnd w:id="151"/>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1,603,728,966.45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1,320,512,406.65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1,706,093,034.95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1,350,074,442.52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-102,364,068.50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-29,562,035.87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2,372,610,959.67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1,078,135,408.48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2,569,453,272.66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1,203,721,577.23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-196,842,312.99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-125,586,168.75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245,064,500.00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1,008,459,784.98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257,555,572.50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370,124,027.24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-12,491,072.50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638,335,757.74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-311,864,020.99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483,162,796.90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-164.55%</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经营活动产生的现金流量发生重大变化主要因素是购买商品、接受劳务支付的现金增加所致;</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投资活动产生的现金流量发生重大变化主要因素是购买理财及结构性存款增加所致；</w:t>
      </w:r>
    </w:p>
    <w:p>
      <w:pPr>
        <w:pStyle w:val="Style17"/>
        <w:keepNext w:val="0"/>
        <w:keepLines w:val="0"/>
        <w:widowControl w:val="0"/>
        <w:shd w:val="clear" w:color="auto" w:fill="auto"/>
        <w:bidi w:val="0"/>
        <w:spacing w:before="0" w:after="480" w:line="240" w:lineRule="auto"/>
        <w:ind w:left="0" w:right="0" w:firstLine="0"/>
        <w:jc w:val="both"/>
      </w:pPr>
      <w:r>
        <w:rPr>
          <w:color w:val="000000"/>
          <w:spacing w:val="0"/>
          <w:w w:val="100"/>
          <w:position w:val="0"/>
        </w:rPr>
        <w:t>筹资活动产生的现金流量发生重大变化主要因素是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年非公开发行股票所致。</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1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152" w:name="bookmark152"/>
      <w:bookmarkStart w:id="153" w:name="bookmark153"/>
      <w:bookmarkStart w:id="154" w:name="bookmark154"/>
      <w:bookmarkStart w:id="155" w:name="bookmark155"/>
      <w:r>
        <w:rPr>
          <w:color w:val="000000"/>
          <w:spacing w:val="0"/>
          <w:w w:val="100"/>
          <w:position w:val="0"/>
        </w:rPr>
        <w:t>五</w:t>
      </w:r>
      <w:bookmarkEnd w:id="154"/>
      <w:r>
        <w:rPr>
          <w:color w:val="000000"/>
          <w:spacing w:val="0"/>
          <w:w w:val="100"/>
          <w:position w:val="0"/>
        </w:rPr>
        <w:t>、非主营业务情况</w:t>
      </w:r>
      <w:bookmarkEnd w:id="152"/>
      <w:bookmarkEnd w:id="153"/>
      <w:bookmarkEnd w:id="155"/>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19,865,247.34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华逸奇业绩补偿及结构性 存款收益所致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-86,078,483.11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计提商誉减值损失所致</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3,775,793.31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526,635.23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-60,155,604.45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计提应收账款、其他应收款 等减值损失所致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六</w:t>
      </w:r>
      <w:bookmarkEnd w:id="158"/>
      <w:r>
        <w:rPr>
          <w:color w:val="000000"/>
          <w:spacing w:val="0"/>
          <w:w w:val="100"/>
          <w:position w:val="0"/>
        </w:rPr>
        <w:t>、资产及负债状况分析</w:t>
      </w:r>
      <w:bookmarkEnd w:id="156"/>
      <w:bookmarkEnd w:id="157"/>
      <w:bookmarkEnd w:id="159"/>
    </w:p>
    <w:p>
      <w:pPr>
        <w:pStyle w:val="Style28"/>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、资产构成重大变动情况</w:t>
      </w:r>
      <w:bookmarkEnd w:id="160"/>
      <w:bookmarkEnd w:id="161"/>
      <w:bookmarkEnd w:id="163"/>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320,572,983.7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641,447,936.66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885,783,867.1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923,688,156.90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166,209,454.1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137,517,908.38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624,626,211.6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600,028,285.93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4,556,223.03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6,829,282.67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299,175,819.7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302,672,036.23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44,695,105.33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37,321,665.30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213,516,362.4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217,730,358.34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228,640,970.3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117,693,485.21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342,368,996.5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294,758,916.52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10,021,248.14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140,629,319.2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135,021,362.50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境外资产占比较高</w:t>
      </w:r>
    </w:p>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2</w:t>
      </w:r>
      <w:bookmarkEnd w:id="166"/>
      <w:r>
        <w:rPr>
          <w:color w:val="000000"/>
          <w:spacing w:val="0"/>
          <w:w w:val="100"/>
          <w:position w:val="0"/>
        </w:rPr>
        <w:t>、</w:t>
        <w:tab/>
        <w:t>以公允价值计量的资产和负债</w:t>
      </w:r>
      <w:bookmarkEnd w:id="164"/>
      <w:bookmarkEnd w:id="165"/>
      <w:bookmarkEnd w:id="167"/>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w:t>
        <w:tab/>
        <w:t>截至报告期末的资产权利受限情况</w:t>
      </w:r>
      <w:bookmarkEnd w:id="168"/>
      <w:bookmarkEnd w:id="169"/>
      <w:bookmarkEnd w:id="171"/>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详见第十节、七、</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所有权或使用权受到限制的资产</w:t>
      </w:r>
    </w:p>
    <w:p>
      <w:pPr>
        <w:pStyle w:val="Style24"/>
        <w:keepNext/>
        <w:keepLines/>
        <w:widowControl w:val="0"/>
        <w:shd w:val="clear" w:color="auto" w:fill="auto"/>
        <w:bidi w:val="0"/>
        <w:spacing w:before="0" w:after="38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七</w:t>
      </w:r>
      <w:bookmarkEnd w:id="174"/>
      <w:r>
        <w:rPr>
          <w:color w:val="000000"/>
          <w:spacing w:val="0"/>
          <w:w w:val="100"/>
          <w:position w:val="0"/>
        </w:rPr>
        <w:t>、投资状况分析</w:t>
      </w:r>
      <w:bookmarkEnd w:id="172"/>
      <w:bookmarkEnd w:id="173"/>
      <w:bookmarkEnd w:id="175"/>
    </w:p>
    <w:p>
      <w:pPr>
        <w:pStyle w:val="Style28"/>
        <w:keepNext/>
        <w:keepLines/>
        <w:widowControl w:val="0"/>
        <w:shd w:val="clear" w:color="auto" w:fill="auto"/>
        <w:tabs>
          <w:tab w:pos="368"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w:t>
        <w:tab/>
        <w:t>总体情况</w:t>
      </w:r>
      <w:bookmarkEnd w:id="176"/>
      <w:bookmarkEnd w:id="177"/>
      <w:bookmarkEnd w:id="179"/>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w:t>
        <w:tab/>
        <w:t>报告期内获取的重大的股权投资情况</w:t>
      </w:r>
      <w:bookmarkEnd w:id="180"/>
      <w:bookmarkEnd w:id="181"/>
      <w:bookmarkEnd w:id="183"/>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报告期内正在进行的重大的非股权投资情况</w:t>
      </w:r>
      <w:bookmarkEnd w:id="184"/>
      <w:bookmarkEnd w:id="185"/>
      <w:bookmarkEnd w:id="187"/>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w:t>
        <w:tab/>
        <w:t>以公允价值计量的金融资产</w:t>
      </w:r>
      <w:bookmarkEnd w:id="188"/>
      <w:bookmarkEnd w:id="189"/>
      <w:bookmarkEnd w:id="191"/>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5</w:t>
      </w:r>
      <w:bookmarkEnd w:id="194"/>
      <w:r>
        <w:rPr>
          <w:color w:val="000000"/>
          <w:spacing w:val="0"/>
          <w:w w:val="100"/>
          <w:position w:val="0"/>
        </w:rPr>
        <w:t>、</w:t>
        <w:tab/>
        <w:t>募集资金使用情况</w:t>
      </w:r>
      <w:bookmarkEnd w:id="192"/>
      <w:bookmarkEnd w:id="193"/>
      <w:bookmarkEnd w:id="195"/>
    </w:p>
    <w:p>
      <w:pPr>
        <w:pStyle w:val="Style17"/>
        <w:keepNext w:val="0"/>
        <w:keepLines w:val="0"/>
        <w:widowControl w:val="0"/>
        <w:numPr>
          <w:ilvl w:val="0"/>
          <w:numId w:val="3"/>
        </w:numPr>
        <w:shd w:val="clear" w:color="auto" w:fill="auto"/>
        <w:tabs>
          <w:tab w:pos="286" w:val="left"/>
          <w:tab w:pos="723" w:val="left"/>
        </w:tabs>
        <w:bidi w:val="0"/>
        <w:spacing w:before="0" w:after="380" w:line="240" w:lineRule="auto"/>
        <w:ind w:left="0" w:right="0" w:firstLine="0"/>
        <w:jc w:val="both"/>
      </w:pPr>
      <w:bookmarkStart w:id="196" w:name="bookmark196"/>
      <w:bookmarkEnd w:id="196"/>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7"/>
      <w:bookmarkEnd w:id="198"/>
      <w:bookmarkEnd w:id="200"/>
    </w:p>
    <w:p>
      <w:pPr>
        <w:pStyle w:val="Style17"/>
        <w:keepNext w:val="0"/>
        <w:keepLines w:val="0"/>
        <w:widowControl w:val="0"/>
        <w:numPr>
          <w:ilvl w:val="0"/>
          <w:numId w:val="3"/>
        </w:numPr>
        <w:shd w:val="clear" w:color="auto" w:fill="auto"/>
        <w:tabs>
          <w:tab w:pos="286" w:val="left"/>
          <w:tab w:pos="723" w:val="left"/>
        </w:tabs>
        <w:bidi w:val="0"/>
        <w:spacing w:before="0" w:after="120" w:line="240" w:lineRule="auto"/>
        <w:ind w:left="0" w:right="0" w:firstLine="0"/>
        <w:jc w:val="both"/>
      </w:pPr>
      <w:bookmarkStart w:id="201" w:name="bookmark201"/>
      <w:bookmarkEnd w:id="201"/>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0"/>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75,135.22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27,090.94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存放于募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投资金专</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户中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75,135.22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27,090.94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49,789.59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2279</w:t>
            </w:r>
            <w:r>
              <w:rPr>
                <w:color w:val="000000"/>
                <w:spacing w:val="0"/>
                <w:w w:val="100"/>
                <w:position w:val="0"/>
              </w:rPr>
              <w:t>号文核准，并经深圳证券交易所同意，本公司由主承销商民生证券股份 有限公司采用非公开发行方式，向特定对象非公开发行人民币普通股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143,126,097</w:t>
            </w:r>
            <w:r>
              <w:rPr>
                <w:color w:val="000000"/>
                <w:spacing w:val="0"/>
                <w:w w:val="100"/>
                <w:position w:val="0"/>
              </w:rPr>
              <w:t xml:space="preserve">股，发行价为每股人民币 </w:t>
            </w:r>
            <w:r>
              <w:rPr>
                <w:rFonts w:ascii="Times New Roman" w:eastAsia="Times New Roman" w:hAnsi="Times New Roman" w:cs="Times New Roman"/>
                <w:color w:val="000000"/>
                <w:spacing w:val="0"/>
                <w:w w:val="100"/>
                <w:position w:val="0"/>
                <w:sz w:val="18"/>
                <w:szCs w:val="18"/>
              </w:rPr>
              <w:t>5.31</w:t>
            </w:r>
            <w:r>
              <w:rPr>
                <w:color w:val="000000"/>
                <w:spacing w:val="0"/>
                <w:w w:val="100"/>
                <w:position w:val="0"/>
              </w:rPr>
              <w:t>元，共计募集资金</w:t>
            </w:r>
            <w:r>
              <w:rPr>
                <w:rFonts w:ascii="Times New Roman" w:eastAsia="Times New Roman" w:hAnsi="Times New Roman" w:cs="Times New Roman"/>
                <w:color w:val="000000"/>
                <w:spacing w:val="0"/>
                <w:w w:val="100"/>
                <w:position w:val="0"/>
                <w:sz w:val="18"/>
                <w:szCs w:val="18"/>
              </w:rPr>
              <w:t>759,999,575.07</w:t>
            </w:r>
            <w:r>
              <w:rPr>
                <w:color w:val="000000"/>
                <w:spacing w:val="0"/>
                <w:w w:val="100"/>
                <w:position w:val="0"/>
              </w:rPr>
              <w:t>元，坐扣承销和保荐费用、律师费及验资费等费用</w:t>
            </w:r>
            <w:r>
              <w:rPr>
                <w:rFonts w:ascii="Times New Roman" w:eastAsia="Times New Roman" w:hAnsi="Times New Roman" w:cs="Times New Roman"/>
                <w:color w:val="000000"/>
                <w:spacing w:val="0"/>
                <w:w w:val="100"/>
                <w:position w:val="0"/>
                <w:sz w:val="18"/>
                <w:szCs w:val="18"/>
              </w:rPr>
              <w:t>8,647,391.18</w:t>
            </w:r>
            <w:r>
              <w:rPr>
                <w:color w:val="000000"/>
                <w:spacing w:val="0"/>
                <w:w w:val="100"/>
                <w:position w:val="0"/>
              </w:rPr>
              <w:t>元（不含税）后的 募集资金为</w:t>
            </w:r>
            <w:r>
              <w:rPr>
                <w:rFonts w:ascii="Times New Roman" w:eastAsia="Times New Roman" w:hAnsi="Times New Roman" w:cs="Times New Roman"/>
                <w:color w:val="000000"/>
                <w:spacing w:val="0"/>
                <w:w w:val="100"/>
                <w:position w:val="0"/>
                <w:sz w:val="18"/>
                <w:szCs w:val="18"/>
              </w:rPr>
              <w:t>751,352,183.89</w:t>
            </w:r>
            <w:r>
              <w:rPr>
                <w:color w:val="000000"/>
                <w:spacing w:val="0"/>
                <w:w w:val="100"/>
                <w:position w:val="0"/>
              </w:rPr>
              <w:t>元，已由主承销商民生证券股份有限公司于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日汇入本公司募集资金监管账户。 上述募集资金到位情况业经天健会计师事务所（特殊普通合伙）验证，并由其出具《验资报告》（天健验〔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w:t>
            </w:r>
          </w:p>
        </w:tc>
      </w:tr>
    </w:tbl>
    <w:p>
      <w:pPr>
        <w:spacing w:lineRule="exact" w:line="1"/>
        <w:rPr>
          <w:sz w:val="2"/>
          <w:szCs w:val="2"/>
        </w:rPr>
      </w:pPr>
      <w:r>
        <w:br w:type="page"/>
      </w:r>
    </w:p>
    <w:p>
      <w:pPr>
        <w:pStyle w:val="Style28"/>
        <w:keepNext/>
        <w:keepLines/>
        <w:widowControl w:val="0"/>
        <w:numPr>
          <w:ilvl w:val="0"/>
          <w:numId w:val="5"/>
        </w:numPr>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募集资金承诺项目情况</w:t>
      </w:r>
      <w:bookmarkEnd w:id="202"/>
      <w:bookmarkEnd w:id="203"/>
      <w:bookmarkEnd w:id="205"/>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25"/>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 投资进度</w:t>
            </w:r>
          </w:p>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 行性是 否发生 重大变</w:t>
            </w:r>
          </w:p>
          <w:p>
            <w:pPr>
              <w:pStyle w:val="Style20"/>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智能机</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械式立</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体停车</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设备制</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造项目</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(东莞</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智能机</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械式立</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体停车</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设备制</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造项目</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(徐州</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 心建设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五洋智 云智慧 停车项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20,135.22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资项目</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75,135.22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27,090.94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75,135.22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27,090.94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未达到</w:t>
            </w:r>
          </w:p>
        </w:tc>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25"/>
        <w:gridCol w:w="8856"/>
      </w:tblGrid>
      <w:tr>
        <w:trPr>
          <w:trHeight w:val="223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计划进</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度或预 计收益 的情况</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和原因</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（分具 体项目）</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情况说 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日，公司第三届董事会第二十四次会议审议通过了《关于使用募集资金置换预先已投入募投项目自 筹资金的议案》，同意公司全资孙公司东莞市伟创华鑫自动化设备有限公司以</w:t>
            </w:r>
            <w:r>
              <w:rPr>
                <w:rFonts w:ascii="Times New Roman" w:eastAsia="Times New Roman" w:hAnsi="Times New Roman" w:cs="Times New Roman"/>
                <w:color w:val="000000"/>
                <w:spacing w:val="0"/>
                <w:w w:val="100"/>
                <w:position w:val="0"/>
                <w:sz w:val="18"/>
                <w:szCs w:val="18"/>
              </w:rPr>
              <w:t>1,487.33</w:t>
            </w:r>
            <w:r>
              <w:rPr>
                <w:color w:val="000000"/>
                <w:spacing w:val="0"/>
                <w:w w:val="100"/>
                <w:position w:val="0"/>
              </w:rPr>
              <w:t>万元募集资金置换预先已 投入募集资金投资项目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日完成了上述置换。</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 金暂时 补充流 动资金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0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日，公司第三届董事会第二十四次会议审议通过了《关于全资子公司使用部分闲置募集资金暂 时补充流动资金的议案》，同意公司全资子公司深圳市伟创自动设备有限公司拟使用闲置募集资金人民币</w:t>
            </w:r>
            <w:r>
              <w:rPr>
                <w:rFonts w:ascii="Times New Roman" w:eastAsia="Times New Roman" w:hAnsi="Times New Roman" w:cs="Times New Roman"/>
                <w:color w:val="000000"/>
                <w:spacing w:val="0"/>
                <w:w w:val="100"/>
                <w:position w:val="0"/>
                <w:sz w:val="18"/>
                <w:szCs w:val="18"/>
              </w:rPr>
              <w:t xml:space="preserve">13,000 </w:t>
            </w:r>
            <w:r>
              <w:rPr>
                <w:color w:val="000000"/>
                <w:spacing w:val="0"/>
                <w:w w:val="100"/>
                <w:position w:val="0"/>
              </w:rPr>
              <w:t>万元暂时补充流动资金，用于公司主营业务相关的生产经营，使用期限自董事会审议批准之日起不超过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日，全资子公司伟创自动化已将暂时补充流动资金的募集资金</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万元归还至募集资金专项</w:t>
            </w:r>
          </w:p>
        </w:tc>
      </w:tr>
    </w:tbl>
    <w:p>
      <w:pPr>
        <w:spacing w:lineRule="exact" w:line="1"/>
        <w:rPr>
          <w:sz w:val="2"/>
          <w:szCs w:val="2"/>
        </w:rPr>
      </w:pPr>
      <w:r>
        <w:br w:type="page"/>
      </w:r>
    </w:p>
    <w:tbl>
      <w:tblPr>
        <w:tblOverlap w:val="never"/>
        <w:jc w:val="center"/>
        <w:tblLayout w:type="fixed"/>
      </w:tblPr>
      <w:tblGrid>
        <w:gridCol w:w="725"/>
        <w:gridCol w:w="8856"/>
      </w:tblGrid>
      <w:tr>
        <w:trPr>
          <w:trHeight w:val="1301"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账户，使用期限未超过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公司第四届董事会第四次会议审议通过了《关于全资子公 司使用闲置募集资金暂时补充流动资金的议案》，公司全资子公司深圳市伟创自动化设备有限公司使用不超过 </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万元闲置募集资金暂时补充流动资金，用于公司主营业务相关的生产经营，使用期限自董事会审议批准之 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项目未完工</w:t>
            </w:r>
          </w:p>
        </w:tc>
      </w:tr>
      <w:tr>
        <w:trPr>
          <w:trHeight w:val="3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用的募</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集资金 用途及 去向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公司第四届董事会第四次会议审议通过了《关于全资子公司使用闲置募集资金暂时补充流动 资金的议案》，公司全资子公司深圳市伟创自动化设备有限公司使用不超过</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万元闲置募集资金暂时补充流 动资金，用于公司主营业务相关的生产经营，使用期限自董事会审议批准之日起不超过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个月。具体内容详见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日刊载在巨潮资讯网的相关公告（公告编号为：</w:t>
            </w:r>
            <w:r>
              <w:rPr>
                <w:rFonts w:ascii="Times New Roman" w:eastAsia="Times New Roman" w:hAnsi="Times New Roman" w:cs="Times New Roman"/>
                <w:color w:val="000000"/>
                <w:spacing w:val="0"/>
                <w:w w:val="100"/>
                <w:position w:val="0"/>
                <w:sz w:val="18"/>
                <w:szCs w:val="18"/>
              </w:rPr>
              <w:t>2021-035</w:t>
            </w:r>
            <w:r>
              <w:rPr>
                <w:color w:val="000000"/>
                <w:spacing w:val="0"/>
                <w:w w:val="100"/>
                <w:position w:val="0"/>
              </w:rPr>
              <w:t>）。</w:t>
            </w:r>
          </w:p>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日召开第四届董事会第四次会议和第四届监事会第四次会议，审议通过了《关于下属公司使用 闲置募集资金进行现金管理的议案》，公司下属公司拟使用不超过</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万元闲置募集资金进行现金管理，购买 安全性高、流动性好的保本型理财产品，期限为自公司董事会审议通过之日起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个月内有效，且可循环滚动使 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日，公司（含子公司）使用闲置募集资金购买银行保本型理财产品余额为</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 元人民币。尚未使用的其他募集资金存放在公司募集资金专用账户上。</w:t>
            </w:r>
          </w:p>
        </w:tc>
      </w:tr>
      <w:tr>
        <w:trPr>
          <w:trHeight w:val="228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6"/>
      <w:bookmarkEnd w:id="207"/>
      <w:bookmarkEnd w:id="209"/>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24"/>
        <w:keepNext/>
        <w:keepLines/>
        <w:widowControl w:val="0"/>
        <w:shd w:val="clear" w:color="auto" w:fill="auto"/>
        <w:bidi w:val="0"/>
        <w:spacing w:before="0" w:line="240" w:lineRule="auto"/>
        <w:ind w:left="0" w:right="0" w:firstLine="0"/>
        <w:jc w:val="both"/>
      </w:pPr>
      <w:bookmarkStart w:id="210" w:name="bookmark210"/>
      <w:bookmarkStart w:id="211" w:name="bookmark211"/>
      <w:bookmarkStart w:id="212" w:name="bookmark212"/>
      <w:bookmarkStart w:id="213" w:name="bookmark213"/>
      <w:r>
        <w:rPr>
          <w:color w:val="000000"/>
          <w:spacing w:val="0"/>
          <w:w w:val="100"/>
          <w:position w:val="0"/>
        </w:rPr>
        <w:t>八</w:t>
      </w:r>
      <w:bookmarkEnd w:id="212"/>
      <w:r>
        <w:rPr>
          <w:color w:val="000000"/>
          <w:spacing w:val="0"/>
          <w:w w:val="100"/>
          <w:position w:val="0"/>
        </w:rPr>
        <w:t>、重大资产和股权出售</w:t>
      </w:r>
      <w:bookmarkEnd w:id="210"/>
      <w:bookmarkEnd w:id="211"/>
      <w:bookmarkEnd w:id="213"/>
    </w:p>
    <w:p>
      <w:pPr>
        <w:pStyle w:val="Style28"/>
        <w:keepNext/>
        <w:keepLines/>
        <w:widowControl w:val="0"/>
        <w:shd w:val="clear" w:color="auto" w:fill="auto"/>
        <w:tabs>
          <w:tab w:pos="368" w:val="left"/>
        </w:tabs>
        <w:bidi w:val="0"/>
        <w:spacing w:before="0" w:after="360" w:line="240" w:lineRule="auto"/>
        <w:ind w:left="0" w:right="0" w:firstLine="0"/>
        <w:jc w:val="both"/>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w:t>
        <w:tab/>
        <w:t>出售重大资产情况</w:t>
      </w:r>
      <w:bookmarkEnd w:id="214"/>
      <w:bookmarkEnd w:id="215"/>
      <w:bookmarkEnd w:id="217"/>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28"/>
        <w:keepNext/>
        <w:keepLines/>
        <w:widowControl w:val="0"/>
        <w:shd w:val="clear" w:color="auto" w:fill="auto"/>
        <w:tabs>
          <w:tab w:pos="378" w:val="left"/>
        </w:tabs>
        <w:bidi w:val="0"/>
        <w:spacing w:before="0" w:after="360" w:line="240" w:lineRule="auto"/>
        <w:ind w:left="0" w:right="0" w:firstLine="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t>出售重大股权情况</w:t>
      </w:r>
      <w:bookmarkEnd w:id="218"/>
      <w:bookmarkEnd w:id="219"/>
      <w:bookmarkEnd w:id="221"/>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686"/>
        <w:gridCol w:w="682"/>
        <w:gridCol w:w="682"/>
        <w:gridCol w:w="686"/>
        <w:gridCol w:w="682"/>
        <w:gridCol w:w="686"/>
        <w:gridCol w:w="682"/>
        <w:gridCol w:w="686"/>
        <w:gridCol w:w="682"/>
        <w:gridCol w:w="686"/>
        <w:gridCol w:w="682"/>
        <w:gridCol w:w="686"/>
        <w:gridCol w:w="682"/>
        <w:gridCol w:w="686"/>
      </w:tblGrid>
      <w:tr>
        <w:trPr>
          <w:trHeight w:val="38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格（万</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出售对</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股权出</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售定价</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0"/>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与交易 对方的 关联关 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合肥伟</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诺物业</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创 </w:t>
            </w:r>
            <w:r>
              <w:rPr>
                <w:rFonts w:ascii="Times New Roman" w:eastAsia="Times New Roman" w:hAnsi="Times New Roman" w:cs="Times New Roman"/>
                <w:color w:val="000000"/>
                <w:spacing w:val="0"/>
                <w:w w:val="100"/>
                <w:position w:val="0"/>
                <w:sz w:val="18"/>
                <w:szCs w:val="18"/>
              </w:rPr>
              <w:t>100%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评估价</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0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88"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九</w:t>
      </w:r>
      <w:bookmarkEnd w:id="224"/>
      <w:r>
        <w:rPr>
          <w:color w:val="000000"/>
          <w:spacing w:val="0"/>
          <w:w w:val="100"/>
          <w:position w:val="0"/>
        </w:rPr>
        <w:t>、主要控股参股公司分析</w:t>
      </w:r>
      <w:bookmarkEnd w:id="222"/>
      <w:bookmarkEnd w:id="223"/>
      <w:bookmarkEnd w:id="22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散料搬运核 心装置的研 发、生产、 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82,977,701.1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26,147,985.0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15,342,847.2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-2,293,919.0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-2,566,905.4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天沃重工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混凝土搅拌 站及干混砂 浆搅拌站研 发、生产销</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11500</w:t>
            </w: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347,521,598.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186,639,449.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315,543,352.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20,002,483.3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19,058,089.2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五岳科技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管型母线的</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研发、生产</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5,556,574.09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4,497,143.66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-1,226,734.2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-1,230,130.3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惠邦租赁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融资租赁业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美元</w:t>
            </w:r>
            <w:r>
              <w:rPr>
                <w:rFonts w:ascii="Times New Roman" w:eastAsia="Times New Roman" w:hAnsi="Times New Roman" w:cs="Times New Roman"/>
                <w:color w:val="000000"/>
                <w:spacing w:val="0"/>
                <w:w w:val="100"/>
                <w:position w:val="0"/>
                <w:sz w:val="18"/>
                <w:szCs w:val="18"/>
              </w:rPr>
              <w:t>4000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110,966,233.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59,999,668.8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11,885,996.3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5,531,050.36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4,143,908.59</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泰壬科技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停车场、车</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库投资、建</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9,798,453.87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7,399,975.62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-2,256,014.3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-2,256,014.3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抚州五洋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停车场建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72,811,114.8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43,610,810.5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1,523,026.53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-1,769,085.5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-1,758,085.5</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设、运营、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徐州走盛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非证券股权</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投资及咨询</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50200</w:t>
            </w: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422,883,953.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238,483,996.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73,274,184.0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6,828,200.50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8,547,421.67</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天辰智能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机械式停车 设备、自动 收费系统、 立体仓库设 备、自动化 物流设备的 研发、制造、 销售及安装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372,715,333.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115,716,792.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183,733,454.</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-85,577,051.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-83,844,998.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华逸奇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军用电子盘 和无人艇业 务研发、生 产、销售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26,442,541.4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16,033,983.8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3,037,491.06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-6,546,188.1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-6,666,833.9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弘毅华浩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停车场的投</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资、建设、</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运营业务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11,230,906.5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9,860,660.36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1,956,338.25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1,953,658.25</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工业机器人 成套生产 线、智能化 机械式停车 设备、物流 及智能仓储 的研发、生 产、销售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73800</w:t>
            </w:r>
            <w:r>
              <w:rPr>
                <w:color w:val="000000"/>
                <w:spacing w:val="0"/>
                <w:w w:val="100"/>
                <w:position w:val="0"/>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2,035,088,44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1,134,548,76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1,091,174,77</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-51,847,485.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-44,633,449.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徐州停车服 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停车场服务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15,199,767.8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4,783,699.73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2,055,844.92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-1,916,300.2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-1,916,300.2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合肥市伟创自动化设备有限公司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对公司经营业绩影响较小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沈阳市五洋恒信泊车有限公司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对公司经营业绩影响较小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南昌市青云市政运营有限公司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对公司经营业绩影响较小</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五洋智慧交通产业（成都）有限公司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对公司经营业绩影响较小</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4"/>
        <w:keepNext/>
        <w:keepLines/>
        <w:widowControl w:val="0"/>
        <w:shd w:val="clear" w:color="auto" w:fill="auto"/>
        <w:bidi w:val="0"/>
        <w:spacing w:before="0" w:after="380" w:line="240" w:lineRule="auto"/>
        <w:ind w:left="0" w:right="0" w:firstLine="0"/>
        <w:jc w:val="left"/>
      </w:pPr>
      <w:bookmarkStart w:id="226" w:name="bookmark226"/>
      <w:bookmarkStart w:id="227" w:name="bookmark227"/>
      <w:bookmarkStart w:id="228" w:name="bookmark228"/>
      <w:r>
        <w:rPr>
          <w:color w:val="000000"/>
          <w:spacing w:val="0"/>
          <w:w w:val="100"/>
          <w:position w:val="0"/>
        </w:rPr>
        <w:t>十、公司控制的结构化主体情况</w:t>
      </w:r>
      <w:bookmarkEnd w:id="226"/>
      <w:bookmarkEnd w:id="227"/>
      <w:bookmarkEnd w:id="228"/>
    </w:p>
    <w:p>
      <w:pPr>
        <w:pStyle w:val="Style1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229" w:name="bookmark229"/>
      <w:bookmarkStart w:id="230" w:name="bookmark230"/>
      <w:bookmarkStart w:id="231" w:name="bookmark231"/>
      <w:r>
        <w:rPr>
          <w:color w:val="000000"/>
          <w:spacing w:val="0"/>
          <w:w w:val="100"/>
          <w:position w:val="0"/>
        </w:rPr>
        <w:t>十一、公司未来发展的展望</w:t>
      </w:r>
      <w:bookmarkEnd w:id="229"/>
      <w:bookmarkEnd w:id="230"/>
      <w:bookmarkEnd w:id="231"/>
    </w:p>
    <w:p>
      <w:pPr>
        <w:pStyle w:val="Style17"/>
        <w:keepNext w:val="0"/>
        <w:keepLines w:val="0"/>
        <w:widowControl w:val="0"/>
        <w:shd w:val="clear" w:color="auto" w:fill="auto"/>
        <w:tabs>
          <w:tab w:pos="755" w:val="left"/>
        </w:tabs>
        <w:bidi w:val="0"/>
        <w:spacing w:before="0" w:after="0" w:line="313" w:lineRule="exact"/>
        <w:ind w:left="0" w:right="0" w:firstLine="380"/>
        <w:jc w:val="both"/>
      </w:pPr>
      <w:bookmarkStart w:id="232" w:name="bookmark232"/>
      <w:r>
        <w:rPr>
          <w:b/>
          <w:bCs/>
          <w:color w:val="000000"/>
          <w:spacing w:val="0"/>
          <w:w w:val="100"/>
          <w:position w:val="0"/>
        </w:rPr>
        <w:t>一</w:t>
      </w:r>
      <w:bookmarkEnd w:id="232"/>
      <w:r>
        <w:rPr>
          <w:b/>
          <w:bCs/>
          <w:color w:val="000000"/>
          <w:spacing w:val="0"/>
          <w:w w:val="100"/>
          <w:position w:val="0"/>
        </w:rPr>
        <w:t>、</w:t>
        <w:tab/>
        <w:t>行业格局和趋势</w:t>
      </w:r>
    </w:p>
    <w:p>
      <w:pPr>
        <w:pStyle w:val="Style1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年国内的汽车保有量仍稳步增长。根据国家统计局发布的</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年国民经济和社会发展统计公报显示，</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年末全国 民用汽车保有量</w:t>
      </w:r>
      <w:r>
        <w:rPr>
          <w:rFonts w:ascii="Times New Roman" w:eastAsia="Times New Roman" w:hAnsi="Times New Roman" w:cs="Times New Roman"/>
          <w:color w:val="333333"/>
          <w:spacing w:val="0"/>
          <w:w w:val="100"/>
          <w:position w:val="0"/>
          <w:sz w:val="18"/>
          <w:szCs w:val="18"/>
        </w:rPr>
        <w:t>30151</w:t>
      </w:r>
      <w:r>
        <w:rPr>
          <w:color w:val="333333"/>
          <w:spacing w:val="0"/>
          <w:w w:val="100"/>
          <w:position w:val="0"/>
        </w:rPr>
        <w:t>万辆，比上年末增加</w:t>
      </w:r>
      <w:r>
        <w:rPr>
          <w:rFonts w:ascii="Times New Roman" w:eastAsia="Times New Roman" w:hAnsi="Times New Roman" w:cs="Times New Roman"/>
          <w:color w:val="333333"/>
          <w:spacing w:val="0"/>
          <w:w w:val="100"/>
          <w:position w:val="0"/>
          <w:sz w:val="18"/>
          <w:szCs w:val="18"/>
        </w:rPr>
        <w:t>2064</w:t>
      </w:r>
      <w:r>
        <w:rPr>
          <w:color w:val="333333"/>
          <w:spacing w:val="0"/>
          <w:w w:val="100"/>
          <w:position w:val="0"/>
        </w:rPr>
        <w:t>万辆，其中私人汽车保有量</w:t>
      </w:r>
      <w:r>
        <w:rPr>
          <w:rFonts w:ascii="Times New Roman" w:eastAsia="Times New Roman" w:hAnsi="Times New Roman" w:cs="Times New Roman"/>
          <w:color w:val="333333"/>
          <w:spacing w:val="0"/>
          <w:w w:val="100"/>
          <w:position w:val="0"/>
          <w:sz w:val="18"/>
          <w:szCs w:val="18"/>
        </w:rPr>
        <w:t>26246</w:t>
      </w:r>
      <w:r>
        <w:rPr>
          <w:color w:val="333333"/>
          <w:spacing w:val="0"/>
          <w:w w:val="100"/>
          <w:position w:val="0"/>
        </w:rPr>
        <w:t>万辆，增加</w:t>
      </w:r>
      <w:r>
        <w:rPr>
          <w:rFonts w:ascii="Times New Roman" w:eastAsia="Times New Roman" w:hAnsi="Times New Roman" w:cs="Times New Roman"/>
          <w:color w:val="333333"/>
          <w:spacing w:val="0"/>
          <w:w w:val="100"/>
          <w:position w:val="0"/>
          <w:sz w:val="18"/>
          <w:szCs w:val="18"/>
        </w:rPr>
        <w:t>1852</w:t>
      </w:r>
      <w:r>
        <w:rPr>
          <w:color w:val="333333"/>
          <w:spacing w:val="0"/>
          <w:w w:val="100"/>
          <w:position w:val="0"/>
        </w:rPr>
        <w:t>万辆。民用轿车保有量</w:t>
      </w:r>
      <w:r>
        <w:rPr>
          <w:rFonts w:ascii="Times New Roman" w:eastAsia="Times New Roman" w:hAnsi="Times New Roman" w:cs="Times New Roman"/>
          <w:color w:val="333333"/>
          <w:spacing w:val="0"/>
          <w:w w:val="100"/>
          <w:position w:val="0"/>
          <w:sz w:val="18"/>
          <w:szCs w:val="18"/>
        </w:rPr>
        <w:t xml:space="preserve">16739 </w:t>
      </w:r>
      <w:r>
        <w:rPr>
          <w:color w:val="333333"/>
          <w:spacing w:val="0"/>
          <w:w w:val="100"/>
          <w:position w:val="0"/>
        </w:rPr>
        <w:t>万辆，增加</w:t>
      </w:r>
      <w:r>
        <w:rPr>
          <w:rFonts w:ascii="Times New Roman" w:eastAsia="Times New Roman" w:hAnsi="Times New Roman" w:cs="Times New Roman"/>
          <w:color w:val="333333"/>
          <w:spacing w:val="0"/>
          <w:w w:val="100"/>
          <w:position w:val="0"/>
          <w:sz w:val="18"/>
          <w:szCs w:val="18"/>
        </w:rPr>
        <w:t>1099</w:t>
      </w:r>
      <w:r>
        <w:rPr>
          <w:color w:val="333333"/>
          <w:spacing w:val="0"/>
          <w:w w:val="100"/>
          <w:position w:val="0"/>
        </w:rPr>
        <w:t>万辆，其中私人轿车保有量</w:t>
      </w:r>
      <w:r>
        <w:rPr>
          <w:rFonts w:ascii="Times New Roman" w:eastAsia="Times New Roman" w:hAnsi="Times New Roman" w:cs="Times New Roman"/>
          <w:color w:val="333333"/>
          <w:spacing w:val="0"/>
          <w:w w:val="100"/>
          <w:position w:val="0"/>
          <w:sz w:val="18"/>
          <w:szCs w:val="18"/>
        </w:rPr>
        <w:t>15732</w:t>
      </w:r>
      <w:r>
        <w:rPr>
          <w:color w:val="333333"/>
          <w:spacing w:val="0"/>
          <w:w w:val="100"/>
          <w:position w:val="0"/>
        </w:rPr>
        <w:t>万辆，增加</w:t>
      </w:r>
      <w:r>
        <w:rPr>
          <w:rFonts w:ascii="Times New Roman" w:eastAsia="Times New Roman" w:hAnsi="Times New Roman" w:cs="Times New Roman"/>
          <w:color w:val="333333"/>
          <w:spacing w:val="0"/>
          <w:w w:val="100"/>
          <w:position w:val="0"/>
          <w:sz w:val="18"/>
          <w:szCs w:val="18"/>
        </w:rPr>
        <w:t>1059</w:t>
      </w:r>
      <w:r>
        <w:rPr>
          <w:color w:val="333333"/>
          <w:spacing w:val="0"/>
          <w:w w:val="100"/>
          <w:position w:val="0"/>
        </w:rPr>
        <w:t xml:space="preserve">万辆。在城市榜单之中，北京、重庆、成都的保有量均达 到了 </w:t>
      </w:r>
      <w:r>
        <w:rPr>
          <w:rFonts w:ascii="Times New Roman" w:eastAsia="Times New Roman" w:hAnsi="Times New Roman" w:cs="Times New Roman"/>
          <w:color w:val="333333"/>
          <w:spacing w:val="0"/>
          <w:w w:val="100"/>
          <w:position w:val="0"/>
          <w:sz w:val="18"/>
          <w:szCs w:val="18"/>
        </w:rPr>
        <w:t>500</w:t>
      </w:r>
      <w:r>
        <w:rPr>
          <w:color w:val="333333"/>
          <w:spacing w:val="0"/>
          <w:w w:val="100"/>
          <w:position w:val="0"/>
        </w:rPr>
        <w:t xml:space="preserve">万辆。苏州、上海、郑州、西安的保有量则超过了 </w:t>
      </w:r>
      <w:r>
        <w:rPr>
          <w:rFonts w:ascii="Times New Roman" w:eastAsia="Times New Roman" w:hAnsi="Times New Roman" w:cs="Times New Roman"/>
          <w:color w:val="333333"/>
          <w:spacing w:val="0"/>
          <w:w w:val="100"/>
          <w:position w:val="0"/>
          <w:sz w:val="18"/>
          <w:szCs w:val="18"/>
        </w:rPr>
        <w:t>400</w:t>
      </w:r>
      <w:r>
        <w:rPr>
          <w:color w:val="333333"/>
          <w:spacing w:val="0"/>
          <w:w w:val="100"/>
          <w:position w:val="0"/>
        </w:rPr>
        <w:t>万辆。</w:t>
      </w:r>
    </w:p>
    <w:p>
      <w:pPr>
        <w:pStyle w:val="Style17"/>
        <w:keepNext w:val="0"/>
        <w:keepLines w:val="0"/>
        <w:widowControl w:val="0"/>
        <w:shd w:val="clear" w:color="auto" w:fill="auto"/>
        <w:tabs>
          <w:tab w:pos="9457" w:val="left"/>
        </w:tabs>
        <w:bidi w:val="0"/>
        <w:spacing w:before="0" w:after="0" w:line="313" w:lineRule="exact"/>
        <w:ind w:left="0" w:right="0" w:firstLine="380"/>
        <w:jc w:val="both"/>
        <w:rPr>
          <w:sz w:val="18"/>
          <w:szCs w:val="18"/>
        </w:rPr>
      </w:pPr>
      <w:r>
        <w:rPr>
          <w:color w:val="333333"/>
          <w:spacing w:val="0"/>
          <w:w w:val="100"/>
          <w:position w:val="0"/>
          <w:sz w:val="17"/>
          <w:szCs w:val="17"/>
        </w:rPr>
        <w:t>随着汽车量的增加，停车政策不断发展与优化。</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sz w:val="17"/>
          <w:szCs w:val="17"/>
        </w:rPr>
        <w:t>年国家级停车政策进入第二轮更新</w:t>
      </w:r>
      <w:r>
        <w:rPr>
          <w:color w:val="333333"/>
          <w:spacing w:val="0"/>
          <w:w w:val="100"/>
          <w:position w:val="0"/>
          <w:sz w:val="18"/>
          <w:szCs w:val="18"/>
        </w:rPr>
        <w:t>，</w:t>
      </w:r>
      <w:r>
        <w:rPr>
          <w:color w:val="333333"/>
          <w:spacing w:val="0"/>
          <w:w w:val="100"/>
          <w:position w:val="0"/>
          <w:sz w:val="17"/>
          <w:szCs w:val="17"/>
        </w:rPr>
        <w:t>先后出台了国办函〔</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sz w:val="17"/>
          <w:szCs w:val="17"/>
        </w:rPr>
        <w:t>）</w:t>
        <w:tab/>
      </w:r>
      <w:r>
        <w:rPr>
          <w:rFonts w:ascii="Times New Roman" w:eastAsia="Times New Roman" w:hAnsi="Times New Roman" w:cs="Times New Roman"/>
          <w:color w:val="333333"/>
          <w:spacing w:val="0"/>
          <w:w w:val="100"/>
          <w:position w:val="0"/>
          <w:sz w:val="18"/>
          <w:szCs w:val="18"/>
        </w:rPr>
        <w:t>46</w:t>
      </w:r>
    </w:p>
    <w:p>
      <w:pPr>
        <w:pStyle w:val="Style17"/>
        <w:keepNext w:val="0"/>
        <w:keepLines w:val="0"/>
        <w:widowControl w:val="0"/>
        <w:shd w:val="clear" w:color="auto" w:fill="auto"/>
        <w:bidi w:val="0"/>
        <w:spacing w:before="0" w:after="0" w:line="313" w:lineRule="exact"/>
        <w:ind w:left="0" w:right="0" w:firstLine="0"/>
        <w:jc w:val="both"/>
      </w:pPr>
      <w:r>
        <w:rPr>
          <w:color w:val="333333"/>
          <w:spacing w:val="0"/>
          <w:w w:val="100"/>
          <w:position w:val="0"/>
        </w:rPr>
        <w:t>号文、发改办基础〔</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 xml:space="preserve">） </w:t>
      </w:r>
      <w:r>
        <w:rPr>
          <w:rFonts w:ascii="Times New Roman" w:eastAsia="Times New Roman" w:hAnsi="Times New Roman" w:cs="Times New Roman"/>
          <w:color w:val="333333"/>
          <w:spacing w:val="0"/>
          <w:w w:val="100"/>
          <w:position w:val="0"/>
          <w:sz w:val="18"/>
          <w:szCs w:val="18"/>
        </w:rPr>
        <w:t>676</w:t>
      </w:r>
      <w:r>
        <w:rPr>
          <w:color w:val="333333"/>
          <w:spacing w:val="0"/>
          <w:w w:val="100"/>
          <w:position w:val="0"/>
        </w:rPr>
        <w:t>号文、发改投资〔</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 xml:space="preserve">） </w:t>
      </w:r>
      <w:r>
        <w:rPr>
          <w:rFonts w:ascii="Times New Roman" w:eastAsia="Times New Roman" w:hAnsi="Times New Roman" w:cs="Times New Roman"/>
          <w:color w:val="333333"/>
          <w:spacing w:val="0"/>
          <w:w w:val="100"/>
          <w:position w:val="0"/>
          <w:sz w:val="18"/>
          <w:szCs w:val="18"/>
        </w:rPr>
        <w:t>958</w:t>
      </w:r>
      <w:r>
        <w:rPr>
          <w:color w:val="333333"/>
          <w:spacing w:val="0"/>
          <w:w w:val="100"/>
          <w:position w:val="0"/>
        </w:rPr>
        <w:t>号文等三份文件。</w:t>
      </w:r>
      <w:r>
        <w:rPr>
          <w:rFonts w:ascii="Times New Roman" w:eastAsia="Times New Roman" w:hAnsi="Times New Roman" w:cs="Times New Roman"/>
          <w:color w:val="333333"/>
          <w:spacing w:val="0"/>
          <w:w w:val="100"/>
          <w:position w:val="0"/>
          <w:sz w:val="18"/>
          <w:szCs w:val="18"/>
        </w:rPr>
        <w:t>15</w:t>
      </w:r>
      <w:r>
        <w:rPr>
          <w:color w:val="333333"/>
          <w:spacing w:val="0"/>
          <w:w w:val="100"/>
          <w:position w:val="0"/>
        </w:rPr>
        <w:t>个省出台了</w:t>
      </w:r>
      <w:r>
        <w:rPr>
          <w:rFonts w:ascii="Times New Roman" w:eastAsia="Times New Roman" w:hAnsi="Times New Roman" w:cs="Times New Roman"/>
          <w:color w:val="333333"/>
          <w:spacing w:val="0"/>
          <w:w w:val="100"/>
          <w:position w:val="0"/>
          <w:sz w:val="18"/>
          <w:szCs w:val="18"/>
        </w:rPr>
        <w:t>21</w:t>
      </w:r>
      <w:r>
        <w:rPr>
          <w:color w:val="333333"/>
          <w:spacing w:val="0"/>
          <w:w w:val="100"/>
          <w:position w:val="0"/>
        </w:rPr>
        <w:t>项省级停车政策</w:t>
      </w:r>
      <w:r>
        <w:rPr>
          <w:color w:val="333333"/>
          <w:spacing w:val="0"/>
          <w:w w:val="100"/>
          <w:position w:val="0"/>
          <w:sz w:val="18"/>
          <w:szCs w:val="18"/>
        </w:rPr>
        <w:t>，</w:t>
      </w:r>
      <w:r>
        <w:rPr>
          <w:color w:val="333333"/>
          <w:spacing w:val="0"/>
          <w:w w:val="100"/>
          <w:position w:val="0"/>
        </w:rPr>
        <w:t>涉及智慧停 车平台、停车场规划建设和停车收费管理。地级以上城市</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年出台的市级停车政策</w:t>
      </w:r>
      <w:r>
        <w:rPr>
          <w:color w:val="333333"/>
          <w:spacing w:val="0"/>
          <w:w w:val="100"/>
          <w:position w:val="0"/>
          <w:sz w:val="18"/>
          <w:szCs w:val="18"/>
        </w:rPr>
        <w:t>，</w:t>
      </w:r>
      <w:r>
        <w:rPr>
          <w:color w:val="333333"/>
          <w:spacing w:val="0"/>
          <w:w w:val="100"/>
          <w:position w:val="0"/>
        </w:rPr>
        <w:t>据不完全统计有</w:t>
      </w:r>
      <w:r>
        <w:rPr>
          <w:rFonts w:ascii="Times New Roman" w:eastAsia="Times New Roman" w:hAnsi="Times New Roman" w:cs="Times New Roman"/>
          <w:color w:val="333333"/>
          <w:spacing w:val="0"/>
          <w:w w:val="100"/>
          <w:position w:val="0"/>
          <w:sz w:val="18"/>
          <w:szCs w:val="18"/>
        </w:rPr>
        <w:t>190</w:t>
      </w:r>
      <w:r>
        <w:rPr>
          <w:color w:val="333333"/>
          <w:spacing w:val="0"/>
          <w:w w:val="100"/>
          <w:position w:val="0"/>
        </w:rPr>
        <w:t>多项，涵盖停车专 项规划、管理政策、收费政策、共享停车、配建标准、鼓励政策、行动计划等多方面内容。此外县城和县级市也结合本地情 况出台了大量停车政策。</w:t>
      </w:r>
    </w:p>
    <w:p>
      <w:pPr>
        <w:pStyle w:val="Style17"/>
        <w:keepNext w:val="0"/>
        <w:keepLines w:val="0"/>
        <w:widowControl w:val="0"/>
        <w:shd w:val="clear" w:color="auto" w:fill="auto"/>
        <w:tabs>
          <w:tab w:pos="716" w:val="left"/>
        </w:tabs>
        <w:bidi w:val="0"/>
        <w:spacing w:before="0" w:after="0" w:line="313" w:lineRule="exact"/>
        <w:ind w:left="0" w:right="0" w:firstLine="380"/>
        <w:jc w:val="both"/>
      </w:pP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w:t>
      </w:r>
      <w:r>
        <w:rPr>
          <w:rFonts w:ascii="Times New Roman" w:eastAsia="Times New Roman" w:hAnsi="Times New Roman" w:cs="Times New Roman"/>
          <w:color w:val="333333"/>
          <w:spacing w:val="0"/>
          <w:w w:val="100"/>
          <w:position w:val="0"/>
          <w:sz w:val="18"/>
          <w:szCs w:val="18"/>
        </w:rPr>
        <w:t>5</w:t>
      </w:r>
      <w:r>
        <w:rPr>
          <w:color w:val="333333"/>
          <w:spacing w:val="0"/>
          <w:w w:val="100"/>
          <w:position w:val="0"/>
        </w:rPr>
        <w:t>月国务院办公厅转发国家发改委、住建部、公安部、自然资源部《关于推动城市停车设施发展的意见》</w:t>
      </w:r>
      <w:r>
        <w:rPr>
          <w:color w:val="333333"/>
          <w:spacing w:val="0"/>
          <w:w w:val="100"/>
          <w:position w:val="0"/>
          <w:sz w:val="18"/>
          <w:szCs w:val="18"/>
        </w:rPr>
        <w:t>（</w:t>
      </w:r>
      <w:r>
        <w:rPr>
          <w:color w:val="333333"/>
          <w:spacing w:val="0"/>
          <w:w w:val="100"/>
          <w:position w:val="0"/>
        </w:rPr>
        <w:t>国办函 〔</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w:t>
        <w:tab/>
      </w:r>
      <w:r>
        <w:rPr>
          <w:rFonts w:ascii="Times New Roman" w:eastAsia="Times New Roman" w:hAnsi="Times New Roman" w:cs="Times New Roman"/>
          <w:color w:val="333333"/>
          <w:spacing w:val="0"/>
          <w:w w:val="100"/>
          <w:position w:val="0"/>
          <w:sz w:val="18"/>
          <w:szCs w:val="18"/>
        </w:rPr>
        <w:t>46</w:t>
      </w:r>
      <w:r>
        <w:rPr>
          <w:color w:val="333333"/>
          <w:spacing w:val="0"/>
          <w:w w:val="100"/>
          <w:position w:val="0"/>
        </w:rPr>
        <w:t>号</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，意见提出了未来</w:t>
      </w:r>
      <w:r>
        <w:rPr>
          <w:rFonts w:ascii="Times New Roman" w:eastAsia="Times New Roman" w:hAnsi="Times New Roman" w:cs="Times New Roman"/>
          <w:color w:val="333333"/>
          <w:spacing w:val="0"/>
          <w:w w:val="100"/>
          <w:position w:val="0"/>
          <w:sz w:val="18"/>
          <w:szCs w:val="18"/>
        </w:rPr>
        <w:t>5</w:t>
      </w:r>
      <w:r>
        <w:rPr>
          <w:color w:val="333333"/>
          <w:spacing w:val="0"/>
          <w:w w:val="100"/>
          <w:position w:val="0"/>
        </w:rPr>
        <w:t>到</w:t>
      </w:r>
      <w:r>
        <w:rPr>
          <w:rFonts w:ascii="Times New Roman" w:eastAsia="Times New Roman" w:hAnsi="Times New Roman" w:cs="Times New Roman"/>
          <w:color w:val="333333"/>
          <w:spacing w:val="0"/>
          <w:w w:val="100"/>
          <w:position w:val="0"/>
          <w:sz w:val="18"/>
          <w:szCs w:val="18"/>
        </w:rPr>
        <w:t>15</w:t>
      </w:r>
      <w:r>
        <w:rPr>
          <w:color w:val="333333"/>
          <w:spacing w:val="0"/>
          <w:w w:val="100"/>
          <w:position w:val="0"/>
        </w:rPr>
        <w:t>年我国城市停车发展两步走的战略目标。</w:t>
      </w:r>
      <w:r>
        <w:rPr>
          <w:rFonts w:ascii="Times New Roman" w:eastAsia="Times New Roman" w:hAnsi="Times New Roman" w:cs="Times New Roman"/>
          <w:color w:val="333333"/>
          <w:spacing w:val="0"/>
          <w:w w:val="100"/>
          <w:position w:val="0"/>
          <w:sz w:val="18"/>
          <w:szCs w:val="18"/>
        </w:rPr>
        <w:t>6</w:t>
      </w:r>
      <w:r>
        <w:rPr>
          <w:color w:val="333333"/>
          <w:spacing w:val="0"/>
          <w:w w:val="100"/>
          <w:position w:val="0"/>
        </w:rPr>
        <w:t>月，国家发改委《关于进一步做好基础设</w:t>
      </w:r>
    </w:p>
    <w:p>
      <w:pPr>
        <w:pStyle w:val="Style17"/>
        <w:keepNext w:val="0"/>
        <w:keepLines w:val="0"/>
        <w:widowControl w:val="0"/>
        <w:shd w:val="clear" w:color="auto" w:fill="auto"/>
        <w:tabs>
          <w:tab w:pos="5779" w:val="left"/>
        </w:tabs>
        <w:bidi w:val="0"/>
        <w:spacing w:before="0" w:after="0" w:line="313" w:lineRule="exact"/>
        <w:ind w:left="0" w:right="0" w:firstLine="0"/>
        <w:jc w:val="left"/>
      </w:pPr>
      <w:r>
        <w:rPr>
          <w:color w:val="333333"/>
          <w:spacing w:val="0"/>
          <w:w w:val="100"/>
          <w:position w:val="0"/>
        </w:rPr>
        <w:t>施领域不动产投资信托基金</w:t>
      </w:r>
      <w:r>
        <w:rPr>
          <w:rFonts w:ascii="Times New Roman" w:eastAsia="Times New Roman" w:hAnsi="Times New Roman" w:cs="Times New Roman"/>
          <w:color w:val="333333"/>
          <w:spacing w:val="0"/>
          <w:w w:val="100"/>
          <w:position w:val="0"/>
          <w:sz w:val="18"/>
          <w:szCs w:val="18"/>
        </w:rPr>
        <w:t>（</w:t>
      </w:r>
      <w:r>
        <w:rPr>
          <w:rFonts w:ascii="Times New Roman" w:eastAsia="Times New Roman" w:hAnsi="Times New Roman" w:cs="Times New Roman"/>
          <w:color w:val="333333"/>
          <w:spacing w:val="0"/>
          <w:w w:val="100"/>
          <w:position w:val="0"/>
          <w:sz w:val="18"/>
          <w:szCs w:val="18"/>
        </w:rPr>
        <w:t>REITs</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试点工作的通知》</w:t>
      </w:r>
      <w:r>
        <w:rPr>
          <w:color w:val="333333"/>
          <w:spacing w:val="0"/>
          <w:w w:val="100"/>
          <w:position w:val="0"/>
          <w:sz w:val="18"/>
          <w:szCs w:val="18"/>
        </w:rPr>
        <w:t>（</w:t>
      </w:r>
      <w:r>
        <w:rPr>
          <w:color w:val="333333"/>
          <w:spacing w:val="0"/>
          <w:w w:val="100"/>
          <w:position w:val="0"/>
        </w:rPr>
        <w:t>发改投资〔</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w:t>
        <w:tab/>
      </w:r>
      <w:r>
        <w:rPr>
          <w:rFonts w:ascii="Times New Roman" w:eastAsia="Times New Roman" w:hAnsi="Times New Roman" w:cs="Times New Roman"/>
          <w:color w:val="333333"/>
          <w:spacing w:val="0"/>
          <w:w w:val="100"/>
          <w:position w:val="0"/>
          <w:sz w:val="18"/>
          <w:szCs w:val="18"/>
        </w:rPr>
        <w:t>958</w:t>
      </w:r>
      <w:r>
        <w:rPr>
          <w:color w:val="333333"/>
          <w:spacing w:val="0"/>
          <w:w w:val="100"/>
          <w:position w:val="0"/>
        </w:rPr>
        <w:t>号</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出台，停车场项目被纳入试点范围。</w:t>
      </w:r>
      <w:r>
        <w:rPr>
          <w:rFonts w:ascii="Times New Roman" w:eastAsia="Times New Roman" w:hAnsi="Times New Roman" w:cs="Times New Roman"/>
          <w:color w:val="333333"/>
          <w:spacing w:val="0"/>
          <w:w w:val="100"/>
          <w:position w:val="0"/>
          <w:sz w:val="18"/>
          <w:szCs w:val="18"/>
        </w:rPr>
        <w:t>8</w:t>
      </w:r>
      <w:r>
        <w:rPr>
          <w:color w:val="333333"/>
          <w:spacing w:val="0"/>
          <w:w w:val="100"/>
          <w:position w:val="0"/>
        </w:rPr>
        <w:t>月，</w:t>
      </w:r>
    </w:p>
    <w:p>
      <w:pPr>
        <w:pStyle w:val="Style17"/>
        <w:keepNext w:val="0"/>
        <w:keepLines w:val="0"/>
        <w:widowControl w:val="0"/>
        <w:shd w:val="clear" w:color="auto" w:fill="auto"/>
        <w:bidi w:val="0"/>
        <w:spacing w:before="0" w:after="0" w:line="313" w:lineRule="exact"/>
        <w:ind w:left="0" w:right="0" w:firstLine="0"/>
        <w:jc w:val="left"/>
      </w:pPr>
      <w:r>
        <w:rPr>
          <w:color w:val="333333"/>
          <w:spacing w:val="0"/>
          <w:w w:val="100"/>
          <w:position w:val="0"/>
        </w:rPr>
        <w:t>国家发改委、住建部、公安部、自然资源部四部门印发《关于近期推动城市停车设施发展重点工作通知》</w:t>
      </w:r>
      <w:r>
        <w:rPr>
          <w:color w:val="333333"/>
          <w:spacing w:val="0"/>
          <w:w w:val="100"/>
          <w:position w:val="0"/>
          <w:sz w:val="18"/>
          <w:szCs w:val="18"/>
        </w:rPr>
        <w:t>（</w:t>
      </w:r>
      <w:r>
        <w:rPr>
          <w:color w:val="333333"/>
          <w:spacing w:val="0"/>
          <w:w w:val="100"/>
          <w:position w:val="0"/>
        </w:rPr>
        <w:t>发改办基础</w:t>
      </w:r>
      <w:r>
        <w:rPr>
          <w:color w:val="333333"/>
          <w:spacing w:val="0"/>
          <w:w w:val="100"/>
          <w:position w:val="0"/>
          <w:sz w:val="18"/>
          <w:szCs w:val="18"/>
        </w:rPr>
        <w:t>（</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 xml:space="preserve">） </w:t>
      </w:r>
      <w:r>
        <w:rPr>
          <w:rFonts w:ascii="Times New Roman" w:eastAsia="Times New Roman" w:hAnsi="Times New Roman" w:cs="Times New Roman"/>
          <w:color w:val="333333"/>
          <w:spacing w:val="0"/>
          <w:w w:val="100"/>
          <w:position w:val="0"/>
          <w:sz w:val="18"/>
          <w:szCs w:val="18"/>
        </w:rPr>
        <w:t>676</w:t>
      </w:r>
      <w:r>
        <w:rPr>
          <w:color w:val="333333"/>
          <w:spacing w:val="0"/>
          <w:w w:val="100"/>
          <w:position w:val="0"/>
        </w:rPr>
        <w:t>号</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，提出了近期停车工作的重点方向、具体要求和时间表。我们发现</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年出台的国家级政策仍然强调推进停车场建设， 特别是居住区的停车场建设。新建居住社区要严格按照城市停车规划和居住社区建设标准配建停车位</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老旧小区停车场也是 优先改造的重点内容。此外，金融支持力度在停车领域不断加大。国办函【</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w:t>
      </w:r>
      <w:r>
        <w:rPr>
          <w:rFonts w:ascii="Times New Roman" w:eastAsia="Times New Roman" w:hAnsi="Times New Roman" w:cs="Times New Roman"/>
          <w:color w:val="333333"/>
          <w:spacing w:val="0"/>
          <w:w w:val="100"/>
          <w:position w:val="0"/>
          <w:sz w:val="18"/>
          <w:szCs w:val="18"/>
        </w:rPr>
        <w:t>46</w:t>
      </w:r>
      <w:r>
        <w:rPr>
          <w:color w:val="333333"/>
          <w:spacing w:val="0"/>
          <w:w w:val="100"/>
          <w:position w:val="0"/>
        </w:rPr>
        <w:t>号文和发改办基础【</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w:t>
      </w:r>
      <w:r>
        <w:rPr>
          <w:rFonts w:ascii="Times New Roman" w:eastAsia="Times New Roman" w:hAnsi="Times New Roman" w:cs="Times New Roman"/>
          <w:color w:val="333333"/>
          <w:spacing w:val="0"/>
          <w:w w:val="100"/>
          <w:position w:val="0"/>
          <w:sz w:val="18"/>
          <w:szCs w:val="18"/>
        </w:rPr>
        <w:t>676</w:t>
      </w:r>
      <w:r>
        <w:rPr>
          <w:color w:val="333333"/>
          <w:spacing w:val="0"/>
          <w:w w:val="100"/>
          <w:position w:val="0"/>
        </w:rPr>
        <w:t>号文都 提到了加大金融支持力度，停车场也被列入</w:t>
      </w:r>
      <w:r>
        <w:rPr>
          <w:rFonts w:ascii="Times New Roman" w:eastAsia="Times New Roman" w:hAnsi="Times New Roman" w:cs="Times New Roman"/>
          <w:color w:val="333333"/>
          <w:spacing w:val="0"/>
          <w:w w:val="100"/>
          <w:position w:val="0"/>
          <w:sz w:val="18"/>
          <w:szCs w:val="18"/>
        </w:rPr>
        <w:t>REITs</w:t>
      </w:r>
      <w:r>
        <w:rPr>
          <w:color w:val="333333"/>
          <w:spacing w:val="0"/>
          <w:w w:val="100"/>
          <w:position w:val="0"/>
        </w:rPr>
        <w:t>试点范围。另外，停车场充电设施的建设也是政策强调的内容，要求按一 定比例配建充电设施，从加强规划布局、推动居住社区充电桩安装、加强设备运维、提高供电保障等方面推动充电服务保障 能力提升。</w:t>
      </w:r>
    </w:p>
    <w:p>
      <w:pPr>
        <w:pStyle w:val="Style1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年工业和信息化部等八部门联合印发了《</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十四五</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智能制造发展规划》，《规划》提出</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十四五</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及未来相当长一段 时期，推进智能制造，要立足制造本质，紧扣智能特征，以工艺、装备为核心，以数据为基础，依托制造单元、车间、工厂、 供应链等载体，构建虚实融合、知识驱动、动态优化、安全高效、绿色低碳的智能制造系统，推动制造业实现数字化转型、 网络化协同、智能化变革。到</w:t>
      </w:r>
      <w:r>
        <w:rPr>
          <w:rFonts w:ascii="Times New Roman" w:eastAsia="Times New Roman" w:hAnsi="Times New Roman" w:cs="Times New Roman"/>
          <w:color w:val="333333"/>
          <w:spacing w:val="0"/>
          <w:w w:val="100"/>
          <w:position w:val="0"/>
          <w:sz w:val="18"/>
          <w:szCs w:val="18"/>
        </w:rPr>
        <w:t>2025</w:t>
      </w:r>
      <w:r>
        <w:rPr>
          <w:color w:val="333333"/>
          <w:spacing w:val="0"/>
          <w:w w:val="100"/>
          <w:position w:val="0"/>
        </w:rPr>
        <w:t>年，规模以上制造业企业大部分实现数字化网络化，重点行业骨干企业初步应用智能化； 到</w:t>
      </w:r>
      <w:r>
        <w:rPr>
          <w:rFonts w:ascii="Times New Roman" w:eastAsia="Times New Roman" w:hAnsi="Times New Roman" w:cs="Times New Roman"/>
          <w:color w:val="333333"/>
          <w:spacing w:val="0"/>
          <w:w w:val="100"/>
          <w:position w:val="0"/>
          <w:sz w:val="18"/>
          <w:szCs w:val="18"/>
        </w:rPr>
        <w:t>2035</w:t>
      </w:r>
      <w:r>
        <w:rPr>
          <w:color w:val="333333"/>
          <w:spacing w:val="0"/>
          <w:w w:val="100"/>
          <w:position w:val="0"/>
        </w:rPr>
        <w:t>年，规模以上制造业企业全面普及数字化网络化，重点行业骨干企业基本实现智能化。</w:t>
      </w:r>
    </w:p>
    <w:p>
      <w:pPr>
        <w:pStyle w:val="Style17"/>
        <w:keepNext w:val="0"/>
        <w:keepLines w:val="0"/>
        <w:widowControl w:val="0"/>
        <w:shd w:val="clear" w:color="auto" w:fill="auto"/>
        <w:tabs>
          <w:tab w:pos="755" w:val="left"/>
        </w:tabs>
        <w:bidi w:val="0"/>
        <w:spacing w:before="0" w:after="0" w:line="313" w:lineRule="exact"/>
        <w:ind w:left="0" w:right="0" w:firstLine="380"/>
        <w:jc w:val="both"/>
      </w:pPr>
      <w:bookmarkStart w:id="233" w:name="bookmark233"/>
      <w:r>
        <w:rPr>
          <w:b/>
          <w:bCs/>
          <w:color w:val="000000"/>
          <w:spacing w:val="0"/>
          <w:w w:val="100"/>
          <w:position w:val="0"/>
        </w:rPr>
        <w:t>二</w:t>
      </w:r>
      <w:bookmarkEnd w:id="233"/>
      <w:r>
        <w:rPr>
          <w:b/>
          <w:bCs/>
          <w:color w:val="000000"/>
          <w:spacing w:val="0"/>
          <w:w w:val="100"/>
          <w:position w:val="0"/>
        </w:rPr>
        <w:t>、</w:t>
        <w:tab/>
        <w:t>公司发展战略</w:t>
      </w:r>
    </w:p>
    <w:p>
      <w:pPr>
        <w:pStyle w:val="Style1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年公司面临了综合性的巨大压力，原材料价格的大幅波动，房地产行业的更迭，疫情的不可控性等，均一定程度影 响了公司</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年的发展。在面临资源、环境和成本压力的同时，</w:t>
      </w:r>
      <w:r>
        <w:rPr>
          <w:rFonts w:ascii="Times New Roman" w:eastAsia="Times New Roman" w:hAnsi="Times New Roman" w:cs="Times New Roman"/>
          <w:color w:val="333333"/>
          <w:spacing w:val="0"/>
          <w:w w:val="100"/>
          <w:position w:val="0"/>
          <w:sz w:val="18"/>
          <w:szCs w:val="18"/>
        </w:rPr>
        <w:t>2022</w:t>
      </w:r>
      <w:r>
        <w:rPr>
          <w:color w:val="333333"/>
          <w:spacing w:val="0"/>
          <w:w w:val="100"/>
          <w:position w:val="0"/>
        </w:rPr>
        <w:t>年公司一方面明确管理是基础，主修内功，明确以质量 和效益为导向，优化经营策略和管理模式，坚持各板块齐头并进，多点开花，实现量与质的并重，规模与效益的平衡，以应 对多变的形势；另一方明确技术是核心，加强智能技术、核心产品、核心零部件的技术研发，加强新产品的持续研发，保证 公司核心竞争力及可持续发展，适应行业剧烈变化带来的压力。</w:t>
      </w:r>
    </w:p>
    <w:p>
      <w:pPr>
        <w:pStyle w:val="Style17"/>
        <w:keepNext w:val="0"/>
        <w:keepLines w:val="0"/>
        <w:widowControl w:val="0"/>
        <w:shd w:val="clear" w:color="auto" w:fill="auto"/>
        <w:bidi w:val="0"/>
        <w:spacing w:before="0" w:after="0" w:line="313" w:lineRule="exact"/>
        <w:ind w:left="0" w:right="0" w:firstLine="0"/>
        <w:jc w:val="both"/>
      </w:pPr>
      <w:r>
        <w:rPr>
          <w:color w:val="333333"/>
          <w:spacing w:val="0"/>
          <w:w w:val="100"/>
          <w:position w:val="0"/>
        </w:rPr>
        <w:t>公司将持续深化</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智能制造</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停车资源</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互联网</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的发展战略。继续发挥智能制造板块伟创与天辰的品牌协同效应，在规模和质 量上继续保持行业领先地位，同时在科技研发方面不断深化，加强对智能充电、大数据、物联网、云计算、人工智能等信息 建设，体现公司的</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智能制造</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优势；停车投资运营板块业务规模拓展提速，在保证存量项目稳健经营的基础上实现实质性 的突破与发展：</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 xml:space="preserve">年多个新项目落地运营，为停车板块做出收入贡献，同时，公司也储备了大量的优质项目，为拓展提速 提供坚实基础；仓储物流业务和两站及机制砂业务加大核心件自主设计、生产、研发力度，不断提升核心竞争力，实现跨越 式发展奠定基础，为公司培育新的业绩亮点；散物料搬运业务抢抓煤炭等行业持续升温，加大新产品市场布局，力争再上新 台阶，为公司发展持续贡献力量；公司金融服务和资本平台发挥高效的资源整合和协同作用，为各业务板块提供充分保障和 </w:t>
      </w:r>
      <w:r>
        <w:rPr>
          <w:color w:val="333333"/>
          <w:spacing w:val="0"/>
          <w:w w:val="100"/>
          <w:position w:val="0"/>
        </w:rPr>
        <w:t>支持。公司将继续保持众志成城、敢于拼搏、勇于奋斗的精神面貌，提高各业务板块的竞争力与可持续发展力，提升企业价 值。</w:t>
      </w:r>
    </w:p>
    <w:p>
      <w:pPr>
        <w:pStyle w:val="Style17"/>
        <w:keepNext w:val="0"/>
        <w:keepLines w:val="0"/>
        <w:widowControl w:val="0"/>
        <w:shd w:val="clear" w:color="auto" w:fill="auto"/>
        <w:tabs>
          <w:tab w:pos="800" w:val="left"/>
        </w:tabs>
        <w:bidi w:val="0"/>
        <w:spacing w:before="0" w:after="0" w:line="313" w:lineRule="exact"/>
        <w:ind w:left="0" w:right="0" w:firstLine="380"/>
        <w:jc w:val="both"/>
      </w:pPr>
      <w:bookmarkStart w:id="234" w:name="bookmark234"/>
      <w:r>
        <w:rPr>
          <w:b/>
          <w:bCs/>
          <w:color w:val="000000"/>
          <w:spacing w:val="0"/>
          <w:w w:val="100"/>
          <w:position w:val="0"/>
        </w:rPr>
        <w:t>三</w:t>
      </w:r>
      <w:bookmarkEnd w:id="234"/>
      <w:r>
        <w:rPr>
          <w:b/>
          <w:bCs/>
          <w:color w:val="000000"/>
          <w:spacing w:val="0"/>
          <w:w w:val="100"/>
          <w:position w:val="0"/>
        </w:rPr>
        <w:t>、</w:t>
        <w:tab/>
        <w:t>公司</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年经营计划</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围绕上述公司发展战略，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年经营计划如下：</w:t>
      </w:r>
    </w:p>
    <w:p>
      <w:pPr>
        <w:pStyle w:val="Style17"/>
        <w:keepNext w:val="0"/>
        <w:keepLines w:val="0"/>
        <w:widowControl w:val="0"/>
        <w:shd w:val="clear" w:color="auto" w:fill="auto"/>
        <w:tabs>
          <w:tab w:pos="851" w:val="left"/>
        </w:tabs>
        <w:bidi w:val="0"/>
        <w:spacing w:before="0" w:after="0" w:line="313" w:lineRule="exact"/>
        <w:ind w:left="0" w:right="0" w:firstLine="380"/>
        <w:jc w:val="both"/>
      </w:pPr>
      <w:bookmarkStart w:id="235" w:name="bookmark235"/>
      <w:r>
        <w:rPr>
          <w:color w:val="000000"/>
          <w:spacing w:val="0"/>
          <w:w w:val="100"/>
          <w:position w:val="0"/>
        </w:rPr>
        <w:t>（</w:t>
      </w:r>
      <w:bookmarkEnd w:id="235"/>
      <w:r>
        <w:rPr>
          <w:color w:val="000000"/>
          <w:spacing w:val="0"/>
          <w:w w:val="100"/>
          <w:position w:val="0"/>
        </w:rPr>
        <w:t>一）</w:t>
        <w:tab/>
        <w:t>持续加大智能信息技术研发力量，提升创新能力</w:t>
      </w:r>
    </w:p>
    <w:p>
      <w:pPr>
        <w:pStyle w:val="Style1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月，国务院办公厅《关于推动城市停车设施发展意见的通知》从保障基本停车需求、优化停车信息管理、推广 智能化停车服务、鼓励停车资源共享等方面进行明确的规划和部署。《通知》奠定了未来智慧停车的方向，</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年智慧停车 将进一步加快普及发展步伐。</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公司持续不断加大智能信息技术研发投入，新科技、新技术持续发力，带来产品创新使得公司智能车库产品一直保持着 行业领先水平，如刷脸存取车，支付端的多样等使得存取车更加便捷；</w:t>
      </w:r>
      <w:r>
        <w:rPr>
          <w:rFonts w:ascii="Times New Roman" w:eastAsia="Times New Roman" w:hAnsi="Times New Roman" w:cs="Times New Roman"/>
          <w:color w:val="000000"/>
          <w:spacing w:val="0"/>
          <w:w w:val="100"/>
          <w:position w:val="0"/>
          <w:sz w:val="18"/>
          <w:szCs w:val="18"/>
        </w:rPr>
        <w:t>AGV</w:t>
      </w:r>
      <w:r>
        <w:rPr>
          <w:color w:val="000000"/>
          <w:spacing w:val="0"/>
          <w:w w:val="100"/>
          <w:position w:val="0"/>
        </w:rPr>
        <w:t>智能机器人类型、大巴库类型等新库型也获得 广泛关注；机械手式、梳齿式、载车板式等各类型搬运器齐全，可满足高端客户多样化需求。持续的产品创新及技术更迭是 公司保持行业领先地位的关键要素。</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公司随着城市级停车运营项目的增多，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年针对城市级管理平台已组建专门的研发团队，根据不同城市级项目的政府 个性化需求开发产品功能，并已应用于多个项目中，</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年，将在实践中不断完善产品性能，提供功能更加强大、需求匹配 度更高的智慧停车管理平台和解决方案。</w:t>
      </w:r>
    </w:p>
    <w:p>
      <w:pPr>
        <w:pStyle w:val="Style17"/>
        <w:keepNext w:val="0"/>
        <w:keepLines w:val="0"/>
        <w:widowControl w:val="0"/>
        <w:shd w:val="clear" w:color="auto" w:fill="auto"/>
        <w:tabs>
          <w:tab w:pos="851" w:val="left"/>
        </w:tabs>
        <w:bidi w:val="0"/>
        <w:spacing w:before="0" w:after="0" w:line="313" w:lineRule="exact"/>
        <w:ind w:left="0" w:right="0" w:firstLine="380"/>
        <w:jc w:val="both"/>
      </w:pPr>
      <w:bookmarkStart w:id="236" w:name="bookmark236"/>
      <w:r>
        <w:rPr>
          <w:color w:val="000000"/>
          <w:spacing w:val="0"/>
          <w:w w:val="100"/>
          <w:position w:val="0"/>
        </w:rPr>
        <w:t>（</w:t>
      </w:r>
      <w:bookmarkEnd w:id="236"/>
      <w:r>
        <w:rPr>
          <w:color w:val="000000"/>
          <w:spacing w:val="0"/>
          <w:w w:val="100"/>
          <w:position w:val="0"/>
        </w:rPr>
        <w:t>二）</w:t>
        <w:tab/>
        <w:t>推进管理数字化转型，提升核心竞争力</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公司的数字化转型力图打造全方位、全过程、全领域的数据实时流动与共享，实现信息技术与业务管理的融合。通过数 字化转型，加强公司整体管理水平，分别从财务管理水平、技术标准化水平、信息化管理水平、生产组织、采购管理、项目 预决算等六大方面提出具体要求。通过数字化转型，释放生产力，实现精细化管理目标，包括预决算管理体系、以项目为导 向的核算体系、财务成本核算体系、供应链体系、物流管理体系、信息采购平台、生产过程信息化管理体系、银企直连支付 体系、停车系统与</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及财务系统的对接等。公司的数字化转型，尽最大程度降低交易成本、提高交易效率、解决信息不对 称、减少商业浪费、实现柔性定制，是立足公司发展方向，满足公司管理需求，切实提升竞争力的重要举措。</w:t>
      </w:r>
    </w:p>
    <w:p>
      <w:pPr>
        <w:pStyle w:val="Style17"/>
        <w:keepNext w:val="0"/>
        <w:keepLines w:val="0"/>
        <w:widowControl w:val="0"/>
        <w:shd w:val="clear" w:color="auto" w:fill="auto"/>
        <w:tabs>
          <w:tab w:pos="851" w:val="left"/>
        </w:tabs>
        <w:bidi w:val="0"/>
        <w:spacing w:before="0" w:after="0" w:line="313" w:lineRule="exact"/>
        <w:ind w:left="0" w:right="0" w:firstLine="380"/>
        <w:jc w:val="both"/>
      </w:pPr>
      <w:bookmarkStart w:id="237" w:name="bookmark237"/>
      <w:r>
        <w:rPr>
          <w:color w:val="000000"/>
          <w:spacing w:val="0"/>
          <w:w w:val="100"/>
          <w:position w:val="0"/>
        </w:rPr>
        <w:t>（</w:t>
      </w:r>
      <w:bookmarkEnd w:id="237"/>
      <w:r>
        <w:rPr>
          <w:color w:val="000000"/>
          <w:spacing w:val="0"/>
          <w:w w:val="100"/>
          <w:position w:val="0"/>
        </w:rPr>
        <w:t>三）</w:t>
        <w:tab/>
        <w:t>拓展优质资产，加速停车投资运营业务提升</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停车资产具有较强的抗周期性，能够持续贡献稳定的现金流。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年公司将持续拓展优质资产。实行多种投资模式并行， 包括产权收购、股权并购、长期租赁、</w:t>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投资建设、合资共建等，资产配置类型包括城市级停车项目、商业产权车位、医 院及公共停车资源等，做到轻重资产投资结合。立足现有团队和平台，通过公司重点业务城市运营中心，辐射长三角地区、 成渝地区、中部地区、珠三角地区。进一步拓展业务规模，加大市场布局，促进停车投资运营板块业务的全速发展。</w:t>
      </w:r>
    </w:p>
    <w:p>
      <w:pPr>
        <w:pStyle w:val="Style17"/>
        <w:keepNext w:val="0"/>
        <w:keepLines w:val="0"/>
        <w:widowControl w:val="0"/>
        <w:shd w:val="clear" w:color="auto" w:fill="auto"/>
        <w:tabs>
          <w:tab w:pos="851" w:val="left"/>
        </w:tabs>
        <w:bidi w:val="0"/>
        <w:spacing w:before="0" w:after="0" w:line="313" w:lineRule="exact"/>
        <w:ind w:left="0" w:right="0" w:firstLine="380"/>
        <w:jc w:val="both"/>
      </w:pPr>
      <w:bookmarkStart w:id="238" w:name="bookmark238"/>
      <w:r>
        <w:rPr>
          <w:color w:val="000000"/>
          <w:spacing w:val="0"/>
          <w:w w:val="100"/>
          <w:position w:val="0"/>
        </w:rPr>
        <w:t>（</w:t>
      </w:r>
      <w:bookmarkEnd w:id="238"/>
      <w:r>
        <w:rPr>
          <w:color w:val="000000"/>
          <w:spacing w:val="0"/>
          <w:w w:val="100"/>
          <w:position w:val="0"/>
        </w:rPr>
        <w:t>四）</w:t>
        <w:tab/>
        <w:t>夯实管理细节，应对周期性变化，实现扭亏为盈</w:t>
      </w:r>
    </w:p>
    <w:p>
      <w:pPr>
        <w:pStyle w:val="Style17"/>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年公司将积极面对各项外在不利影响因素，夯实自身管理细节，力图将负面影响降低至最低点，实现扭亏为盈。为 此，公司将从以下几个方面夯实管理细节：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、以项目为单位的预决算管理，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年管理系统已上线，</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年，将严格执行 单体项目的预决算管理，建立预警机制及应对解决方案；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、产品结构优化，针对大宗原材料上涨的趋势，合理预判各产品 的收益率，调整销售方向；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、生产流程优化，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年已初步搭建了公司的供应链管理体系，</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年供应链的管理将实时数 据化，动态化，以应对复杂多变的形势。同时，公司生产基地有效联动，打通信息壁垒，在生产流程实现降本增效；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、客 户实行白名单管理机制，</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年一方面加强应收账款的催收，加强应收账款绩效管理，另一方面不在白名单的客户，将不再 列入合作范围内。白名单的管理也做到实时动态化调整，一旦移出白名单，公司将启动应收账款预警机制及合理的应对措施。</w:t>
      </w:r>
    </w:p>
    <w:p>
      <w:pPr>
        <w:pStyle w:val="Style17"/>
        <w:keepNext w:val="0"/>
        <w:keepLines w:val="0"/>
        <w:widowControl w:val="0"/>
        <w:shd w:val="clear" w:color="auto" w:fill="auto"/>
        <w:tabs>
          <w:tab w:pos="851" w:val="left"/>
        </w:tabs>
        <w:bidi w:val="0"/>
        <w:spacing w:before="0" w:after="0" w:line="313" w:lineRule="exact"/>
        <w:ind w:left="0" w:right="0" w:firstLine="380"/>
        <w:jc w:val="both"/>
      </w:pPr>
      <w:bookmarkStart w:id="239" w:name="bookmark239"/>
      <w:r>
        <w:rPr>
          <w:color w:val="000000"/>
          <w:spacing w:val="0"/>
          <w:w w:val="100"/>
          <w:position w:val="0"/>
        </w:rPr>
        <w:t>（</w:t>
      </w:r>
      <w:bookmarkEnd w:id="239"/>
      <w:r>
        <w:rPr>
          <w:color w:val="000000"/>
          <w:spacing w:val="0"/>
          <w:w w:val="100"/>
          <w:position w:val="0"/>
        </w:rPr>
        <w:t>五）</w:t>
        <w:tab/>
        <w:t>加强服务客户能力建设，推进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五洋停车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品牌塑造</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坚持以客户为中心，以市场为导向，打造最具竞争力的品牌服务体系。迎合公司发展速率，</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年公司将从营销体系及机制、 创新服务新模式出发，从行业定位、产品定位、品牌定位着手，将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五洋停车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做大做强。立足于公司各产业模块的市场竞争 力，可持续发展能力，上市公司背景与资本实力，以及产品技术领先优势、业务规模优势，围绕符合公司发展方向的核心价 值观：成为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中国领先的停车投资建设运营一体化服务商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，坚持以客户为中心，以市场为导向，建设具有竞争力的品牌服务 体系；树立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五洋停车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及各子品牌的品牌形象，打造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的品牌知名度，努力成为最具市场影响力的企业。</w:t>
      </w:r>
    </w:p>
    <w:p>
      <w:pPr>
        <w:pStyle w:val="Style17"/>
        <w:keepNext w:val="0"/>
        <w:keepLines w:val="0"/>
        <w:widowControl w:val="0"/>
        <w:shd w:val="clear" w:color="auto" w:fill="auto"/>
        <w:tabs>
          <w:tab w:pos="800" w:val="left"/>
        </w:tabs>
        <w:bidi w:val="0"/>
        <w:spacing w:before="0" w:after="0" w:line="313" w:lineRule="exact"/>
        <w:ind w:left="0" w:right="0" w:firstLine="380"/>
        <w:jc w:val="both"/>
      </w:pPr>
      <w:bookmarkStart w:id="240" w:name="bookmark240"/>
      <w:r>
        <w:rPr>
          <w:b/>
          <w:bCs/>
          <w:color w:val="000000"/>
          <w:spacing w:val="0"/>
          <w:w w:val="100"/>
          <w:position w:val="0"/>
        </w:rPr>
        <w:t>四</w:t>
      </w:r>
      <w:bookmarkEnd w:id="240"/>
      <w:r>
        <w:rPr>
          <w:b/>
          <w:bCs/>
          <w:color w:val="000000"/>
          <w:spacing w:val="0"/>
          <w:w w:val="100"/>
          <w:position w:val="0"/>
        </w:rPr>
        <w:t>、</w:t>
        <w:tab/>
        <w:t>对公司未来发展战略和经营目标的实现产生不利影响的风险因素分析</w:t>
      </w:r>
    </w:p>
    <w:p>
      <w:pPr>
        <w:pStyle w:val="Style17"/>
        <w:keepNext w:val="0"/>
        <w:keepLines w:val="0"/>
        <w:widowControl w:val="0"/>
        <w:shd w:val="clear" w:color="auto" w:fill="auto"/>
        <w:bidi w:val="0"/>
        <w:spacing w:before="0" w:after="0" w:line="313" w:lineRule="exact"/>
        <w:ind w:left="0" w:right="0" w:firstLine="380"/>
        <w:jc w:val="both"/>
      </w:pPr>
      <w:bookmarkStart w:id="241" w:name="bookmark241"/>
      <w:r>
        <w:rPr>
          <w:color w:val="000000"/>
          <w:spacing w:val="0"/>
          <w:w w:val="100"/>
          <w:position w:val="0"/>
        </w:rPr>
        <w:t>（</w:t>
      </w:r>
      <w:bookmarkEnd w:id="241"/>
      <w:r>
        <w:rPr>
          <w:color w:val="000000"/>
          <w:spacing w:val="0"/>
          <w:w w:val="100"/>
          <w:position w:val="0"/>
        </w:rPr>
        <w:t>一）应收账款的风险</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随着业务扩大，公司应收账款规模一直处于高位。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日公司应收账款账面价值</w:t>
      </w:r>
      <w:r>
        <w:rPr>
          <w:rFonts w:ascii="Times New Roman" w:eastAsia="Times New Roman" w:hAnsi="Times New Roman" w:cs="Times New Roman"/>
          <w:color w:val="000000"/>
          <w:spacing w:val="0"/>
          <w:w w:val="100"/>
          <w:position w:val="0"/>
          <w:sz w:val="18"/>
          <w:szCs w:val="18"/>
        </w:rPr>
        <w:t>88,578.39</w:t>
      </w:r>
      <w:r>
        <w:rPr>
          <w:color w:val="000000"/>
          <w:spacing w:val="0"/>
          <w:w w:val="100"/>
          <w:position w:val="0"/>
        </w:rPr>
        <w:t>万元。大量应收账款</w:t>
      </w:r>
    </w:p>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对公司流动性产生一定影响</w:t>
      </w:r>
      <w:r>
        <w:rPr>
          <w:color w:val="000000"/>
          <w:spacing w:val="0"/>
          <w:w w:val="100"/>
          <w:position w:val="0"/>
          <w:sz w:val="18"/>
          <w:szCs w:val="18"/>
        </w:rPr>
        <w:t>，</w:t>
      </w:r>
      <w:r>
        <w:rPr>
          <w:color w:val="000000"/>
          <w:spacing w:val="0"/>
          <w:w w:val="100"/>
          <w:position w:val="0"/>
        </w:rPr>
        <w:t>客户若出现经营危机或者财务状况发生重大变化，公司也可能面临较大坏账风险。</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公司将应收款项的回款及清理工作列为年度重要经营计划；加强客户风险控制与管理，针对增量订单实行客户白名单管 理</w:t>
      </w:r>
      <w:r>
        <w:rPr>
          <w:color w:val="000000"/>
          <w:spacing w:val="0"/>
          <w:w w:val="100"/>
          <w:position w:val="0"/>
          <w:sz w:val="18"/>
          <w:szCs w:val="18"/>
        </w:rPr>
        <w:t>，</w:t>
      </w:r>
      <w:r>
        <w:rPr>
          <w:color w:val="000000"/>
          <w:spacing w:val="0"/>
          <w:w w:val="100"/>
          <w:position w:val="0"/>
        </w:rPr>
        <w:t>公司及时调整经营策略，以保证公司应收账款得到有效控制</w:t>
      </w:r>
      <w:r>
        <w:rPr>
          <w:color w:val="000000"/>
          <w:spacing w:val="0"/>
          <w:w w:val="100"/>
          <w:position w:val="0"/>
          <w:sz w:val="18"/>
          <w:szCs w:val="18"/>
        </w:rPr>
        <w:t>，</w:t>
      </w:r>
      <w:r>
        <w:rPr>
          <w:color w:val="000000"/>
          <w:spacing w:val="0"/>
          <w:w w:val="100"/>
          <w:position w:val="0"/>
        </w:rPr>
        <w:t>针对存量应收账款，多管齐下，加大催收清缴和奖惩考核力 度，尽可能减少坏账风险。</w:t>
      </w:r>
    </w:p>
    <w:p>
      <w:pPr>
        <w:pStyle w:val="Style17"/>
        <w:keepNext w:val="0"/>
        <w:keepLines w:val="0"/>
        <w:widowControl w:val="0"/>
        <w:shd w:val="clear" w:color="auto" w:fill="auto"/>
        <w:tabs>
          <w:tab w:pos="890" w:val="left"/>
        </w:tabs>
        <w:bidi w:val="0"/>
        <w:spacing w:before="0" w:after="0" w:line="311" w:lineRule="exact"/>
        <w:ind w:left="0" w:right="0" w:firstLine="380"/>
        <w:jc w:val="both"/>
      </w:pPr>
      <w:bookmarkStart w:id="242" w:name="bookmark242"/>
      <w:r>
        <w:rPr>
          <w:color w:val="000000"/>
          <w:spacing w:val="0"/>
          <w:w w:val="100"/>
          <w:position w:val="0"/>
        </w:rPr>
        <w:t>（</w:t>
      </w:r>
      <w:bookmarkEnd w:id="242"/>
      <w:r>
        <w:rPr>
          <w:color w:val="000000"/>
          <w:spacing w:val="0"/>
          <w:w w:val="100"/>
          <w:position w:val="0"/>
        </w:rPr>
        <w:t>二）</w:t>
        <w:tab/>
        <w:t>商誉减值的风险</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公司并购重组形成一定金额的商誉。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日公司商誉账面价值</w:t>
      </w:r>
      <w:r>
        <w:rPr>
          <w:rFonts w:ascii="Times New Roman" w:eastAsia="Times New Roman" w:hAnsi="Times New Roman" w:cs="Times New Roman"/>
          <w:color w:val="000000"/>
          <w:spacing w:val="0"/>
          <w:w w:val="100"/>
          <w:position w:val="0"/>
          <w:sz w:val="18"/>
          <w:szCs w:val="18"/>
        </w:rPr>
        <w:t>41,576.24</w:t>
      </w:r>
      <w:r>
        <w:rPr>
          <w:color w:val="000000"/>
          <w:spacing w:val="0"/>
          <w:w w:val="100"/>
          <w:position w:val="0"/>
        </w:rPr>
        <w:t>万元。公司根据企业会计准则的规定， 每年年度终需进行减值测试。如未来经营状况未达预期，则存在商誉减值的风险，商誉减值会直接影响公司的经营业绩，减 少公司的当期利润，若一旦集中计提大额的商誉减值，将对公司盈利水平产生较大的不利影响。</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公司持续发挥智能制造板块伟创自动化与天辰智能的品牌协同效应，充分发挥各自技术优势，继续加大新产品技术研发 力量，持续巩固和加强公司在立体停车装备制造行业保持行业领先优势和盈利能力。同时公司充分利用资本和技术平台，大 力开拓停车场投资建设运营一体化业务，不断开拓新市场。</w:t>
      </w:r>
    </w:p>
    <w:p>
      <w:pPr>
        <w:pStyle w:val="Style17"/>
        <w:keepNext w:val="0"/>
        <w:keepLines w:val="0"/>
        <w:widowControl w:val="0"/>
        <w:shd w:val="clear" w:color="auto" w:fill="auto"/>
        <w:tabs>
          <w:tab w:pos="890" w:val="left"/>
        </w:tabs>
        <w:bidi w:val="0"/>
        <w:spacing w:before="0" w:after="0" w:line="311" w:lineRule="exact"/>
        <w:ind w:left="0" w:right="0" w:firstLine="380"/>
        <w:jc w:val="both"/>
      </w:pPr>
      <w:bookmarkStart w:id="243" w:name="bookmark243"/>
      <w:r>
        <w:rPr>
          <w:color w:val="000000"/>
          <w:spacing w:val="0"/>
          <w:w w:val="100"/>
          <w:position w:val="0"/>
        </w:rPr>
        <w:t>（</w:t>
      </w:r>
      <w:bookmarkEnd w:id="243"/>
      <w:r>
        <w:rPr>
          <w:color w:val="000000"/>
          <w:spacing w:val="0"/>
          <w:w w:val="100"/>
          <w:position w:val="0"/>
        </w:rPr>
        <w:t>三）</w:t>
        <w:tab/>
        <w:t>原材料价格波动的风险</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公司主导产业为制造业，主要原材料涉及铜、铝、锌、钢等大宗商品，这些大宗商品价格波动是导致公司产品成本变动 的主要因素之一。近年来大宗商品价格一直处于高位运行，若未来钢材等大宗商品价格发生大幅波动，则不利于公司的生产 预算及成本控制，对本公司生产经营将产生一定的影响。</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公司会通过优化产品结构，改进生产工艺提高原材料的利用率，进一步降低产品生产成本；公司根据市场变化，适时调 整产品市场价格；同时公司会密切关注原材料价格的变化，分析评估原材料采购的适时点，灵活调整原材料采购计划，以最 大限度地降低主要原材料波动风险。</w:t>
      </w:r>
    </w:p>
    <w:p>
      <w:pPr>
        <w:pStyle w:val="Style17"/>
        <w:keepNext w:val="0"/>
        <w:keepLines w:val="0"/>
        <w:widowControl w:val="0"/>
        <w:shd w:val="clear" w:color="auto" w:fill="auto"/>
        <w:tabs>
          <w:tab w:pos="890" w:val="left"/>
        </w:tabs>
        <w:bidi w:val="0"/>
        <w:spacing w:before="0" w:after="0" w:line="312" w:lineRule="exact"/>
        <w:ind w:left="0" w:right="0" w:firstLine="380"/>
        <w:jc w:val="both"/>
      </w:pPr>
      <w:bookmarkStart w:id="244" w:name="bookmark244"/>
      <w:r>
        <w:rPr>
          <w:color w:val="000000"/>
          <w:spacing w:val="0"/>
          <w:w w:val="100"/>
          <w:position w:val="0"/>
        </w:rPr>
        <w:t>（</w:t>
      </w:r>
      <w:bookmarkEnd w:id="244"/>
      <w:r>
        <w:rPr>
          <w:color w:val="000000"/>
          <w:spacing w:val="0"/>
          <w:w w:val="100"/>
          <w:position w:val="0"/>
        </w:rPr>
        <w:t>四）</w:t>
        <w:tab/>
        <w:t>疫情持续影响的风险</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国内新冠肺炎疫情不断有局部反复的情况，因新冠肺炎疫情蔓延对供应链、工业生产影响日益增加，上下游工业企业减 产或停产及物流受阻，产品所用关键零部件不能及时供货，按时交货受到影响，疫情持续反复将导致项目交付周期延长，对 公司的正常业务开展将产生不利影响。</w:t>
      </w:r>
    </w:p>
    <w:p>
      <w:pPr>
        <w:pStyle w:val="Style1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公司将密切关注疫情和上下游变化情况，采取多种措施保障公司正常运营，加强风险控制，合理安排生产经营计划，适 时调整公司业务的经营策略，优化供应链管理，科学调度，有效防控并降低外部风险带来的影响。</w:t>
      </w:r>
    </w:p>
    <w:p>
      <w:pPr>
        <w:pStyle w:val="Style24"/>
        <w:keepNext/>
        <w:keepLines/>
        <w:widowControl w:val="0"/>
        <w:shd w:val="clear" w:color="auto" w:fill="auto"/>
        <w:bidi w:val="0"/>
        <w:spacing w:before="0" w:after="380" w:line="240" w:lineRule="auto"/>
        <w:ind w:left="0" w:right="0" w:firstLine="0"/>
        <w:jc w:val="left"/>
      </w:pPr>
      <w:bookmarkStart w:id="245" w:name="bookmark245"/>
      <w:bookmarkStart w:id="246" w:name="bookmark246"/>
      <w:bookmarkStart w:id="247" w:name="bookmark247"/>
      <w:r>
        <w:rPr>
          <w:color w:val="000000"/>
          <w:spacing w:val="0"/>
          <w:w w:val="100"/>
          <w:position w:val="0"/>
        </w:rPr>
        <w:t>十二、报告期内接待调研、沟通、采访等活动登记表</w:t>
      </w:r>
      <w:bookmarkEnd w:id="245"/>
      <w:bookmarkEnd w:id="246"/>
      <w:bookmarkEnd w:id="247"/>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80" w:line="311" w:lineRule="exact"/>
        <w:ind w:left="0" w:right="0" w:firstLine="0"/>
        <w:jc w:val="left"/>
        <w:sectPr>
          <w:footnotePr>
            <w:pos w:val="pageBottom"/>
            <w:numFmt w:val="decimal"/>
            <w:numRestart w:val="continuous"/>
          </w:footnotePr>
          <w:pgSz w:w="11900" w:h="16840"/>
          <w:pgMar w:top="1383" w:right="1067" w:bottom="1445" w:left="1055" w:header="0" w:footer="3" w:gutter="0"/>
          <w:cols w:space="720"/>
          <w:noEndnote/>
          <w:rtlGutter w:val="0"/>
          <w:docGrid w:linePitch="360"/>
        </w:sectPr>
      </w:pPr>
      <w:r>
        <w:rPr>
          <w:color w:val="000000"/>
          <w:spacing w:val="0"/>
          <w:w w:val="100"/>
          <w:position w:val="0"/>
        </w:rPr>
        <w:t>公司报告期内未发生接待调研、沟通、采访等活动。</w:t>
      </w:r>
    </w:p>
    <w:p>
      <w:pPr>
        <w:pStyle w:val="Style4"/>
        <w:keepNext/>
        <w:keepLines/>
        <w:widowControl w:val="0"/>
        <w:shd w:val="clear" w:color="auto" w:fill="auto"/>
        <w:bidi w:val="0"/>
        <w:spacing w:before="760" w:after="580" w:line="240" w:lineRule="auto"/>
        <w:ind w:left="0" w:right="0" w:firstLine="0"/>
        <w:jc w:val="center"/>
      </w:pPr>
      <w:bookmarkStart w:id="248" w:name="bookmark248"/>
      <w:bookmarkStart w:id="249" w:name="bookmark249"/>
      <w:bookmarkStart w:id="250" w:name="bookmark250"/>
      <w:r>
        <w:rPr>
          <w:color w:val="000000"/>
          <w:spacing w:val="0"/>
          <w:w w:val="100"/>
          <w:position w:val="0"/>
        </w:rPr>
        <w:t>第四节公司治理</w:t>
      </w:r>
      <w:bookmarkEnd w:id="248"/>
      <w:bookmarkEnd w:id="249"/>
      <w:bookmarkEnd w:id="250"/>
    </w:p>
    <w:p>
      <w:pPr>
        <w:pStyle w:val="Style24"/>
        <w:keepNext/>
        <w:keepLines/>
        <w:widowControl w:val="0"/>
        <w:shd w:val="clear" w:color="auto" w:fill="auto"/>
        <w:bidi w:val="0"/>
        <w:spacing w:before="0" w:after="26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一</w:t>
      </w:r>
      <w:bookmarkEnd w:id="253"/>
      <w:r>
        <w:rPr>
          <w:color w:val="000000"/>
          <w:spacing w:val="0"/>
          <w:w w:val="100"/>
          <w:position w:val="0"/>
        </w:rPr>
        <w:t>、公司治理的基本状况</w:t>
      </w:r>
      <w:bookmarkEnd w:id="251"/>
      <w:bookmarkEnd w:id="252"/>
      <w:bookmarkEnd w:id="254"/>
    </w:p>
    <w:p>
      <w:pPr>
        <w:pStyle w:val="Style17"/>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报告期内，公司严格按照《公司法》、《证券法》、《上市公司治理准则》、《深交所创业板上市公司规范运作指引》 等有关法律、法规、规范性文件和中国证监会等监管部门的要求，不断完善公司治理结构，建立健全内控管理制度，促进规 范公司运作，持续提升公司治理水平。截至报告期末，公司治理状况符合中国证监会、深圳证券交易所等发布的法律、法规 和规范性文件的要求。</w:t>
      </w:r>
    </w:p>
    <w:p>
      <w:pPr>
        <w:pStyle w:val="Style17"/>
        <w:keepNext w:val="0"/>
        <w:keepLines w:val="0"/>
        <w:widowControl w:val="0"/>
        <w:shd w:val="clear" w:color="auto" w:fill="auto"/>
        <w:tabs>
          <w:tab w:pos="861" w:val="left"/>
        </w:tabs>
        <w:bidi w:val="0"/>
        <w:spacing w:before="0" w:after="0" w:line="314" w:lineRule="exact"/>
        <w:ind w:left="0" w:right="0" w:firstLine="380"/>
        <w:jc w:val="both"/>
      </w:pPr>
      <w:bookmarkStart w:id="255" w:name="bookmark255"/>
      <w:r>
        <w:rPr>
          <w:color w:val="000000"/>
          <w:spacing w:val="0"/>
          <w:w w:val="100"/>
          <w:position w:val="0"/>
        </w:rPr>
        <w:t>（</w:t>
      </w:r>
      <w:bookmarkEnd w:id="255"/>
      <w:r>
        <w:rPr>
          <w:color w:val="000000"/>
          <w:spacing w:val="0"/>
          <w:w w:val="100"/>
          <w:position w:val="0"/>
        </w:rPr>
        <w:t>一）</w:t>
        <w:tab/>
        <w:t>关于公司与控股股东</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公司控股股东及实际控制人严格按照相关法律法规的要求规范自身行为，公司控股股东不存在超越公司股东大会直接或 间接干预公司的决策和经营活动的行为，不存在控股股东违规占用公司资金的现象，未损害公司及其他股东的利益。公司董 事会、监事会和内部机构独立运作，公司的重大经营决策均由股东大户和董事会依法作出，公司拥有独立完整的业务和自主 经营能力，在业务、人员、资产、机构、财务上独立于控股股东，公司亦无为控股股东提供担保的情形。</w:t>
      </w:r>
    </w:p>
    <w:p>
      <w:pPr>
        <w:pStyle w:val="Style17"/>
        <w:keepNext w:val="0"/>
        <w:keepLines w:val="0"/>
        <w:widowControl w:val="0"/>
        <w:shd w:val="clear" w:color="auto" w:fill="auto"/>
        <w:tabs>
          <w:tab w:pos="861" w:val="left"/>
        </w:tabs>
        <w:bidi w:val="0"/>
        <w:spacing w:before="0" w:after="0" w:line="314" w:lineRule="exact"/>
        <w:ind w:left="0" w:right="0" w:firstLine="380"/>
        <w:jc w:val="both"/>
      </w:pPr>
      <w:bookmarkStart w:id="256" w:name="bookmark256"/>
      <w:r>
        <w:rPr>
          <w:color w:val="000000"/>
          <w:spacing w:val="0"/>
          <w:w w:val="100"/>
          <w:position w:val="0"/>
        </w:rPr>
        <w:t>（</w:t>
      </w:r>
      <w:bookmarkEnd w:id="256"/>
      <w:r>
        <w:rPr>
          <w:color w:val="000000"/>
          <w:spacing w:val="0"/>
          <w:w w:val="100"/>
          <w:position w:val="0"/>
        </w:rPr>
        <w:t>二）</w:t>
        <w:tab/>
        <w:t>关于股东与股东大会</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报告期内，公司召开了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次临时股东大会，以现场和网络投票相结合的方式进行，会议的召集和召开 程序、出席会议人员的资格以及会议表决程序均符合《公司法》、《上市公司股东大会规则》及《公司章程》等相关规定， 各项议案均获得通过，表决结果合法有效。会议邀请见证律师依法合规地进行现场见证，在对涉及关联交易的议案进行表决 时，关联股东回避表决，保障了关联交易决策程序的合法性和公开、公平、公正地进行。公司公平对待所有股东，确保全体 股东享有平等地位，充分行使自身权力。</w:t>
      </w:r>
    </w:p>
    <w:p>
      <w:pPr>
        <w:pStyle w:val="Style17"/>
        <w:keepNext w:val="0"/>
        <w:keepLines w:val="0"/>
        <w:widowControl w:val="0"/>
        <w:shd w:val="clear" w:color="auto" w:fill="auto"/>
        <w:tabs>
          <w:tab w:pos="861" w:val="left"/>
        </w:tabs>
        <w:bidi w:val="0"/>
        <w:spacing w:before="0" w:after="0" w:line="314" w:lineRule="exact"/>
        <w:ind w:left="0" w:right="0" w:firstLine="380"/>
        <w:jc w:val="both"/>
      </w:pPr>
      <w:bookmarkStart w:id="257" w:name="bookmark257"/>
      <w:r>
        <w:rPr>
          <w:color w:val="000000"/>
          <w:spacing w:val="0"/>
          <w:w w:val="100"/>
          <w:position w:val="0"/>
        </w:rPr>
        <w:t>（</w:t>
      </w:r>
      <w:bookmarkEnd w:id="257"/>
      <w:r>
        <w:rPr>
          <w:color w:val="000000"/>
          <w:spacing w:val="0"/>
          <w:w w:val="100"/>
          <w:position w:val="0"/>
        </w:rPr>
        <w:t>三）</w:t>
        <w:tab/>
        <w:t>关于董事和董事会</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名。报告期内，公司董事会严格按照《董事会议事规则》、《独立董事工作制度》、 《规范运作指引》等开展工作，出席董事会和股东大会，勤勉尽责地履行职责和义务，同时积极参加相关培训，熟悉相关法 律法规。报告期内共召开七次董事会会议。董事会下设有审计委员会、薪酬与考核委员会、战略委员会、提名委员会四个专 业委员会，各专委会按照各自工作细则开展工作，为董事会的决策提供了科学专业的意见和参考。</w:t>
      </w:r>
    </w:p>
    <w:p>
      <w:pPr>
        <w:pStyle w:val="Style17"/>
        <w:keepNext w:val="0"/>
        <w:keepLines w:val="0"/>
        <w:widowControl w:val="0"/>
        <w:shd w:val="clear" w:color="auto" w:fill="auto"/>
        <w:tabs>
          <w:tab w:pos="861" w:val="left"/>
        </w:tabs>
        <w:bidi w:val="0"/>
        <w:spacing w:before="0" w:after="0" w:line="314" w:lineRule="exact"/>
        <w:ind w:left="0" w:right="0" w:firstLine="380"/>
        <w:jc w:val="both"/>
      </w:pPr>
      <w:bookmarkStart w:id="258" w:name="bookmark258"/>
      <w:r>
        <w:rPr>
          <w:color w:val="000000"/>
          <w:spacing w:val="0"/>
          <w:w w:val="100"/>
          <w:position w:val="0"/>
        </w:rPr>
        <w:t>（</w:t>
      </w:r>
      <w:bookmarkEnd w:id="258"/>
      <w:r>
        <w:rPr>
          <w:color w:val="000000"/>
          <w:spacing w:val="0"/>
          <w:w w:val="100"/>
          <w:position w:val="0"/>
        </w:rPr>
        <w:t>四）</w:t>
        <w:tab/>
        <w:t>关于监事和监事会</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名。报告期内，公司监事会严格按照《监事会议事规则》等制度召开会 议，从保护股东利益出发，认真履行自己的职责，检查、监督公司内控制度运行情况，对公司财务情况以及公司董事、高级 管理人员履行职责的合法性、合规性进行监督，忠实、勤勉地维护公司及股东的合法权益。</w:t>
      </w:r>
    </w:p>
    <w:p>
      <w:pPr>
        <w:pStyle w:val="Style17"/>
        <w:keepNext w:val="0"/>
        <w:keepLines w:val="0"/>
        <w:widowControl w:val="0"/>
        <w:shd w:val="clear" w:color="auto" w:fill="auto"/>
        <w:tabs>
          <w:tab w:pos="861" w:val="left"/>
        </w:tabs>
        <w:bidi w:val="0"/>
        <w:spacing w:before="0" w:after="0" w:line="314" w:lineRule="exact"/>
        <w:ind w:left="0" w:right="0" w:firstLine="380"/>
        <w:jc w:val="both"/>
      </w:pPr>
      <w:bookmarkStart w:id="259" w:name="bookmark259"/>
      <w:r>
        <w:rPr>
          <w:color w:val="000000"/>
          <w:spacing w:val="0"/>
          <w:w w:val="100"/>
          <w:position w:val="0"/>
        </w:rPr>
        <w:t>（</w:t>
      </w:r>
      <w:bookmarkEnd w:id="259"/>
      <w:r>
        <w:rPr>
          <w:color w:val="000000"/>
          <w:spacing w:val="0"/>
          <w:w w:val="100"/>
          <w:position w:val="0"/>
        </w:rPr>
        <w:t>五）</w:t>
        <w:tab/>
        <w:t>关于绩效评价与激励约束机制</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公司已建立健全公正、透明的绩效评价标准和激励约束机制，高级管理人员的薪酬与其业绩挂钩，高级管理人员的聘任 公开、透明，符合有关法律、法规的规定。公司董事会下设薪酬与考核委员会，负责对公司的董事、监事、高级管理人员进 行绩效考核，制定高级管理人员的薪酬方案，并监督薪酬制度执行情况，公司现有的考核及激励约束机制符合公司的发展情 况。</w:t>
      </w:r>
    </w:p>
    <w:p>
      <w:pPr>
        <w:pStyle w:val="Style17"/>
        <w:keepNext w:val="0"/>
        <w:keepLines w:val="0"/>
        <w:widowControl w:val="0"/>
        <w:shd w:val="clear" w:color="auto" w:fill="auto"/>
        <w:tabs>
          <w:tab w:pos="861" w:val="left"/>
        </w:tabs>
        <w:bidi w:val="0"/>
        <w:spacing w:before="0" w:after="0" w:line="314" w:lineRule="exact"/>
        <w:ind w:left="0" w:right="0" w:firstLine="380"/>
        <w:jc w:val="both"/>
      </w:pPr>
      <w:bookmarkStart w:id="260" w:name="bookmark260"/>
      <w:r>
        <w:rPr>
          <w:color w:val="000000"/>
          <w:spacing w:val="0"/>
          <w:w w:val="100"/>
          <w:position w:val="0"/>
        </w:rPr>
        <w:t>（</w:t>
      </w:r>
      <w:bookmarkEnd w:id="260"/>
      <w:r>
        <w:rPr>
          <w:color w:val="000000"/>
          <w:spacing w:val="0"/>
          <w:w w:val="100"/>
          <w:position w:val="0"/>
        </w:rPr>
        <w:t>六）</w:t>
        <w:tab/>
        <w:t>关于信息披露与透明度</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公司严格按照《上市公司信息披露管理办法》、《深圳证券交易所股票上市规则》等法规要求，本着公平、公正、公开 的原则，真实、准确、完整、及时地完成了定期报告及临时报告的披露工作，切实履行上市公司信息披露义务。公司董事 会秘书负责信息披露工作，协调公司与投资者的关系，回答投资者咨询，向投资者提供公司已披露的资料；并指定《证券时 报》、《证券日报》和巨潮资讯网为公司信息披露的指定报纸和网站。公司通过设立专门的投资者咨询电话、接待投资者来 访和运用深交所投资者关系互动平台等多种方式，实现了与投资者的持续、有效沟通，促进了投资者对公司的了解和认同。</w:t>
      </w:r>
    </w:p>
    <w:p>
      <w:pPr>
        <w:pStyle w:val="Style17"/>
        <w:keepNext w:val="0"/>
        <w:keepLines w:val="0"/>
        <w:widowControl w:val="0"/>
        <w:shd w:val="clear" w:color="auto" w:fill="auto"/>
        <w:tabs>
          <w:tab w:pos="861" w:val="left"/>
        </w:tabs>
        <w:bidi w:val="0"/>
        <w:spacing w:before="0" w:after="0" w:line="314" w:lineRule="exact"/>
        <w:ind w:left="0" w:right="0" w:firstLine="380"/>
        <w:jc w:val="both"/>
      </w:pPr>
      <w:bookmarkStart w:id="261" w:name="bookmark261"/>
      <w:r>
        <w:rPr>
          <w:color w:val="000000"/>
          <w:spacing w:val="0"/>
          <w:w w:val="100"/>
          <w:position w:val="0"/>
        </w:rPr>
        <w:t>（</w:t>
      </w:r>
      <w:bookmarkEnd w:id="261"/>
      <w:r>
        <w:rPr>
          <w:color w:val="000000"/>
          <w:spacing w:val="0"/>
          <w:w w:val="100"/>
          <w:position w:val="0"/>
        </w:rPr>
        <w:t>七）</w:t>
        <w:tab/>
        <w:t>关于相关利益者情况</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公司充分尊重和维护相关利益者的合法权益，认真履行社会责任，实现股东、员工、政府部门等各方利益的协调平衡， 公司与客户和供应商建立了长期良好、平等互利的合作关系、各方合力共同推动公司持续、健康地发展。</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592" w:val="left"/>
        </w:tabs>
        <w:bidi w:val="0"/>
        <w:spacing w:before="0" w:after="240" w:line="331" w:lineRule="exact"/>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二</w:t>
      </w:r>
      <w:bookmarkEnd w:id="264"/>
      <w:r>
        <w:rPr>
          <w:color w:val="000000"/>
          <w:spacing w:val="0"/>
          <w:w w:val="100"/>
          <w:position w:val="0"/>
        </w:rPr>
        <w:t>、</w:t>
        <w:tab/>
        <w:t>公司相对于控股股东、实际控制人在保证公司资产、人员、财务、机构、业务等方面的 独立情况</w:t>
      </w:r>
      <w:bookmarkEnd w:id="262"/>
      <w:bookmarkEnd w:id="263"/>
      <w:bookmarkEnd w:id="265"/>
    </w:p>
    <w:p>
      <w:pPr>
        <w:pStyle w:val="Style1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公司拥有独立完整的采购、生产、销售、研发系统，具备自主经营能力，在业务、资产、人员、机构和财务等方面与控 股股东及实际控制人相互独立。</w:t>
      </w:r>
    </w:p>
    <w:p>
      <w:pPr>
        <w:pStyle w:val="Style17"/>
        <w:keepNext w:val="0"/>
        <w:keepLines w:val="0"/>
        <w:widowControl w:val="0"/>
        <w:shd w:val="clear" w:color="auto" w:fill="auto"/>
        <w:tabs>
          <w:tab w:pos="714" w:val="left"/>
        </w:tabs>
        <w:bidi w:val="0"/>
        <w:spacing w:before="0" w:after="0" w:line="360" w:lineRule="auto"/>
        <w:ind w:left="0" w:right="0" w:firstLine="380"/>
        <w:jc w:val="both"/>
      </w:pPr>
      <w:bookmarkStart w:id="266" w:name="bookmark266"/>
      <w:r>
        <w:rPr>
          <w:rFonts w:ascii="Times New Roman" w:eastAsia="Times New Roman" w:hAnsi="Times New Roman" w:cs="Times New Roman"/>
          <w:color w:val="000000"/>
          <w:spacing w:val="0"/>
          <w:w w:val="100"/>
          <w:position w:val="0"/>
          <w:sz w:val="18"/>
          <w:szCs w:val="18"/>
        </w:rPr>
        <w:t>1</w:t>
      </w:r>
      <w:bookmarkEnd w:id="266"/>
      <w:r>
        <w:rPr>
          <w:color w:val="000000"/>
          <w:spacing w:val="0"/>
          <w:w w:val="100"/>
          <w:position w:val="0"/>
        </w:rPr>
        <w:t>、</w:t>
        <w:tab/>
        <w:t>人员独立</w:t>
      </w:r>
    </w:p>
    <w:p>
      <w:pPr>
        <w:pStyle w:val="Style1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公司总经理、副总经理、财务负责人、董事会秘书等高级管理人员均在公司工作并领取薪酬，未在控股股东单位担任任 何职务和领取报酬；公司财务人员没有在控股股东单位兼职。公司已建立独立的劳动人事、社会保障体系及工资管理体系。</w:t>
      </w:r>
    </w:p>
    <w:p>
      <w:pPr>
        <w:pStyle w:val="Style17"/>
        <w:keepNext w:val="0"/>
        <w:keepLines w:val="0"/>
        <w:widowControl w:val="0"/>
        <w:shd w:val="clear" w:color="auto" w:fill="auto"/>
        <w:tabs>
          <w:tab w:pos="734" w:val="left"/>
        </w:tabs>
        <w:bidi w:val="0"/>
        <w:spacing w:before="0" w:after="0" w:line="360" w:lineRule="auto"/>
        <w:ind w:left="0" w:right="0" w:firstLine="380"/>
        <w:jc w:val="both"/>
      </w:pPr>
      <w:bookmarkStart w:id="267" w:name="bookmark267"/>
      <w:r>
        <w:rPr>
          <w:rFonts w:ascii="Times New Roman" w:eastAsia="Times New Roman" w:hAnsi="Times New Roman" w:cs="Times New Roman"/>
          <w:color w:val="000000"/>
          <w:spacing w:val="0"/>
          <w:w w:val="100"/>
          <w:position w:val="0"/>
          <w:sz w:val="18"/>
          <w:szCs w:val="18"/>
        </w:rPr>
        <w:t>2</w:t>
      </w:r>
      <w:bookmarkEnd w:id="267"/>
      <w:r>
        <w:rPr>
          <w:color w:val="000000"/>
          <w:spacing w:val="0"/>
          <w:w w:val="100"/>
          <w:position w:val="0"/>
        </w:rPr>
        <w:t>、</w:t>
        <w:tab/>
        <w:t>资产独立</w:t>
      </w:r>
    </w:p>
    <w:p>
      <w:pPr>
        <w:pStyle w:val="Style1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公司具备与生产经营有关的生产系统、辅助生产系统和配套设施，合法拥有与生产经营有关的土地、厂房、机器设备以 及商标、专利、非专利技术的所有权和使用权，具有独立的材料采购和产品销售系统，与公司股东和其他关联方之间资产相 互独立。</w:t>
      </w:r>
    </w:p>
    <w:p>
      <w:pPr>
        <w:pStyle w:val="Style17"/>
        <w:keepNext w:val="0"/>
        <w:keepLines w:val="0"/>
        <w:widowControl w:val="0"/>
        <w:shd w:val="clear" w:color="auto" w:fill="auto"/>
        <w:tabs>
          <w:tab w:pos="734" w:val="left"/>
        </w:tabs>
        <w:bidi w:val="0"/>
        <w:spacing w:before="0" w:after="0" w:line="360" w:lineRule="auto"/>
        <w:ind w:left="0" w:right="0" w:firstLine="380"/>
        <w:jc w:val="both"/>
      </w:pPr>
      <w:bookmarkStart w:id="268" w:name="bookmark268"/>
      <w:r>
        <w:rPr>
          <w:rFonts w:ascii="Times New Roman" w:eastAsia="Times New Roman" w:hAnsi="Times New Roman" w:cs="Times New Roman"/>
          <w:color w:val="000000"/>
          <w:spacing w:val="0"/>
          <w:w w:val="100"/>
          <w:position w:val="0"/>
          <w:sz w:val="18"/>
          <w:szCs w:val="18"/>
        </w:rPr>
        <w:t>3</w:t>
      </w:r>
      <w:bookmarkEnd w:id="268"/>
      <w:r>
        <w:rPr>
          <w:color w:val="000000"/>
          <w:spacing w:val="0"/>
          <w:w w:val="100"/>
          <w:position w:val="0"/>
        </w:rPr>
        <w:t>、</w:t>
        <w:tab/>
        <w:t>财务独立</w:t>
      </w:r>
    </w:p>
    <w:p>
      <w:pPr>
        <w:pStyle w:val="Style1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公司有独立的财务部门，建立了独立的会计核算体系和财务管理制度；配备了专职的财务会计人员，独立进行会计核 算和财务决策。公司开设有独立的银行帐号，依法独立进行纳税申报和履行纳税义务。</w:t>
      </w:r>
    </w:p>
    <w:p>
      <w:pPr>
        <w:pStyle w:val="Style17"/>
        <w:keepNext w:val="0"/>
        <w:keepLines w:val="0"/>
        <w:widowControl w:val="0"/>
        <w:shd w:val="clear" w:color="auto" w:fill="auto"/>
        <w:tabs>
          <w:tab w:pos="734" w:val="left"/>
        </w:tabs>
        <w:bidi w:val="0"/>
        <w:spacing w:before="0" w:after="0" w:line="360" w:lineRule="auto"/>
        <w:ind w:left="0" w:right="0" w:firstLine="380"/>
        <w:jc w:val="both"/>
      </w:pPr>
      <w:bookmarkStart w:id="269" w:name="bookmark269"/>
      <w:r>
        <w:rPr>
          <w:rFonts w:ascii="Times New Roman" w:eastAsia="Times New Roman" w:hAnsi="Times New Roman" w:cs="Times New Roman"/>
          <w:color w:val="000000"/>
          <w:spacing w:val="0"/>
          <w:w w:val="100"/>
          <w:position w:val="0"/>
          <w:sz w:val="18"/>
          <w:szCs w:val="18"/>
        </w:rPr>
        <w:t>4</w:t>
      </w:r>
      <w:bookmarkEnd w:id="269"/>
      <w:r>
        <w:rPr>
          <w:color w:val="000000"/>
          <w:spacing w:val="0"/>
          <w:w w:val="100"/>
          <w:position w:val="0"/>
        </w:rPr>
        <w:t>、</w:t>
        <w:tab/>
        <w:t>机构独立</w:t>
      </w:r>
    </w:p>
    <w:p>
      <w:pPr>
        <w:pStyle w:val="Style17"/>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公司不断完善以股东大会、董事会、监事会、经理层为架构的法人治理结构，严格按照《公司法》、《公司章程》等的 规定履行各自的职责；建立了适应自身发展需要的组织结构，并根据企业发展情况调整优化，制定了较为完善的岗位职责和 管理制度，各部门按照规定的职责开展工作，相互独立、协作和制约。</w:t>
      </w:r>
    </w:p>
    <w:p>
      <w:pPr>
        <w:pStyle w:val="Style17"/>
        <w:keepNext w:val="0"/>
        <w:keepLines w:val="0"/>
        <w:widowControl w:val="0"/>
        <w:shd w:val="clear" w:color="auto" w:fill="auto"/>
        <w:tabs>
          <w:tab w:pos="734" w:val="left"/>
        </w:tabs>
        <w:bidi w:val="0"/>
        <w:spacing w:before="0" w:after="0" w:line="360" w:lineRule="auto"/>
        <w:ind w:left="0" w:right="0" w:firstLine="380"/>
        <w:jc w:val="both"/>
      </w:pPr>
      <w:bookmarkStart w:id="270" w:name="bookmark270"/>
      <w:r>
        <w:rPr>
          <w:rFonts w:ascii="Times New Roman" w:eastAsia="Times New Roman" w:hAnsi="Times New Roman" w:cs="Times New Roman"/>
          <w:color w:val="000000"/>
          <w:spacing w:val="0"/>
          <w:w w:val="100"/>
          <w:position w:val="0"/>
          <w:sz w:val="18"/>
          <w:szCs w:val="18"/>
        </w:rPr>
        <w:t>5</w:t>
      </w:r>
      <w:bookmarkEnd w:id="270"/>
      <w:r>
        <w:rPr>
          <w:color w:val="000000"/>
          <w:spacing w:val="0"/>
          <w:w w:val="100"/>
          <w:position w:val="0"/>
        </w:rPr>
        <w:t>、</w:t>
        <w:tab/>
        <w:t>业务独立</w:t>
      </w:r>
    </w:p>
    <w:p>
      <w:pPr>
        <w:pStyle w:val="Style17"/>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公司具备独立、完整的产供销系统，拥有独立的决策和执行机构，拥有独立的业务系统；独立地对外签署合同，独立 采购、生产并销售公司产品；具有面向市场的自主经营能力；公司股东及其控制的其他企业没有从事与公司相同或相近的业 务。</w:t>
      </w:r>
    </w:p>
    <w:p>
      <w:pPr>
        <w:pStyle w:val="Style24"/>
        <w:keepNext/>
        <w:keepLines/>
        <w:widowControl w:val="0"/>
        <w:shd w:val="clear" w:color="auto" w:fill="auto"/>
        <w:tabs>
          <w:tab w:pos="592" w:val="left"/>
        </w:tabs>
        <w:bidi w:val="0"/>
        <w:spacing w:before="0" w:line="331" w:lineRule="exact"/>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三</w:t>
      </w:r>
      <w:bookmarkEnd w:id="273"/>
      <w:r>
        <w:rPr>
          <w:color w:val="000000"/>
          <w:spacing w:val="0"/>
          <w:w w:val="100"/>
          <w:position w:val="0"/>
        </w:rPr>
        <w:t>、</w:t>
        <w:tab/>
        <w:t>同业竞争情况</w:t>
      </w:r>
      <w:bookmarkEnd w:id="271"/>
      <w:bookmarkEnd w:id="272"/>
      <w:bookmarkEnd w:id="274"/>
    </w:p>
    <w:p>
      <w:pPr>
        <w:pStyle w:val="Style17"/>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92" w:val="left"/>
        </w:tabs>
        <w:bidi w:val="0"/>
        <w:spacing w:before="0" w:line="331" w:lineRule="exact"/>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四</w:t>
      </w:r>
      <w:bookmarkEnd w:id="277"/>
      <w:r>
        <w:rPr>
          <w:color w:val="000000"/>
          <w:spacing w:val="0"/>
          <w:w w:val="100"/>
          <w:position w:val="0"/>
        </w:rPr>
        <w:t>、</w:t>
        <w:tab/>
        <w:t>报告期内召开的年度股东大会和临时股东大会的有关情况</w:t>
      </w:r>
      <w:bookmarkEnd w:id="275"/>
      <w:bookmarkEnd w:id="276"/>
      <w:bookmarkEnd w:id="278"/>
    </w:p>
    <w:p>
      <w:pPr>
        <w:pStyle w:val="Style28"/>
        <w:keepNext/>
        <w:keepLines/>
        <w:widowControl w:val="0"/>
        <w:shd w:val="clear" w:color="auto" w:fill="auto"/>
        <w:bidi w:val="0"/>
        <w:spacing w:before="0" w:after="30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、本报告期股东大会情况</w:t>
      </w:r>
      <w:bookmarkEnd w:id="279"/>
      <w:bookmarkEnd w:id="280"/>
      <w:bookmarkEnd w:id="282"/>
    </w:p>
    <w:tbl>
      <w:tblPr>
        <w:tblOverlap w:val="never"/>
        <w:jc w:val="center"/>
        <w:tblLayout w:type="fixed"/>
      </w:tblPr>
      <w:tblGrid>
        <w:gridCol w:w="1598"/>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2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 事会工作报告的议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度监事会工作报告 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过了《关于公司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 摘要的议案》；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、审 议通过了《关于公司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 报告的议案》；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、审 议通过了《关于公司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 预案的议案》；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 议通过了《关于公司 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 机构的议案》；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 议通过了《关于确认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年度关联 交易情况及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度日常关联交易预 计的议案》；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 通过了《关于公司及 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年度向 银行申请授信额度 及担保事项的议 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、审议通过了 《关于部分募集资 金投资项目延期的 议案》。</w:t>
            </w: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 于变更会计师事务 所的议案》、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 通过了《关于增补公 司第四届董事会非 独立董事的议案》。</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、表决权恢复的优先股股东请求召开临时股东大会</w:t>
      </w:r>
      <w:bookmarkEnd w:id="283"/>
      <w:bookmarkEnd w:id="284"/>
      <w:bookmarkEnd w:id="286"/>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五</w:t>
      </w:r>
      <w:bookmarkEnd w:id="289"/>
      <w:r>
        <w:rPr>
          <w:color w:val="000000"/>
          <w:spacing w:val="0"/>
          <w:w w:val="100"/>
          <w:position w:val="0"/>
        </w:rPr>
        <w:t>、</w:t>
        <w:tab/>
        <w:t>公司具有表决权差异安排</w:t>
      </w:r>
      <w:bookmarkEnd w:id="287"/>
      <w:bookmarkEnd w:id="288"/>
      <w:bookmarkEnd w:id="290"/>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六</w:t>
      </w:r>
      <w:bookmarkEnd w:id="293"/>
      <w:r>
        <w:rPr>
          <w:color w:val="000000"/>
          <w:spacing w:val="0"/>
          <w:w w:val="100"/>
          <w:position w:val="0"/>
        </w:rPr>
        <w:t>、</w:t>
        <w:tab/>
        <w:t>红筹架构公司治理情况</w:t>
      </w:r>
      <w:bookmarkEnd w:id="291"/>
      <w:bookmarkEnd w:id="292"/>
      <w:bookmarkEnd w:id="294"/>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8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七</w:t>
      </w:r>
      <w:bookmarkEnd w:id="297"/>
      <w:r>
        <w:rPr>
          <w:color w:val="000000"/>
          <w:spacing w:val="0"/>
          <w:w w:val="100"/>
          <w:position w:val="0"/>
        </w:rPr>
        <w:t>、董事、监事和高级管理人员情况</w:t>
      </w:r>
      <w:bookmarkEnd w:id="295"/>
      <w:bookmarkEnd w:id="296"/>
      <w:bookmarkEnd w:id="298"/>
    </w:p>
    <w:p>
      <w:pPr>
        <w:pStyle w:val="Style28"/>
        <w:keepNext/>
        <w:keepLines/>
        <w:widowControl w:val="0"/>
        <w:shd w:val="clear" w:color="auto" w:fill="auto"/>
        <w:bidi w:val="0"/>
        <w:spacing w:before="0" w:after="30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、基本情况</w:t>
      </w:r>
      <w:bookmarkEnd w:id="299"/>
      <w:bookmarkEnd w:id="300"/>
      <w:bookmarkEnd w:id="302"/>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股数</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董事、董 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69,835,4 95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68,936,1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主动减</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持、利润</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分配</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董事、总</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郭勇金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8,999,65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利润分 配</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朱学义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林爱梅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李安阳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职工代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王镜疑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 秘书、副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王兆勇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财务总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瞌</w:t>
            </w:r>
          </w:p>
          <w:p>
            <w:pPr>
              <w:pStyle w:val="Style20"/>
              <w:keepNext w:val="0"/>
              <w:keepLines w:val="0"/>
              <w:widowControl w:val="0"/>
              <w:shd w:val="clear" w:color="auto" w:fill="auto"/>
              <w:bidi w:val="0"/>
              <w:spacing w:before="0" w:after="0" w:line="18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n~n.</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单醇林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77,935,7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7"/>
        <w:keepNext w:val="0"/>
        <w:keepLines w:val="0"/>
        <w:widowControl w:val="0"/>
        <w:shd w:val="clear" w:color="auto" w:fill="auto"/>
        <w:bidi w:val="0"/>
        <w:spacing w:before="0" w:after="140" w:line="305" w:lineRule="exact"/>
        <w:ind w:left="0" w:right="0" w:firstLine="0"/>
        <w:jc w:val="left"/>
      </w:pPr>
      <w:r>
        <w:rPr>
          <w:color w:val="000000"/>
          <w:spacing w:val="0"/>
          <w:w w:val="100"/>
          <w:position w:val="0"/>
        </w:rPr>
        <w:t>报告期是否存在任期内董事、监事离任和高级管理人员解聘的情况</w:t>
      </w:r>
    </w:p>
    <w:p>
      <w:pPr>
        <w:pStyle w:val="Style17"/>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0" w:line="29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日，公司副总经理单醇林先生向董事会提交书面辞职报告，单醇林先生因个人原因特申请辞去公司副总经 理职务。单醇林先生辞去公司副总经理职务后还将继续在公司工作。</w:t>
      </w:r>
    </w:p>
    <w:p>
      <w:pPr>
        <w:pStyle w:val="Style17"/>
        <w:keepNext w:val="0"/>
        <w:keepLines w:val="0"/>
        <w:widowControl w:val="0"/>
        <w:shd w:val="clear" w:color="auto" w:fill="auto"/>
        <w:bidi w:val="0"/>
        <w:spacing w:before="0" w:after="48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日，公司董事、副总经理侯玉鹏先生向董事会提交书面辞职报告，侯玉鹏先生因个人原因申请辞去公司董 事、副总经理职务。侯玉鹏先生辞职后，不再担任公司任何职务。</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年第一次临时股东大会审议通过，增选 周生刚先生为公司第四届董事会非独立董事。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单醇林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bl>
    <w:p>
      <w:pPr>
        <w:widowControl w:val="0"/>
        <w:spacing w:after="319" w:line="1" w:lineRule="exact"/>
      </w:pPr>
    </w:p>
    <w:p>
      <w:pPr>
        <w:pStyle w:val="Style28"/>
        <w:keepNext/>
        <w:keepLines/>
        <w:widowControl w:val="0"/>
        <w:shd w:val="clear" w:color="auto" w:fill="auto"/>
        <w:bidi w:val="0"/>
        <w:spacing w:before="0" w:after="28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2</w:t>
      </w:r>
      <w:bookmarkEnd w:id="305"/>
      <w:r>
        <w:rPr>
          <w:color w:val="000000"/>
          <w:spacing w:val="0"/>
          <w:w w:val="100"/>
          <w:position w:val="0"/>
        </w:rPr>
        <w:t>、任职情况</w:t>
      </w:r>
      <w:bookmarkEnd w:id="303"/>
      <w:bookmarkEnd w:id="304"/>
      <w:bookmarkEnd w:id="306"/>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侯友夫先生，</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年生，中国国籍，无境外永久居留权，研究生学历、博士学位。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月任中国矿业大 学机电工程学院教授、博士生导师；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月任徐州五洋科技有限公司总经理；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月任公 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月至今任公司董事长、董事。</w:t>
      </w:r>
    </w:p>
    <w:p>
      <w:pPr>
        <w:pStyle w:val="Style1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张立永先生，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 xml:space="preserve">年生，中国国籍，无境外永久居留权，硕士研究生学历，注册会计师、注册税务师、会计高级职称。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月任公司财务总监、董事会秘书；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月任公司投资总监；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月至今任公司总 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月至今任公司董事。</w:t>
      </w:r>
    </w:p>
    <w:p>
      <w:pPr>
        <w:pStyle w:val="Style1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林伟通先生，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无境外永久居留权</w:t>
      </w:r>
      <w:r>
        <w:rPr>
          <w:color w:val="000000"/>
          <w:spacing w:val="0"/>
          <w:w w:val="100"/>
          <w:position w:val="0"/>
          <w:sz w:val="18"/>
          <w:szCs w:val="18"/>
        </w:rPr>
        <w:t>，</w:t>
      </w:r>
      <w:r>
        <w:rPr>
          <w:color w:val="000000"/>
          <w:spacing w:val="0"/>
          <w:w w:val="100"/>
          <w:position w:val="0"/>
        </w:rPr>
        <w:t>工商管理硕士学历。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月任深圳市伟创华岳实业 有限公司副总经理；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任深圳市伟创自动化设备有限公司董事长；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至今任深圳市伟创自动化设 备有限公司总经理；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月至今任公司董事。同时担任中国重型机械工业协会停车设备工作委员会行业专家，深圳停车 产业化联盟秘书长。曾荣获机械式停车设备行业年度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优秀个人奖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中国经济创新领军人物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等奖项，同时 为多项国家专利的发明人。</w:t>
      </w:r>
    </w:p>
    <w:p>
      <w:pPr>
        <w:pStyle w:val="Style1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郭勇金先生，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无境外永久居留权</w:t>
      </w:r>
      <w:r>
        <w:rPr>
          <w:color w:val="000000"/>
          <w:spacing w:val="0"/>
          <w:w w:val="100"/>
          <w:position w:val="0"/>
          <w:sz w:val="18"/>
          <w:szCs w:val="18"/>
        </w:rPr>
        <w:t>，</w:t>
      </w:r>
      <w:r>
        <w:rPr>
          <w:color w:val="000000"/>
          <w:spacing w:val="0"/>
          <w:w w:val="100"/>
          <w:position w:val="0"/>
        </w:rPr>
        <w:t>本科学历，高级工程师。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月任深圳市伟创华岳 实业有限公司设计部工程师；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月任深圳市伟创自动化设备有限公司设计部经理；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月至今任深圳市 伟创自动化设备有限公司副总经理；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w:t>
      </w:r>
    </w:p>
    <w:p>
      <w:pPr>
        <w:pStyle w:val="Style1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杨为民先生，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年生，中国国籍，无境外永久居留权，工商管理硕士。</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月任丹麦威科塑料（徐 州）有限公司运营经理；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月任神斧阿特拉斯徐州工程机械有限公司技术质量部长；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月任公司质安部长；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月至今任合肥市伟创自动化设备有限公司负责人；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月至今任深圳市伟创自动化设备 有限公司副总经理；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w:t>
      </w:r>
    </w:p>
    <w:p>
      <w:pPr>
        <w:pStyle w:val="Style17"/>
        <w:keepNext w:val="0"/>
        <w:keepLines w:val="0"/>
        <w:widowControl w:val="0"/>
        <w:shd w:val="clear" w:color="auto" w:fill="auto"/>
        <w:bidi w:val="0"/>
        <w:spacing w:before="0" w:after="40" w:line="313" w:lineRule="exact"/>
        <w:ind w:left="0" w:right="0" w:firstLine="380"/>
        <w:jc w:val="left"/>
      </w:pPr>
      <w:r>
        <w:rPr>
          <w:color w:val="000000"/>
          <w:spacing w:val="0"/>
          <w:w w:val="100"/>
          <w:position w:val="0"/>
        </w:rPr>
        <w:t>周生刚先生，</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月生，大专学历，工程师。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月至今担任江苏五洋停车产业集团股份有限公司研究所所长；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月任公司职工代表监事；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月至今任公司董事。周生刚先生长期从事机械动态优化设计技术的 研究；先后在国内重要期刊发表论文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篇；参与了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项发明专利及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项实用新型专利的研发。</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朱学义先生，</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年生，中国国籍，无境外永久居留权，大学学历，中国矿业大学硕士生导师、博士生导师。</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月任中国矿业大学管理学院教师，在此期间，分别担任会计学系副主任、主任、管理学院副院长；</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月任中国矿业大学财务与会计研究所所长；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月任中国矿业大学校纪委；</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月任赛 摩电气股份有限公司独立董事；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月至今任公司独立董事。</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林爱梅女士，</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年生，中国国籍，无境外永久居留权，研究生学历、博士学位、会计学教授、博士生导师。</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月任中国矿业大学管理学院助教；</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月任中国矿业大学管理学院讲师；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月任中国矿业大学管理学院副教授、硕士生导师；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月任中国矿业大学管理学院会计学教授；</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月至今任中国矿业大学管理学院博士生导师；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月至今任徐工集团工程机械股份有限公司独立董事；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至今任江西晨光新材料股份有限公司独立董事；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月至今任公司独立董事。</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叶飞先生，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月任大屯煤电集团有限公 司拓特机械制造厂团委干事；</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月任上海大屯能源股份有限公司拓特机械制造厂厂团委负责人、副书记； </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月任上海大屯能源股份有限公司拓特机械制造厂销售部副经理；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月任上海大屯能 源股份有限公司拓特机械制造厂工会办公室主任、兼宣教、民管部长；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月任上海大屯能源股份有限公 司拓特机械制造厂考核办公室主任；</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月任上海大屯能源股份有限公司拓特机械制造厂经营管理部副部 长；</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月任江苏泰信律师事务所律师、合伙人、执行主任；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月至今任北京市盈科（徐州）律师事 务所股权高级合伙人；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月至今任公司独立董事。</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李庆先生，</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月生，中国国籍，无境外永久居留权，本科学历。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月任徐州天地重型机械制造 有限公司销售大区经理；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月任江苏天沃重工科技有限公司营销经理；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至今任江苏天沃重工科 技有限公司总经理助理；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月至今任公司监事。</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李安阳先生，</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月生，中国国籍，无境外永久居住权，大学本科学历。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月任公司营销部大区 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月任公司营销部营销总监；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月至今任公司散料搬运类业务负责人；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 司监事。</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张叶女士，女，</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月出生，中国国籍，中共党员，大学本科学历。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月任公司营销部业务主管；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月至今任公司营销部部长；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月至今任公司职工代表监事。</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单醇林先生，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年生，中国国籍</w:t>
      </w:r>
      <w:r>
        <w:rPr>
          <w:color w:val="000000"/>
          <w:spacing w:val="0"/>
          <w:w w:val="100"/>
          <w:position w:val="0"/>
          <w:sz w:val="18"/>
          <w:szCs w:val="18"/>
        </w:rPr>
        <w:t>，</w:t>
      </w:r>
      <w:r>
        <w:rPr>
          <w:color w:val="000000"/>
          <w:spacing w:val="0"/>
          <w:w w:val="100"/>
          <w:position w:val="0"/>
        </w:rPr>
        <w:t>专科学历。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年任汇泊停车管理（上海）有限公司总经理；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年至今任北 京泊创科技有限公司总经理；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年至今担任长安停车投资管理（上海）有限公司总经理；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月至今任公司副总经理。</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王兆勇先生，</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年生，中国国籍，本科学历。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月担任百佳国际集团财务部总经理；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任公司财务工作；</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月担任公司董事会秘书；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月至今任公司财务总监。</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王镜疑女士，</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年生，中国国籍，中共党员，硕士研究生学历。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月任上海陆家嘴国际金融资产交 易市场股份有限公司项目管理经理；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月任爱建证券私募投资基金子公司筹备小组成员;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月任长安停车投资管理（上海）有限公司副总经理。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月至今任公司副总经理、董事会秘书。</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在股东单位任职情况</w:t>
      </w:r>
    </w:p>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北京华逸奇科贸有限公司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福建比硕停车运营股份有限公司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侯友夫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安徽惠邦融资租赁有限公司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侯友夫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抚州五洋智慧交通产业发展有限公司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侯友夫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深圳市前海弘毅华浩投资有限公司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山东天辰智能停车有限公司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北京华逸奇科贸有限公司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福建比硕停车运营股份有限公司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抚州五洋智慧交通产业发展有限公司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昆明五洋伟创停车服务有限公司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安徽惠邦融资租赁有限公司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迈泊停车管理（上海）有限公司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北京泊创科技有限公司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朱学义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南通理工学院资源经济与会计研究所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林爱梅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中国矿业大学管理学院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1989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北京市盈科（徐州）律师事务所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管委会主任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郭勇金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王镜疑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长安停车投资管理（上海）有限公司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62"/>
        <w:gridCol w:w="843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3</w:t>
      </w:r>
      <w:bookmarkEnd w:id="309"/>
      <w:r>
        <w:rPr>
          <w:color w:val="000000"/>
          <w:spacing w:val="0"/>
          <w:w w:val="100"/>
          <w:position w:val="0"/>
        </w:rPr>
        <w:t>、董事、监事、高级管理人员报酬情况</w:t>
      </w:r>
      <w:bookmarkEnd w:id="307"/>
      <w:bookmarkEnd w:id="308"/>
      <w:bookmarkEnd w:id="310"/>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公司建立了高级管理人员的薪酬与公司业绩挂钩的绩效考核与激励约束机制。公司高级管理人员均由董事会聘任，直接 对董事会负责，承担董事会下达的经营指标。董事会下设的薪酬与考核委员会负责对高级管理人员的工作能力、履职情况、 责任目标完成情况等进行年终考评，制定薪酬方案并报董事会审批。报告期内，高级管理人员能够严格按照《公司法》、《公 司章程》及国家有关法律法规认真履行职责，积极落实公司股东大会和董事会相关决议，不断加强内部管理，积极完成年度 的各项任务。高级管理人员薪酬方案严格执行了公司薪酬管理制度，薪酬水平与公司的经营业绩相匹配。</w:t>
      </w:r>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郭勇金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朱学义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林爱梅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李安阳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王镜疑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董事会秘书兼副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王兆勇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单醇林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八</w:t>
      </w:r>
      <w:bookmarkEnd w:id="313"/>
      <w:r>
        <w:rPr>
          <w:color w:val="000000"/>
          <w:spacing w:val="0"/>
          <w:w w:val="100"/>
          <w:position w:val="0"/>
        </w:rPr>
        <w:t>、报告期内董事履行职责的情况</w:t>
      </w:r>
      <w:bookmarkEnd w:id="311"/>
      <w:bookmarkEnd w:id="312"/>
      <w:bookmarkEnd w:id="314"/>
    </w:p>
    <w:p>
      <w:pPr>
        <w:pStyle w:val="Style28"/>
        <w:keepNext/>
        <w:keepLines/>
        <w:widowControl w:val="0"/>
        <w:shd w:val="clear" w:color="auto" w:fill="auto"/>
        <w:bidi w:val="0"/>
        <w:spacing w:before="0" w:after="32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1</w:t>
      </w:r>
      <w:bookmarkEnd w:id="317"/>
      <w:r>
        <w:rPr>
          <w:color w:val="000000"/>
          <w:spacing w:val="0"/>
          <w:w w:val="100"/>
          <w:position w:val="0"/>
        </w:rPr>
        <w:t>、本报告期董事会情况</w:t>
      </w:r>
      <w:bookmarkEnd w:id="315"/>
      <w:bookmarkEnd w:id="316"/>
      <w:bookmarkEnd w:id="318"/>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在巨潮资讯网发布的《第四届 董事会第二次会议决议公告》</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2021-013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第四届董事会第三次会议审 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 一季度报告的议案》一项议 案。</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第四届董事会第四次会议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在巨潮资讯网发布的《第四届 董事会第四次会议决议公告》 （</w:t>
            </w:r>
            <w:r>
              <w:rPr>
                <w:rFonts w:ascii="Times New Roman" w:eastAsia="Times New Roman" w:hAnsi="Times New Roman" w:cs="Times New Roman"/>
                <w:color w:val="000000"/>
                <w:spacing w:val="0"/>
                <w:w w:val="100"/>
                <w:position w:val="0"/>
                <w:sz w:val="18"/>
                <w:szCs w:val="18"/>
              </w:rPr>
              <w:t>2021-033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第四届董事会第五次会议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在巨潮资讯网发布的《第四届 董事会第五次会议决议公告》 （</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第四届董事会第六次会议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在巨潮资讯网发布的《第四届 董事会第六次会议决议公告》 （</w:t>
            </w:r>
            <w:r>
              <w:rPr>
                <w:rFonts w:ascii="Times New Roman" w:eastAsia="Times New Roman" w:hAnsi="Times New Roman" w:cs="Times New Roman"/>
                <w:color w:val="000000"/>
                <w:spacing w:val="0"/>
                <w:w w:val="100"/>
                <w:position w:val="0"/>
                <w:sz w:val="18"/>
                <w:szCs w:val="18"/>
              </w:rPr>
              <w:t>2021-052</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第四届董事会第七次会议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日在巨潮资讯网发布的《第四 届董事会第七次会议决议公 告》（</w:t>
            </w:r>
            <w:r>
              <w:rPr>
                <w:rFonts w:ascii="Times New Roman" w:eastAsia="Times New Roman" w:hAnsi="Times New Roman" w:cs="Times New Roman"/>
                <w:color w:val="000000"/>
                <w:spacing w:val="0"/>
                <w:w w:val="100"/>
                <w:position w:val="0"/>
                <w:sz w:val="18"/>
                <w:szCs w:val="18"/>
              </w:rPr>
              <w:t>2021-065</w:t>
            </w:r>
            <w:r>
              <w:rPr>
                <w:color w:val="000000"/>
                <w:spacing w:val="0"/>
                <w:w w:val="100"/>
                <w:position w:val="0"/>
              </w:rPr>
              <w:t>）。</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第四届董事会第八次会议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在巨潮资讯网发布的《第四届 董事会第八次会议决议公告》 （</w:t>
            </w:r>
            <w:r>
              <w:rPr>
                <w:rFonts w:ascii="Times New Roman" w:eastAsia="Times New Roman" w:hAnsi="Times New Roman" w:cs="Times New Roman"/>
                <w:color w:val="000000"/>
                <w:spacing w:val="0"/>
                <w:w w:val="100"/>
                <w:position w:val="0"/>
                <w:sz w:val="18"/>
                <w:szCs w:val="18"/>
              </w:rPr>
              <w:t>2021-074</w:t>
            </w: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2</w:t>
      </w:r>
      <w:bookmarkEnd w:id="321"/>
      <w:r>
        <w:rPr>
          <w:color w:val="000000"/>
          <w:spacing w:val="0"/>
          <w:w w:val="100"/>
          <w:position w:val="0"/>
        </w:rPr>
        <w:t>、董事出席董事会及股东大会的情况</w:t>
      </w:r>
      <w:bookmarkEnd w:id="319"/>
      <w:bookmarkEnd w:id="320"/>
      <w:bookmarkEnd w:id="322"/>
    </w:p>
    <w:tbl>
      <w:tblPr>
        <w:tblOverlap w:val="never"/>
        <w:jc w:val="center"/>
        <w:tblLayout w:type="fixed"/>
      </w:tblPr>
      <w:tblGrid>
        <w:gridCol w:w="1430"/>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0"/>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1430"/>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郭勇金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杨为民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朱学义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林爱梅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28"/>
        <w:keepNext/>
        <w:keepLines/>
        <w:widowControl w:val="0"/>
        <w:shd w:val="clear" w:color="auto" w:fill="auto"/>
        <w:tabs>
          <w:tab w:pos="378" w:val="left"/>
        </w:tabs>
        <w:bidi w:val="0"/>
        <w:spacing w:before="0" w:after="26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3</w:t>
      </w:r>
      <w:bookmarkEnd w:id="325"/>
      <w:r>
        <w:rPr>
          <w:color w:val="000000"/>
          <w:spacing w:val="0"/>
          <w:w w:val="100"/>
          <w:position w:val="0"/>
        </w:rPr>
        <w:t>、</w:t>
        <w:tab/>
        <w:t>董事对公司有关事项提出异议的情况</w:t>
      </w:r>
      <w:bookmarkEnd w:id="323"/>
      <w:bookmarkEnd w:id="324"/>
      <w:bookmarkEnd w:id="326"/>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董事对公司有关事项是否提出异议</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4</w:t>
      </w:r>
      <w:bookmarkEnd w:id="329"/>
      <w:r>
        <w:rPr>
          <w:color w:val="000000"/>
          <w:spacing w:val="0"/>
          <w:w w:val="100"/>
          <w:position w:val="0"/>
        </w:rPr>
        <w:t>、</w:t>
        <w:tab/>
        <w:t>董事履行职责的其他说明</w:t>
      </w:r>
      <w:bookmarkEnd w:id="327"/>
      <w:bookmarkEnd w:id="328"/>
      <w:bookmarkEnd w:id="330"/>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董事对公司有关建议是否被采纳</w:t>
      </w:r>
    </w:p>
    <w:p>
      <w:pPr>
        <w:pStyle w:val="Style17"/>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董事对公司有关建议被采纳或未被采纳的说明</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报告期内，公司董事严格按照《公司法》、《证券法》、《深圳证券交易所股票上市规则》《公司章程》、《董事会议 事规则》等法律法规和制度的规定，勤勉尽责地履行职责和义务，积极出席董事会、股东大会，对公司重大事项和经营决策 提出了专业性意见，有效提高了公司规范运作和科学决策水平。独立董事通过电话、邮件及现场考察等形式，与公司其他董 事、高级管理人员及相关人员保持沟通，积极了解公司的生产经营情况及财务状况，对公司的发展战略、完善公司治理等方 面提出了积极建议，对公司定期报告、董事及高级管理人员的薪酬等事项发表了独立意见，有效保证了公司董事会决策的公 正性和客观性。公司董事恪尽职守，勤勉尽职，努力维护了公司整体利益和广大中小股东的合法权益，为公司的规范运作和 健康发展发挥了积极作用。</w:t>
      </w:r>
    </w:p>
    <w:p>
      <w:pPr>
        <w:pStyle w:val="Style24"/>
        <w:keepNext/>
        <w:keepLines/>
        <w:widowControl w:val="0"/>
        <w:shd w:val="clear" w:color="auto" w:fill="auto"/>
        <w:bidi w:val="0"/>
        <w:spacing w:before="0" w:after="32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九</w:t>
      </w:r>
      <w:bookmarkEnd w:id="333"/>
      <w:r>
        <w:rPr>
          <w:color w:val="000000"/>
          <w:spacing w:val="0"/>
          <w:w w:val="100"/>
          <w:position w:val="0"/>
        </w:rPr>
        <w:t>、董事会下设专门委员会在报告期内的情况</w:t>
      </w:r>
      <w:bookmarkEnd w:id="331"/>
      <w:bookmarkEnd w:id="332"/>
      <w:bookmarkEnd w:id="334"/>
    </w:p>
    <w:tbl>
      <w:tblPr>
        <w:tblOverlap w:val="never"/>
        <w:jc w:val="center"/>
        <w:tblLayout w:type="fixed"/>
      </w:tblPr>
      <w:tblGrid>
        <w:gridCol w:w="1200"/>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255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朱学义、林爱 梅、张立永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审议《关于公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务报告的议 案》、《关于公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内部审计工作 计划和报告的 议案》、《关于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经过充分沟通</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讨论，一致通</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过相关议案。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200"/>
        <w:gridCol w:w="1195"/>
        <w:gridCol w:w="1195"/>
        <w:gridCol w:w="1205"/>
      </w:tblGrid>
      <w:tr>
        <w:trPr>
          <w:trHeight w:val="410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内部控制自我 评价报告的议 案》、《关于确 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度关联交易情 况及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日常关联交易 预计的议案》、 《关于公司续 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 计机构的议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第一季 度报告的议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经过充分沟通</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讨论，一致通</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过相关议案。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审议《关于公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度报告及其摘 要的议案》、</w:t>
            </w:r>
          </w:p>
          <w:p>
            <w:pPr>
              <w:pStyle w:val="Style20"/>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半年度内部审 计工作报告》。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经过充分沟通</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讨论，一致通</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过相关议案。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季度报告的议 案》、《关于变 更会计师事务 所的议案》。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经过充分沟通</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讨论，一致通</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过相关议案。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侯友夫、张立 永、朱学义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审议《关于全 资子公司出售 合肥市伟创自 动化设备有限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 权的议案》。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经过充分沟通</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讨论，一致通</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过相关议案。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叶飞、侯友夫、 林爱梅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审议审议《关 于增补公司第 四届董事会非 独立董事的议 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提名委员会就 董事候选人资 格进行了认真 审查，一致同</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意相关议案。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both"/>
      </w:pPr>
      <w:bookmarkStart w:id="335" w:name="bookmark335"/>
      <w:bookmarkStart w:id="336" w:name="bookmark336"/>
      <w:bookmarkStart w:id="337" w:name="bookmark337"/>
      <w:r>
        <w:rPr>
          <w:color w:val="000000"/>
          <w:spacing w:val="0"/>
          <w:w w:val="100"/>
          <w:position w:val="0"/>
        </w:rPr>
        <w:t>十、监事会工作情况</w:t>
      </w:r>
      <w:bookmarkEnd w:id="335"/>
      <w:bookmarkEnd w:id="336"/>
      <w:bookmarkEnd w:id="337"/>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80" w:line="240" w:lineRule="auto"/>
        <w:ind w:left="0" w:right="0" w:firstLine="0"/>
        <w:jc w:val="both"/>
      </w:pPr>
      <w:bookmarkStart w:id="338" w:name="bookmark338"/>
      <w:bookmarkStart w:id="339" w:name="bookmark339"/>
      <w:bookmarkStart w:id="340" w:name="bookmark340"/>
      <w:r>
        <w:rPr>
          <w:color w:val="000000"/>
          <w:spacing w:val="0"/>
          <w:w w:val="100"/>
          <w:position w:val="0"/>
        </w:rPr>
        <w:t>十^一、公司员工情况</w:t>
      </w:r>
      <w:bookmarkEnd w:id="338"/>
      <w:bookmarkEnd w:id="339"/>
      <w:bookmarkEnd w:id="340"/>
    </w:p>
    <w:p>
      <w:pPr>
        <w:pStyle w:val="Style28"/>
        <w:keepNext/>
        <w:keepLines/>
        <w:widowControl w:val="0"/>
        <w:shd w:val="clear" w:color="auto" w:fill="auto"/>
        <w:bidi w:val="0"/>
        <w:spacing w:before="0" w:after="320" w:line="240" w:lineRule="auto"/>
        <w:ind w:left="0" w:right="0" w:firstLine="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、员工数量、专业构成及教育程度</w:t>
      </w:r>
      <w:bookmarkEnd w:id="341"/>
      <w:bookmarkEnd w:id="342"/>
      <w:bookmarkEnd w:id="34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1,845</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735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640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1,845</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、薪酬政策</w:t>
      </w:r>
      <w:bookmarkEnd w:id="345"/>
      <w:bookmarkEnd w:id="346"/>
      <w:bookmarkEnd w:id="348"/>
    </w:p>
    <w:p>
      <w:pPr>
        <w:pStyle w:val="Style17"/>
        <w:keepNext w:val="0"/>
        <w:keepLines w:val="0"/>
        <w:widowControl w:val="0"/>
        <w:shd w:val="clear" w:color="auto" w:fill="auto"/>
        <w:bidi w:val="0"/>
        <w:spacing w:before="0" w:after="320" w:line="314" w:lineRule="exact"/>
        <w:ind w:left="0" w:right="0"/>
        <w:jc w:val="both"/>
      </w:pPr>
      <w:r>
        <w:rPr>
          <w:color w:val="000000"/>
          <w:spacing w:val="0"/>
          <w:w w:val="100"/>
          <w:position w:val="0"/>
        </w:rPr>
        <w:t>公司按照《中华人民共和国劳动合同法》和国家及地方有关劳动法律、法规的规定，与员工签订劳动合同，公司严格执 行国家相关劳动用工和社会保障规章制度，按照国家规定为员工缴纳养老、医疗保险、公积金及相关保险。公司制定完善的 薪酬管理制度，实施公平的绩效考核机制，使员工合理分享公司经营成果，充分调动员工的积极性和创造性。</w:t>
      </w:r>
    </w:p>
    <w:p>
      <w:pPr>
        <w:pStyle w:val="Style28"/>
        <w:keepNext/>
        <w:keepLines/>
        <w:widowControl w:val="0"/>
        <w:shd w:val="clear" w:color="auto" w:fill="auto"/>
        <w:tabs>
          <w:tab w:pos="378" w:val="left"/>
        </w:tabs>
        <w:bidi w:val="0"/>
        <w:spacing w:before="0" w:after="260" w:line="240" w:lineRule="auto"/>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w:t>
        <w:tab/>
        <w:t>培训计划</w:t>
      </w:r>
      <w:bookmarkEnd w:id="349"/>
      <w:bookmarkEnd w:id="350"/>
      <w:bookmarkEnd w:id="352"/>
    </w:p>
    <w:p>
      <w:pPr>
        <w:pStyle w:val="Style17"/>
        <w:keepNext w:val="0"/>
        <w:keepLines w:val="0"/>
        <w:widowControl w:val="0"/>
        <w:shd w:val="clear" w:color="auto" w:fill="auto"/>
        <w:bidi w:val="0"/>
        <w:spacing w:before="0" w:after="380" w:line="314" w:lineRule="exact"/>
        <w:ind w:left="0" w:right="0"/>
        <w:jc w:val="both"/>
      </w:pPr>
      <w:r>
        <w:rPr>
          <w:color w:val="000000"/>
          <w:spacing w:val="0"/>
          <w:w w:val="100"/>
          <w:position w:val="0"/>
        </w:rPr>
        <w:t>公司建立了完善的培训体系，针对不同岗位的人员制定各级培训计划。围绕公司发展战略需要，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年公司加强对技术 人员培养，组织实施销售人员业务培训、管理人员产品知识及办公技能培训、安全生产及设备知识培训等等，公司内部积极 营造学习氛围，不断激发员工潜能，有效提升各类人才的业务能力和岗位技能。</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4</w:t>
      </w:r>
      <w:bookmarkEnd w:id="355"/>
      <w:r>
        <w:rPr>
          <w:color w:val="000000"/>
          <w:spacing w:val="0"/>
          <w:w w:val="100"/>
          <w:position w:val="0"/>
        </w:rPr>
        <w:t>、</w:t>
        <w:tab/>
        <w:t>劳务外包情况</w:t>
      </w:r>
      <w:bookmarkEnd w:id="353"/>
      <w:bookmarkEnd w:id="354"/>
      <w:bookmarkEnd w:id="356"/>
    </w:p>
    <w:p>
      <w:pPr>
        <w:pStyle w:val="Style17"/>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357" w:name="bookmark357"/>
      <w:bookmarkStart w:id="358" w:name="bookmark358"/>
      <w:bookmarkStart w:id="359" w:name="bookmark359"/>
      <w:r>
        <w:rPr>
          <w:color w:val="000000"/>
          <w:spacing w:val="0"/>
          <w:w w:val="100"/>
          <w:position w:val="0"/>
        </w:rPr>
        <w:t>十二、公司利润分配及资本公积金转增股本情况</w:t>
      </w:r>
      <w:bookmarkEnd w:id="357"/>
      <w:bookmarkEnd w:id="358"/>
      <w:bookmarkEnd w:id="359"/>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报告期内，公司严格按照《公司章程》的规定执行利润分配政策，分红标准和分红比例明确清晰，相关的决策程序和机制完 备。公司独立董事对利润分配事项发表独立意见。公司以详细公告形式向全体股东发出股东大会通知，并提供网络投票方式， 中小股东有充分表达意见和诉求的机会，充分维护中小股东的合法权益。</w:t>
      </w:r>
    </w:p>
    <w:tbl>
      <w:tblPr>
        <w:tblOverlap w:val="never"/>
        <w:jc w:val="center"/>
        <w:tblLayout w:type="fixed"/>
      </w:tblPr>
      <w:tblGrid>
        <w:gridCol w:w="4786"/>
        <w:gridCol w:w="4795"/>
      </w:tblGrid>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1,116,383,561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0"/>
        <w:jc w:val="center"/>
      </w:pPr>
      <w:r>
        <w:rPr>
          <w:color w:val="000000"/>
          <w:spacing w:val="0"/>
          <w:w w:val="100"/>
          <w:position w:val="0"/>
        </w:rPr>
        <w:t>利润分配或资本公积金转增预案的详细情况说明</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日，公司召开第四届董事会第九次会议，审议通过了《关于公司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度利润分配预案为：不派发现金红利，不送红股，不以资本公积金转增股本。上述预案尚需经公司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年年度股东大会 审议通过。</w:t>
      </w:r>
    </w:p>
    <w:p>
      <w:pPr>
        <w:pStyle w:val="Style17"/>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公司报告期内盈利且母公司可供股东分配利润为正但未提出现金红利分配预案</w:t>
      </w:r>
    </w:p>
    <w:p>
      <w:pPr>
        <w:pStyle w:val="Style1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60" w:name="bookmark360"/>
      <w:bookmarkStart w:id="361" w:name="bookmark361"/>
      <w:bookmarkStart w:id="362" w:name="bookmark362"/>
      <w:r>
        <w:rPr>
          <w:color w:val="000000"/>
          <w:spacing w:val="0"/>
          <w:w w:val="100"/>
          <w:position w:val="0"/>
        </w:rPr>
        <w:t>十三、公司股权激励计划、员工持股计划或其他员工激励措施的实施情况</w:t>
      </w:r>
      <w:bookmarkEnd w:id="360"/>
      <w:bookmarkEnd w:id="361"/>
      <w:bookmarkEnd w:id="362"/>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80" w:line="240" w:lineRule="auto"/>
        <w:ind w:left="0" w:right="0" w:firstLine="0"/>
        <w:jc w:val="left"/>
      </w:pPr>
      <w:bookmarkStart w:id="363" w:name="bookmark363"/>
      <w:bookmarkStart w:id="364" w:name="bookmark364"/>
      <w:bookmarkStart w:id="365" w:name="bookmark365"/>
      <w:r>
        <w:rPr>
          <w:color w:val="000000"/>
          <w:spacing w:val="0"/>
          <w:w w:val="100"/>
          <w:position w:val="0"/>
        </w:rPr>
        <w:t>十四、报告期内的内部控制制度建设及实施情况</w:t>
      </w:r>
      <w:bookmarkEnd w:id="363"/>
      <w:bookmarkEnd w:id="364"/>
      <w:bookmarkEnd w:id="365"/>
    </w:p>
    <w:p>
      <w:pPr>
        <w:pStyle w:val="Style28"/>
        <w:keepNext/>
        <w:keepLines/>
        <w:widowControl w:val="0"/>
        <w:shd w:val="clear" w:color="auto" w:fill="auto"/>
        <w:tabs>
          <w:tab w:pos="368" w:val="left"/>
        </w:tabs>
        <w:bidi w:val="0"/>
        <w:spacing w:before="0" w:after="26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w:t>
        <w:tab/>
        <w:t>内部控制建设及实施情况</w:t>
      </w:r>
      <w:bookmarkEnd w:id="366"/>
      <w:bookmarkEnd w:id="367"/>
      <w:bookmarkEnd w:id="369"/>
    </w:p>
    <w:p>
      <w:pPr>
        <w:pStyle w:val="Style17"/>
        <w:keepNext w:val="0"/>
        <w:keepLines w:val="0"/>
        <w:widowControl w:val="0"/>
        <w:shd w:val="clear" w:color="auto" w:fill="auto"/>
        <w:bidi w:val="0"/>
        <w:spacing w:before="0" w:after="380" w:line="313" w:lineRule="exact"/>
        <w:ind w:left="0" w:right="0"/>
        <w:jc w:val="left"/>
      </w:pPr>
      <w:r>
        <w:rPr>
          <w:color w:val="000000"/>
          <w:spacing w:val="0"/>
          <w:w w:val="100"/>
          <w:position w:val="0"/>
        </w:rPr>
        <w:t>公司严格按照《公司法》、《证券法》、《深圳证券交易所创业板股票上市规则》《深圳证券交易所创业板上市公司规 范运作》等法律法规和规范性文件要求，根据《企业内部控制基本规范》及其配套指引和其他内部控制监管要求的规定， 坚持以风险管理为基础，通过对公司内部控制运行情况进行持续监督及有效评价，及时健全和完善内部控制体系，不断完善 法人治理结构，进一步提升公司治理水平，加强公司内部控制及规范运作。公司根据通过内部控制体系的运行、分析与评 价，有效防范了经营管理中的风险，促进了内部控制目标的实现。</w:t>
      </w:r>
    </w:p>
    <w:p>
      <w:pPr>
        <w:pStyle w:val="Style28"/>
        <w:keepNext/>
        <w:keepLines/>
        <w:widowControl w:val="0"/>
        <w:shd w:val="clear" w:color="auto" w:fill="auto"/>
        <w:tabs>
          <w:tab w:pos="378" w:val="left"/>
        </w:tabs>
        <w:bidi w:val="0"/>
        <w:spacing w:before="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w:t>
        <w:tab/>
        <w:t>报告期内发现的内部控制重大缺陷的具体情况</w:t>
      </w:r>
      <w:bookmarkEnd w:id="370"/>
      <w:bookmarkEnd w:id="371"/>
      <w:bookmarkEnd w:id="37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20" w:line="240" w:lineRule="auto"/>
        <w:ind w:left="0" w:right="0" w:firstLine="0"/>
        <w:jc w:val="left"/>
      </w:pPr>
      <w:bookmarkStart w:id="374" w:name="bookmark374"/>
      <w:bookmarkStart w:id="375" w:name="bookmark375"/>
      <w:bookmarkStart w:id="376" w:name="bookmark376"/>
      <w:r>
        <w:rPr>
          <w:color w:val="000000"/>
          <w:spacing w:val="0"/>
          <w:w w:val="100"/>
          <w:position w:val="0"/>
        </w:rPr>
        <w:t>十五、公司报告期内对子公司的管理控制情况</w:t>
      </w:r>
      <w:bookmarkEnd w:id="374"/>
      <w:bookmarkEnd w:id="375"/>
      <w:bookmarkEnd w:id="376"/>
    </w:p>
    <w:tbl>
      <w:tblPr>
        <w:tblOverlap w:val="never"/>
        <w:jc w:val="center"/>
        <w:tblLayout w:type="fixed"/>
      </w:tblPr>
      <w:tblGrid>
        <w:gridCol w:w="1373"/>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77" w:name="bookmark377"/>
      <w:bookmarkStart w:id="378" w:name="bookmark378"/>
      <w:bookmarkStart w:id="379" w:name="bookmark379"/>
      <w:r>
        <w:rPr>
          <w:color w:val="000000"/>
          <w:spacing w:val="0"/>
          <w:w w:val="100"/>
          <w:position w:val="0"/>
        </w:rPr>
        <w:t>十六、内部控制自我评价报告或内部控制审计报告</w:t>
      </w:r>
      <w:bookmarkEnd w:id="377"/>
      <w:bookmarkEnd w:id="378"/>
      <w:bookmarkEnd w:id="379"/>
    </w:p>
    <w:p>
      <w:pPr>
        <w:pStyle w:val="Style28"/>
        <w:keepNext/>
        <w:keepLines/>
        <w:widowControl w:val="0"/>
        <w:shd w:val="clear" w:color="auto" w:fill="auto"/>
        <w:bidi w:val="0"/>
        <w:spacing w:before="0" w:after="32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、内控自我评价报告</w:t>
      </w:r>
      <w:bookmarkEnd w:id="380"/>
      <w:bookmarkEnd w:id="381"/>
      <w:bookmarkEnd w:id="383"/>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财务报表营业总收入的比例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重大缺陷认定标准：①董事、监事、高级 管理人员舞弊。②对已经公告的财务报告 出现重大差错而进行的差错更正。③当期 财务报告存在重大差错，而内部控制运行 过程中未发现该差错。④公司审计委员 会和审计部门对财务报告内部控制监督无 效。重要缺陷认定标准：①未建立反舞弊 程序和控制措施。②对于非常规或特殊交 易的账务处理没有建立相应控制机制。③ 对于财务报告编制过程中存在一项或多项 缺陷不能保证编制的财务报表达到真实、 准确的目标。一般缺陷认定标准：①当 期财务报告存在小额差错，而内部控制运 行过程中未发现该差错。②公司审计委员 会和审计部门对内部控制的监督存在一般 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重大缺陷认定标准：①公司经营活动违 反国家法律、法规。②媒体负面新闻频 频曝光，对公司声誉造成重大影响。③ 高级管理人员和核心技术人员严重流 失。④内部控制重大缺陷未得到整改。 重要缺陷认定标准：①公司违反国家法 律、法规活动受到轻微处罚。②媒体出 现负面新闻，对公司声誉造成影响。③ 关键岗位人员严重流失。④内部控制重 要缺陷未得到整改。一般缺陷认定标 准:①媒体出现负面新闻，但影响不大。 ②一般岗位人员严重流失。③内部控制 一般缺陷未得到整改。</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税前利润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。重要缺陷： 税前利润的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w:t>
            </w:r>
            <w:r>
              <w:rPr>
                <w:color w:val="000000"/>
                <w:spacing w:val="0"/>
                <w:w w:val="100"/>
                <w:position w:val="0"/>
                <w:sz w:val="18"/>
                <w:szCs w:val="18"/>
              </w:rPr>
              <w:t>〈</w:t>
            </w:r>
            <w:r>
              <w:rPr>
                <w:color w:val="000000"/>
                <w:spacing w:val="0"/>
                <w:w w:val="100"/>
                <w:position w:val="0"/>
              </w:rPr>
              <w:t>税前利润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 缺陷：错报</w:t>
            </w:r>
            <w:r>
              <w:rPr>
                <w:color w:val="000000"/>
                <w:spacing w:val="0"/>
                <w:w w:val="100"/>
                <w:position w:val="0"/>
                <w:sz w:val="18"/>
                <w:szCs w:val="18"/>
              </w:rPr>
              <w:t>〈</w:t>
            </w:r>
            <w:r>
              <w:rPr>
                <w:color w:val="000000"/>
                <w:spacing w:val="0"/>
                <w:w w:val="100"/>
                <w:position w:val="0"/>
              </w:rPr>
              <w:t>税前利润的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重大缺陷：直接损失金额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 xml:space="preserve">0.05%&lt; </w:t>
            </w:r>
            <w:r>
              <w:rPr>
                <w:color w:val="000000"/>
                <w:spacing w:val="0"/>
                <w:w w:val="100"/>
                <w:position w:val="0"/>
              </w:rPr>
              <w:t>直接损失金额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。一般 缺陷：直接损失金额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2</w:t>
      </w:r>
      <w:bookmarkEnd w:id="386"/>
      <w:r>
        <w:rPr>
          <w:color w:val="000000"/>
          <w:spacing w:val="0"/>
          <w:w w:val="100"/>
          <w:position w:val="0"/>
        </w:rPr>
        <w:t>、内部控制审计报告或鉴证报告</w:t>
      </w:r>
      <w:bookmarkEnd w:id="384"/>
      <w:bookmarkEnd w:id="385"/>
      <w:bookmarkEnd w:id="387"/>
    </w:p>
    <w:p>
      <w:pPr>
        <w:pStyle w:val="Style1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388" w:name="bookmark388"/>
      <w:bookmarkStart w:id="389" w:name="bookmark389"/>
      <w:bookmarkStart w:id="390" w:name="bookmark390"/>
      <w:r>
        <w:rPr>
          <w:color w:val="000000"/>
          <w:spacing w:val="0"/>
          <w:w w:val="100"/>
          <w:position w:val="0"/>
        </w:rPr>
        <w:t>十七、上市公司治理专项行动自查问题整改情况</w:t>
      </w:r>
      <w:bookmarkEnd w:id="388"/>
      <w:bookmarkEnd w:id="389"/>
      <w:bookmarkEnd w:id="390"/>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根据中国证券监督管理委员会上市公司治理专项自查清单填报系统，公司本着实事求是的原则，严格按照相关法律法规 及《公司章程》等内部规章制度进行自查，认真梳理填报内容，并于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日完成专项自查工作。通过本次自查，公 司不存在影响公司治理水平的重大违规事项。</w:t>
      </w:r>
    </w:p>
    <w:p>
      <w:pPr>
        <w:pStyle w:val="Style17"/>
        <w:keepNext w:val="0"/>
        <w:keepLines w:val="0"/>
        <w:widowControl w:val="0"/>
        <w:shd w:val="clear" w:color="auto" w:fill="auto"/>
        <w:bidi w:val="0"/>
        <w:spacing w:before="0" w:after="300" w:line="314" w:lineRule="exact"/>
        <w:ind w:left="0" w:right="0"/>
        <w:jc w:val="both"/>
      </w:pPr>
      <w:r>
        <w:rPr>
          <w:color w:val="000000"/>
          <w:spacing w:val="0"/>
          <w:w w:val="100"/>
          <w:position w:val="0"/>
        </w:rPr>
        <w:t>公司已经按照《公司法》、《证券法》、《上市公司治理准则》等相关法律法规，以及《公司章程》、《董事会议事规 则》、《监事会议事规则》及各专门委员会议事规则等内部规章制度，建立健全了较为完整、合理的法人治理结构及内部控 制体系。但随着公司业务规模的不断发展，外部宏观经济及市场环境的变化，公司需要进一步完善内部控制体系，持续加强 自身建设，切实提升公司规范运作水平及公司治理有效性，持续提升上市公司治理质量，以确保维护广大投资者的利益。</w:t>
      </w:r>
    </w:p>
    <w:p>
      <w:pPr>
        <w:pStyle w:val="Style4"/>
        <w:keepNext/>
        <w:keepLines/>
        <w:widowControl w:val="0"/>
        <w:shd w:val="clear" w:color="auto" w:fill="auto"/>
        <w:bidi w:val="0"/>
        <w:spacing w:before="0" w:after="560" w:line="240" w:lineRule="auto"/>
        <w:ind w:left="0" w:right="0" w:firstLine="0"/>
        <w:jc w:val="center"/>
      </w:pPr>
      <w:bookmarkStart w:id="391" w:name="bookmark391"/>
      <w:bookmarkStart w:id="392" w:name="bookmark392"/>
      <w:bookmarkStart w:id="393" w:name="bookmark393"/>
      <w:r>
        <w:rPr>
          <w:color w:val="000000"/>
          <w:spacing w:val="0"/>
          <w:w w:val="100"/>
          <w:position w:val="0"/>
        </w:rPr>
        <w:t>第五节环境和社会责任</w:t>
      </w:r>
      <w:bookmarkEnd w:id="391"/>
      <w:bookmarkEnd w:id="392"/>
      <w:bookmarkEnd w:id="393"/>
    </w:p>
    <w:p>
      <w:pPr>
        <w:pStyle w:val="Style24"/>
        <w:keepNext/>
        <w:keepLines/>
        <w:widowControl w:val="0"/>
        <w:shd w:val="clear" w:color="auto" w:fill="auto"/>
        <w:bidi w:val="0"/>
        <w:spacing w:before="0" w:after="380" w:line="240" w:lineRule="auto"/>
        <w:ind w:left="0" w:right="0" w:firstLine="260"/>
        <w:jc w:val="left"/>
      </w:pPr>
      <w:bookmarkStart w:id="394" w:name="bookmark394"/>
      <w:bookmarkStart w:id="395" w:name="bookmark395"/>
      <w:bookmarkStart w:id="396" w:name="bookmark396"/>
      <w:r>
        <w:rPr>
          <w:color w:val="000000"/>
          <w:spacing w:val="0"/>
          <w:w w:val="100"/>
          <w:position w:val="0"/>
        </w:rPr>
        <w:t>、重大环保问题</w:t>
      </w:r>
      <w:bookmarkEnd w:id="394"/>
      <w:bookmarkEnd w:id="395"/>
      <w:bookmarkEnd w:id="39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598"/>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7"/>
        <w:keepNext w:val="0"/>
        <w:keepLines w:val="0"/>
        <w:widowControl w:val="0"/>
        <w:shd w:val="clear" w:color="auto" w:fill="auto"/>
        <w:bidi w:val="0"/>
        <w:spacing w:before="0" w:after="40" w:line="313" w:lineRule="exact"/>
        <w:ind w:left="0" w:right="0" w:firstLine="0"/>
        <w:jc w:val="left"/>
      </w:pPr>
      <w:r>
        <w:rPr>
          <w:color w:val="000000"/>
          <w:spacing w:val="0"/>
          <w:w w:val="100"/>
          <w:position w:val="0"/>
        </w:rPr>
        <w:t>参照重点排污单位披露的其他环境信息</w:t>
      </w:r>
    </w:p>
    <w:p>
      <w:pPr>
        <w:pStyle w:val="Style17"/>
        <w:keepNext w:val="0"/>
        <w:keepLines w:val="0"/>
        <w:widowControl w:val="0"/>
        <w:shd w:val="clear" w:color="auto" w:fill="auto"/>
        <w:bidi w:val="0"/>
        <w:spacing w:before="0" w:after="40" w:line="313"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160" w:line="313" w:lineRule="exact"/>
        <w:ind w:left="0" w:right="0" w:firstLine="0"/>
        <w:jc w:val="left"/>
      </w:pPr>
      <w:r>
        <w:rPr>
          <w:color w:val="000000"/>
          <w:spacing w:val="0"/>
          <w:w w:val="100"/>
          <w:position w:val="0"/>
        </w:rPr>
        <w:t>在报告期内为减少其碳排放所采取的措施及效果</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0" w:line="313" w:lineRule="exact"/>
        <w:ind w:left="0" w:right="0" w:firstLine="0"/>
        <w:jc w:val="left"/>
      </w:pPr>
      <w:r>
        <w:rPr>
          <w:color w:val="000000"/>
          <w:spacing w:val="0"/>
          <w:w w:val="100"/>
          <w:position w:val="0"/>
        </w:rPr>
        <w:t>未披露其他环境信息的原因</w:t>
      </w:r>
    </w:p>
    <w:p>
      <w:pPr>
        <w:pStyle w:val="Style1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24"/>
        <w:keepNext/>
        <w:keepLines/>
        <w:widowControl w:val="0"/>
        <w:shd w:val="clear" w:color="auto" w:fill="auto"/>
        <w:tabs>
          <w:tab w:pos="517" w:val="left"/>
        </w:tabs>
        <w:bidi w:val="0"/>
        <w:spacing w:before="0" w:after="24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二</w:t>
      </w:r>
      <w:bookmarkEnd w:id="399"/>
      <w:r>
        <w:rPr>
          <w:color w:val="000000"/>
          <w:spacing w:val="0"/>
          <w:w w:val="100"/>
          <w:position w:val="0"/>
        </w:rPr>
        <w:t>、</w:t>
        <w:tab/>
        <w:t>社会责任情况</w:t>
      </w:r>
      <w:bookmarkEnd w:id="397"/>
      <w:bookmarkEnd w:id="398"/>
      <w:bookmarkEnd w:id="400"/>
    </w:p>
    <w:p>
      <w:pPr>
        <w:pStyle w:val="Style17"/>
        <w:keepNext w:val="0"/>
        <w:keepLines w:val="0"/>
        <w:widowControl w:val="0"/>
        <w:shd w:val="clear" w:color="auto" w:fill="auto"/>
        <w:bidi w:val="0"/>
        <w:spacing w:before="0" w:after="380" w:line="313" w:lineRule="exact"/>
        <w:ind w:left="0" w:right="0" w:firstLine="280"/>
        <w:jc w:val="both"/>
      </w:pPr>
      <w:r>
        <w:rPr>
          <w:color w:val="000000"/>
          <w:spacing w:val="0"/>
          <w:w w:val="100"/>
          <w:position w:val="0"/>
        </w:rPr>
        <w:t>报告期内，公司严格按照《公司法》、《证券法》、《上市公司治理准则》等法律法规和规范性文件的要求，不断完善 公司治理机制，建立健全公司内部控制制度，规范股东大会的召集、召开、表决程序，通过提供网络投票等方式，让更多股 东能够参加股东大会，保障股东特别是中小股东的权益。公司认真履行信息披露义务，遵循公平披露的原则，面向公司的所 有投资者，使其均有同等机会获得同质、同量的信息，同时向社会公开公司网站、咨询专用电话、传真和电子信箱等各种联 系渠道，并保持联系渠道的畅通，建立良好的投资关系互动。公司一直坚持以人为本的人才理念，严格遵守国家及地方有关 劳动法律、法规的规定，尊重和维护员工的个人利益，并制定完善的薪酬管理制度，实施公平的绩效考核机制，为员工提供 良好的劳动环境。</w:t>
      </w:r>
    </w:p>
    <w:p>
      <w:pPr>
        <w:pStyle w:val="Style24"/>
        <w:keepNext/>
        <w:keepLines/>
        <w:widowControl w:val="0"/>
        <w:shd w:val="clear" w:color="auto" w:fill="auto"/>
        <w:tabs>
          <w:tab w:pos="517" w:val="left"/>
        </w:tabs>
        <w:bidi w:val="0"/>
        <w:spacing w:before="0" w:after="24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三</w:t>
      </w:r>
      <w:bookmarkEnd w:id="403"/>
      <w:r>
        <w:rPr>
          <w:color w:val="000000"/>
          <w:spacing w:val="0"/>
          <w:w w:val="100"/>
          <w:position w:val="0"/>
        </w:rPr>
        <w:t>、</w:t>
        <w:tab/>
        <w:t>巩固拓展脱贫攻坚成果、乡村振兴的情况</w:t>
      </w:r>
      <w:bookmarkEnd w:id="401"/>
      <w:bookmarkEnd w:id="402"/>
      <w:bookmarkEnd w:id="404"/>
    </w:p>
    <w:p>
      <w:pPr>
        <w:pStyle w:val="Style17"/>
        <w:keepNext w:val="0"/>
        <w:keepLines w:val="0"/>
        <w:widowControl w:val="0"/>
        <w:shd w:val="clear" w:color="auto" w:fill="auto"/>
        <w:bidi w:val="0"/>
        <w:spacing w:before="0" w:after="200" w:line="313" w:lineRule="exact"/>
        <w:ind w:left="0" w:right="0" w:firstLine="0"/>
        <w:jc w:val="left"/>
      </w:pPr>
      <w:r>
        <w:rPr>
          <w:color w:val="000000"/>
          <w:spacing w:val="0"/>
          <w:w w:val="100"/>
          <w:position w:val="0"/>
        </w:rPr>
        <w:t>不适用</w:t>
      </w:r>
      <w:r>
        <w:br w:type="page"/>
      </w:r>
    </w:p>
    <w:p>
      <w:pPr>
        <w:pStyle w:val="Style4"/>
        <w:keepNext/>
        <w:keepLines/>
        <w:widowControl w:val="0"/>
        <w:shd w:val="clear" w:color="auto" w:fill="auto"/>
        <w:bidi w:val="0"/>
        <w:spacing w:before="0" w:after="560" w:line="240" w:lineRule="auto"/>
        <w:ind w:left="0" w:right="0" w:firstLine="0"/>
        <w:jc w:val="center"/>
      </w:pPr>
      <w:bookmarkStart w:id="405" w:name="bookmark405"/>
      <w:bookmarkStart w:id="406" w:name="bookmark406"/>
      <w:bookmarkStart w:id="407" w:name="bookmark407"/>
      <w:r>
        <w:rPr>
          <w:color w:val="000000"/>
          <w:spacing w:val="0"/>
          <w:w w:val="100"/>
          <w:position w:val="0"/>
        </w:rPr>
        <w:t>第六节重要事项</w:t>
      </w:r>
      <w:bookmarkEnd w:id="405"/>
      <w:bookmarkEnd w:id="406"/>
      <w:bookmarkEnd w:id="407"/>
    </w:p>
    <w:p>
      <w:pPr>
        <w:pStyle w:val="Style24"/>
        <w:keepNext/>
        <w:keepLines/>
        <w:widowControl w:val="0"/>
        <w:shd w:val="clear" w:color="auto" w:fill="auto"/>
        <w:bidi w:val="0"/>
        <w:spacing w:before="0" w:after="2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一</w:t>
      </w:r>
      <w:bookmarkEnd w:id="410"/>
      <w:r>
        <w:rPr>
          <w:color w:val="000000"/>
          <w:spacing w:val="0"/>
          <w:w w:val="100"/>
          <w:position w:val="0"/>
        </w:rPr>
        <w:t>、承诺事项履行情况</w:t>
      </w:r>
      <w:bookmarkEnd w:id="408"/>
      <w:bookmarkEnd w:id="409"/>
      <w:bookmarkEnd w:id="411"/>
    </w:p>
    <w:p>
      <w:pPr>
        <w:pStyle w:val="Style28"/>
        <w:keepNext/>
        <w:keepLines/>
        <w:widowControl w:val="0"/>
        <w:shd w:val="clear" w:color="auto" w:fill="auto"/>
        <w:bidi w:val="0"/>
        <w:spacing w:before="0" w:after="360" w:line="317" w:lineRule="exact"/>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、公司实际控制人、股东、关联方、收购人以及公司等承诺相关方在报告期内履行完毕及截至报告期末 尚未履行完毕的承诺事项</w:t>
      </w:r>
      <w:bookmarkEnd w:id="412"/>
      <w:bookmarkEnd w:id="413"/>
      <w:bookmarkEnd w:id="415"/>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济南天辰机 器集团有限 公司、侯秀 峰、侯玉鹏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业绩承诺及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补偿安排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盈利承诺：天 辰智能</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的净利润承 诺数分别为 </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 xml:space="preserve">万元和 </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 xml:space="preserve">万元。 济南天辰机 器集团有限 公司、侯秀 峰、侯玉鹏承 诺，天辰智能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年度四 年累计实际 净利润将不 低于</w:t>
            </w:r>
            <w:r>
              <w:rPr>
                <w:rFonts w:ascii="Times New Roman" w:eastAsia="Times New Roman" w:hAnsi="Times New Roman" w:cs="Times New Roman"/>
                <w:color w:val="000000"/>
                <w:spacing w:val="0"/>
                <w:w w:val="100"/>
                <w:position w:val="0"/>
                <w:sz w:val="18"/>
                <w:szCs w:val="18"/>
              </w:rPr>
              <w:t xml:space="preserve">14,000 </w:t>
            </w:r>
            <w:r>
              <w:rPr>
                <w:color w:val="000000"/>
                <w:spacing w:val="0"/>
                <w:w w:val="100"/>
                <w:position w:val="0"/>
              </w:rPr>
              <w:t>万元。本协议 所述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均指扣除非 经常性损益 后的净利润。 的连带补偿 责任。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绩承诺期间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 末，业绩补偿 义务人侯秀 峰、侯玉鹏尚 未完成现金 补偿义务，已 违反承诺事 项。</w:t>
            </w:r>
          </w:p>
        </w:tc>
      </w:tr>
    </w:tbl>
    <w:tbl>
      <w:tblPr>
        <w:tblOverlap w:val="never"/>
        <w:jc w:val="center"/>
        <w:tblLayout w:type="fixed"/>
      </w:tblPr>
      <w:tblGrid>
        <w:gridCol w:w="2842"/>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月公司向徐州市铜山区人民法院提起诉讼，要求侯秀峰、侯玉鹏支付现金 补偿。徐州市铜山区人民法院已受理本次诉讼。截至目前，此诉讼尚未判决。</w:t>
            </w:r>
          </w:p>
        </w:tc>
      </w:tr>
    </w:tbl>
    <w:p>
      <w:pPr>
        <w:widowControl w:val="0"/>
        <w:spacing w:after="239" w:line="1" w:lineRule="exact"/>
      </w:pPr>
    </w:p>
    <w:p>
      <w:pPr>
        <w:pStyle w:val="Style28"/>
        <w:keepNext/>
        <w:keepLines/>
        <w:widowControl w:val="0"/>
        <w:shd w:val="clear" w:color="auto" w:fill="auto"/>
        <w:bidi w:val="0"/>
        <w:spacing w:before="0" w:line="322" w:lineRule="exact"/>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、公司资产或项目存在盈利预测，且报告期仍处在盈利预测期间，公司就资产或项目达到原盈利预测及 其原因做出说明</w:t>
      </w:r>
      <w:bookmarkEnd w:id="416"/>
      <w:bookmarkEnd w:id="417"/>
      <w:bookmarkEnd w:id="419"/>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二</w:t>
      </w:r>
      <w:bookmarkEnd w:id="422"/>
      <w:r>
        <w:rPr>
          <w:color w:val="000000"/>
          <w:spacing w:val="0"/>
          <w:w w:val="100"/>
          <w:position w:val="0"/>
        </w:rPr>
        <w:t>、</w:t>
        <w:tab/>
        <w:t>控股股东及其他关联方对上市公司的非经营性占用资金情况</w:t>
      </w:r>
      <w:bookmarkEnd w:id="420"/>
      <w:bookmarkEnd w:id="421"/>
      <w:bookmarkEnd w:id="423"/>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三</w:t>
      </w:r>
      <w:bookmarkEnd w:id="426"/>
      <w:r>
        <w:rPr>
          <w:color w:val="000000"/>
          <w:spacing w:val="0"/>
          <w:w w:val="100"/>
          <w:position w:val="0"/>
        </w:rPr>
        <w:t>、</w:t>
        <w:tab/>
        <w:t>违规对外担保情况</w:t>
      </w:r>
      <w:bookmarkEnd w:id="424"/>
      <w:bookmarkEnd w:id="425"/>
      <w:bookmarkEnd w:id="427"/>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四</w:t>
      </w:r>
      <w:bookmarkEnd w:id="430"/>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28"/>
      <w:bookmarkEnd w:id="429"/>
      <w:bookmarkEnd w:id="431"/>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五</w:t>
      </w:r>
      <w:bookmarkEnd w:id="434"/>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32"/>
      <w:bookmarkEnd w:id="433"/>
      <w:bookmarkEnd w:id="435"/>
    </w:p>
    <w:p>
      <w:pPr>
        <w:pStyle w:val="Style17"/>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436" w:name="bookmark436"/>
      <w:bookmarkEnd w:id="43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六</w:t>
      </w:r>
      <w:bookmarkEnd w:id="439"/>
      <w:r>
        <w:rPr>
          <w:color w:val="000000"/>
          <w:spacing w:val="0"/>
          <w:w w:val="100"/>
          <w:position w:val="0"/>
        </w:rPr>
        <w:t>、</w:t>
        <w:tab/>
        <w:t>董事会关于报告期会计政策、会计估计变更或重大会计差错更正的说明</w:t>
      </w:r>
      <w:bookmarkEnd w:id="437"/>
      <w:bookmarkEnd w:id="438"/>
      <w:bookmarkEnd w:id="440"/>
    </w:p>
    <w:p>
      <w:pPr>
        <w:pStyle w:val="Style17"/>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441" w:name="bookmark441"/>
      <w:bookmarkEnd w:id="44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七</w:t>
      </w:r>
      <w:bookmarkEnd w:id="444"/>
      <w:r>
        <w:rPr>
          <w:color w:val="000000"/>
          <w:spacing w:val="0"/>
          <w:w w:val="100"/>
          <w:position w:val="0"/>
        </w:rPr>
        <w:t>、</w:t>
        <w:tab/>
        <w:t>与上年度财务报告相比，合并报表范围发生变化的情况说明</w:t>
      </w:r>
      <w:bookmarkEnd w:id="442"/>
      <w:bookmarkEnd w:id="443"/>
      <w:bookmarkEnd w:id="445"/>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详见本财务报告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八、合并范围的变更匚</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八</w:t>
      </w:r>
      <w:bookmarkEnd w:id="448"/>
      <w:r>
        <w:rPr>
          <w:color w:val="000000"/>
          <w:spacing w:val="0"/>
          <w:w w:val="100"/>
          <w:position w:val="0"/>
        </w:rPr>
        <w:t>、</w:t>
        <w:tab/>
        <w:t>聘任、解聘会计师事务所情况</w:t>
      </w:r>
      <w:bookmarkEnd w:id="446"/>
      <w:bookmarkEnd w:id="447"/>
      <w:bookmarkEnd w:id="44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闻国胜、张舸</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1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是否改聘会计师事务所</w:t>
      </w:r>
    </w:p>
    <w:p>
      <w:pPr>
        <w:pStyle w:val="Style17"/>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是否在审计期间改聘会计师事务所</w:t>
      </w:r>
    </w:p>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更换会计师事务所是否履行审批程序</w:t>
      </w:r>
    </w:p>
    <w:p>
      <w:pPr>
        <w:pStyle w:val="Style17"/>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聘任、解聘会计师事务所情况说明</w:t>
      </w:r>
    </w:p>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为保证公司审计工作的独立性和客观性，经综合评估及审慎研究，更换中兴华会计师事务所（特殊普通合伙）所担任公司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年度审计机构。</w:t>
      </w:r>
    </w:p>
    <w:p>
      <w:pPr>
        <w:pStyle w:val="Style1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九</w:t>
      </w:r>
      <w:bookmarkEnd w:id="452"/>
      <w:r>
        <w:rPr>
          <w:color w:val="000000"/>
          <w:spacing w:val="0"/>
          <w:w w:val="100"/>
          <w:position w:val="0"/>
        </w:rPr>
        <w:t>、年度报告披露后面临退市情况</w:t>
      </w:r>
      <w:bookmarkEnd w:id="450"/>
      <w:bookmarkEnd w:id="451"/>
      <w:bookmarkEnd w:id="453"/>
    </w:p>
    <w:p>
      <w:pPr>
        <w:pStyle w:val="Style17"/>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r>
        <w:rPr>
          <w:color w:val="000000"/>
          <w:spacing w:val="0"/>
          <w:w w:val="100"/>
          <w:position w:val="0"/>
        </w:rPr>
        <w:t>十、破产重整相关事项</w:t>
      </w:r>
      <w:bookmarkEnd w:id="454"/>
      <w:bookmarkEnd w:id="455"/>
      <w:bookmarkEnd w:id="456"/>
    </w:p>
    <w:p>
      <w:pPr>
        <w:pStyle w:val="Style17"/>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left"/>
      </w:pPr>
      <w:bookmarkStart w:id="457" w:name="bookmark457"/>
      <w:bookmarkStart w:id="458" w:name="bookmark458"/>
      <w:bookmarkStart w:id="459" w:name="bookmark459"/>
      <w:r>
        <w:rPr>
          <w:color w:val="000000"/>
          <w:spacing w:val="0"/>
          <w:w w:val="100"/>
          <w:position w:val="0"/>
        </w:rPr>
        <w:t>十一、重大诉讼、仲裁事项</w:t>
      </w:r>
      <w:bookmarkEnd w:id="457"/>
      <w:bookmarkEnd w:id="458"/>
      <w:bookmarkEnd w:id="459"/>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454"/>
        <w:gridCol w:w="1085"/>
        <w:gridCol w:w="1267"/>
        <w:gridCol w:w="950"/>
        <w:gridCol w:w="1397"/>
        <w:gridCol w:w="1262"/>
        <w:gridCol w:w="1080"/>
        <w:gridCol w:w="109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31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因借款合同纠纷， 济南天辰机器集 团有限公司向山 东省济南市中级 人民法院提起诉 讼，起诉江苏五洋 停车产业集团股 份有限公司及山 东天辰智能停车 有限公司。诉讼请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4,100.59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日收到 济南中级 法院出具 的《民事调 解书》</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）鲁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1582</w:t>
            </w:r>
            <w:r>
              <w:rPr>
                <w:color w:val="000000"/>
                <w:spacing w:val="0"/>
                <w:w w:val="100"/>
                <w:position w:val="0"/>
              </w:rPr>
              <w:t>号。经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达成和解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日支付 完成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《关于诉讼 事项的进展 公告》（公告 编号： </w:t>
            </w:r>
            <w:r>
              <w:rPr>
                <w:rFonts w:ascii="Times New Roman" w:eastAsia="Times New Roman" w:hAnsi="Times New Roman" w:cs="Times New Roman"/>
                <w:color w:val="000000"/>
                <w:spacing w:val="0"/>
                <w:w w:val="100"/>
                <w:position w:val="0"/>
                <w:sz w:val="18"/>
                <w:szCs w:val="18"/>
              </w:rPr>
              <w:t>2021—077</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54"/>
        <w:gridCol w:w="1085"/>
        <w:gridCol w:w="1267"/>
        <w:gridCol w:w="950"/>
        <w:gridCol w:w="1397"/>
        <w:gridCol w:w="1262"/>
        <w:gridCol w:w="1080"/>
        <w:gridCol w:w="1090"/>
      </w:tblGrid>
      <w:tr>
        <w:trPr>
          <w:trHeight w:val="59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、判令两被 告向原告偿还借 款</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判令两被告向原 告支付借款利息 </w:t>
            </w:r>
            <w:r>
              <w:rPr>
                <w:rFonts w:ascii="Times New Roman" w:eastAsia="Times New Roman" w:hAnsi="Times New Roman" w:cs="Times New Roman"/>
                <w:color w:val="000000"/>
                <w:spacing w:val="0"/>
                <w:w w:val="100"/>
                <w:position w:val="0"/>
                <w:sz w:val="18"/>
                <w:szCs w:val="18"/>
              </w:rPr>
              <w:t xml:space="preserve">7357304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、判 令两被告向原告 支付借款利息。以 </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万元为基数，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日起计算至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日止，按 年利率</w:t>
            </w:r>
            <w:r>
              <w:rPr>
                <w:rFonts w:ascii="Times New Roman" w:eastAsia="Times New Roman" w:hAnsi="Times New Roman" w:cs="Times New Roman"/>
                <w:color w:val="000000"/>
                <w:spacing w:val="0"/>
                <w:w w:val="100"/>
                <w:position w:val="0"/>
                <w:sz w:val="18"/>
                <w:szCs w:val="18"/>
              </w:rPr>
              <w:t>5.655%</w:t>
            </w:r>
            <w:r>
              <w:rPr>
                <w:color w:val="000000"/>
                <w:spacing w:val="0"/>
                <w:w w:val="100"/>
                <w:position w:val="0"/>
              </w:rPr>
              <w:t>计 算；以</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 为基数，自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日起计算 至实际还款之日 止，按年利率 </w:t>
            </w:r>
            <w:r>
              <w:rPr>
                <w:rFonts w:ascii="Times New Roman" w:eastAsia="Times New Roman" w:hAnsi="Times New Roman" w:cs="Times New Roman"/>
                <w:color w:val="000000"/>
                <w:spacing w:val="0"/>
                <w:w w:val="100"/>
                <w:position w:val="0"/>
                <w:sz w:val="18"/>
                <w:szCs w:val="18"/>
              </w:rPr>
              <w:t xml:space="preserve">5.655% </w:t>
            </w:r>
            <w:r>
              <w:rPr>
                <w:color w:val="000000"/>
                <w:spacing w:val="0"/>
                <w:w w:val="100"/>
                <w:position w:val="0"/>
              </w:rPr>
              <w:t>计算。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济南中级</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法院主持</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调解，各方</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当事人自</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愿达成和</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解协议。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天辰智能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度实现净利润 </w:t>
            </w:r>
            <w:r>
              <w:rPr>
                <w:rFonts w:ascii="Times New Roman" w:eastAsia="Times New Roman" w:hAnsi="Times New Roman" w:cs="Times New Roman"/>
                <w:color w:val="000000"/>
                <w:spacing w:val="0"/>
                <w:w w:val="100"/>
                <w:position w:val="0"/>
                <w:sz w:val="18"/>
                <w:szCs w:val="18"/>
              </w:rPr>
              <w:t>2,117.25</w:t>
            </w:r>
            <w:r>
              <w:rPr>
                <w:color w:val="000000"/>
                <w:spacing w:val="0"/>
                <w:w w:val="100"/>
                <w:position w:val="0"/>
              </w:rPr>
              <w:t xml:space="preserve">万元，未 完成业绩承诺。根 据《盈利补偿协 议》的约定，业绩 承诺主体侯秀峰、 侯玉鹏应向公司 支付的现金补偿 款为人民币 </w:t>
            </w:r>
            <w:r>
              <w:rPr>
                <w:rFonts w:ascii="Times New Roman" w:eastAsia="Times New Roman" w:hAnsi="Times New Roman" w:cs="Times New Roman"/>
                <w:color w:val="000000"/>
                <w:spacing w:val="0"/>
                <w:w w:val="100"/>
                <w:position w:val="0"/>
                <w:sz w:val="18"/>
                <w:szCs w:val="18"/>
              </w:rPr>
              <w:t>2,482.75</w:t>
            </w:r>
            <w:r>
              <w:rPr>
                <w:color w:val="000000"/>
                <w:spacing w:val="0"/>
                <w:w w:val="100"/>
                <w:position w:val="0"/>
              </w:rPr>
              <w:t>万元。业 绩补偿义务人侯 秀峰、侯玉鹏尚迟 迟未履行现金补 偿义务。公司向徐 州市铜山区人民 法院提起诉讼，要 求侯秀峰、侯玉鹏 支付现金补偿。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日本次 诉讼正式 立案，案号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苏 </w:t>
            </w:r>
            <w:r>
              <w:rPr>
                <w:rFonts w:ascii="Times New Roman" w:eastAsia="Times New Roman" w:hAnsi="Times New Roman" w:cs="Times New Roman"/>
                <w:color w:val="000000"/>
                <w:spacing w:val="0"/>
                <w:w w:val="100"/>
                <w:position w:val="0"/>
                <w:sz w:val="18"/>
                <w:szCs w:val="18"/>
              </w:rPr>
              <w:t>0312</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13108 </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日简 易程序第 一次开庭；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日案件转 为普通程 序；因疫情 开庭时间 未定。现接 铜山区法 院通知将 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日开 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《关于业绩 补偿事项提 起诉讼的公 告》(公告编 号： </w:t>
            </w:r>
            <w:r>
              <w:rPr>
                <w:rFonts w:ascii="Times New Roman" w:eastAsia="Times New Roman" w:hAnsi="Times New Roman" w:cs="Times New Roman"/>
                <w:color w:val="000000"/>
                <w:spacing w:val="0"/>
                <w:w w:val="100"/>
                <w:position w:val="0"/>
                <w:sz w:val="18"/>
                <w:szCs w:val="18"/>
              </w:rPr>
              <w:t>2021—073</w:t>
            </w:r>
            <w:r>
              <w:rPr>
                <w:color w:val="000000"/>
                <w:spacing w:val="0"/>
                <w:w w:val="100"/>
                <w:position w:val="0"/>
              </w:rPr>
              <w:t>)</w:t>
            </w:r>
          </w:p>
        </w:tc>
      </w:tr>
    </w:tbl>
    <w:p>
      <w:pPr>
        <w:pStyle w:val="Style24"/>
        <w:keepNext/>
        <w:keepLines/>
        <w:widowControl w:val="0"/>
        <w:shd w:val="clear" w:color="auto" w:fill="auto"/>
        <w:bidi w:val="0"/>
        <w:spacing w:before="0" w:line="240" w:lineRule="auto"/>
        <w:ind w:left="0" w:right="0" w:firstLine="0"/>
        <w:jc w:val="left"/>
      </w:pPr>
      <w:bookmarkStart w:id="460" w:name="bookmark460"/>
      <w:bookmarkStart w:id="461" w:name="bookmark461"/>
      <w:bookmarkStart w:id="462" w:name="bookmark462"/>
      <w:r>
        <w:rPr>
          <w:color w:val="000000"/>
          <w:spacing w:val="0"/>
          <w:w w:val="100"/>
          <w:position w:val="0"/>
        </w:rPr>
        <w:t>十二、处罚及整改情况</w:t>
      </w:r>
      <w:bookmarkEnd w:id="460"/>
      <w:bookmarkEnd w:id="461"/>
      <w:bookmarkEnd w:id="462"/>
    </w:p>
    <w:p>
      <w:pPr>
        <w:pStyle w:val="Style1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line="240" w:lineRule="auto"/>
        <w:ind w:left="0" w:right="0" w:firstLine="0"/>
        <w:jc w:val="left"/>
      </w:pPr>
      <w:bookmarkStart w:id="463" w:name="bookmark463"/>
      <w:bookmarkStart w:id="464" w:name="bookmark464"/>
      <w:bookmarkStart w:id="465" w:name="bookmark465"/>
      <w:r>
        <w:rPr>
          <w:color w:val="000000"/>
          <w:spacing w:val="0"/>
          <w:w w:val="100"/>
          <w:position w:val="0"/>
        </w:rPr>
        <w:t>十三、公司及其控股股东、实际控制人的诚信状况</w:t>
      </w:r>
      <w:bookmarkEnd w:id="463"/>
      <w:bookmarkEnd w:id="464"/>
      <w:bookmarkEnd w:id="465"/>
    </w:p>
    <w:p>
      <w:pPr>
        <w:pStyle w:val="Style1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报告期内，公司及其控股股东、实际控制人的诚信状况良好，不存在未履行法院生效判决、所负数额较大的债务到期未清偿 等情况。</w:t>
      </w:r>
    </w:p>
    <w:p>
      <w:pPr>
        <w:pStyle w:val="Style24"/>
        <w:keepNext/>
        <w:keepLines/>
        <w:widowControl w:val="0"/>
        <w:shd w:val="clear" w:color="auto" w:fill="auto"/>
        <w:bidi w:val="0"/>
        <w:spacing w:before="0" w:line="240" w:lineRule="auto"/>
        <w:ind w:left="0" w:right="0" w:firstLine="0"/>
        <w:jc w:val="left"/>
      </w:pPr>
      <w:bookmarkStart w:id="466" w:name="bookmark466"/>
      <w:bookmarkStart w:id="467" w:name="bookmark467"/>
      <w:bookmarkStart w:id="468" w:name="bookmark468"/>
      <w:r>
        <w:rPr>
          <w:color w:val="000000"/>
          <w:spacing w:val="0"/>
          <w:w w:val="100"/>
          <w:position w:val="0"/>
        </w:rPr>
        <w:t>十四、重大关联交易</w:t>
      </w:r>
      <w:bookmarkEnd w:id="466"/>
      <w:bookmarkEnd w:id="467"/>
      <w:bookmarkEnd w:id="468"/>
    </w:p>
    <w:p>
      <w:pPr>
        <w:pStyle w:val="Style28"/>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、与日常经营相关的关联交易</w:t>
      </w:r>
      <w:bookmarkEnd w:id="469"/>
      <w:bookmarkEnd w:id="470"/>
      <w:bookmarkEnd w:id="472"/>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677"/>
        <w:gridCol w:w="677"/>
        <w:gridCol w:w="706"/>
        <w:gridCol w:w="677"/>
        <w:gridCol w:w="677"/>
        <w:gridCol w:w="672"/>
        <w:gridCol w:w="677"/>
        <w:gridCol w:w="672"/>
        <w:gridCol w:w="677"/>
        <w:gridCol w:w="672"/>
        <w:gridCol w:w="672"/>
        <w:gridCol w:w="672"/>
        <w:gridCol w:w="653"/>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w:t>
            </w:r>
          </w:p>
          <w:p>
            <w:pPr>
              <w:pStyle w:val="Style20"/>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额的比</w:t>
            </w:r>
          </w:p>
          <w:p>
            <w:pPr>
              <w:pStyle w:val="Style20"/>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是否超</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过获批</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32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徐州苏兴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金属材料</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 际控制 人之一 蔡敏的 堂兄之 女蔡秀 芳配偶 的父母 控制的 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5100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银行转 账和银 行承兑 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5100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侯友夫、 林伟通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侯友夫 为公司 实际控 制人之 一，林 伟通为 公司董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房屋租 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193.75</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银行转 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平方米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224.33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82"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按类别对本期将发生的日常关联交</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易进行总金额预计的，在报告期内的</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2861"/>
        <w:gridCol w:w="6720"/>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实际履行情况（如有）</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、资产或股权收购、出售发生的关联交易</w:t>
      </w:r>
      <w:bookmarkEnd w:id="473"/>
      <w:bookmarkEnd w:id="474"/>
      <w:bookmarkEnd w:id="476"/>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3</w:t>
      </w:r>
      <w:bookmarkEnd w:id="479"/>
      <w:r>
        <w:rPr>
          <w:color w:val="000000"/>
          <w:spacing w:val="0"/>
          <w:w w:val="100"/>
          <w:position w:val="0"/>
        </w:rPr>
        <w:t>、</w:t>
        <w:tab/>
        <w:t>共同对外投资的关联交易</w:t>
      </w:r>
      <w:bookmarkEnd w:id="477"/>
      <w:bookmarkEnd w:id="478"/>
      <w:bookmarkEnd w:id="480"/>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4</w:t>
      </w:r>
      <w:bookmarkEnd w:id="483"/>
      <w:r>
        <w:rPr>
          <w:color w:val="000000"/>
          <w:spacing w:val="0"/>
          <w:w w:val="100"/>
          <w:position w:val="0"/>
        </w:rPr>
        <w:t>、</w:t>
        <w:tab/>
        <w:t>关联债权债务往来</w:t>
      </w:r>
      <w:bookmarkEnd w:id="481"/>
      <w:bookmarkEnd w:id="482"/>
      <w:bookmarkEnd w:id="484"/>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36"/>
        <w:gridCol w:w="946"/>
        <w:gridCol w:w="955"/>
        <w:gridCol w:w="960"/>
        <w:gridCol w:w="955"/>
        <w:gridCol w:w="955"/>
        <w:gridCol w:w="960"/>
        <w:gridCol w:w="955"/>
        <w:gridCol w:w="955"/>
        <w:gridCol w:w="1003"/>
      </w:tblGrid>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经营性资金</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本期利息</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79" w:line="1" w:lineRule="exact"/>
      </w:pPr>
    </w:p>
    <w:tbl>
      <w:tblPr>
        <w:tblOverlap w:val="never"/>
        <w:jc w:val="center"/>
        <w:tblLayout w:type="fixed"/>
      </w:tblPr>
      <w:tblGrid>
        <w:gridCol w:w="1162"/>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期初余额</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本期利息</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期末余额（万</w:t>
            </w:r>
          </w:p>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元）</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济南天辰机器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8,735.73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关联债务对公司经营成果</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及财务状况的影响</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5</w:t>
      </w:r>
      <w:bookmarkEnd w:id="487"/>
      <w:r>
        <w:rPr>
          <w:color w:val="000000"/>
          <w:spacing w:val="0"/>
          <w:w w:val="100"/>
          <w:position w:val="0"/>
        </w:rPr>
        <w:t>、与存在关联关系的财务公司的往来情况</w:t>
      </w:r>
      <w:bookmarkEnd w:id="485"/>
      <w:bookmarkEnd w:id="486"/>
      <w:bookmarkEnd w:id="488"/>
    </w:p>
    <w:p>
      <w:pPr>
        <w:pStyle w:val="Style17"/>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489" w:name="bookmark489"/>
      <w:bookmarkEnd w:id="48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6</w:t>
      </w:r>
      <w:bookmarkEnd w:id="492"/>
      <w:r>
        <w:rPr>
          <w:color w:val="000000"/>
          <w:spacing w:val="0"/>
          <w:w w:val="100"/>
          <w:position w:val="0"/>
        </w:rPr>
        <w:t>、公司控股的财务公司与关联方的往来情况</w:t>
      </w:r>
      <w:bookmarkEnd w:id="490"/>
      <w:bookmarkEnd w:id="491"/>
      <w:bookmarkEnd w:id="493"/>
    </w:p>
    <w:p>
      <w:pPr>
        <w:pStyle w:val="Style17"/>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494" w:name="bookmark494"/>
      <w:bookmarkEnd w:id="49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bidi w:val="0"/>
        <w:spacing w:before="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7</w:t>
      </w:r>
      <w:bookmarkEnd w:id="497"/>
      <w:r>
        <w:rPr>
          <w:color w:val="000000"/>
          <w:spacing w:val="0"/>
          <w:w w:val="100"/>
          <w:position w:val="0"/>
        </w:rPr>
        <w:t>、其他重大关联交易</w:t>
      </w:r>
      <w:bookmarkEnd w:id="495"/>
      <w:bookmarkEnd w:id="496"/>
      <w:bookmarkEnd w:id="498"/>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r>
        <w:rPr>
          <w:color w:val="000000"/>
          <w:spacing w:val="0"/>
          <w:w w:val="100"/>
          <w:position w:val="0"/>
        </w:rPr>
        <w:t>十五、重大合同及其履行情况</w:t>
      </w:r>
      <w:bookmarkEnd w:id="499"/>
      <w:bookmarkEnd w:id="500"/>
      <w:bookmarkEnd w:id="501"/>
    </w:p>
    <w:p>
      <w:pPr>
        <w:pStyle w:val="Style28"/>
        <w:keepNext/>
        <w:keepLines/>
        <w:widowControl w:val="0"/>
        <w:shd w:val="clear" w:color="auto" w:fill="auto"/>
        <w:tabs>
          <w:tab w:pos="373" w:val="left"/>
        </w:tabs>
        <w:bidi w:val="0"/>
        <w:spacing w:before="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w:t>
        <w:tab/>
        <w:t>托管、承包、租赁事项情况</w:t>
      </w:r>
      <w:bookmarkEnd w:id="502"/>
      <w:bookmarkEnd w:id="503"/>
      <w:bookmarkEnd w:id="505"/>
    </w:p>
    <w:p>
      <w:pPr>
        <w:pStyle w:val="Style28"/>
        <w:keepNext/>
        <w:keepLines/>
        <w:widowControl w:val="0"/>
        <w:shd w:val="clear" w:color="auto" w:fill="auto"/>
        <w:tabs>
          <w:tab w:pos="493" w:val="left"/>
        </w:tabs>
        <w:bidi w:val="0"/>
        <w:spacing w:before="0" w:line="240" w:lineRule="auto"/>
        <w:ind w:left="0" w:right="0" w:firstLine="0"/>
        <w:jc w:val="left"/>
      </w:pPr>
      <w:bookmarkStart w:id="502" w:name="bookmark502"/>
      <w:bookmarkStart w:id="503" w:name="bookmark503"/>
      <w:bookmarkStart w:id="506" w:name="bookmark506"/>
      <w:bookmarkStart w:id="507" w:name="bookmark507"/>
      <w:r>
        <w:rPr>
          <w:color w:val="000000"/>
          <w:spacing w:val="0"/>
          <w:w w:val="100"/>
          <w:position w:val="0"/>
        </w:rPr>
        <w:t>（</w:t>
      </w:r>
      <w:bookmarkEnd w:id="50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02"/>
      <w:bookmarkEnd w:id="503"/>
      <w:bookmarkEnd w:id="507"/>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28"/>
        <w:keepNext/>
        <w:keepLines/>
        <w:widowControl w:val="0"/>
        <w:shd w:val="clear" w:color="auto" w:fill="auto"/>
        <w:tabs>
          <w:tab w:pos="493" w:val="left"/>
        </w:tabs>
        <w:bidi w:val="0"/>
        <w:spacing w:before="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08"/>
      <w:bookmarkEnd w:id="509"/>
      <w:bookmarkEnd w:id="511"/>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28"/>
        <w:keepNext/>
        <w:keepLines/>
        <w:widowControl w:val="0"/>
        <w:shd w:val="clear" w:color="auto" w:fill="auto"/>
        <w:tabs>
          <w:tab w:pos="493" w:val="left"/>
        </w:tabs>
        <w:bidi w:val="0"/>
        <w:spacing w:before="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12"/>
      <w:bookmarkEnd w:id="513"/>
      <w:bookmarkEnd w:id="515"/>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公司将期末账面价值</w:t>
      </w:r>
      <w:r>
        <w:rPr>
          <w:rFonts w:ascii="Times New Roman" w:eastAsia="Times New Roman" w:hAnsi="Times New Roman" w:cs="Times New Roman"/>
          <w:color w:val="000000"/>
          <w:spacing w:val="0"/>
          <w:w w:val="100"/>
          <w:position w:val="0"/>
          <w:sz w:val="18"/>
          <w:szCs w:val="18"/>
        </w:rPr>
        <w:t>1,080,717.60</w:t>
      </w:r>
      <w:r>
        <w:rPr>
          <w:color w:val="000000"/>
          <w:spacing w:val="0"/>
          <w:w w:val="100"/>
          <w:position w:val="0"/>
        </w:rPr>
        <w:t>元的房屋、建筑物对外租赁。</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8"/>
        <w:keepNext/>
        <w:keepLines/>
        <w:widowControl w:val="0"/>
        <w:shd w:val="clear" w:color="auto" w:fill="auto"/>
        <w:tabs>
          <w:tab w:pos="378" w:val="left"/>
        </w:tabs>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bookmarkEnd w:id="518"/>
      <w:r>
        <w:rPr>
          <w:color w:val="000000"/>
          <w:spacing w:val="0"/>
          <w:w w:val="100"/>
          <w:position w:val="0"/>
        </w:rPr>
        <w:t>、</w:t>
        <w:tab/>
        <w:t>重大担保</w:t>
      </w:r>
      <w:bookmarkEnd w:id="516"/>
      <w:bookmarkEnd w:id="517"/>
      <w:bookmarkEnd w:id="519"/>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941"/>
        <w:gridCol w:w="931"/>
        <w:gridCol w:w="926"/>
        <w:gridCol w:w="931"/>
        <w:gridCol w:w="931"/>
        <w:gridCol w:w="931"/>
        <w:gridCol w:w="931"/>
        <w:gridCol w:w="662"/>
        <w:gridCol w:w="797"/>
        <w:gridCol w:w="802"/>
        <w:gridCol w:w="802"/>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安徽惠邦</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融资租赁</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2021.5.14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深圳市伟 创自动化 设备有限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2021.2.2</w:t>
              <w:softHyphen/>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深圳市伟 创自动化 设备有限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rPr>
              <w:t>深圳市伟 创自动化 设备有限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2020.8.10</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0" w:lineRule="exact"/>
              <w:ind w:left="0" w:right="0" w:firstLine="0"/>
              <w:jc w:val="both"/>
            </w:pPr>
            <w:r>
              <w:rPr>
                <w:color w:val="000000"/>
                <w:spacing w:val="0"/>
                <w:w w:val="100"/>
                <w:position w:val="0"/>
              </w:rPr>
              <w:t>深圳市伟 创自动化 设备有限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2021.5.14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广东伟创 五洋智能 设备有限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2021.5.14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江苏天沃</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重工科技</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2021.3.19</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山东天辰</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智能停车</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2021.5.14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山东天辰</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智能停车</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2021.5.14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山东天辰</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智能停车</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4-2022.5.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62,843.44</w:t>
            </w:r>
          </w:p>
        </w:tc>
      </w:tr>
      <w:tr>
        <w:trPr>
          <w:trHeight w:val="1037"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25,088.49</w:t>
            </w:r>
          </w:p>
        </w:tc>
      </w:tr>
    </w:tbl>
    <w:tbl>
      <w:tblPr>
        <w:tblOverlap w:val="never"/>
        <w:jc w:val="center"/>
        <w:tblLayout w:type="fixed"/>
      </w:tblPr>
      <w:tblGrid>
        <w:gridCol w:w="941"/>
        <w:gridCol w:w="931"/>
        <w:gridCol w:w="571"/>
        <w:gridCol w:w="355"/>
        <w:gridCol w:w="931"/>
        <w:gridCol w:w="931"/>
        <w:gridCol w:w="931"/>
        <w:gridCol w:w="931"/>
        <w:gridCol w:w="662"/>
        <w:gridCol w:w="797"/>
        <w:gridCol w:w="802"/>
        <w:gridCol w:w="802"/>
      </w:tblGrid>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担保物（如</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62,843.44</w:t>
            </w:r>
          </w:p>
        </w:tc>
      </w:tr>
      <w:tr>
        <w:trPr>
          <w:trHeight w:val="710"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25,088.49</w:t>
            </w:r>
          </w:p>
        </w:tc>
      </w:tr>
      <w:tr>
        <w:trPr>
          <w:trHeight w:val="715"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79" w:line="1" w:lineRule="exact"/>
      </w:pPr>
    </w:p>
    <w:p>
      <w:pPr>
        <w:pStyle w:val="Style28"/>
        <w:keepNext/>
        <w:keepLines/>
        <w:widowControl w:val="0"/>
        <w:shd w:val="clear" w:color="auto" w:fill="auto"/>
        <w:tabs>
          <w:tab w:pos="378" w:val="left"/>
        </w:tabs>
        <w:bidi w:val="0"/>
        <w:spacing w:before="0" w:line="240" w:lineRule="auto"/>
        <w:ind w:left="0" w:right="0" w:firstLine="0"/>
        <w:jc w:val="both"/>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3</w:t>
      </w:r>
      <w:bookmarkEnd w:id="522"/>
      <w:r>
        <w:rPr>
          <w:color w:val="000000"/>
          <w:spacing w:val="0"/>
          <w:w w:val="100"/>
          <w:position w:val="0"/>
        </w:rPr>
        <w:t>、</w:t>
        <w:tab/>
        <w:t>委托他人进行现金资产管理情况</w:t>
      </w:r>
      <w:bookmarkEnd w:id="520"/>
      <w:bookmarkEnd w:id="521"/>
      <w:bookmarkEnd w:id="523"/>
    </w:p>
    <w:p>
      <w:pPr>
        <w:pStyle w:val="Style28"/>
        <w:keepNext/>
        <w:keepLines/>
        <w:widowControl w:val="0"/>
        <w:shd w:val="clear" w:color="auto" w:fill="auto"/>
        <w:tabs>
          <w:tab w:pos="493" w:val="left"/>
        </w:tabs>
        <w:bidi w:val="0"/>
        <w:spacing w:before="0" w:after="260" w:line="240" w:lineRule="auto"/>
        <w:ind w:left="0" w:right="0" w:firstLine="0"/>
        <w:jc w:val="both"/>
      </w:pPr>
      <w:bookmarkStart w:id="520" w:name="bookmark520"/>
      <w:bookmarkStart w:id="521" w:name="bookmark521"/>
      <w:bookmarkStart w:id="524" w:name="bookmark524"/>
      <w:bookmarkStart w:id="525" w:name="bookmark525"/>
      <w:r>
        <w:rPr>
          <w:color w:val="000000"/>
          <w:spacing w:val="0"/>
          <w:w w:val="100"/>
          <w:position w:val="0"/>
        </w:rPr>
        <w:t>（</w:t>
      </w:r>
      <w:bookmarkEnd w:id="52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20"/>
      <w:bookmarkEnd w:id="521"/>
      <w:bookmarkEnd w:id="525"/>
    </w:p>
    <w:p>
      <w:pPr>
        <w:pStyle w:val="Style1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公司报告期不存在委托理财。</w:t>
      </w:r>
    </w:p>
    <w:p>
      <w:pPr>
        <w:pStyle w:val="Style28"/>
        <w:keepNext/>
        <w:keepLines/>
        <w:widowControl w:val="0"/>
        <w:shd w:val="clear" w:color="auto" w:fill="auto"/>
        <w:tabs>
          <w:tab w:pos="493" w:val="left"/>
        </w:tabs>
        <w:bidi w:val="0"/>
        <w:spacing w:before="0" w:after="260" w:line="240" w:lineRule="auto"/>
        <w:ind w:left="0" w:right="0" w:firstLine="0"/>
        <w:jc w:val="both"/>
      </w:pPr>
      <w:bookmarkStart w:id="526" w:name="bookmark526"/>
      <w:bookmarkStart w:id="527" w:name="bookmark527"/>
      <w:bookmarkStart w:id="528" w:name="bookmark528"/>
      <w:bookmarkStart w:id="529" w:name="bookmark529"/>
      <w:r>
        <w:rPr>
          <w:color w:val="000000"/>
          <w:spacing w:val="0"/>
          <w:w w:val="100"/>
          <w:position w:val="0"/>
        </w:rPr>
        <w:t>（</w:t>
      </w:r>
      <w:bookmarkEnd w:id="52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26"/>
      <w:bookmarkEnd w:id="527"/>
      <w:bookmarkEnd w:id="529"/>
    </w:p>
    <w:p>
      <w:pPr>
        <w:pStyle w:val="Style1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after="26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4</w:t>
      </w:r>
      <w:bookmarkEnd w:id="532"/>
      <w:r>
        <w:rPr>
          <w:color w:val="000000"/>
          <w:spacing w:val="0"/>
          <w:w w:val="100"/>
          <w:position w:val="0"/>
        </w:rPr>
        <w:t>、</w:t>
        <w:tab/>
        <w:t>其他重大合同</w:t>
      </w:r>
      <w:bookmarkEnd w:id="530"/>
      <w:bookmarkEnd w:id="531"/>
      <w:bookmarkEnd w:id="533"/>
    </w:p>
    <w:p>
      <w:pPr>
        <w:pStyle w:val="Style1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both"/>
      </w:pPr>
      <w:bookmarkStart w:id="534" w:name="bookmark534"/>
      <w:bookmarkStart w:id="535" w:name="bookmark535"/>
      <w:bookmarkStart w:id="536" w:name="bookmark536"/>
      <w:r>
        <w:rPr>
          <w:color w:val="000000"/>
          <w:spacing w:val="0"/>
          <w:w w:val="100"/>
          <w:position w:val="0"/>
        </w:rPr>
        <w:t>十六、其他重大事项的说明</w:t>
      </w:r>
      <w:bookmarkEnd w:id="534"/>
      <w:bookmarkEnd w:id="535"/>
      <w:bookmarkEnd w:id="536"/>
    </w:p>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7"/>
        <w:keepNext w:val="0"/>
        <w:keepLines w:val="0"/>
        <w:widowControl w:val="0"/>
        <w:shd w:val="clear" w:color="auto" w:fill="auto"/>
        <w:bidi w:val="0"/>
        <w:spacing w:before="0" w:after="320" w:line="315" w:lineRule="exact"/>
        <w:ind w:left="0" w:right="0" w:firstLine="380"/>
        <w:jc w:val="both"/>
      </w:pPr>
      <w:r>
        <w:rPr>
          <w:color w:val="000000"/>
          <w:spacing w:val="0"/>
          <w:w w:val="100"/>
          <w:position w:val="0"/>
        </w:rPr>
        <w:t>公司通过发行股份及支付现金相结合的方式，购买济南天辰机器集团有限公司、侯秀峰、侯玉鹏等</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名自然人及法人持 有的天辰智能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的股权，天辰智能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2,117.25</w:t>
      </w:r>
      <w:r>
        <w:rPr>
          <w:color w:val="000000"/>
          <w:spacing w:val="0"/>
          <w:w w:val="100"/>
          <w:position w:val="0"/>
        </w:rPr>
        <w:t>万元，未完成业绩承诺。根据公司与天辰智能业绩补偿主 体济南天辰机器集团有限公司、侯秀峰、侯玉鹏签署的《盈利补偿协议》，业绩补偿义务人侯秀峰、侯玉鹏应向公司支付的 现金补偿款为人民币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,482.75</w:t>
      </w:r>
      <w:r>
        <w:rPr>
          <w:color w:val="000000"/>
          <w:spacing w:val="0"/>
          <w:w w:val="100"/>
          <w:position w:val="0"/>
        </w:rPr>
        <w:t>万元。公司多次与业绩补偿义务人沟通并督促其积极履行承诺。截至本公告披露日，业绩补偿 义务人侯秀峰、侯玉鹏尚未完成现金补偿义务。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月公司已向徐州市铜山区人民法院提起诉讼，要求侯秀峰、侯玉鹏 支付现金补偿。徐州市铜山区人民法院已受理本次诉讼。截至目前，此诉讼尚未判决。</w:t>
      </w:r>
    </w:p>
    <w:p>
      <w:pPr>
        <w:pStyle w:val="Style24"/>
        <w:keepNext/>
        <w:keepLines/>
        <w:widowControl w:val="0"/>
        <w:shd w:val="clear" w:color="auto" w:fill="auto"/>
        <w:bidi w:val="0"/>
        <w:spacing w:before="0" w:after="380" w:line="240" w:lineRule="auto"/>
        <w:ind w:left="0" w:right="0" w:firstLine="0"/>
        <w:jc w:val="left"/>
      </w:pPr>
      <w:bookmarkStart w:id="537" w:name="bookmark537"/>
      <w:bookmarkStart w:id="538" w:name="bookmark538"/>
      <w:bookmarkStart w:id="539" w:name="bookmark539"/>
      <w:r>
        <w:rPr>
          <w:color w:val="000000"/>
          <w:spacing w:val="0"/>
          <w:w w:val="100"/>
          <w:position w:val="0"/>
        </w:rPr>
        <w:t>十七、公司子公司重大事项</w:t>
      </w:r>
      <w:bookmarkEnd w:id="537"/>
      <w:bookmarkEnd w:id="538"/>
      <w:bookmarkEnd w:id="539"/>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150" w:right="1059" w:bottom="1414" w:left="105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
        <w:keepNext/>
        <w:keepLines/>
        <w:widowControl w:val="0"/>
        <w:shd w:val="clear" w:color="auto" w:fill="auto"/>
        <w:bidi w:val="0"/>
        <w:spacing w:before="480" w:after="560" w:line="240" w:lineRule="auto"/>
        <w:ind w:left="0" w:right="0" w:firstLine="0"/>
        <w:jc w:val="center"/>
      </w:pPr>
      <w:bookmarkStart w:id="540" w:name="bookmark540"/>
      <w:bookmarkStart w:id="541" w:name="bookmark541"/>
      <w:bookmarkStart w:id="542" w:name="bookmark542"/>
      <w:r>
        <w:rPr>
          <w:color w:val="000000"/>
          <w:spacing w:val="0"/>
          <w:w w:val="100"/>
          <w:position w:val="0"/>
        </w:rPr>
        <w:t>第七节股份变动及股东情况</w:t>
      </w:r>
      <w:bookmarkEnd w:id="540"/>
      <w:bookmarkEnd w:id="541"/>
      <w:bookmarkEnd w:id="542"/>
    </w:p>
    <w:p>
      <w:pPr>
        <w:pStyle w:val="Style24"/>
        <w:keepNext/>
        <w:keepLines/>
        <w:widowControl w:val="0"/>
        <w:shd w:val="clear" w:color="auto" w:fill="auto"/>
        <w:bidi w:val="0"/>
        <w:spacing w:before="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一</w:t>
      </w:r>
      <w:bookmarkEnd w:id="545"/>
      <w:r>
        <w:rPr>
          <w:color w:val="000000"/>
          <w:spacing w:val="0"/>
          <w:w w:val="100"/>
          <w:position w:val="0"/>
        </w:rPr>
        <w:t>、股份变动情况</w:t>
      </w:r>
      <w:bookmarkEnd w:id="543"/>
      <w:bookmarkEnd w:id="544"/>
      <w:bookmarkEnd w:id="546"/>
    </w:p>
    <w:p>
      <w:pPr>
        <w:pStyle w:val="Style28"/>
        <w:keepNext/>
        <w:keepLines/>
        <w:widowControl w:val="0"/>
        <w:shd w:val="clear" w:color="auto" w:fill="auto"/>
        <w:bidi w:val="0"/>
        <w:spacing w:before="0" w:after="36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1</w:t>
      </w:r>
      <w:bookmarkEnd w:id="549"/>
      <w:r>
        <w:rPr>
          <w:color w:val="000000"/>
          <w:spacing w:val="0"/>
          <w:w w:val="100"/>
          <w:position w:val="0"/>
        </w:rPr>
        <w:t>、股份变动情况</w:t>
      </w:r>
      <w:bookmarkEnd w:id="547"/>
      <w:bookmarkEnd w:id="548"/>
      <w:bookmarkEnd w:id="5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216,099,7</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18,343,65</w:t>
            </w:r>
          </w:p>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-154,934, </w:t>
            </w: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79,508,66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216,099,7</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18,343,65</w:t>
            </w:r>
          </w:p>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-154,934, </w:t>
            </w: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79,508,66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216,099,7</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18,343,65</w:t>
            </w:r>
          </w:p>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-154,934, </w:t>
            </w: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79,508,66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642,656,8</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239,283,3</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154,934,7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394,218,0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1,036,874</w:t>
            </w:r>
          </w:p>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642,656,8</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239,283,3</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154,934,7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394,218,0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1,036,874</w:t>
            </w:r>
          </w:p>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858,756,5</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257,626,9</w:t>
            </w:r>
          </w:p>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257,626,9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1,116,383</w:t>
            </w:r>
          </w:p>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股份变动的原因</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tabs>
          <w:tab w:pos="339" w:val="left"/>
        </w:tabs>
        <w:bidi w:val="0"/>
        <w:spacing w:before="0" w:after="0" w:line="314" w:lineRule="exact"/>
        <w:ind w:left="0" w:right="0" w:firstLine="0"/>
        <w:jc w:val="left"/>
      </w:pPr>
      <w:bookmarkStart w:id="551" w:name="bookmark551"/>
      <w:r>
        <w:rPr>
          <w:rFonts w:ascii="Times New Roman" w:eastAsia="Times New Roman" w:hAnsi="Times New Roman" w:cs="Times New Roman"/>
          <w:color w:val="000000"/>
          <w:spacing w:val="0"/>
          <w:w w:val="100"/>
          <w:position w:val="0"/>
          <w:sz w:val="18"/>
          <w:szCs w:val="18"/>
        </w:rPr>
        <w:t>1</w:t>
      </w:r>
      <w:bookmarkEnd w:id="551"/>
      <w:r>
        <w:rPr>
          <w:color w:val="000000"/>
          <w:spacing w:val="0"/>
          <w:w w:val="100"/>
          <w:position w:val="0"/>
        </w:rPr>
        <w:t>、</w:t>
        <w:tab/>
        <w:t>公司第四届董事会及第四届监事会于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日换届选举完成，离任董事、监事及高管持有的股份于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日流通。</w:t>
      </w:r>
    </w:p>
    <w:p>
      <w:pPr>
        <w:pStyle w:val="Style17"/>
        <w:keepNext w:val="0"/>
        <w:keepLines w:val="0"/>
        <w:widowControl w:val="0"/>
        <w:shd w:val="clear" w:color="auto" w:fill="auto"/>
        <w:tabs>
          <w:tab w:pos="354" w:val="left"/>
        </w:tabs>
        <w:bidi w:val="0"/>
        <w:spacing w:before="0" w:after="360" w:line="314" w:lineRule="exact"/>
        <w:ind w:left="0" w:right="0" w:firstLine="0"/>
        <w:jc w:val="left"/>
      </w:pPr>
      <w:bookmarkStart w:id="552" w:name="bookmark552"/>
      <w:r>
        <w:rPr>
          <w:rFonts w:ascii="Times New Roman" w:eastAsia="Times New Roman" w:hAnsi="Times New Roman" w:cs="Times New Roman"/>
          <w:color w:val="000000"/>
          <w:spacing w:val="0"/>
          <w:w w:val="100"/>
          <w:position w:val="0"/>
          <w:sz w:val="18"/>
          <w:szCs w:val="18"/>
        </w:rPr>
        <w:t>2</w:t>
      </w:r>
      <w:bookmarkEnd w:id="552"/>
      <w:r>
        <w:rPr>
          <w:color w:val="000000"/>
          <w:spacing w:val="0"/>
          <w:w w:val="100"/>
          <w:position w:val="0"/>
        </w:rPr>
        <w:t>、</w:t>
        <w:tab/>
        <w:t>报告期内，公司实施完成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年度权益分派，以总股本</w:t>
      </w:r>
      <w:r>
        <w:rPr>
          <w:rFonts w:ascii="Times New Roman" w:eastAsia="Times New Roman" w:hAnsi="Times New Roman" w:cs="Times New Roman"/>
          <w:color w:val="000000"/>
          <w:spacing w:val="0"/>
          <w:w w:val="100"/>
          <w:position w:val="0"/>
          <w:sz w:val="18"/>
          <w:szCs w:val="18"/>
        </w:rPr>
        <w:t>858,756,586</w:t>
      </w:r>
      <w:r>
        <w:rPr>
          <w:color w:val="000000"/>
          <w:spacing w:val="0"/>
          <w:w w:val="100"/>
          <w:position w:val="0"/>
        </w:rPr>
        <w:t>股为基数，以资本公积金转增股本，每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 分红后总股本增至</w:t>
      </w:r>
      <w:r>
        <w:rPr>
          <w:rFonts w:ascii="Times New Roman" w:eastAsia="Times New Roman" w:hAnsi="Times New Roman" w:cs="Times New Roman"/>
          <w:color w:val="000000"/>
          <w:spacing w:val="0"/>
          <w:w w:val="100"/>
          <w:position w:val="0"/>
          <w:sz w:val="18"/>
          <w:szCs w:val="18"/>
        </w:rPr>
        <w:t>1,116,383,561</w:t>
      </w:r>
      <w:r>
        <w:rPr>
          <w:color w:val="000000"/>
          <w:spacing w:val="0"/>
          <w:w w:val="100"/>
          <w:position w:val="0"/>
        </w:rPr>
        <w:t>股。</w:t>
      </w:r>
    </w:p>
    <w:p>
      <w:pPr>
        <w:pStyle w:val="Style17"/>
        <w:keepNext w:val="0"/>
        <w:keepLines w:val="0"/>
        <w:widowControl w:val="0"/>
        <w:shd w:val="clear" w:color="auto" w:fill="auto"/>
        <w:bidi w:val="0"/>
        <w:spacing w:before="0" w:after="140" w:line="240" w:lineRule="auto"/>
        <w:ind w:left="0" w:right="0" w:firstLine="0"/>
        <w:jc w:val="left"/>
      </w:pPr>
      <w:bookmarkStart w:id="553" w:name="bookmark553"/>
      <w:r>
        <w:rPr>
          <w:rFonts w:ascii="Times New Roman" w:eastAsia="Times New Roman" w:hAnsi="Times New Roman" w:cs="Times New Roman"/>
          <w:color w:val="000000"/>
          <w:spacing w:val="0"/>
          <w:w w:val="100"/>
          <w:position w:val="0"/>
          <w:sz w:val="18"/>
          <w:szCs w:val="18"/>
        </w:rPr>
        <w:t>3</w:t>
      </w:r>
      <w:bookmarkEnd w:id="553"/>
      <w:r>
        <w:rPr>
          <w:color w:val="000000"/>
          <w:spacing w:val="0"/>
          <w:w w:val="100"/>
          <w:position w:val="0"/>
        </w:rPr>
        <w:t>、公司董事周生刚先生于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日任职，其持有的股份按照规定予以锁定。</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年年度权益分派方案已获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851"/>
        <w:gridCol w:w="2842"/>
        <w:gridCol w:w="2851"/>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年（元）</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2.31</w:t>
            </w:r>
          </w:p>
        </w:tc>
      </w:tr>
    </w:tbl>
    <w:p>
      <w:pPr>
        <w:widowControl w:val="0"/>
        <w:spacing w:after="3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、限售股份变动情况</w:t>
      </w:r>
      <w:bookmarkEnd w:id="554"/>
      <w:bookmarkEnd w:id="555"/>
      <w:bookmarkEnd w:id="557"/>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57,454,875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57,454,875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48,636,620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48,636,620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40,722,448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40,722,448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154,886,700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154,886,700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keepLines/>
        <w:widowControl w:val="0"/>
        <w:shd w:val="clear" w:color="auto" w:fill="auto"/>
        <w:tabs>
          <w:tab w:pos="517" w:val="left"/>
        </w:tabs>
        <w:bidi w:val="0"/>
        <w:spacing w:before="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二</w:t>
      </w:r>
      <w:bookmarkEnd w:id="560"/>
      <w:r>
        <w:rPr>
          <w:color w:val="000000"/>
          <w:spacing w:val="0"/>
          <w:w w:val="100"/>
          <w:position w:val="0"/>
        </w:rPr>
        <w:t>、</w:t>
        <w:tab/>
        <w:t>证券发行与上市情况</w:t>
      </w:r>
      <w:bookmarkEnd w:id="558"/>
      <w:bookmarkEnd w:id="559"/>
      <w:bookmarkEnd w:id="561"/>
    </w:p>
    <w:p>
      <w:pPr>
        <w:pStyle w:val="Style28"/>
        <w:keepNext/>
        <w:keepLines/>
        <w:widowControl w:val="0"/>
        <w:shd w:val="clear" w:color="auto" w:fill="auto"/>
        <w:tabs>
          <w:tab w:pos="368" w:val="left"/>
        </w:tabs>
        <w:bidi w:val="0"/>
        <w:spacing w:before="0" w:after="36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w:t>
        <w:tab/>
        <w:t>报告期内证券发行（不含优先股）情况</w:t>
      </w:r>
      <w:bookmarkEnd w:id="562"/>
      <w:bookmarkEnd w:id="563"/>
      <w:bookmarkEnd w:id="565"/>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w:t>
        <w:tab/>
        <w:t>公司股份总数及股东结构的变动、公司资产和负债结构的变动情况说明</w:t>
      </w:r>
      <w:bookmarkEnd w:id="566"/>
      <w:bookmarkEnd w:id="567"/>
      <w:bookmarkEnd w:id="569"/>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w:t>
        <w:tab/>
        <w:t>现存的内部职工股情况</w:t>
      </w:r>
      <w:bookmarkEnd w:id="570"/>
      <w:bookmarkEnd w:id="571"/>
      <w:bookmarkEnd w:id="573"/>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三</w:t>
      </w:r>
      <w:bookmarkEnd w:id="576"/>
      <w:r>
        <w:rPr>
          <w:color w:val="000000"/>
          <w:spacing w:val="0"/>
          <w:w w:val="100"/>
          <w:position w:val="0"/>
        </w:rPr>
        <w:t>、</w:t>
        <w:tab/>
        <w:t>股东和实际控制人情况</w:t>
      </w:r>
      <w:bookmarkEnd w:id="574"/>
      <w:bookmarkEnd w:id="575"/>
      <w:bookmarkEnd w:id="577"/>
    </w:p>
    <w:p>
      <w:pPr>
        <w:pStyle w:val="Style28"/>
        <w:keepNext/>
        <w:keepLines/>
        <w:widowControl w:val="0"/>
        <w:shd w:val="clear" w:color="auto" w:fill="auto"/>
        <w:bidi w:val="0"/>
        <w:spacing w:before="0" w:after="36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、公司股东数量及持股情况</w:t>
      </w:r>
      <w:bookmarkEnd w:id="578"/>
      <w:bookmarkEnd w:id="579"/>
      <w:bookmarkEnd w:id="58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58"/>
        <w:gridCol w:w="874"/>
        <w:gridCol w:w="869"/>
        <w:gridCol w:w="869"/>
        <w:gridCol w:w="758"/>
        <w:gridCol w:w="874"/>
        <w:gridCol w:w="869"/>
        <w:gridCol w:w="864"/>
        <w:gridCol w:w="878"/>
      </w:tblGrid>
      <w:tr>
        <w:trPr>
          <w:trHeight w:val="22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39,094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37,706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 表决权恢</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复的优先 股股东总</w:t>
            </w:r>
          </w:p>
          <w:p>
            <w:pPr>
              <w:pStyle w:val="Style20"/>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数（如有） （参见注</w:t>
            </w:r>
          </w:p>
          <w:p>
            <w:pPr>
              <w:pStyle w:val="Style20"/>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99,588,450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99,588,4 50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68,936,144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68,089,608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846,536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51,844,748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30,257,606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30,180,052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30,180,0 52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尹碧有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89"/>
        <w:gridCol w:w="979"/>
        <w:gridCol w:w="758"/>
        <w:gridCol w:w="874"/>
        <w:gridCol w:w="869"/>
        <w:gridCol w:w="869"/>
        <w:gridCol w:w="758"/>
        <w:gridCol w:w="1742"/>
        <w:gridCol w:w="1742"/>
      </w:tblGrid>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中金公司一 建设银行一 中金铭柏</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号集合资产 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12,224,532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12,224,5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济南天辰机</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器集团有限</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12,041,407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胡光萍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11,740,0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蔡敏系侯友夫配偶，寿招园系侯友夫母亲，三人合计持有本公司</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的股份，为公司控股股 东、实际控制人。公司控股股东、实际控制人之一寿招爱女士于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日逝世，其名下 持有的公司股份将由其继承人依法继承，相关继承及股份过户手续尚待办理。</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99,588,450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99,588,450</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51,844,748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51,844,748</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30,257,606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30,257,606</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30,180,052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30,180,052</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尹碧有</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13,585,800</w:t>
            </w:r>
          </w:p>
        </w:tc>
      </w:tr>
      <w:tr>
        <w:trPr>
          <w:trHeight w:val="102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中金公司一建设银行一 中金铭柏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 管理计划</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12,224,532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12,224,532</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济南天辰机器集团有限 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12,041,407</w:t>
            </w:r>
          </w:p>
        </w:tc>
      </w:tr>
      <w:tr>
        <w:trPr>
          <w:trHeight w:val="413"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胡光萍</w:t>
            </w:r>
          </w:p>
        </w:tc>
        <w:tc>
          <w:tcPr>
            <w:gridSpan w:val="5"/>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11,740,000</w:t>
            </w:r>
          </w:p>
        </w:tc>
      </w:tr>
    </w:tbl>
    <w:p>
      <w:pPr>
        <w:widowControl w:val="0"/>
        <w:spacing w:line="1" w:lineRule="exact"/>
      </w:pPr>
      <w:r>
        <w:br w:type="page"/>
      </w:r>
    </w:p>
    <w:tbl>
      <w:tblPr>
        <w:tblOverlap w:val="never"/>
        <w:jc w:val="center"/>
        <w:tblLayout w:type="fixed"/>
      </w:tblPr>
      <w:tblGrid>
        <w:gridCol w:w="1968"/>
        <w:gridCol w:w="4128"/>
        <w:gridCol w:w="1742"/>
        <w:gridCol w:w="174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徐桂荣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10,942,713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10,942,713</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名无限售流通股股东之间关联关系或一致行动无法获悉，除同一股东外，前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 通股东和前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名股东之间无关联关系或一致行动。</w:t>
            </w:r>
          </w:p>
        </w:tc>
      </w:tr>
      <w:tr>
        <w:trPr>
          <w:trHeight w:val="142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50" w:val="left"/>
              </w:tabs>
              <w:bidi w:val="0"/>
              <w:spacing w:before="0" w:after="8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股东尹碧有通过普通证券账户持有</w:t>
            </w:r>
            <w:r>
              <w:rPr>
                <w:rFonts w:ascii="Times New Roman" w:eastAsia="Times New Roman" w:hAnsi="Times New Roman" w:cs="Times New Roman"/>
                <w:color w:val="000000"/>
                <w:spacing w:val="0"/>
                <w:w w:val="100"/>
                <w:position w:val="0"/>
                <w:sz w:val="18"/>
                <w:szCs w:val="18"/>
              </w:rPr>
              <w:t>7,685,800</w:t>
            </w:r>
            <w:r>
              <w:rPr>
                <w:color w:val="000000"/>
                <w:spacing w:val="0"/>
                <w:w w:val="100"/>
                <w:position w:val="0"/>
              </w:rPr>
              <w:t>股，通过国泰君安证券股份有限公司客户信用交 易担保证券账户持有</w:t>
            </w:r>
            <w:r>
              <w:rPr>
                <w:rFonts w:ascii="Times New Roman" w:eastAsia="Times New Roman" w:hAnsi="Times New Roman" w:cs="Times New Roman"/>
                <w:color w:val="000000"/>
                <w:spacing w:val="0"/>
                <w:w w:val="100"/>
                <w:position w:val="0"/>
                <w:sz w:val="18"/>
                <w:szCs w:val="18"/>
              </w:rPr>
              <w:t>5,900,000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13,585,800</w:t>
            </w:r>
            <w:r>
              <w:rPr>
                <w:color w:val="000000"/>
                <w:spacing w:val="0"/>
                <w:w w:val="100"/>
                <w:position w:val="0"/>
              </w:rPr>
              <w:t>股。</w:t>
            </w:r>
          </w:p>
          <w:p>
            <w:pPr>
              <w:pStyle w:val="Style20"/>
              <w:keepNext w:val="0"/>
              <w:keepLines w:val="0"/>
              <w:widowControl w:val="0"/>
              <w:shd w:val="clear" w:color="auto" w:fill="auto"/>
              <w:tabs>
                <w:tab w:pos="2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股东徐桂荣通过普通证券账户持有</w:t>
            </w:r>
            <w:r>
              <w:rPr>
                <w:rFonts w:ascii="Times New Roman" w:eastAsia="Times New Roman" w:hAnsi="Times New Roman" w:cs="Times New Roman"/>
                <w:color w:val="000000"/>
                <w:spacing w:val="0"/>
                <w:w w:val="100"/>
                <w:position w:val="0"/>
                <w:sz w:val="18"/>
                <w:szCs w:val="18"/>
              </w:rPr>
              <w:t>4,641,353</w:t>
            </w:r>
            <w:r>
              <w:rPr>
                <w:color w:val="000000"/>
                <w:spacing w:val="0"/>
                <w:w w:val="100"/>
                <w:position w:val="0"/>
              </w:rPr>
              <w:t>股，通过中信建投证券股份有限公司客户信用交 易担保证券账户持有</w:t>
            </w:r>
            <w:r>
              <w:rPr>
                <w:rFonts w:ascii="Times New Roman" w:eastAsia="Times New Roman" w:hAnsi="Times New Roman" w:cs="Times New Roman"/>
                <w:color w:val="000000"/>
                <w:spacing w:val="0"/>
                <w:w w:val="100"/>
                <w:position w:val="0"/>
                <w:sz w:val="18"/>
                <w:szCs w:val="18"/>
              </w:rPr>
              <w:t>6,301,360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10,942,713</w:t>
            </w:r>
            <w:r>
              <w:rPr>
                <w:color w:val="000000"/>
                <w:spacing w:val="0"/>
                <w:w w:val="100"/>
                <w:position w:val="0"/>
              </w:rPr>
              <w:t>股。</w:t>
            </w:r>
          </w:p>
        </w:tc>
      </w:tr>
    </w:tbl>
    <w:p>
      <w:pPr>
        <w:pStyle w:val="Style17"/>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公司是否具有表决权差异安排</w:t>
      </w:r>
    </w:p>
    <w:p>
      <w:pPr>
        <w:pStyle w:val="Style17"/>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、公司控股股东情况</w:t>
      </w:r>
      <w:bookmarkEnd w:id="582"/>
      <w:bookmarkEnd w:id="583"/>
      <w:bookmarkEnd w:id="58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w:t>
            </w:r>
            <w:r>
              <w:rPr>
                <w:color w:val="000000"/>
                <w:spacing w:val="0"/>
                <w:w w:val="100"/>
                <w:position w:val="0"/>
                <w:sz w:val="17"/>
                <w:szCs w:val="17"/>
                <w:u w:val="single"/>
              </w:rPr>
              <w:t>寿招爱</w:t>
            </w:r>
            <w:r>
              <w:rPr>
                <w:rFonts w:ascii="Times New Roman" w:eastAsia="Times New Roman" w:hAnsi="Times New Roman" w:cs="Times New Roman"/>
                <w:color w:val="000000"/>
                <w:spacing w:val="0"/>
                <w:w w:val="100"/>
                <w:position w:val="0"/>
                <w:sz w:val="18"/>
                <w:szCs w:val="18"/>
                <w:u w:val="single"/>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侯友夫先生，</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年生，博士研究生学历，现任公司董事长、董事职务。蔡敏 女士，</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年生，本科学历，高级工程师，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 司董事职务。</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、公司实际控制人及其一致行动人</w:t>
      </w:r>
      <w:bookmarkEnd w:id="586"/>
      <w:bookmarkEnd w:id="587"/>
      <w:bookmarkEnd w:id="58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1</w:t>
            </w:r>
            <w:r>
              <w:rPr>
                <w:color w:val="000000"/>
                <w:spacing w:val="0"/>
                <w:w w:val="100"/>
                <w:position w:val="0"/>
                <w:sz w:val="17"/>
                <w:szCs w:val="17"/>
                <w:u w:val="single"/>
              </w:rPr>
              <w:t>寿招爱</w:t>
            </w:r>
            <w:r>
              <w:rPr>
                <w:rFonts w:ascii="Times New Roman" w:eastAsia="Times New Roman" w:hAnsi="Times New Roman" w:cs="Times New Roman"/>
                <w:color w:val="000000"/>
                <w:spacing w:val="0"/>
                <w:w w:val="100"/>
                <w:position w:val="0"/>
                <w:sz w:val="18"/>
                <w:szCs w:val="18"/>
                <w:u w:val="single"/>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侯友夫先生，</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年生，博士研究生学历，现任公司董事长、董事职务。蔡敏女士，</w:t>
            </w:r>
            <w:r>
              <w:rPr>
                <w:rFonts w:ascii="Times New Roman" w:eastAsia="Times New Roman" w:hAnsi="Times New Roman" w:cs="Times New Roman"/>
                <w:color w:val="000000"/>
                <w:spacing w:val="0"/>
                <w:w w:val="100"/>
                <w:position w:val="0"/>
                <w:sz w:val="18"/>
                <w:szCs w:val="18"/>
              </w:rPr>
              <w:t xml:space="preserve">1960 </w:t>
            </w:r>
            <w:r>
              <w:rPr>
                <w:color w:val="000000"/>
                <w:spacing w:val="0"/>
                <w:w w:val="100"/>
                <w:position w:val="0"/>
              </w:rPr>
              <w:t>年生，本科学历，高级工程师，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月任公司董事职务。</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pPr>
      <w:r>
        <mc:AlternateContent>
          <mc:Choice Requires="wps">
            <w:drawing>
              <wp:anchor distT="901700" distB="381000" distL="0" distR="0" simplePos="0" relativeHeight="125829378" behindDoc="0" locked="0" layoutInCell="1" allowOverlap="1">
                <wp:simplePos x="0" y="0"/>
                <wp:positionH relativeFrom="page">
                  <wp:posOffset>2473960</wp:posOffset>
                </wp:positionH>
                <wp:positionV relativeFrom="paragraph">
                  <wp:posOffset>901700</wp:posOffset>
                </wp:positionV>
                <wp:extent cx="140335" cy="454025"/>
                <wp:wrapTopAndBottom/>
                <wp:docPr id="2" name="Shape 2"/>
                <a:graphic xmlns:a="http://schemas.openxmlformats.org/drawingml/2006/main">
                  <a:graphicData uri="http://schemas.microsoft.com/office/word/2010/wordprocessingShape">
                    <wps:wsp>
                      <wps:cNvSpPr txBox="1"/>
                      <wps:spPr>
                        <a:xfrm>
                          <a:ext cx="140335" cy="454025"/>
                        </a:xfrm>
                        <a:prstGeom prst="rect"/>
                        <a:noFill/>
                      </wps:spPr>
                      <wps:txbx>
                        <w:txbxContent>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rPr>
                              <w:t>性友夫</w:t>
                            </w:r>
                          </w:p>
                        </w:txbxContent>
                      </wps:txbx>
                      <wps:bodyPr upright="1" vert="eaVert"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94.80000000000001pt;margin-top:71.pt;width:11.050000000000001pt;height:35.75pt;z-index:-125829375;mso-wrap-distance-left:0;mso-wrap-distance-top:71.pt;mso-wrap-distance-right:0;mso-wrap-distance-bottom:30.pt;mso-position-horizontal-relative:page" filled="f" stroked="f">
                <v:textbox style="layout-flow:vertical-ideographic" inset="0,0,0,0">
                  <w:txbxContent>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pPr>
                      <w:r>
                        <w:rPr>
                          <w:spacing w:val="0"/>
                          <w:w w:val="100"/>
                          <w:position w:val="0"/>
                        </w:rPr>
                        <w:t>性友夫</w:t>
                      </w:r>
                    </w:p>
                  </w:txbxContent>
                </v:textbox>
                <w10:wrap type="topAndBottom" anchorx="page"/>
              </v:shape>
            </w:pict>
          </mc:Fallback>
        </mc:AlternateContent>
      </w:r>
      <w:r>
        <mc:AlternateContent>
          <mc:Choice Requires="wps">
            <w:drawing>
              <wp:anchor distT="947420" distB="332105" distL="0" distR="0" simplePos="0" relativeHeight="125829380" behindDoc="0" locked="0" layoutInCell="1" allowOverlap="1">
                <wp:simplePos x="0" y="0"/>
                <wp:positionH relativeFrom="page">
                  <wp:posOffset>4912360</wp:posOffset>
                </wp:positionH>
                <wp:positionV relativeFrom="paragraph">
                  <wp:posOffset>947420</wp:posOffset>
                </wp:positionV>
                <wp:extent cx="140335" cy="457200"/>
                <wp:wrapTopAndBottom/>
                <wp:docPr id="4" name="Shape 4"/>
                <a:graphic xmlns:a="http://schemas.openxmlformats.org/drawingml/2006/main">
                  <a:graphicData uri="http://schemas.microsoft.com/office/word/2010/wordprocessingShape">
                    <wps:wsp>
                      <wps:cNvSpPr txBox="1"/>
                      <wps:spPr>
                        <a:xfrm>
                          <a:ext cx="140335" cy="4572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both"/>
                            </w:pPr>
                            <w:r>
                              <w:rPr>
                                <w:spacing w:val="0"/>
                                <w:w w:val="100"/>
                                <w:position w:val="0"/>
                              </w:rPr>
                              <w:t>寿招爰</w:t>
                            </w:r>
                          </w:p>
                        </w:txbxContent>
                      </wps:txbx>
                      <wps:bodyPr upright="1" vert="eaVert" lIns="0" tIns="0" rIns="0" bIns="0">
                        <a:noAutoFit/>
                      </wps:bodyPr>
                    </wps:wsp>
                  </a:graphicData>
                </a:graphic>
              </wp:anchor>
            </w:drawing>
          </mc:Choice>
          <mc:Fallback>
            <w:pict>
              <v:shape id="_x0000_s1030" type="#_x0000_t202" style="position:absolute;margin-left:386.80000000000001pt;margin-top:74.600000000000009pt;width:11.050000000000001pt;height:36.pt;z-index:-125829373;mso-wrap-distance-left:0;mso-wrap-distance-top:74.600000000000009pt;mso-wrap-distance-right:0;mso-wrap-distance-bottom:26.150000000000002pt;mso-position-horizontal-relative:page" filled="f" stroked="f">
                <v:textbox style="layout-flow:vertical-ideographic" inset="0,0,0,0">
                  <w:txbxContent>
                    <w:p>
                      <w:pPr>
                        <w:pStyle w:val="Style43"/>
                        <w:keepNext w:val="0"/>
                        <w:keepLines w:val="0"/>
                        <w:widowControl w:val="0"/>
                        <w:shd w:val="clear" w:color="auto" w:fill="auto"/>
                        <w:bidi w:val="0"/>
                        <w:spacing w:before="0" w:after="0" w:line="240" w:lineRule="auto"/>
                        <w:ind w:left="0" w:right="0" w:firstLine="0"/>
                        <w:jc w:val="both"/>
                      </w:pPr>
                      <w:r>
                        <w:rPr>
                          <w:spacing w:val="0"/>
                          <w:w w:val="100"/>
                          <w:position w:val="0"/>
                        </w:rPr>
                        <w:t>寿招爰</w:t>
                      </w:r>
                    </w:p>
                  </w:txbxContent>
                </v:textbox>
                <w10:wrap type="topAndBottom" anchorx="page"/>
              </v:shape>
            </w:pict>
          </mc:Fallback>
        </mc:AlternateContent>
      </w:r>
      <w:r>
        <w:drawing>
          <wp:anchor distT="1563370" distB="36195" distL="0" distR="0" simplePos="0" relativeHeight="125829382" behindDoc="0" locked="0" layoutInCell="1" allowOverlap="1">
            <wp:simplePos x="0" y="0"/>
            <wp:positionH relativeFrom="page">
              <wp:posOffset>2382520</wp:posOffset>
            </wp:positionH>
            <wp:positionV relativeFrom="paragraph">
              <wp:posOffset>1563370</wp:posOffset>
            </wp:positionV>
            <wp:extent cx="353695" cy="140335"/>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353695" cy="140335"/>
                    </a:xfrm>
                    <a:prstGeom prst="rect"/>
                  </pic:spPr>
                </pic:pic>
              </a:graphicData>
            </a:graphic>
          </wp:anchor>
        </w:drawing>
      </w:r>
      <w:r>
        <mc:AlternateContent>
          <mc:Choice Requires="wps">
            <w:drawing>
              <wp:anchor distT="1529715" distB="17780" distL="0" distR="0" simplePos="0" relativeHeight="125829383" behindDoc="0" locked="0" layoutInCell="1" allowOverlap="1">
                <wp:simplePos x="0" y="0"/>
                <wp:positionH relativeFrom="page">
                  <wp:posOffset>3608070</wp:posOffset>
                </wp:positionH>
                <wp:positionV relativeFrom="paragraph">
                  <wp:posOffset>1529715</wp:posOffset>
                </wp:positionV>
                <wp:extent cx="332105" cy="189230"/>
                <wp:wrapTopAndBottom/>
                <wp:docPr id="8" name="Shape 8"/>
                <a:graphic xmlns:a="http://schemas.openxmlformats.org/drawingml/2006/main">
                  <a:graphicData uri="http://schemas.microsoft.com/office/word/2010/wordprocessingShape">
                    <wps:wsp>
                      <wps:cNvSpPr txBox="1"/>
                      <wps:spPr>
                        <a:xfrm>
                          <a:ext cx="332105" cy="1892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828282"/>
                                <w:spacing w:val="0"/>
                                <w:w w:val="100"/>
                                <w:position w:val="0"/>
                                <w:sz w:val="24"/>
                                <w:szCs w:val="24"/>
                              </w:rPr>
                              <w:t>6.92°i</w:t>
                            </w:r>
                          </w:p>
                        </w:txbxContent>
                      </wps:txbx>
                      <wps:bodyPr wrap="none" lIns="0" tIns="0" rIns="0" bIns="0">
                        <a:noAutoFit/>
                      </wps:bodyPr>
                    </wps:wsp>
                  </a:graphicData>
                </a:graphic>
              </wp:anchor>
            </w:drawing>
          </mc:Choice>
          <mc:Fallback>
            <w:pict>
              <v:shape id="_x0000_s1034" type="#_x0000_t202" style="position:absolute;margin-left:284.10000000000002pt;margin-top:120.45pt;width:26.150000000000002pt;height:14.9pt;z-index:-125829370;mso-wrap-distance-left:0;mso-wrap-distance-top:120.45pt;mso-wrap-distance-right:0;mso-wrap-distance-bottom:1.400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828282"/>
                          <w:spacing w:val="0"/>
                          <w:w w:val="100"/>
                          <w:position w:val="0"/>
                          <w:sz w:val="24"/>
                          <w:szCs w:val="24"/>
                        </w:rPr>
                        <w:t>6.92°i</w:t>
                      </w:r>
                    </w:p>
                  </w:txbxContent>
                </v:textbox>
                <w10:wrap type="topAndBottom" anchorx="page"/>
              </v:shape>
            </w:pict>
          </mc:Fallback>
        </mc:AlternateContent>
      </w:r>
      <w:r>
        <mc:AlternateContent>
          <mc:Choice Requires="wps">
            <w:drawing>
              <wp:anchor distT="1548130" distB="0" distL="0" distR="0" simplePos="0" relativeHeight="125829385" behindDoc="0" locked="0" layoutInCell="1" allowOverlap="1">
                <wp:simplePos x="0" y="0"/>
                <wp:positionH relativeFrom="page">
                  <wp:posOffset>4845050</wp:posOffset>
                </wp:positionH>
                <wp:positionV relativeFrom="paragraph">
                  <wp:posOffset>1548130</wp:posOffset>
                </wp:positionV>
                <wp:extent cx="332105" cy="189230"/>
                <wp:wrapTopAndBottom/>
                <wp:docPr id="10" name="Shape 10"/>
                <a:graphic xmlns:a="http://schemas.openxmlformats.org/drawingml/2006/main">
                  <a:graphicData uri="http://schemas.microsoft.com/office/word/2010/wordprocessingShape">
                    <wps:wsp>
                      <wps:cNvSpPr txBox="1"/>
                      <wps:spPr>
                        <a:xfrm>
                          <a:ext cx="332105" cy="1892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474747"/>
                                <w:spacing w:val="0"/>
                                <w:w w:val="100"/>
                                <w:position w:val="0"/>
                                <w:sz w:val="24"/>
                                <w:szCs w:val="24"/>
                              </w:rPr>
                              <w:t xml:space="preserve">4. </w:t>
                            </w:r>
                            <w:r>
                              <w:rPr>
                                <w:rFonts w:ascii="Times New Roman" w:eastAsia="Times New Roman" w:hAnsi="Times New Roman" w:cs="Times New Roman"/>
                                <w:color w:val="828282"/>
                                <w:spacing w:val="0"/>
                                <w:w w:val="100"/>
                                <w:position w:val="0"/>
                                <w:sz w:val="24"/>
                                <w:szCs w:val="24"/>
                              </w:rPr>
                              <w:t>64%</w:t>
                            </w:r>
                          </w:p>
                        </w:txbxContent>
                      </wps:txbx>
                      <wps:bodyPr wrap="none" lIns="0" tIns="0" rIns="0" bIns="0">
                        <a:noAutoFit/>
                      </wps:bodyPr>
                    </wps:wsp>
                  </a:graphicData>
                </a:graphic>
              </wp:anchor>
            </w:drawing>
          </mc:Choice>
          <mc:Fallback>
            <w:pict>
              <v:shape id="_x0000_s1036" type="#_x0000_t202" style="position:absolute;margin-left:381.5pt;margin-top:121.90000000000001pt;width:26.150000000000002pt;height:14.9pt;z-index:-125829368;mso-wrap-distance-left:0;mso-wrap-distance-top:121.90000000000001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474747"/>
                          <w:spacing w:val="0"/>
                          <w:w w:val="100"/>
                          <w:position w:val="0"/>
                          <w:sz w:val="24"/>
                          <w:szCs w:val="24"/>
                        </w:rPr>
                        <w:t xml:space="preserve">4. </w:t>
                      </w:r>
                      <w:r>
                        <w:rPr>
                          <w:rFonts w:ascii="Times New Roman" w:eastAsia="Times New Roman" w:hAnsi="Times New Roman" w:cs="Times New Roman"/>
                          <w:color w:val="828282"/>
                          <w:spacing w:val="0"/>
                          <w:w w:val="100"/>
                          <w:position w:val="0"/>
                          <w:sz w:val="24"/>
                          <w:szCs w:val="24"/>
                        </w:rPr>
                        <w:t>64%</w:t>
                      </w:r>
                    </w:p>
                  </w:txbxContent>
                </v:textbox>
                <w10:wrap type="topAndBottom" anchorx="page"/>
              </v:shape>
            </w:pict>
          </mc:Fallback>
        </mc:AlternateConten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960" w:line="240" w:lineRule="auto"/>
        <w:ind w:left="0" w:right="0" w:firstLine="0"/>
        <w:jc w:val="center"/>
      </w:pPr>
      <w:r>
        <w:rPr>
          <w:b/>
          <w:bCs/>
          <w:color w:val="828282"/>
          <w:spacing w:val="0"/>
          <w:w w:val="100"/>
          <w:position w:val="0"/>
        </w:rPr>
        <w:t>辽苏五洋停车产非集团股份有限松司</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4</w:t>
      </w:r>
      <w:bookmarkEnd w:id="59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90"/>
      <w:bookmarkEnd w:id="591"/>
      <w:bookmarkEnd w:id="593"/>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5</w:t>
      </w:r>
      <w:bookmarkEnd w:id="59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94"/>
      <w:bookmarkEnd w:id="595"/>
      <w:bookmarkEnd w:id="597"/>
    </w:p>
    <w:p>
      <w:pPr>
        <w:pStyle w:val="Style1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6</w:t>
      </w:r>
      <w:bookmarkEnd w:id="600"/>
      <w:r>
        <w:rPr>
          <w:color w:val="000000"/>
          <w:spacing w:val="0"/>
          <w:w w:val="100"/>
          <w:position w:val="0"/>
        </w:rPr>
        <w:t>、控股股东、实际控制人、重组方及其他承诺主体股份限制减持情况</w:t>
      </w:r>
      <w:bookmarkEnd w:id="598"/>
      <w:bookmarkEnd w:id="599"/>
      <w:bookmarkEnd w:id="601"/>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rPr>
        <w:t>四</w:t>
      </w:r>
      <w:bookmarkEnd w:id="604"/>
      <w:r>
        <w:rPr>
          <w:color w:val="000000"/>
          <w:spacing w:val="0"/>
          <w:w w:val="100"/>
          <w:position w:val="0"/>
        </w:rPr>
        <w:t>、股份回购在报告期的具体实施情况</w:t>
      </w:r>
      <w:bookmarkEnd w:id="602"/>
      <w:bookmarkEnd w:id="603"/>
      <w:bookmarkEnd w:id="60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7"/>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41" w:right="1094" w:bottom="1431" w:left="102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
        <w:keepNext/>
        <w:keepLines/>
        <w:widowControl w:val="0"/>
        <w:shd w:val="clear" w:color="auto" w:fill="auto"/>
        <w:bidi w:val="0"/>
        <w:spacing w:before="0" w:after="580" w:line="240" w:lineRule="auto"/>
        <w:ind w:left="0" w:right="0" w:firstLine="0"/>
        <w:jc w:val="center"/>
      </w:pPr>
      <w:bookmarkStart w:id="606" w:name="bookmark606"/>
      <w:bookmarkStart w:id="607" w:name="bookmark607"/>
      <w:bookmarkStart w:id="608" w:name="bookmark608"/>
      <w:r>
        <w:rPr>
          <w:color w:val="000000"/>
          <w:spacing w:val="0"/>
          <w:w w:val="100"/>
          <w:position w:val="0"/>
        </w:rPr>
        <w:t>第八节优先股相关情况</w:t>
      </w:r>
      <w:bookmarkEnd w:id="606"/>
      <w:bookmarkEnd w:id="607"/>
      <w:bookmarkEnd w:id="608"/>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220" w:bottom="1930" w:left="1100" w:header="0" w:footer="3" w:gutter="0"/>
          <w:cols w:space="720"/>
          <w:noEndnote/>
          <w:rtlGutter w:val="0"/>
          <w:docGrid w:linePitch="360"/>
        </w:sectPr>
      </w:pPr>
      <w:r>
        <w:rPr>
          <w:color w:val="000000"/>
          <w:spacing w:val="0"/>
          <w:w w:val="100"/>
          <w:position w:val="0"/>
        </w:rPr>
        <w:t>报告期公司不存在优先股。</w:t>
      </w:r>
    </w:p>
    <w:p>
      <w:pPr>
        <w:pStyle w:val="Style4"/>
        <w:keepNext/>
        <w:keepLines/>
        <w:widowControl w:val="0"/>
        <w:shd w:val="clear" w:color="auto" w:fill="auto"/>
        <w:bidi w:val="0"/>
        <w:spacing w:before="0" w:after="560" w:line="240" w:lineRule="auto"/>
        <w:ind w:left="0" w:right="0" w:firstLine="0"/>
        <w:jc w:val="center"/>
      </w:pPr>
      <w:bookmarkStart w:id="609" w:name="bookmark609"/>
      <w:bookmarkStart w:id="610" w:name="bookmark610"/>
      <w:bookmarkStart w:id="611" w:name="bookmark611"/>
      <w:r>
        <w:rPr>
          <w:color w:val="000000"/>
          <w:spacing w:val="0"/>
          <w:w w:val="100"/>
          <w:position w:val="0"/>
        </w:rPr>
        <w:t>第九节债券相关情况</w:t>
      </w:r>
      <w:bookmarkEnd w:id="609"/>
      <w:bookmarkEnd w:id="610"/>
      <w:bookmarkEnd w:id="611"/>
    </w:p>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20" w:bottom="1930" w:left="110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
        <w:keepNext/>
        <w:keepLines/>
        <w:widowControl w:val="0"/>
        <w:shd w:val="clear" w:color="auto" w:fill="auto"/>
        <w:bidi w:val="0"/>
        <w:spacing w:before="580" w:after="540" w:line="240" w:lineRule="auto"/>
        <w:ind w:left="0" w:right="0" w:firstLine="0"/>
        <w:jc w:val="center"/>
      </w:pPr>
      <w:bookmarkStart w:id="612" w:name="bookmark612"/>
      <w:bookmarkStart w:id="613" w:name="bookmark613"/>
      <w:bookmarkStart w:id="614" w:name="bookmark614"/>
      <w:r>
        <w:rPr>
          <w:color w:val="000000"/>
          <w:spacing w:val="0"/>
          <w:w w:val="100"/>
          <w:position w:val="0"/>
        </w:rPr>
        <w:t>第十节财务报告</w:t>
      </w:r>
      <w:bookmarkEnd w:id="612"/>
      <w:bookmarkEnd w:id="613"/>
      <w:bookmarkEnd w:id="614"/>
    </w:p>
    <w:p>
      <w:pPr>
        <w:pStyle w:val="Style24"/>
        <w:keepNext/>
        <w:keepLines/>
        <w:widowControl w:val="0"/>
        <w:shd w:val="clear" w:color="auto" w:fill="auto"/>
        <w:bidi w:val="0"/>
        <w:spacing w:before="0" w:after="300" w:line="240" w:lineRule="auto"/>
        <w:ind w:left="0" w:right="0" w:firstLine="260"/>
        <w:jc w:val="left"/>
      </w:pPr>
      <w:bookmarkStart w:id="615" w:name="bookmark615"/>
      <w:bookmarkStart w:id="616" w:name="bookmark616"/>
      <w:bookmarkStart w:id="617" w:name="bookmark617"/>
      <w:r>
        <w:rPr>
          <w:color w:val="000000"/>
          <w:spacing w:val="0"/>
          <w:w w:val="100"/>
          <w:position w:val="0"/>
        </w:rPr>
        <w:t>、审计报告</w:t>
      </w:r>
      <w:bookmarkEnd w:id="615"/>
      <w:bookmarkEnd w:id="616"/>
      <w:bookmarkEnd w:id="61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021364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闻国胜、张舸</w:t>
            </w:r>
          </w:p>
        </w:tc>
      </w:tr>
    </w:tbl>
    <w:p>
      <w:pPr>
        <w:pStyle w:val="Style31"/>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479" w:line="1" w:lineRule="exact"/>
      </w:pPr>
    </w:p>
    <w:p>
      <w:pPr>
        <w:pStyle w:val="Style17"/>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江苏五洋停车产业集团股份有限公司全体股东：</w:t>
      </w:r>
    </w:p>
    <w:p>
      <w:pPr>
        <w:pStyle w:val="Style17"/>
        <w:keepNext w:val="0"/>
        <w:keepLines w:val="0"/>
        <w:widowControl w:val="0"/>
        <w:shd w:val="clear" w:color="auto" w:fill="auto"/>
        <w:tabs>
          <w:tab w:pos="930" w:val="left"/>
        </w:tabs>
        <w:bidi w:val="0"/>
        <w:spacing w:before="0" w:after="0" w:line="313" w:lineRule="exact"/>
        <w:ind w:left="0" w:right="0" w:firstLine="500"/>
        <w:jc w:val="both"/>
      </w:pPr>
      <w:bookmarkStart w:id="618" w:name="bookmark618"/>
      <w:r>
        <w:rPr>
          <w:color w:val="000000"/>
          <w:spacing w:val="0"/>
          <w:w w:val="100"/>
          <w:position w:val="0"/>
        </w:rPr>
        <w:t>一</w:t>
      </w:r>
      <w:bookmarkEnd w:id="618"/>
      <w:r>
        <w:rPr>
          <w:color w:val="000000"/>
          <w:spacing w:val="0"/>
          <w:w w:val="100"/>
          <w:position w:val="0"/>
        </w:rPr>
        <w:t>、</w:t>
        <w:tab/>
        <w:t>审计意见</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我们审计了江苏五洋停车产业集团股份有限公司（以下简称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五洋停车公司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 务报表附注。</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我们认为，后附的财务报表在所有重大方面按照企业会计准则的规定编制，公允反映了五洋停车公司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 并及母公司的财务状况以及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年度合并及母公司的经营成果和现金流量。</w:t>
      </w:r>
    </w:p>
    <w:p>
      <w:pPr>
        <w:pStyle w:val="Style17"/>
        <w:keepNext w:val="0"/>
        <w:keepLines w:val="0"/>
        <w:widowControl w:val="0"/>
        <w:shd w:val="clear" w:color="auto" w:fill="auto"/>
        <w:tabs>
          <w:tab w:pos="930" w:val="left"/>
        </w:tabs>
        <w:bidi w:val="0"/>
        <w:spacing w:before="0" w:after="0" w:line="313" w:lineRule="exact"/>
        <w:ind w:left="0" w:right="0" w:firstLine="500"/>
        <w:jc w:val="both"/>
      </w:pPr>
      <w:bookmarkStart w:id="619" w:name="bookmark619"/>
      <w:r>
        <w:rPr>
          <w:color w:val="000000"/>
          <w:spacing w:val="0"/>
          <w:w w:val="100"/>
          <w:position w:val="0"/>
        </w:rPr>
        <w:t>二</w:t>
      </w:r>
      <w:bookmarkEnd w:id="619"/>
      <w:r>
        <w:rPr>
          <w:color w:val="000000"/>
          <w:spacing w:val="0"/>
          <w:w w:val="100"/>
          <w:position w:val="0"/>
        </w:rPr>
        <w:t>、</w:t>
        <w:tab/>
        <w:t>形成审计意见的基础</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阐述了我们在这些准则下的责任。按照中国注册会计师职业道德守则，我们独立于五洋停车公司，并履行了职业道德方面的 其他责任。我们相信，我们获取的审计证据是充分、适当的，为发表审计意见提供了基础。</w:t>
      </w:r>
    </w:p>
    <w:p>
      <w:pPr>
        <w:pStyle w:val="Style17"/>
        <w:keepNext w:val="0"/>
        <w:keepLines w:val="0"/>
        <w:widowControl w:val="0"/>
        <w:shd w:val="clear" w:color="auto" w:fill="auto"/>
        <w:tabs>
          <w:tab w:pos="930" w:val="left"/>
        </w:tabs>
        <w:bidi w:val="0"/>
        <w:spacing w:before="0" w:after="0" w:line="313" w:lineRule="exact"/>
        <w:ind w:left="0" w:right="0" w:firstLine="500"/>
        <w:jc w:val="both"/>
      </w:pPr>
      <w:bookmarkStart w:id="620" w:name="bookmark620"/>
      <w:r>
        <w:rPr>
          <w:color w:val="000000"/>
          <w:spacing w:val="0"/>
          <w:w w:val="100"/>
          <w:position w:val="0"/>
        </w:rPr>
        <w:t>三</w:t>
      </w:r>
      <w:bookmarkEnd w:id="620"/>
      <w:r>
        <w:rPr>
          <w:color w:val="000000"/>
          <w:spacing w:val="0"/>
          <w:w w:val="100"/>
          <w:position w:val="0"/>
        </w:rPr>
        <w:t>、</w:t>
        <w:tab/>
        <w:t>关键审计事项</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审计并形成意见为背景，我们不对这些事项单独发表意见。我们确定下列事项是需要在审计报告中沟通的关键审计事项。</w:t>
      </w:r>
    </w:p>
    <w:p>
      <w:pPr>
        <w:pStyle w:val="Style17"/>
        <w:keepNext w:val="0"/>
        <w:keepLines w:val="0"/>
        <w:widowControl w:val="0"/>
        <w:shd w:val="clear" w:color="auto" w:fill="auto"/>
        <w:bidi w:val="0"/>
        <w:spacing w:before="0" w:after="100" w:line="313" w:lineRule="exact"/>
        <w:ind w:left="0" w:right="0" w:firstLine="380"/>
        <w:jc w:val="both"/>
      </w:pPr>
      <w:bookmarkStart w:id="621" w:name="bookmark621"/>
      <w:r>
        <w:rPr>
          <w:color w:val="000000"/>
          <w:spacing w:val="0"/>
          <w:w w:val="100"/>
          <w:position w:val="0"/>
        </w:rPr>
        <w:t>（</w:t>
      </w:r>
      <w:bookmarkEnd w:id="621"/>
      <w:r>
        <w:rPr>
          <w:color w:val="000000"/>
          <w:spacing w:val="0"/>
          <w:w w:val="100"/>
          <w:position w:val="0"/>
        </w:rPr>
        <w:t>一）收入确认</w:t>
      </w:r>
    </w:p>
    <w:p>
      <w:pPr>
        <w:pStyle w:val="Style17"/>
        <w:keepNext w:val="0"/>
        <w:keepLines w:val="0"/>
        <w:widowControl w:val="0"/>
        <w:shd w:val="clear" w:color="auto" w:fill="auto"/>
        <w:tabs>
          <w:tab w:pos="714" w:val="left"/>
        </w:tabs>
        <w:bidi w:val="0"/>
        <w:spacing w:before="0" w:after="0" w:line="360" w:lineRule="auto"/>
        <w:ind w:left="0" w:right="0" w:firstLine="380"/>
        <w:jc w:val="both"/>
      </w:pPr>
      <w:bookmarkStart w:id="622" w:name="bookmark622"/>
      <w:r>
        <w:rPr>
          <w:rFonts w:ascii="Times New Roman" w:eastAsia="Times New Roman" w:hAnsi="Times New Roman" w:cs="Times New Roman"/>
          <w:color w:val="000000"/>
          <w:spacing w:val="0"/>
          <w:w w:val="100"/>
          <w:position w:val="0"/>
          <w:sz w:val="18"/>
          <w:szCs w:val="18"/>
        </w:rPr>
        <w:t>1</w:t>
      </w:r>
      <w:bookmarkEnd w:id="622"/>
      <w:r>
        <w:rPr>
          <w:color w:val="000000"/>
          <w:spacing w:val="0"/>
          <w:w w:val="100"/>
          <w:position w:val="0"/>
        </w:rPr>
        <w:t>、</w:t>
        <w:tab/>
        <w:t>事项描述</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五洋停车公司营业收入主要来自于立体车库及其安装服务、智能物流及仓储系统、自动化生产线设备、散料搬运核心装 置等产品的销售及停车场营运业务。收入确认的会计政策详情及收入的分析请参阅合并财务报表附注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四、重要会计政策及 会计估计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所述会计政策及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六、合并报表项目注释</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p>
    <w:p>
      <w:pPr>
        <w:pStyle w:val="Style1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由于营业收入是五洋停车公司关键业绩指标之一，可能存在五洋停车公司管理层（以下简称管理层）通过不恰当的收入 确认以达到特定目标或预期的固有风险。因此，我们把五洋停车公司收入的确认和计量识别为关键审计事项。</w:t>
      </w:r>
    </w:p>
    <w:p>
      <w:pPr>
        <w:pStyle w:val="Style17"/>
        <w:keepNext w:val="0"/>
        <w:keepLines w:val="0"/>
        <w:widowControl w:val="0"/>
        <w:shd w:val="clear" w:color="auto" w:fill="auto"/>
        <w:tabs>
          <w:tab w:pos="734" w:val="left"/>
        </w:tabs>
        <w:bidi w:val="0"/>
        <w:spacing w:before="0" w:after="0" w:line="360" w:lineRule="auto"/>
        <w:ind w:left="0" w:right="0" w:firstLine="380"/>
        <w:jc w:val="both"/>
      </w:pPr>
      <w:bookmarkStart w:id="623" w:name="bookmark623"/>
      <w:r>
        <w:rPr>
          <w:rFonts w:ascii="Times New Roman" w:eastAsia="Times New Roman" w:hAnsi="Times New Roman" w:cs="Times New Roman"/>
          <w:color w:val="000000"/>
          <w:spacing w:val="0"/>
          <w:w w:val="100"/>
          <w:position w:val="0"/>
          <w:sz w:val="18"/>
          <w:szCs w:val="18"/>
        </w:rPr>
        <w:t>2</w:t>
      </w:r>
      <w:bookmarkEnd w:id="623"/>
      <w:r>
        <w:rPr>
          <w:color w:val="000000"/>
          <w:spacing w:val="0"/>
          <w:w w:val="100"/>
          <w:position w:val="0"/>
        </w:rPr>
        <w:t>、</w:t>
        <w:tab/>
        <w:t>审计应对</w:t>
      </w:r>
    </w:p>
    <w:p>
      <w:pPr>
        <w:pStyle w:val="Style17"/>
        <w:keepNext w:val="0"/>
        <w:keepLines w:val="0"/>
        <w:widowControl w:val="0"/>
        <w:shd w:val="clear" w:color="auto" w:fill="auto"/>
        <w:tabs>
          <w:tab w:pos="757" w:val="left"/>
        </w:tabs>
        <w:bidi w:val="0"/>
        <w:spacing w:before="0" w:after="100" w:line="313" w:lineRule="exact"/>
        <w:ind w:left="0" w:right="0" w:firstLine="380"/>
        <w:jc w:val="both"/>
      </w:pPr>
      <w:bookmarkStart w:id="624" w:name="bookmark624"/>
      <w:r>
        <w:rPr>
          <w:rFonts w:ascii="Times New Roman" w:eastAsia="Times New Roman" w:hAnsi="Times New Roman" w:cs="Times New Roman"/>
          <w:color w:val="000000"/>
          <w:spacing w:val="0"/>
          <w:w w:val="100"/>
          <w:position w:val="0"/>
          <w:sz w:val="18"/>
          <w:szCs w:val="18"/>
        </w:rPr>
        <w:t>（</w:t>
      </w:r>
      <w:bookmarkEnd w:id="624"/>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了解与收入确认相关的关键内部控制，评价这些控制的设计，确定其是否得到执行，并测试相关内部控制的运行有 效性；</w:t>
      </w:r>
    </w:p>
    <w:p>
      <w:pPr>
        <w:pStyle w:val="Style17"/>
        <w:keepNext w:val="0"/>
        <w:keepLines w:val="0"/>
        <w:widowControl w:val="0"/>
        <w:shd w:val="clear" w:color="auto" w:fill="auto"/>
        <w:tabs>
          <w:tab w:pos="786" w:val="left"/>
        </w:tabs>
        <w:bidi w:val="0"/>
        <w:spacing w:before="0" w:after="0" w:line="360" w:lineRule="auto"/>
        <w:ind w:left="0" w:right="0" w:firstLine="380"/>
        <w:jc w:val="both"/>
      </w:pPr>
      <w:bookmarkStart w:id="625" w:name="bookmark625"/>
      <w:r>
        <w:rPr>
          <w:rFonts w:ascii="Times New Roman" w:eastAsia="Times New Roman" w:hAnsi="Times New Roman" w:cs="Times New Roman"/>
          <w:color w:val="000000"/>
          <w:spacing w:val="0"/>
          <w:w w:val="100"/>
          <w:position w:val="0"/>
          <w:sz w:val="18"/>
          <w:szCs w:val="18"/>
        </w:rPr>
        <w:t>（</w:t>
      </w:r>
      <w:bookmarkEnd w:id="625"/>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检查销售合同，了解主要合同条款或条件，评价收入确认方法是否适当；</w:t>
      </w:r>
    </w:p>
    <w:p>
      <w:pPr>
        <w:pStyle w:val="Style17"/>
        <w:keepNext w:val="0"/>
        <w:keepLines w:val="0"/>
        <w:widowControl w:val="0"/>
        <w:shd w:val="clear" w:color="auto" w:fill="auto"/>
        <w:tabs>
          <w:tab w:pos="786" w:val="left"/>
        </w:tabs>
        <w:bidi w:val="0"/>
        <w:spacing w:before="0" w:after="0" w:line="360" w:lineRule="auto"/>
        <w:ind w:left="0" w:right="0" w:firstLine="380"/>
        <w:jc w:val="both"/>
      </w:pPr>
      <w:bookmarkStart w:id="626" w:name="bookmark626"/>
      <w:r>
        <w:rPr>
          <w:rFonts w:ascii="Times New Roman" w:eastAsia="Times New Roman" w:hAnsi="Times New Roman" w:cs="Times New Roman"/>
          <w:color w:val="000000"/>
          <w:spacing w:val="0"/>
          <w:w w:val="100"/>
          <w:position w:val="0"/>
          <w:sz w:val="18"/>
          <w:szCs w:val="18"/>
        </w:rPr>
        <w:t>（</w:t>
      </w:r>
      <w:bookmarkEnd w:id="626"/>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对营业收入及毛利率按月度、产品、客户等实施分析程序，识别是否存在重大或异常波动，并查明波动原因；</w:t>
      </w:r>
    </w:p>
    <w:p>
      <w:pPr>
        <w:pStyle w:val="Style17"/>
        <w:keepNext w:val="0"/>
        <w:keepLines w:val="0"/>
        <w:widowControl w:val="0"/>
        <w:shd w:val="clear" w:color="auto" w:fill="auto"/>
        <w:tabs>
          <w:tab w:pos="762" w:val="left"/>
        </w:tabs>
        <w:bidi w:val="0"/>
        <w:spacing w:before="0" w:after="100" w:line="313" w:lineRule="exact"/>
        <w:ind w:left="0" w:right="0" w:firstLine="380"/>
        <w:jc w:val="both"/>
      </w:pPr>
      <w:bookmarkStart w:id="627" w:name="bookmark627"/>
      <w:r>
        <w:rPr>
          <w:rFonts w:ascii="Times New Roman" w:eastAsia="Times New Roman" w:hAnsi="Times New Roman" w:cs="Times New Roman"/>
          <w:color w:val="000000"/>
          <w:spacing w:val="0"/>
          <w:w w:val="100"/>
          <w:position w:val="0"/>
          <w:sz w:val="18"/>
          <w:szCs w:val="18"/>
        </w:rPr>
        <w:t>（</w:t>
      </w:r>
      <w:bookmarkEnd w:id="627"/>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以抽样方式检查与收入确认相关的支持性文件，包括销售合同、订单、销售发票、出库单、发货单、运输单及客户 签收单、验收单等；</w:t>
      </w:r>
    </w:p>
    <w:p>
      <w:pPr>
        <w:pStyle w:val="Style17"/>
        <w:keepNext w:val="0"/>
        <w:keepLines w:val="0"/>
        <w:widowControl w:val="0"/>
        <w:shd w:val="clear" w:color="auto" w:fill="auto"/>
        <w:tabs>
          <w:tab w:pos="771" w:val="left"/>
        </w:tabs>
        <w:bidi w:val="0"/>
        <w:spacing w:before="0" w:after="0" w:line="315" w:lineRule="exact"/>
        <w:ind w:left="0" w:right="0" w:firstLine="360"/>
        <w:jc w:val="both"/>
      </w:pPr>
      <w:bookmarkStart w:id="628" w:name="bookmark628"/>
      <w:r>
        <w:rPr>
          <w:rFonts w:ascii="Times New Roman" w:eastAsia="Times New Roman" w:hAnsi="Times New Roman" w:cs="Times New Roman"/>
          <w:color w:val="000000"/>
          <w:spacing w:val="0"/>
          <w:w w:val="100"/>
          <w:position w:val="0"/>
          <w:sz w:val="18"/>
          <w:szCs w:val="18"/>
        </w:rPr>
        <w:t>（</w:t>
      </w:r>
      <w:bookmarkEnd w:id="628"/>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对主要客户的销售收入发生额和应收账款余额进行函证，检查收入确认的真实性和准确性；</w:t>
      </w:r>
    </w:p>
    <w:p>
      <w:pPr>
        <w:pStyle w:val="Style17"/>
        <w:keepNext w:val="0"/>
        <w:keepLines w:val="0"/>
        <w:widowControl w:val="0"/>
        <w:shd w:val="clear" w:color="auto" w:fill="auto"/>
        <w:tabs>
          <w:tab w:pos="771" w:val="left"/>
        </w:tabs>
        <w:bidi w:val="0"/>
        <w:spacing w:before="0" w:after="0" w:line="315" w:lineRule="exact"/>
        <w:ind w:left="0" w:right="0" w:firstLine="360"/>
        <w:jc w:val="both"/>
        <w:rPr>
          <w:sz w:val="18"/>
          <w:szCs w:val="18"/>
        </w:rPr>
      </w:pPr>
      <w:bookmarkStart w:id="629" w:name="bookmark629"/>
      <w:r>
        <w:rPr>
          <w:rFonts w:ascii="Times New Roman" w:eastAsia="Times New Roman" w:hAnsi="Times New Roman" w:cs="Times New Roman"/>
          <w:color w:val="000000"/>
          <w:spacing w:val="0"/>
          <w:w w:val="100"/>
          <w:position w:val="0"/>
          <w:sz w:val="18"/>
          <w:szCs w:val="18"/>
        </w:rPr>
        <w:t>（</w:t>
      </w:r>
      <w:bookmarkEnd w:id="629"/>
      <w:r>
        <w:rPr>
          <w:rFonts w:ascii="Times New Roman" w:eastAsia="Times New Roman" w:hAnsi="Times New Roman" w:cs="Times New Roman"/>
          <w:color w:val="000000"/>
          <w:spacing w:val="0"/>
          <w:w w:val="100"/>
          <w:position w:val="0"/>
          <w:sz w:val="18"/>
          <w:szCs w:val="18"/>
        </w:rPr>
        <w:t>6）</w:t>
        <w:tab/>
      </w:r>
      <w:r>
        <w:rPr>
          <w:color w:val="000000"/>
          <w:spacing w:val="0"/>
          <w:w w:val="100"/>
          <w:position w:val="0"/>
          <w:sz w:val="17"/>
          <w:szCs w:val="17"/>
        </w:rPr>
        <w:t>针对资产负债表日前后确认的销售收入执行抽样测试以检查销售收入是否在恰当的期间确认</w:t>
      </w:r>
      <w:r>
        <w:rPr>
          <w:color w:val="000000"/>
          <w:spacing w:val="0"/>
          <w:w w:val="100"/>
          <w:position w:val="0"/>
          <w:sz w:val="18"/>
          <w:szCs w:val="18"/>
        </w:rPr>
        <w:t>；</w:t>
      </w:r>
    </w:p>
    <w:p>
      <w:pPr>
        <w:pStyle w:val="Style17"/>
        <w:keepNext w:val="0"/>
        <w:keepLines w:val="0"/>
        <w:widowControl w:val="0"/>
        <w:shd w:val="clear" w:color="auto" w:fill="auto"/>
        <w:tabs>
          <w:tab w:pos="771" w:val="left"/>
        </w:tabs>
        <w:bidi w:val="0"/>
        <w:spacing w:before="0" w:after="0" w:line="315" w:lineRule="exact"/>
        <w:ind w:left="0" w:right="0" w:firstLine="360"/>
        <w:jc w:val="both"/>
      </w:pPr>
      <w:bookmarkStart w:id="630" w:name="bookmark630"/>
      <w:r>
        <w:rPr>
          <w:rFonts w:ascii="Times New Roman" w:eastAsia="Times New Roman" w:hAnsi="Times New Roman" w:cs="Times New Roman"/>
          <w:color w:val="000000"/>
          <w:spacing w:val="0"/>
          <w:w w:val="100"/>
          <w:position w:val="0"/>
          <w:sz w:val="18"/>
          <w:szCs w:val="18"/>
        </w:rPr>
        <w:t>（</w:t>
      </w:r>
      <w:bookmarkEnd w:id="630"/>
      <w:r>
        <w:rPr>
          <w:rFonts w:ascii="Times New Roman" w:eastAsia="Times New Roman" w:hAnsi="Times New Roman" w:cs="Times New Roman"/>
          <w:color w:val="000000"/>
          <w:spacing w:val="0"/>
          <w:w w:val="100"/>
          <w:position w:val="0"/>
          <w:sz w:val="18"/>
          <w:szCs w:val="18"/>
        </w:rPr>
        <w:t>7）</w:t>
        <w:tab/>
      </w:r>
      <w:r>
        <w:rPr>
          <w:color w:val="000000"/>
          <w:spacing w:val="0"/>
          <w:w w:val="100"/>
          <w:position w:val="0"/>
        </w:rPr>
        <w:t>获取五洋停车公司主要客户的工商资料，询问相关人员，以确认主要客户与五洋停车公司是否存在关联关系；</w:t>
      </w:r>
    </w:p>
    <w:p>
      <w:pPr>
        <w:pStyle w:val="Style17"/>
        <w:keepNext w:val="0"/>
        <w:keepLines w:val="0"/>
        <w:widowControl w:val="0"/>
        <w:shd w:val="clear" w:color="auto" w:fill="auto"/>
        <w:tabs>
          <w:tab w:pos="771" w:val="left"/>
        </w:tabs>
        <w:bidi w:val="0"/>
        <w:spacing w:before="0" w:after="0" w:line="315" w:lineRule="exact"/>
        <w:ind w:left="0" w:right="0" w:firstLine="360"/>
        <w:jc w:val="both"/>
      </w:pPr>
      <w:bookmarkStart w:id="631" w:name="bookmark631"/>
      <w:r>
        <w:rPr>
          <w:rFonts w:ascii="Times New Roman" w:eastAsia="Times New Roman" w:hAnsi="Times New Roman" w:cs="Times New Roman"/>
          <w:color w:val="000000"/>
          <w:spacing w:val="0"/>
          <w:w w:val="100"/>
          <w:position w:val="0"/>
          <w:sz w:val="18"/>
          <w:szCs w:val="18"/>
        </w:rPr>
        <w:t>（</w:t>
      </w:r>
      <w:bookmarkEnd w:id="631"/>
      <w:r>
        <w:rPr>
          <w:rFonts w:ascii="Times New Roman" w:eastAsia="Times New Roman" w:hAnsi="Times New Roman" w:cs="Times New Roman"/>
          <w:color w:val="000000"/>
          <w:spacing w:val="0"/>
          <w:w w:val="100"/>
          <w:position w:val="0"/>
          <w:sz w:val="18"/>
          <w:szCs w:val="18"/>
        </w:rPr>
        <w:t>8）</w:t>
        <w:tab/>
      </w:r>
      <w:r>
        <w:rPr>
          <w:color w:val="000000"/>
          <w:spacing w:val="0"/>
          <w:w w:val="100"/>
          <w:position w:val="0"/>
        </w:rPr>
        <w:t>检查与营业收入相关的信息是否已在财务报表中作出恰当列报。</w:t>
      </w:r>
    </w:p>
    <w:p>
      <w:pPr>
        <w:pStyle w:val="Style17"/>
        <w:keepNext w:val="0"/>
        <w:keepLines w:val="0"/>
        <w:widowControl w:val="0"/>
        <w:shd w:val="clear" w:color="auto" w:fill="auto"/>
        <w:tabs>
          <w:tab w:pos="891" w:val="left"/>
        </w:tabs>
        <w:bidi w:val="0"/>
        <w:spacing w:before="0" w:after="0" w:line="315" w:lineRule="exact"/>
        <w:ind w:left="0" w:right="0" w:firstLine="360"/>
        <w:jc w:val="both"/>
      </w:pPr>
      <w:bookmarkStart w:id="632" w:name="bookmark632"/>
      <w:r>
        <w:rPr>
          <w:color w:val="000000"/>
          <w:spacing w:val="0"/>
          <w:w w:val="100"/>
          <w:position w:val="0"/>
        </w:rPr>
        <w:t>（</w:t>
      </w:r>
      <w:bookmarkEnd w:id="632"/>
      <w:r>
        <w:rPr>
          <w:color w:val="000000"/>
          <w:spacing w:val="0"/>
          <w:w w:val="100"/>
          <w:position w:val="0"/>
        </w:rPr>
        <w:t>二）</w:t>
        <w:tab/>
        <w:t>商誉的减值</w:t>
      </w:r>
    </w:p>
    <w:p>
      <w:pPr>
        <w:pStyle w:val="Style17"/>
        <w:keepNext w:val="0"/>
        <w:keepLines w:val="0"/>
        <w:widowControl w:val="0"/>
        <w:shd w:val="clear" w:color="auto" w:fill="auto"/>
        <w:tabs>
          <w:tab w:pos="771" w:val="left"/>
        </w:tabs>
        <w:bidi w:val="0"/>
        <w:spacing w:before="0" w:after="0" w:line="315" w:lineRule="exact"/>
        <w:ind w:left="0" w:right="0" w:firstLine="360"/>
        <w:jc w:val="both"/>
      </w:pPr>
      <w:bookmarkStart w:id="633" w:name="bookmark633"/>
      <w:r>
        <w:rPr>
          <w:rFonts w:ascii="Times New Roman" w:eastAsia="Times New Roman" w:hAnsi="Times New Roman" w:cs="Times New Roman"/>
          <w:color w:val="000000"/>
          <w:spacing w:val="0"/>
          <w:w w:val="100"/>
          <w:position w:val="0"/>
          <w:sz w:val="18"/>
          <w:szCs w:val="18"/>
        </w:rPr>
        <w:t>1</w:t>
      </w:r>
      <w:bookmarkEnd w:id="633"/>
      <w:r>
        <w:rPr>
          <w:color w:val="000000"/>
          <w:spacing w:val="0"/>
          <w:w w:val="100"/>
          <w:position w:val="0"/>
        </w:rPr>
        <w:t>、</w:t>
        <w:tab/>
        <w:t>事项描述</w:t>
      </w:r>
    </w:p>
    <w:p>
      <w:pPr>
        <w:pStyle w:val="Style1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日五洋停车公司合并资产负债表商誉账面价值为</w:t>
      </w:r>
      <w:r>
        <w:rPr>
          <w:rFonts w:ascii="Times New Roman" w:eastAsia="Times New Roman" w:hAnsi="Times New Roman" w:cs="Times New Roman"/>
          <w:color w:val="000000"/>
          <w:spacing w:val="0"/>
          <w:w w:val="100"/>
          <w:position w:val="0"/>
          <w:sz w:val="18"/>
          <w:szCs w:val="18"/>
        </w:rPr>
        <w:t>415,762,398.89</w:t>
      </w:r>
      <w:r>
        <w:rPr>
          <w:color w:val="000000"/>
          <w:spacing w:val="0"/>
          <w:w w:val="100"/>
          <w:position w:val="0"/>
        </w:rPr>
        <w:t>元，对财务报表整体具有重要性。对 于企业合并形成的商誉，根据企业会计准则的规定，管理层需要每年对商誉进行减值测试，以确定是否需要确认减值损失。 五洋停车公司管理层通过比较商誉的相关资产组的可收回金额与资产组及商誉的账面价值，对商誉进行减值测试。资产组的 可收回金额按照资产组的预计未来现金流量的现值与资产的公允价值减去处置费用后的净额两者之间的较高者确定，其预计 的未来现金流量以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年期财务预算为基础确定。预测可收回金额涉及对资产组未来现金流量现值的预测，管理层在预测中需 要做出重大判断和假设，特别是对于未来售价、生产成本、经营费用、折现率以及增长率等。鉴于商誉对财务报表整体具有 重要性以及商誉减值测试涉及管理层运用重大会计估计和判断，因此我们将其作为关键审计事项。</w:t>
      </w:r>
    </w:p>
    <w:p>
      <w:pPr>
        <w:pStyle w:val="Style17"/>
        <w:keepNext w:val="0"/>
        <w:keepLines w:val="0"/>
        <w:widowControl w:val="0"/>
        <w:shd w:val="clear" w:color="auto" w:fill="auto"/>
        <w:tabs>
          <w:tab w:pos="771" w:val="left"/>
        </w:tabs>
        <w:bidi w:val="0"/>
        <w:spacing w:before="0" w:after="0" w:line="315" w:lineRule="exact"/>
        <w:ind w:left="0" w:right="0" w:firstLine="360"/>
        <w:jc w:val="both"/>
      </w:pPr>
      <w:bookmarkStart w:id="634" w:name="bookmark634"/>
      <w:r>
        <w:rPr>
          <w:rFonts w:ascii="Times New Roman" w:eastAsia="Times New Roman" w:hAnsi="Times New Roman" w:cs="Times New Roman"/>
          <w:color w:val="000000"/>
          <w:spacing w:val="0"/>
          <w:w w:val="100"/>
          <w:position w:val="0"/>
          <w:sz w:val="18"/>
          <w:szCs w:val="18"/>
        </w:rPr>
        <w:t>2</w:t>
      </w:r>
      <w:bookmarkEnd w:id="634"/>
      <w:r>
        <w:rPr>
          <w:color w:val="000000"/>
          <w:spacing w:val="0"/>
          <w:w w:val="100"/>
          <w:position w:val="0"/>
        </w:rPr>
        <w:t>、</w:t>
        <w:tab/>
        <w:t>审计应对</w:t>
      </w:r>
    </w:p>
    <w:p>
      <w:pPr>
        <w:pStyle w:val="Style17"/>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对商誉减值测试与计量执行的审计程序包括：</w:t>
      </w:r>
    </w:p>
    <w:p>
      <w:pPr>
        <w:pStyle w:val="Style17"/>
        <w:keepNext w:val="0"/>
        <w:keepLines w:val="0"/>
        <w:widowControl w:val="0"/>
        <w:shd w:val="clear" w:color="auto" w:fill="auto"/>
        <w:tabs>
          <w:tab w:pos="925" w:val="left"/>
        </w:tabs>
        <w:bidi w:val="0"/>
        <w:spacing w:before="0" w:after="0" w:line="315" w:lineRule="exact"/>
        <w:ind w:left="0" w:right="0" w:firstLine="480"/>
        <w:jc w:val="both"/>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了解五洋停车公司商誉减值测试相关的内控控制；</w:t>
      </w:r>
    </w:p>
    <w:p>
      <w:pPr>
        <w:pStyle w:val="Style17"/>
        <w:keepNext w:val="0"/>
        <w:keepLines w:val="0"/>
        <w:widowControl w:val="0"/>
        <w:shd w:val="clear" w:color="auto" w:fill="auto"/>
        <w:tabs>
          <w:tab w:pos="925" w:val="left"/>
        </w:tabs>
        <w:bidi w:val="0"/>
        <w:spacing w:before="0" w:after="0" w:line="315" w:lineRule="exact"/>
        <w:ind w:left="0" w:right="0" w:firstLine="480"/>
        <w:jc w:val="both"/>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了解宏观经济及各资产组或资产组组合行业发展趋势、历史业绩情况和发展规划；</w:t>
      </w:r>
    </w:p>
    <w:p>
      <w:pPr>
        <w:pStyle w:val="Style17"/>
        <w:keepNext w:val="0"/>
        <w:keepLines w:val="0"/>
        <w:widowControl w:val="0"/>
        <w:shd w:val="clear" w:color="auto" w:fill="auto"/>
        <w:tabs>
          <w:tab w:pos="925" w:val="left"/>
        </w:tabs>
        <w:bidi w:val="0"/>
        <w:spacing w:before="0" w:after="0" w:line="315" w:lineRule="exact"/>
        <w:ind w:left="0" w:right="0" w:firstLine="480"/>
        <w:jc w:val="both"/>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评价管理层对商誉所在资产组或资产组组合的认定；</w:t>
      </w:r>
    </w:p>
    <w:p>
      <w:pPr>
        <w:pStyle w:val="Style17"/>
        <w:keepNext w:val="0"/>
        <w:keepLines w:val="0"/>
        <w:widowControl w:val="0"/>
        <w:shd w:val="clear" w:color="auto" w:fill="auto"/>
        <w:tabs>
          <w:tab w:pos="925" w:val="left"/>
        </w:tabs>
        <w:bidi w:val="0"/>
        <w:spacing w:before="0" w:after="0" w:line="315" w:lineRule="exact"/>
        <w:ind w:left="0" w:right="0" w:firstLine="480"/>
        <w:jc w:val="both"/>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评估商誉减值测试的估值方法、模型、关键假设的恰当性；</w:t>
      </w:r>
    </w:p>
    <w:p>
      <w:pPr>
        <w:pStyle w:val="Style17"/>
        <w:keepNext w:val="0"/>
        <w:keepLines w:val="0"/>
        <w:widowControl w:val="0"/>
        <w:shd w:val="clear" w:color="auto" w:fill="auto"/>
        <w:bidi w:val="0"/>
        <w:spacing w:before="0" w:after="0" w:line="315" w:lineRule="exact"/>
        <w:ind w:left="0" w:right="0" w:firstLine="480"/>
        <w:jc w:val="both"/>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评估商誉减值测试引用参数的合理性，包括预计未来现金流量现值时的预测期、稳定期、预测期增长率、稳定 期增长率、利润率、折现率等及其确定依据；</w:t>
      </w:r>
    </w:p>
    <w:p>
      <w:pPr>
        <w:pStyle w:val="Style17"/>
        <w:keepNext w:val="0"/>
        <w:keepLines w:val="0"/>
        <w:widowControl w:val="0"/>
        <w:shd w:val="clear" w:color="auto" w:fill="auto"/>
        <w:tabs>
          <w:tab w:pos="925" w:val="left"/>
        </w:tabs>
        <w:bidi w:val="0"/>
        <w:spacing w:before="0" w:after="0" w:line="315" w:lineRule="exact"/>
        <w:ind w:left="0" w:right="0" w:firstLine="480"/>
        <w:jc w:val="both"/>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复核前述信息与形成商誉时或以前年度商誉减值测试时的信息、公司历史经验或外部信息是否存在不一致；</w:t>
      </w:r>
    </w:p>
    <w:p>
      <w:pPr>
        <w:pStyle w:val="Style17"/>
        <w:keepNext w:val="0"/>
        <w:keepLines w:val="0"/>
        <w:widowControl w:val="0"/>
        <w:shd w:val="clear" w:color="auto" w:fill="auto"/>
        <w:tabs>
          <w:tab w:pos="925" w:val="left"/>
        </w:tabs>
        <w:bidi w:val="0"/>
        <w:spacing w:before="0" w:after="0" w:line="315" w:lineRule="exact"/>
        <w:ind w:left="0" w:right="0" w:firstLine="480"/>
        <w:jc w:val="both"/>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复核商誉减值测试计算过程；</w:t>
      </w:r>
    </w:p>
    <w:p>
      <w:pPr>
        <w:pStyle w:val="Style17"/>
        <w:keepNext w:val="0"/>
        <w:keepLines w:val="0"/>
        <w:widowControl w:val="0"/>
        <w:shd w:val="clear" w:color="auto" w:fill="auto"/>
        <w:tabs>
          <w:tab w:pos="925" w:val="left"/>
        </w:tabs>
        <w:bidi w:val="0"/>
        <w:spacing w:before="0" w:after="0" w:line="315" w:lineRule="exact"/>
        <w:ind w:left="0" w:right="0" w:firstLine="480"/>
        <w:jc w:val="both"/>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评价商誉减值测试的影响；</w:t>
      </w:r>
    </w:p>
    <w:p>
      <w:pPr>
        <w:pStyle w:val="Style17"/>
        <w:keepNext w:val="0"/>
        <w:keepLines w:val="0"/>
        <w:widowControl w:val="0"/>
        <w:shd w:val="clear" w:color="auto" w:fill="auto"/>
        <w:tabs>
          <w:tab w:pos="925" w:val="left"/>
        </w:tabs>
        <w:bidi w:val="0"/>
        <w:spacing w:before="0" w:after="0" w:line="315" w:lineRule="exact"/>
        <w:ind w:left="0" w:right="0" w:firstLine="480"/>
        <w:jc w:val="both"/>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评价商誉减值测试的过程和方法相关披露是否充分。</w:t>
      </w:r>
    </w:p>
    <w:p>
      <w:pPr>
        <w:pStyle w:val="Style17"/>
        <w:keepNext w:val="0"/>
        <w:keepLines w:val="0"/>
        <w:widowControl w:val="0"/>
        <w:shd w:val="clear" w:color="auto" w:fill="auto"/>
        <w:tabs>
          <w:tab w:pos="891" w:val="left"/>
        </w:tabs>
        <w:bidi w:val="0"/>
        <w:spacing w:before="0" w:after="0" w:line="315" w:lineRule="exact"/>
        <w:ind w:left="0" w:right="0" w:firstLine="360"/>
        <w:jc w:val="left"/>
      </w:pPr>
      <w:bookmarkStart w:id="644" w:name="bookmark644"/>
      <w:r>
        <w:rPr>
          <w:color w:val="000000"/>
          <w:spacing w:val="0"/>
          <w:w w:val="100"/>
          <w:position w:val="0"/>
        </w:rPr>
        <w:t>（</w:t>
      </w:r>
      <w:bookmarkEnd w:id="644"/>
      <w:r>
        <w:rPr>
          <w:color w:val="000000"/>
          <w:spacing w:val="0"/>
          <w:w w:val="100"/>
          <w:position w:val="0"/>
        </w:rPr>
        <w:t>三）</w:t>
        <w:tab/>
        <w:t>存货减值</w:t>
      </w:r>
    </w:p>
    <w:p>
      <w:pPr>
        <w:pStyle w:val="Style17"/>
        <w:keepNext w:val="0"/>
        <w:keepLines w:val="0"/>
        <w:widowControl w:val="0"/>
        <w:shd w:val="clear" w:color="auto" w:fill="auto"/>
        <w:tabs>
          <w:tab w:pos="771" w:val="left"/>
        </w:tabs>
        <w:bidi w:val="0"/>
        <w:spacing w:before="0" w:after="0" w:line="315" w:lineRule="exact"/>
        <w:ind w:left="0" w:right="0" w:firstLine="360"/>
        <w:jc w:val="left"/>
      </w:pPr>
      <w:bookmarkStart w:id="645" w:name="bookmark645"/>
      <w:r>
        <w:rPr>
          <w:rFonts w:ascii="Times New Roman" w:eastAsia="Times New Roman" w:hAnsi="Times New Roman" w:cs="Times New Roman"/>
          <w:color w:val="000000"/>
          <w:spacing w:val="0"/>
          <w:w w:val="100"/>
          <w:position w:val="0"/>
          <w:sz w:val="18"/>
          <w:szCs w:val="18"/>
        </w:rPr>
        <w:t>1</w:t>
      </w:r>
      <w:bookmarkEnd w:id="645"/>
      <w:r>
        <w:rPr>
          <w:color w:val="000000"/>
          <w:spacing w:val="0"/>
          <w:w w:val="100"/>
          <w:position w:val="0"/>
        </w:rPr>
        <w:t>、</w:t>
        <w:tab/>
        <w:t>事项描述</w:t>
      </w:r>
    </w:p>
    <w:p>
      <w:pPr>
        <w:pStyle w:val="Style17"/>
        <w:keepNext w:val="0"/>
        <w:keepLines w:val="0"/>
        <w:widowControl w:val="0"/>
        <w:shd w:val="clear" w:color="auto" w:fill="auto"/>
        <w:bidi w:val="0"/>
        <w:spacing w:before="0" w:after="140" w:line="315" w:lineRule="exact"/>
        <w:ind w:left="0" w:right="0" w:firstLine="4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日五洋停车公司合并资产负债表存货账面价值为</w:t>
      </w:r>
      <w:r>
        <w:rPr>
          <w:rFonts w:ascii="Times New Roman" w:eastAsia="Times New Roman" w:hAnsi="Times New Roman" w:cs="Times New Roman"/>
          <w:color w:val="000000"/>
          <w:spacing w:val="0"/>
          <w:w w:val="100"/>
          <w:position w:val="0"/>
          <w:sz w:val="18"/>
          <w:szCs w:val="18"/>
        </w:rPr>
        <w:t>624,626,211.6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元，存货跌价准备为</w:t>
      </w:r>
      <w:r>
        <w:rPr>
          <w:rFonts w:ascii="Times New Roman" w:eastAsia="Times New Roman" w:hAnsi="Times New Roman" w:cs="Times New Roman"/>
          <w:color w:val="000000"/>
          <w:spacing w:val="0"/>
          <w:w w:val="100"/>
          <w:position w:val="0"/>
          <w:sz w:val="18"/>
          <w:szCs w:val="18"/>
        </w:rPr>
        <w:t xml:space="preserve">14,157,580.30 </w:t>
      </w:r>
      <w:r>
        <w:rPr>
          <w:color w:val="000000"/>
          <w:spacing w:val="0"/>
          <w:w w:val="100"/>
          <w:position w:val="0"/>
        </w:rPr>
        <w:t>元，对财务报表整体具有重要性。由于五洋停车公司管理层在确定存货可变现净值时需要运用重大判断和估计，且影响金额 较大。因此，我们将存货减值作为关键审计事项。</w:t>
      </w:r>
    </w:p>
    <w:p>
      <w:pPr>
        <w:pStyle w:val="Style17"/>
        <w:keepNext w:val="0"/>
        <w:keepLines w:val="0"/>
        <w:widowControl w:val="0"/>
        <w:shd w:val="clear" w:color="auto" w:fill="auto"/>
        <w:tabs>
          <w:tab w:pos="771" w:val="left"/>
        </w:tabs>
        <w:bidi w:val="0"/>
        <w:spacing w:before="0" w:after="0" w:line="315" w:lineRule="exact"/>
        <w:ind w:left="0" w:right="0" w:firstLine="360"/>
        <w:jc w:val="left"/>
      </w:pPr>
      <w:bookmarkStart w:id="646" w:name="bookmark646"/>
      <w:r>
        <w:rPr>
          <w:rFonts w:ascii="Times New Roman" w:eastAsia="Times New Roman" w:hAnsi="Times New Roman" w:cs="Times New Roman"/>
          <w:color w:val="000000"/>
          <w:spacing w:val="0"/>
          <w:w w:val="100"/>
          <w:position w:val="0"/>
          <w:sz w:val="18"/>
          <w:szCs w:val="18"/>
        </w:rPr>
        <w:t>2</w:t>
      </w:r>
      <w:bookmarkEnd w:id="646"/>
      <w:r>
        <w:rPr>
          <w:color w:val="000000"/>
          <w:spacing w:val="0"/>
          <w:w w:val="100"/>
          <w:position w:val="0"/>
        </w:rPr>
        <w:t>、</w:t>
        <w:tab/>
        <w:t>审计应对</w:t>
      </w:r>
    </w:p>
    <w:p>
      <w:pPr>
        <w:pStyle w:val="Style17"/>
        <w:keepNext w:val="0"/>
        <w:keepLines w:val="0"/>
        <w:widowControl w:val="0"/>
        <w:shd w:val="clear" w:color="auto" w:fill="auto"/>
        <w:tabs>
          <w:tab w:pos="925" w:val="left"/>
        </w:tabs>
        <w:bidi w:val="0"/>
        <w:spacing w:before="0" w:after="0" w:line="315" w:lineRule="exact"/>
        <w:ind w:left="0" w:right="0" w:firstLine="48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了解、测试和评价存货跌价准备及年末确定存货估计售价相关的内部控制；</w:t>
      </w:r>
    </w:p>
    <w:p>
      <w:pPr>
        <w:pStyle w:val="Style17"/>
        <w:keepNext w:val="0"/>
        <w:keepLines w:val="0"/>
        <w:widowControl w:val="0"/>
        <w:shd w:val="clear" w:color="auto" w:fill="auto"/>
        <w:tabs>
          <w:tab w:pos="925" w:val="left"/>
        </w:tabs>
        <w:bidi w:val="0"/>
        <w:spacing w:before="0" w:after="0" w:line="326" w:lineRule="exact"/>
        <w:ind w:left="0" w:right="0" w:firstLine="48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对五洋停车公司存货实施监盘，检查存货的数量、状况等；</w:t>
      </w:r>
    </w:p>
    <w:p>
      <w:pPr>
        <w:pStyle w:val="Style17"/>
        <w:keepNext w:val="0"/>
        <w:keepLines w:val="0"/>
        <w:widowControl w:val="0"/>
        <w:shd w:val="clear" w:color="auto" w:fill="auto"/>
        <w:tabs>
          <w:tab w:pos="925" w:val="left"/>
        </w:tabs>
        <w:bidi w:val="0"/>
        <w:spacing w:before="0" w:after="0" w:line="326" w:lineRule="exact"/>
        <w:ind w:left="0" w:right="0" w:firstLine="48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取得已签订未执行合同，并将其与估计售价进行比较分析；</w:t>
      </w:r>
    </w:p>
    <w:p>
      <w:pPr>
        <w:pStyle w:val="Style17"/>
        <w:keepNext w:val="0"/>
        <w:keepLines w:val="0"/>
        <w:widowControl w:val="0"/>
        <w:shd w:val="clear" w:color="auto" w:fill="auto"/>
        <w:tabs>
          <w:tab w:pos="925" w:val="left"/>
        </w:tabs>
        <w:bidi w:val="0"/>
        <w:spacing w:before="0" w:after="0" w:line="326" w:lineRule="exact"/>
        <w:ind w:left="0" w:right="0" w:firstLine="48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对于尚未签订销售合同的主要产品，将产品估计售价与最近或期后的实际售价进行比较分析；</w:t>
      </w:r>
    </w:p>
    <w:p>
      <w:pPr>
        <w:pStyle w:val="Style17"/>
        <w:keepNext w:val="0"/>
        <w:keepLines w:val="0"/>
        <w:widowControl w:val="0"/>
        <w:shd w:val="clear" w:color="auto" w:fill="auto"/>
        <w:bidi w:val="0"/>
        <w:spacing w:before="0" w:after="0" w:line="326" w:lineRule="exact"/>
        <w:ind w:left="0" w:right="0" w:firstLine="48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查询五洋停车公司本年度主要原材料单价变动情况，了解</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年度相关原材料价格的走势，考虑存货受原材料 价格影响的程度，判断产生存货跌价的风险；</w:t>
      </w:r>
    </w:p>
    <w:p>
      <w:pPr>
        <w:pStyle w:val="Style17"/>
        <w:keepNext w:val="0"/>
        <w:keepLines w:val="0"/>
        <w:widowControl w:val="0"/>
        <w:shd w:val="clear" w:color="auto" w:fill="auto"/>
        <w:tabs>
          <w:tab w:pos="1021" w:val="left"/>
        </w:tabs>
        <w:bidi w:val="0"/>
        <w:spacing w:before="0" w:after="0" w:line="319" w:lineRule="exact"/>
        <w:ind w:left="0" w:right="0" w:firstLine="48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获取五洋停车公司产品跌价准备计算表，执行存货减值测试，检查是否按五洋停车公司相关会计政策执行，分 析存货跌价准备计提是否充分。</w:t>
      </w:r>
    </w:p>
    <w:p>
      <w:pPr>
        <w:pStyle w:val="Style17"/>
        <w:keepNext w:val="0"/>
        <w:keepLines w:val="0"/>
        <w:widowControl w:val="0"/>
        <w:shd w:val="clear" w:color="auto" w:fill="auto"/>
        <w:bidi w:val="0"/>
        <w:spacing w:before="0" w:after="0" w:line="319" w:lineRule="exact"/>
        <w:ind w:left="0" w:right="0" w:firstLine="480"/>
        <w:jc w:val="left"/>
      </w:pPr>
      <w:bookmarkStart w:id="653" w:name="bookmark653"/>
      <w:r>
        <w:rPr>
          <w:color w:val="000000"/>
          <w:spacing w:val="0"/>
          <w:w w:val="100"/>
          <w:position w:val="0"/>
        </w:rPr>
        <w:t>四</w:t>
      </w:r>
      <w:bookmarkEnd w:id="653"/>
      <w:r>
        <w:rPr>
          <w:color w:val="000000"/>
          <w:spacing w:val="0"/>
          <w:w w:val="100"/>
          <w:position w:val="0"/>
        </w:rPr>
        <w:t>、其他信息</w:t>
      </w:r>
    </w:p>
    <w:p>
      <w:pPr>
        <w:pStyle w:val="Style1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五洋停车公司管理层（以下简称管理层）对其他信息负责。其他信息包括五洋停车公司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年度报告中涵盖的信息，但 不包括财务报表和我们的审计报告。</w:t>
      </w:r>
    </w:p>
    <w:p>
      <w:pPr>
        <w:pStyle w:val="Style1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17"/>
        <w:keepNext w:val="0"/>
        <w:keepLines w:val="0"/>
        <w:widowControl w:val="0"/>
        <w:shd w:val="clear" w:color="auto" w:fill="auto"/>
        <w:bidi w:val="0"/>
        <w:spacing w:before="0" w:after="0" w:line="319" w:lineRule="exact"/>
        <w:ind w:left="0" w:right="0" w:firstLine="360"/>
        <w:jc w:val="both"/>
      </w:pPr>
      <w:r>
        <w:rPr>
          <w:color w:val="000000"/>
          <w:spacing w:val="0"/>
          <w:w w:val="100"/>
          <w:position w:val="0"/>
        </w:rPr>
        <w:t xml:space="preserve">结合我们对财务报表的审计，我们的责任是阅读其他信息，在此过程中，考虑其他信息是否与财务报表或我们在审计过 </w:t>
      </w:r>
      <w:r>
        <w:rPr>
          <w:color w:val="000000"/>
          <w:spacing w:val="0"/>
          <w:w w:val="100"/>
          <w:position w:val="0"/>
        </w:rPr>
        <w:t>程中了解到的情况存在重大不一致或者似乎存在重大错报。</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7"/>
        <w:keepNext w:val="0"/>
        <w:keepLines w:val="0"/>
        <w:widowControl w:val="0"/>
        <w:shd w:val="clear" w:color="auto" w:fill="auto"/>
        <w:tabs>
          <w:tab w:pos="924" w:val="left"/>
        </w:tabs>
        <w:bidi w:val="0"/>
        <w:spacing w:before="0" w:after="0" w:line="314" w:lineRule="exact"/>
        <w:ind w:left="0" w:right="0" w:firstLine="500"/>
        <w:jc w:val="both"/>
      </w:pPr>
      <w:bookmarkStart w:id="654" w:name="bookmark654"/>
      <w:r>
        <w:rPr>
          <w:color w:val="000000"/>
          <w:spacing w:val="0"/>
          <w:w w:val="100"/>
          <w:position w:val="0"/>
        </w:rPr>
        <w:t>五</w:t>
      </w:r>
      <w:bookmarkEnd w:id="654"/>
      <w:r>
        <w:rPr>
          <w:color w:val="000000"/>
          <w:spacing w:val="0"/>
          <w:w w:val="100"/>
          <w:position w:val="0"/>
        </w:rPr>
        <w:t>、</w:t>
        <w:tab/>
        <w:t>管理层和治理层对财务报表的责任</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在编制财务报表时，管理层负责评估五洋停车公司的持续经营能力，披露与持续经营相关的事项（如适用），并运用持 续经营假设，除非管理层计划清算五洋停车公司、终止运营或别无其他现实的选择。</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治理层负责监督五洋停车公司的财务报告过程。</w:t>
      </w:r>
    </w:p>
    <w:p>
      <w:pPr>
        <w:pStyle w:val="Style17"/>
        <w:keepNext w:val="0"/>
        <w:keepLines w:val="0"/>
        <w:widowControl w:val="0"/>
        <w:shd w:val="clear" w:color="auto" w:fill="auto"/>
        <w:tabs>
          <w:tab w:pos="924" w:val="left"/>
        </w:tabs>
        <w:bidi w:val="0"/>
        <w:spacing w:before="0" w:after="0" w:line="314" w:lineRule="exact"/>
        <w:ind w:left="0" w:right="0" w:firstLine="500"/>
        <w:jc w:val="both"/>
      </w:pPr>
      <w:bookmarkStart w:id="655" w:name="bookmark655"/>
      <w:r>
        <w:rPr>
          <w:color w:val="000000"/>
          <w:spacing w:val="0"/>
          <w:w w:val="100"/>
          <w:position w:val="0"/>
        </w:rPr>
        <w:t>六</w:t>
      </w:r>
      <w:bookmarkEnd w:id="655"/>
      <w:r>
        <w:rPr>
          <w:color w:val="000000"/>
          <w:spacing w:val="0"/>
          <w:w w:val="100"/>
          <w:position w:val="0"/>
        </w:rPr>
        <w:t>、</w:t>
        <w:tab/>
        <w:t>注册会计师对财务报表审计的责任</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告。合理保证是高水平的保证，但并不能保证按照审计准则执行的审计在某一重大错报存在时总能发现。错报可能由舞弊或 错误导致，如果合理预期错报单独或汇总起来可能影响财务报表使用者依据财务报表作出的经济决策，则通常认为错报是重 大的。</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在按照审计准则执行审计的过程中，我们运用了职业判断，保持了职业怀疑。同时，我们也执行以下工作：</w:t>
      </w:r>
    </w:p>
    <w:p>
      <w:pPr>
        <w:pStyle w:val="Style17"/>
        <w:keepNext w:val="0"/>
        <w:keepLines w:val="0"/>
        <w:widowControl w:val="0"/>
        <w:shd w:val="clear" w:color="auto" w:fill="auto"/>
        <w:tabs>
          <w:tab w:pos="895" w:val="left"/>
        </w:tabs>
        <w:bidi w:val="0"/>
        <w:spacing w:before="0" w:after="0" w:line="314" w:lineRule="exact"/>
        <w:ind w:left="0" w:right="0" w:firstLine="38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7"/>
        <w:keepNext w:val="0"/>
        <w:keepLines w:val="0"/>
        <w:widowControl w:val="0"/>
        <w:shd w:val="clear" w:color="auto" w:fill="auto"/>
        <w:tabs>
          <w:tab w:pos="819" w:val="left"/>
        </w:tabs>
        <w:bidi w:val="0"/>
        <w:spacing w:before="0" w:after="0" w:line="314" w:lineRule="exact"/>
        <w:ind w:left="0" w:right="0" w:firstLine="38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17"/>
        <w:keepNext w:val="0"/>
        <w:keepLines w:val="0"/>
        <w:widowControl w:val="0"/>
        <w:shd w:val="clear" w:color="auto" w:fill="auto"/>
        <w:tabs>
          <w:tab w:pos="819" w:val="left"/>
        </w:tabs>
        <w:bidi w:val="0"/>
        <w:spacing w:before="0" w:after="0" w:line="314" w:lineRule="exact"/>
        <w:ind w:left="0" w:right="0" w:firstLine="38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17"/>
        <w:keepNext w:val="0"/>
        <w:keepLines w:val="0"/>
        <w:widowControl w:val="0"/>
        <w:shd w:val="clear" w:color="auto" w:fill="auto"/>
        <w:tabs>
          <w:tab w:pos="895" w:val="left"/>
        </w:tabs>
        <w:bidi w:val="0"/>
        <w:spacing w:before="0" w:after="0" w:line="314" w:lineRule="exact"/>
        <w:ind w:left="0" w:right="0" w:firstLine="38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对管理层使用持续经营假设的恰当性得出结论。同时，根据获取的审计证据，就可能导致对五洋停车公司持续经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论基于截至审计报告日可获得的信息。然而，未来的事项或情况可能导致五洋停车公司不能持续经营。</w:t>
      </w:r>
    </w:p>
    <w:p>
      <w:pPr>
        <w:pStyle w:val="Style17"/>
        <w:keepNext w:val="0"/>
        <w:keepLines w:val="0"/>
        <w:widowControl w:val="0"/>
        <w:shd w:val="clear" w:color="auto" w:fill="auto"/>
        <w:tabs>
          <w:tab w:pos="819" w:val="left"/>
        </w:tabs>
        <w:bidi w:val="0"/>
        <w:spacing w:before="0" w:after="0" w:line="314" w:lineRule="exact"/>
        <w:ind w:left="0" w:right="0" w:firstLine="38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17"/>
        <w:keepNext w:val="0"/>
        <w:keepLines w:val="0"/>
        <w:widowControl w:val="0"/>
        <w:shd w:val="clear" w:color="auto" w:fill="auto"/>
        <w:tabs>
          <w:tab w:pos="890" w:val="left"/>
        </w:tabs>
        <w:bidi w:val="0"/>
        <w:spacing w:before="0" w:after="0" w:line="314" w:lineRule="exact"/>
        <w:ind w:left="0" w:right="0" w:firstLine="380"/>
        <w:jc w:val="both"/>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就五洋停车公司中实体或业务活动的财务信息获取充分、适当的审计证据，以对财务报表发表意见。我们负责指 导、监督和执行集团审计。我们对审计意见承担全部责任。</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7"/>
        <w:keepNext w:val="0"/>
        <w:keepLines w:val="0"/>
        <w:widowControl w:val="0"/>
        <w:shd w:val="clear" w:color="auto" w:fill="auto"/>
        <w:bidi w:val="0"/>
        <w:spacing w:before="0" w:after="1520" w:line="314"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7"/>
        <w:keepNext w:val="0"/>
        <w:keepLines w:val="0"/>
        <w:widowControl w:val="0"/>
        <w:shd w:val="clear" w:color="auto" w:fill="auto"/>
        <w:bidi w:val="0"/>
        <w:spacing w:before="0" w:after="140" w:line="240" w:lineRule="auto"/>
        <w:ind w:left="1340" w:right="0" w:firstLine="0"/>
        <w:jc w:val="both"/>
      </w:pPr>
      <w:r>
        <w:rPr>
          <w:color w:val="000000"/>
          <w:spacing w:val="0"/>
          <w:w w:val="100"/>
          <w:position w:val="0"/>
        </w:rPr>
        <w:t>中兴华会计师事务所（特殊普通合伙）中国注册会计师：闻国胜</w:t>
      </w:r>
    </w:p>
    <w:p>
      <w:pPr>
        <w:pStyle w:val="Style17"/>
        <w:keepNext w:val="0"/>
        <w:keepLines w:val="0"/>
        <w:widowControl w:val="0"/>
        <w:shd w:val="clear" w:color="auto" w:fill="auto"/>
        <w:bidi w:val="0"/>
        <w:spacing w:before="0" w:after="140" w:line="240" w:lineRule="auto"/>
        <w:ind w:left="3600" w:right="0" w:firstLine="0"/>
        <w:jc w:val="left"/>
      </w:pPr>
      <w:r>
        <w:rPr>
          <w:color w:val="000000"/>
          <w:spacing w:val="0"/>
          <w:w w:val="100"/>
          <w:position w:val="0"/>
        </w:rPr>
        <w:t>（项目合伙人）</w:t>
      </w:r>
    </w:p>
    <w:p>
      <w:pPr>
        <w:pStyle w:val="Style17"/>
        <w:keepNext w:val="0"/>
        <w:keepLines w:val="0"/>
        <w:widowControl w:val="0"/>
        <w:shd w:val="clear" w:color="auto" w:fill="auto"/>
        <w:tabs>
          <w:tab w:pos="2853" w:val="left"/>
        </w:tabs>
        <w:bidi w:val="0"/>
        <w:spacing w:before="0" w:after="480" w:line="240" w:lineRule="auto"/>
        <w:ind w:left="0" w:right="0" w:firstLine="100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中国注册会计师：张舸</w:t>
      </w:r>
    </w:p>
    <w:p>
      <w:pPr>
        <w:pStyle w:val="Style20"/>
        <w:keepNext w:val="0"/>
        <w:keepLines w:val="0"/>
        <w:widowControl w:val="0"/>
        <w:shd w:val="clear" w:color="auto" w:fill="auto"/>
        <w:bidi w:val="0"/>
        <w:spacing w:before="0" w:after="300" w:line="240" w:lineRule="auto"/>
        <w:ind w:left="290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br w:type="page"/>
      </w:r>
    </w:p>
    <w:p>
      <w:pPr>
        <w:pStyle w:val="Style24"/>
        <w:keepNext/>
        <w:keepLines/>
        <w:widowControl w:val="0"/>
        <w:shd w:val="clear" w:color="auto" w:fill="auto"/>
        <w:bidi w:val="0"/>
        <w:spacing w:before="0" w:after="380" w:line="240" w:lineRule="auto"/>
        <w:ind w:left="0" w:right="0" w:firstLine="0"/>
        <w:jc w:val="left"/>
      </w:pPr>
      <w:bookmarkStart w:id="662" w:name="bookmark662"/>
      <w:bookmarkStart w:id="663" w:name="bookmark663"/>
      <w:bookmarkStart w:id="664" w:name="bookmark664"/>
      <w:r>
        <w:rPr>
          <w:color w:val="000000"/>
          <w:spacing w:val="0"/>
          <w:w w:val="100"/>
          <w:position w:val="0"/>
        </w:rPr>
        <w:t>二、财务报表</w:t>
      </w:r>
      <w:bookmarkEnd w:id="662"/>
      <w:bookmarkEnd w:id="663"/>
      <w:bookmarkEnd w:id="664"/>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color w:val="000000"/>
          <w:spacing w:val="0"/>
          <w:w w:val="100"/>
          <w:position w:val="0"/>
        </w:rPr>
        <w:t>、合并资产负债表</w:t>
      </w:r>
      <w:bookmarkEnd w:id="665"/>
      <w:bookmarkEnd w:id="666"/>
      <w:bookmarkEnd w:id="668"/>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编制单位：江苏五洋停车产业集团股份有限公司</w:t>
      </w:r>
    </w:p>
    <w:p>
      <w:pPr>
        <w:pStyle w:val="Style20"/>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320,572,983.74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641,447,936.66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333,585,242.94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136,087,653.35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57,692,033.08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61,843,678.42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885,783,867.19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923,688,156.90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54,929,228.70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39,661,817.05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32,027,378.01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34,638,225.36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62,816,871.53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41,395,708.58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624,626,211.60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600,028,285.93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166,209,454.15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137,517,908.38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58,351,782.09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59,703,387.60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81,318,462.42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25,621,224.38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2,677,913,515.45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2,701,633,982.61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22,801,306.72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28,102,729.75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4,556,223.03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6,829,282.67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299,175,819.78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302,672,036.23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44,695,105.33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37,321,665.30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213,516,362.47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176,165,960.60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193,871,424.15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415,762,398.89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488,755,401.80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4,238,642.79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127,334,643.58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45,081,425.88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31,941,642.37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39,880,305.05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28,983,598.03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1,266,778,550.54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1,246,717,423.88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3,944,692,065.99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3,948,351,406.49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228,640,970.39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117,693,485.21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76,395,754.51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93,495,208.00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395,282,780.03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421,179,553.37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6,196,017.72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9,169,822.90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342,368,996.52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294,758,916.52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21,248,764.53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18,991,151.12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41,923,157.83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49,847,066.37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74,590,886.72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171,285,121.48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99,031,558.13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21,703,853.24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1,285,678,886.38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1,198,124,178.21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10,021,248.14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140,629,319.20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14,252,805.77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12,973,897.70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22,212,011.64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23,832,193.32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187,115,384.75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36,806,091.02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1,472,794,271.13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1,234,930,269.23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1,116,383,561.00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858,756,586.00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819,683,072.16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1,079,672,602.81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21,258,933.56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21,258,933.56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402,736,346.93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617,602,757.77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2,360,061,913.65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2,577,290,880.14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111,835,881.21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136,130,257.12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2,471,897,794.86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2,713,421,137.26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3,944,692,065.99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3,948,351,406.49</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39700" distB="3175" distL="114300" distR="5146675" simplePos="0" relativeHeight="125829387" behindDoc="0" locked="0" layoutInCell="1" allowOverlap="1">
                <wp:simplePos x="0" y="0"/>
                <wp:positionH relativeFrom="page">
                  <wp:posOffset>701675</wp:posOffset>
                </wp:positionH>
                <wp:positionV relativeFrom="margin">
                  <wp:posOffset>2572385</wp:posOffset>
                </wp:positionV>
                <wp:extent cx="1054735" cy="149225"/>
                <wp:wrapTopAndBottom/>
                <wp:docPr id="12" name="Shape 1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法定代表人：侯友夫</w:t>
                            </w:r>
                          </w:p>
                        </w:txbxContent>
                      </wps:txbx>
                      <wps:bodyPr wrap="none" lIns="0" tIns="0" rIns="0" bIns="0">
                        <a:noAutoFit/>
                      </wps:bodyPr>
                    </wps:wsp>
                  </a:graphicData>
                </a:graphic>
              </wp:anchor>
            </w:drawing>
          </mc:Choice>
          <mc:Fallback>
            <w:pict>
              <v:shape id="_x0000_s1038" type="#_x0000_t202" style="position:absolute;margin-left:55.25pt;margin-top:202.55000000000001pt;width:83.049999999999997pt;height:11.75pt;z-index:-125829366;mso-wrap-distance-left:9.pt;mso-wrap-distance-top:11.pt;mso-wrap-distance-right:405.25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法定代表人：侯友夫</w:t>
                      </w:r>
                    </w:p>
                  </w:txbxContent>
                </v:textbox>
                <w10:wrap type="topAndBottom" anchorx="page" anchory="margin"/>
              </v:shape>
            </w:pict>
          </mc:Fallback>
        </mc:AlternateContent>
      </w:r>
      <w:r>
        <mc:AlternateContent>
          <mc:Choice Requires="wps">
            <w:drawing>
              <wp:anchor distT="139700" distB="6350" distL="2345690" distR="2461260" simplePos="0" relativeHeight="125829389" behindDoc="0" locked="0" layoutInCell="1" allowOverlap="1">
                <wp:simplePos x="0" y="0"/>
                <wp:positionH relativeFrom="page">
                  <wp:posOffset>2933065</wp:posOffset>
                </wp:positionH>
                <wp:positionV relativeFrom="margin">
                  <wp:posOffset>2572385</wp:posOffset>
                </wp:positionV>
                <wp:extent cx="1508760" cy="146050"/>
                <wp:wrapTopAndBottom/>
                <wp:docPr id="14" name="Shape 1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主管会计工作负责人：王兆勇</w:t>
                            </w:r>
                          </w:p>
                        </w:txbxContent>
                      </wps:txbx>
                      <wps:bodyPr wrap="none" lIns="0" tIns="0" rIns="0" bIns="0">
                        <a:noAutoFit/>
                      </wps:bodyPr>
                    </wps:wsp>
                  </a:graphicData>
                </a:graphic>
              </wp:anchor>
            </w:drawing>
          </mc:Choice>
          <mc:Fallback>
            <w:pict>
              <v:shape id="_x0000_s1040" type="#_x0000_t202" style="position:absolute;margin-left:230.95000000000002pt;margin-top:202.55000000000001pt;width:118.8pt;height:11.5pt;z-index:-125829364;mso-wrap-distance-left:184.70000000000002pt;mso-wrap-distance-top:11.pt;mso-wrap-distance-right:193.80000000000001pt;mso-wrap-distance-bottom:0.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主管会计工作负责人：王兆勇</w:t>
                      </w:r>
                    </w:p>
                  </w:txbxContent>
                </v:textbox>
                <w10:wrap type="topAndBottom" anchorx="page" anchory="margin"/>
              </v:shape>
            </w:pict>
          </mc:Fallback>
        </mc:AlternateContent>
      </w:r>
      <w:r>
        <mc:AlternateContent>
          <mc:Choice Requires="wps">
            <w:drawing>
              <wp:anchor distT="139700" distB="0" distL="5033645" distR="114935" simplePos="0" relativeHeight="125829391" behindDoc="0" locked="0" layoutInCell="1" allowOverlap="1">
                <wp:simplePos x="0" y="0"/>
                <wp:positionH relativeFrom="page">
                  <wp:posOffset>5621020</wp:posOffset>
                </wp:positionH>
                <wp:positionV relativeFrom="margin">
                  <wp:posOffset>2572385</wp:posOffset>
                </wp:positionV>
                <wp:extent cx="1167130" cy="152400"/>
                <wp:wrapTopAndBottom/>
                <wp:docPr id="16" name="Shape 16"/>
                <a:graphic xmlns:a="http://schemas.openxmlformats.org/drawingml/2006/main">
                  <a:graphicData uri="http://schemas.microsoft.com/office/word/2010/wordprocessingShape">
                    <wps:wsp>
                      <wps:cNvSpPr txBox="1"/>
                      <wps:spPr>
                        <a:xfrm>
                          <a:ext cx="1167130" cy="15240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会计机构负责人：王侠</w:t>
                            </w:r>
                          </w:p>
                        </w:txbxContent>
                      </wps:txbx>
                      <wps:bodyPr wrap="none" lIns="0" tIns="0" rIns="0" bIns="0">
                        <a:noAutoFit/>
                      </wps:bodyPr>
                    </wps:wsp>
                  </a:graphicData>
                </a:graphic>
              </wp:anchor>
            </w:drawing>
          </mc:Choice>
          <mc:Fallback>
            <w:pict>
              <v:shape id="_x0000_s1042" type="#_x0000_t202" style="position:absolute;margin-left:442.60000000000002pt;margin-top:202.55000000000001pt;width:91.900000000000006pt;height:12.pt;z-index:-125829362;mso-wrap-distance-left:396.35000000000002pt;mso-wrap-distance-top:11.pt;mso-wrap-distance-right:9.0500000000000007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会计机构负责人：王侠</w:t>
                      </w:r>
                    </w:p>
                  </w:txbxContent>
                </v:textbox>
                <w10:wrap type="topAndBottom" anchorx="page" anchory="margin"/>
              </v:shape>
            </w:pict>
          </mc:Fallback>
        </mc:AlternateContent>
      </w: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2</w:t>
      </w:r>
      <w:bookmarkEnd w:id="671"/>
      <w:r>
        <w:rPr>
          <w:color w:val="000000"/>
          <w:spacing w:val="0"/>
          <w:w w:val="100"/>
          <w:position w:val="0"/>
        </w:rPr>
        <w:t>、母公司资产负债表</w:t>
      </w:r>
      <w:bookmarkEnd w:id="669"/>
      <w:bookmarkEnd w:id="670"/>
      <w:bookmarkEnd w:id="67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23,080,298.17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25,192,046.80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6,487,992.70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2,239,425.55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74,333,576.75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68,360,460.91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32,727,855.14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23,989,806.34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1,893,511.48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665,783.30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107,010,493.58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85,491,186.11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19,783,019.04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18,519,856.89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11,062,164.07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8,377,919.79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308,378,910.93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258,336,485.69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1,806,079,449.61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1,872,688,263.99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25,704,134.28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29,820,499.27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4,734,082.26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4,977,355.97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16,812,504.14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2,910,743.83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1,864,530,170.29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1,910,649,163.06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2,172,909,081.22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2,168,985,648.75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30,535,877.78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10,011,458.33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18,090,000.00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21,470,000.00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23,953,978.43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15,370,058.95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257,161.00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13,809,570.05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9,356,723.39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1,486,918.15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1,295,603.71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5,637,817.82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2,377,638.91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47,404,367.85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45,004,909.62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3,145,244.11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1,216,374.04</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144,063,774.19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106,359,927.95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144,063,774.19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106,359,927.95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1,116,383,561.00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858,756,586.00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820,253,340.71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1,077,880,315.71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21,258,933.56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21,258,933.56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70,949,471.76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104,729,885.53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2,028,845,307.03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2,062,625,720.80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2,172,909,081.22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2,168,985,648.75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3</w:t>
      </w:r>
      <w:bookmarkEnd w:id="675"/>
      <w:r>
        <w:rPr>
          <w:color w:val="000000"/>
          <w:spacing w:val="0"/>
          <w:w w:val="100"/>
          <w:position w:val="0"/>
        </w:rPr>
        <w:t>、合并利润表</w:t>
      </w:r>
      <w:bookmarkEnd w:id="673"/>
      <w:bookmarkEnd w:id="674"/>
      <w:bookmarkEnd w:id="67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1,555,955,258.05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1,631,563,723.56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1,555,955,258.05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1,631,563,723.56</w:t>
            </w: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1,670,334,732.51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1,412,586,501.23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1,295,878,760.48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1,113,348,073.12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提取保险责任合同准备金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13,716,669.18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13,181,753.40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116,870,671.17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101,873,888.82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89,353,437.16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74,540,270.63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136,651,465.98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102,371,881.35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17,863,728.54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7,270,633.91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16,518,074.06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14,013,434.58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2,859,774.21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8,611,143.33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54,086,085.74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35,756,606.03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19,865,247.34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449,951.73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-2,273,059.64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-1,391,015.77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-60,155,604.45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-45,880,494.94</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-86,078,483.11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-38,608,498.63</w:t>
            </w:r>
          </w:p>
        </w:tc>
      </w:tr>
    </w:tbl>
    <w:p>
      <w:pPr>
        <w:widowControl w:val="0"/>
        <w:spacing w:line="1" w:lineRule="exact"/>
      </w:pPr>
      <w:r>
        <w:br w:type="page"/>
      </w:r>
    </w:p>
    <w:tbl>
      <w:tblPr>
        <w:tblOverlap w:val="never"/>
        <w:jc w:val="center"/>
        <w:tblLayout w:type="fixed"/>
      </w:tblPr>
      <w:tblGrid>
        <w:gridCol w:w="3082"/>
        <w:gridCol w:w="3211"/>
        <w:gridCol w:w="328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266,620.16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-352,553.24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-186,395,608.78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170,342,233.28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3,775,793.31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1,653,205.63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526,635.23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2,730,038.45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-183,146,450.70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169,265,400.46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-3,877,442.33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18,358,892.59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-179,269,008.37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150,906,507.87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-179,269,008.37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150,906,507.87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-177,177,478.96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148,416,990.20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-2,091,529.41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2,489,517.67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-179,269,008.37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150,906,507.87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-177,177,478.96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148,416,990.20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-2,091,529.41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2,489,517.67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bl>
    <w:p>
      <w:pPr>
        <w:widowControl w:val="0"/>
        <w:spacing w:after="79" w:line="1" w:lineRule="exact"/>
      </w:pP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7"/>
        <w:keepNext w:val="0"/>
        <w:keepLines w:val="0"/>
        <w:widowControl w:val="0"/>
        <w:shd w:val="clear" w:color="auto" w:fill="auto"/>
        <w:tabs>
          <w:tab w:pos="3509" w:val="left"/>
          <w:tab w:pos="7742" w:val="left"/>
        </w:tabs>
        <w:bidi w:val="0"/>
        <w:spacing w:before="0" w:after="400" w:line="240" w:lineRule="auto"/>
        <w:ind w:left="0" w:right="0" w:firstLine="0"/>
        <w:jc w:val="left"/>
      </w:pPr>
      <w:r>
        <w:rPr>
          <w:color w:val="000000"/>
          <w:spacing w:val="0"/>
          <w:w w:val="100"/>
          <w:position w:val="0"/>
        </w:rPr>
        <w:t>法定代表人：侯友夫</w:t>
        <w:tab/>
        <w:t>主管会计工作负责人：王兆勇</w:t>
        <w:tab/>
        <w:t>会计机构负责人：王侠</w:t>
      </w:r>
    </w:p>
    <w:p>
      <w:pPr>
        <w:pStyle w:val="Style28"/>
        <w:keepNext/>
        <w:keepLines/>
        <w:widowControl w:val="0"/>
        <w:shd w:val="clear" w:color="auto" w:fill="auto"/>
        <w:bidi w:val="0"/>
        <w:spacing w:before="0" w:after="40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4</w:t>
      </w:r>
      <w:bookmarkEnd w:id="679"/>
      <w:r>
        <w:rPr>
          <w:color w:val="000000"/>
          <w:spacing w:val="0"/>
          <w:w w:val="100"/>
          <w:position w:val="0"/>
        </w:rPr>
        <w:t>、母公司利润表</w:t>
      </w:r>
      <w:bookmarkEnd w:id="677"/>
      <w:bookmarkEnd w:id="678"/>
      <w:bookmarkEnd w:id="68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137,794,928.71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114,240,321.43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85,411,029.37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68,302,418.40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1,850,756.32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1,455,882.09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16,025,025.57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15,282,668.56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8,123,489.95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8,597,262.44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8,630,256.81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6,608,450.76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-1,115,244.64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-78,596.65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1,016,072.27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2,069,684.47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2,156,852.45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2,171,751.27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2,929,107.94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11,801,523.65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53,845,936.13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-1,677,334.99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-1,637,358.65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-2,121,121.55</w:t>
            </w:r>
          </w:p>
        </w:tc>
      </w:tr>
    </w:tbl>
    <w:p>
      <w:pPr>
        <w:widowControl w:val="0"/>
        <w:spacing w:line="1" w:lineRule="exact"/>
      </w:pPr>
      <w:r>
        <w:br w:type="page"/>
      </w:r>
    </w:p>
    <w:tbl>
      <w:tblPr>
        <w:tblOverlap w:val="never"/>
        <w:jc w:val="center"/>
        <w:tblLayout w:type="fixed"/>
      </w:tblPr>
      <w:tblGrid>
        <w:gridCol w:w="2971"/>
        <w:gridCol w:w="3298"/>
        <w:gridCol w:w="3312"/>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-5,654,984.44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-1,126,006.99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-87,315,971.48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86,822.43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-17,326,296.52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23,160,189.54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11,750.08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-17,418,531.82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23,148,439.46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-9,400,815.63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3,258,155.38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-8,017,716.19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19,890,284.08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-8,017,716.19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19,890,284.08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-8,017,716.19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19,890,284.08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5</w:t>
      </w:r>
      <w:bookmarkEnd w:id="683"/>
      <w:r>
        <w:rPr>
          <w:color w:val="000000"/>
          <w:spacing w:val="0"/>
          <w:w w:val="100"/>
          <w:position w:val="0"/>
        </w:rPr>
        <w:t>、合并现金流量表</w:t>
      </w:r>
      <w:bookmarkEnd w:id="681"/>
      <w:bookmarkEnd w:id="682"/>
      <w:bookmarkEnd w:id="684"/>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1,513,734,246.64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1,263,845,338.80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26,754,973.90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15,084,544.96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63,239,745.91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41,582,522.89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1,603,728,966.45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1,320,512,406.65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1,172,427,660.60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943,654,005.75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210,243,974.17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190,749,446.85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109,300,460.12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94,643,936.67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214,120,940.06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121,027,053.25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1,706,093,034.95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1,350,074,442.52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-102,364,068.50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-29,562,035.87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1,840,967.50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703,474.84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28,848,140.08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2,343,059,344.75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1,075,406,440.98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2,372,610,959.67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1,078,135,408.48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购建固定资产、无形资产和其他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39,976,747.07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58,117,049.54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2,518,276,525.59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1,101,304,527.69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2,569,453,272.66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1,203,721,577.23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-196,842,312.99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-125,586,168.75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5,770,000.00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767,689,575.07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5,770,000.00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7,690,000.00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227,226,976.39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13,543,233.52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245,064,500.00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1,008,459,784.98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117,562,000.00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337,500,000.00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33,868,618.14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9,627,292.59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106,124,954.36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22,996,734.65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257,555,572.50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370,124,027.24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-12,491,072.50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638,335,757.74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-24,756.22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-311,864,020.99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483,162,796.90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554,914,292.98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71,751,496.08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243,050,271.99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554,914,292.98</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6</w:t>
      </w:r>
      <w:bookmarkEnd w:id="687"/>
      <w:r>
        <w:rPr>
          <w:color w:val="000000"/>
          <w:spacing w:val="0"/>
          <w:w w:val="100"/>
          <w:position w:val="0"/>
        </w:rPr>
        <w:t>、母公司现金流量表</w:t>
      </w:r>
      <w:bookmarkEnd w:id="685"/>
      <w:bookmarkEnd w:id="686"/>
      <w:bookmarkEnd w:id="688"/>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63,197,308.50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78,470,712.47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2,746,772.08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2,591,487.90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1,034,515.29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57,753,144.89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66,978,595.87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138,815,345.26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42,457,232.62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90,566,433.10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12,475,751.72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11,691,288.79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12,144,971.76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10,475,405.85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20,673,262.39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22,427,824.57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87,751,218.49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135,160,952.31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-20,772,622.62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3,654,392.95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716,000.00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443,786.56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243,068,007.74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115,580,695.75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283,068,007.74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116,779,982.31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294,025.66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1,700,747.40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637,352,183.89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215,750,000.00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153,508,300.00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255,244,025.66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792,561,231.29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27,823,982.08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-675,781,248.98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759,999,575.07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794,999,575.07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95,000,000.00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26,754,350.40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1,897,173.19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18,166,234.65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36,754,350.40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115,063,407.84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-6,254,350.40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679,936,167.23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797,009.06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7,809,311.20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19,148,697.70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11,339,386.50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19,945,706.76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19,148,697.70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7</w:t>
      </w:r>
      <w:bookmarkEnd w:id="691"/>
      <w:r>
        <w:rPr>
          <w:color w:val="000000"/>
          <w:spacing w:val="0"/>
          <w:w w:val="100"/>
          <w:position w:val="0"/>
        </w:rPr>
        <w:t>、合并所有者权益变动表</w:t>
      </w:r>
      <w:bookmarkEnd w:id="689"/>
      <w:bookmarkEnd w:id="690"/>
      <w:bookmarkEnd w:id="692"/>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672,60</w:t>
            </w:r>
          </w:p>
          <w:p>
            <w:pPr>
              <w:pStyle w:val="Style2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21,258 </w:t>
            </w:r>
            <w:r>
              <w:rPr>
                <w:rFonts w:ascii="Times New Roman" w:eastAsia="Times New Roman" w:hAnsi="Times New Roman" w:cs="Times New Roman"/>
                <w:color w:val="000000"/>
                <w:spacing w:val="0"/>
                <w:w w:val="100"/>
                <w:position w:val="0"/>
                <w:sz w:val="18"/>
                <w:szCs w:val="18"/>
              </w:rPr>
              <w:t xml:space="preserve">,933.5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2,577,</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290,88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136,13</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0,257.</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-8,959, 267.96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672,60</w:t>
            </w:r>
          </w:p>
          <w:p>
            <w:pPr>
              <w:pStyle w:val="Style2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21,258 </w:t>
            </w:r>
            <w:r>
              <w:rPr>
                <w:rFonts w:ascii="Times New Roman" w:eastAsia="Times New Roman" w:hAnsi="Times New Roman" w:cs="Times New Roman"/>
                <w:color w:val="000000"/>
                <w:spacing w:val="0"/>
                <w:w w:val="100"/>
                <w:position w:val="0"/>
                <w:sz w:val="18"/>
                <w:szCs w:val="18"/>
              </w:rPr>
              <w:t xml:space="preserve">,933.5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364,64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127,17</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0,989.</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535,63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89,530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-205,3</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02,732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5,107.</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37,840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77,478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-2,362, 555.65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-2,362, 555.65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3,578.</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-3,903, 394.69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-3,903, 394.69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-2,362, 555.65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-2,362, 555.65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2,739.</w:t>
            </w:r>
          </w:p>
        </w:tc>
      </w:tr>
    </w:tbl>
    <w:p>
      <w:pPr>
        <w:widowControl w:val="0"/>
        <w:spacing w:line="1" w:lineRule="exact"/>
      </w:pP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2,697.</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2,697.</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26,975</w:t>
            </w:r>
          </w:p>
          <w:p>
            <w:pPr>
              <w:pStyle w:val="Style20"/>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26,975</w:t>
            </w:r>
          </w:p>
          <w:p>
            <w:pPr>
              <w:pStyle w:val="Style20"/>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1,116 ,383, </w:t>
            </w:r>
            <w:r>
              <w:rPr>
                <w:rFonts w:ascii="Times New Roman" w:eastAsia="Times New Roman" w:hAnsi="Times New Roman" w:cs="Times New Roman"/>
                <w:color w:val="000000"/>
                <w:spacing w:val="0"/>
                <w:w w:val="100"/>
                <w:position w:val="0"/>
                <w:sz w:val="18"/>
                <w:szCs w:val="18"/>
              </w:rPr>
              <w:t xml:space="preserve">561.0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819,68</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21,258 </w:t>
            </w:r>
            <w:r>
              <w:rPr>
                <w:rFonts w:ascii="Times New Roman" w:eastAsia="Times New Roman" w:hAnsi="Times New Roman" w:cs="Times New Roman"/>
                <w:color w:val="000000"/>
                <w:spacing w:val="0"/>
                <w:w w:val="100"/>
                <w:position w:val="0"/>
                <w:sz w:val="18"/>
                <w:szCs w:val="18"/>
              </w:rPr>
              <w:t xml:space="preserve">,933.5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402,73</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6,346.</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061,91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r>
        <w:br w:type="page"/>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少数股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19,269 </w:t>
            </w:r>
            <w:r>
              <w:rPr>
                <w:rFonts w:ascii="Times New Roman" w:eastAsia="Times New Roman" w:hAnsi="Times New Roman" w:cs="Times New Roman"/>
                <w:color w:val="000000"/>
                <w:spacing w:val="0"/>
                <w:w w:val="100"/>
                <w:position w:val="0"/>
                <w:sz w:val="18"/>
                <w:szCs w:val="18"/>
              </w:rPr>
              <w:t>,905.1</w:t>
            </w:r>
          </w:p>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1,677, 228,03 </w:t>
            </w: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125,730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19,269 </w:t>
            </w:r>
            <w:r>
              <w:rPr>
                <w:rFonts w:ascii="Times New Roman" w:eastAsia="Times New Roman" w:hAnsi="Times New Roman" w:cs="Times New Roman"/>
                <w:color w:val="000000"/>
                <w:spacing w:val="0"/>
                <w:w w:val="100"/>
                <w:position w:val="0"/>
                <w:sz w:val="18"/>
                <w:szCs w:val="18"/>
              </w:rPr>
              <w:t>,905.1</w:t>
            </w:r>
          </w:p>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1,677, 228,03 </w:t>
            </w: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125,730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608,51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9,759.</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910,462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148,41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2,489,5</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150,906 </w:t>
            </w:r>
            <w:r>
              <w:rPr>
                <w:rFonts w:ascii="Times New Roman" w:eastAsia="Times New Roman" w:hAnsi="Times New Roman" w:cs="Times New Roman"/>
                <w:color w:val="000000"/>
                <w:spacing w:val="0"/>
                <w:w w:val="100"/>
                <w:position w:val="0"/>
                <w:sz w:val="18"/>
                <w:szCs w:val="18"/>
              </w:rPr>
              <w:t>,507.87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608,51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9,759.</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751,64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7,910,6</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759,556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608,22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751,35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p>
            <w:pPr>
              <w:pStyle w:val="Style20"/>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7,690,0</w:t>
            </w:r>
          </w:p>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,183.89</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293,67</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293,67</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514,285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w:t>
            </w:r>
          </w:p>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672,60</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21,258 </w:t>
            </w:r>
            <w:r>
              <w:rPr>
                <w:rFonts w:ascii="Times New Roman" w:eastAsia="Times New Roman" w:hAnsi="Times New Roman" w:cs="Times New Roman"/>
                <w:color w:val="000000"/>
                <w:spacing w:val="0"/>
                <w:w w:val="100"/>
                <w:position w:val="0"/>
                <w:sz w:val="18"/>
                <w:szCs w:val="18"/>
              </w:rPr>
              <w:t xml:space="preserve">,933.5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617,60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290,88</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8</w:t>
      </w:r>
      <w:bookmarkEnd w:id="695"/>
      <w:r>
        <w:rPr>
          <w:color w:val="000000"/>
          <w:spacing w:val="0"/>
          <w:w w:val="100"/>
          <w:position w:val="0"/>
        </w:rPr>
        <w:t>、母公司所有者权益变动表</w:t>
      </w:r>
      <w:bookmarkEnd w:id="693"/>
      <w:bookmarkEnd w:id="694"/>
      <w:bookmarkEnd w:id="696"/>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6,586.0</w:t>
            </w:r>
          </w:p>
          <w:p>
            <w:pPr>
              <w:pStyle w:val="Style2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1,077,88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9,885.5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2,062,625,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6,586.0</w:t>
            </w:r>
          </w:p>
          <w:p>
            <w:pPr>
              <w:pStyle w:val="Style2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1,077,88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9,885.5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2,062,625,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6,975.0</w:t>
            </w:r>
          </w:p>
          <w:p>
            <w:pPr>
              <w:pStyle w:val="Style2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-257,626</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-33,780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-33,780,41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-8,017,</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-8,017,716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-25,762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-25,762,69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-25,762,69</w:t>
            </w:r>
          </w:p>
        </w:tc>
      </w:tr>
    </w:tbl>
    <w:p>
      <w:pPr>
        <w:widowControl w:val="0"/>
        <w:spacing w:line="1" w:lineRule="exact"/>
      </w:pPr>
      <w:r>
        <w:br w:type="page"/>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6,975.0</w:t>
            </w:r>
          </w:p>
          <w:p>
            <w:pPr>
              <w:pStyle w:val="Style2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-257,626</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6,975.0</w:t>
            </w:r>
          </w:p>
          <w:p>
            <w:pPr>
              <w:pStyle w:val="Style2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-257,626</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1,116,3</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83,561.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820,253,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70,949,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2,028,845,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715,63</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469,654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86,828,62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1,291,383,2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400"/>
              <w:jc w:val="left"/>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715,63</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0,489.</w:t>
            </w:r>
          </w:p>
          <w:p>
            <w:pPr>
              <w:pStyle w:val="Style20"/>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469,654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86,828,62</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1,291,383,2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6,097.</w:t>
            </w:r>
          </w:p>
          <w:p>
            <w:pPr>
              <w:pStyle w:val="Style20"/>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608,226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1,989,0</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17,901,25</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771,242,46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19,890,28</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19,890,284.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6,097.</w:t>
            </w:r>
          </w:p>
          <w:p>
            <w:pPr>
              <w:pStyle w:val="Style20"/>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608,226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751,352,18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6,097.</w:t>
            </w:r>
          </w:p>
          <w:p>
            <w:pPr>
              <w:pStyle w:val="Style20"/>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608,226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751,352,18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1,989,0</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-1,989,02</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1,989,0</w:t>
            </w:r>
          </w:p>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-1,989,02</w:t>
            </w:r>
          </w:p>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增资本（或股</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6,586.</w:t>
            </w:r>
          </w:p>
          <w:p>
            <w:pPr>
              <w:pStyle w:val="Style20"/>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1,077,8</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80,315.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104,729,8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2,062,625,7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697" w:name="bookmark697"/>
      <w:bookmarkStart w:id="698" w:name="bookmark698"/>
      <w:bookmarkStart w:id="699" w:name="bookmark699"/>
      <w:r>
        <w:rPr>
          <w:color w:val="000000"/>
          <w:spacing w:val="0"/>
          <w:w w:val="100"/>
          <w:position w:val="0"/>
        </w:rPr>
        <w:t>三、公司基本情况</w:t>
      </w:r>
      <w:bookmarkEnd w:id="697"/>
      <w:bookmarkEnd w:id="698"/>
      <w:bookmarkEnd w:id="699"/>
    </w:p>
    <w:p>
      <w:pPr>
        <w:pStyle w:val="Style17"/>
        <w:keepNext w:val="0"/>
        <w:keepLines w:val="0"/>
        <w:widowControl w:val="0"/>
        <w:shd w:val="clear" w:color="auto" w:fill="auto"/>
        <w:tabs>
          <w:tab w:pos="661" w:val="left"/>
        </w:tabs>
        <w:bidi w:val="0"/>
        <w:spacing w:before="0" w:after="0" w:line="311" w:lineRule="exact"/>
        <w:ind w:left="0" w:right="0" w:firstLine="360"/>
        <w:jc w:val="left"/>
      </w:pPr>
      <w:bookmarkStart w:id="700" w:name="bookmark700"/>
      <w:r>
        <w:rPr>
          <w:rFonts w:ascii="Times New Roman" w:eastAsia="Times New Roman" w:hAnsi="Times New Roman" w:cs="Times New Roman"/>
          <w:color w:val="000000"/>
          <w:spacing w:val="0"/>
          <w:w w:val="100"/>
          <w:position w:val="0"/>
          <w:sz w:val="18"/>
          <w:szCs w:val="18"/>
        </w:rPr>
        <w:t>1</w:t>
      </w:r>
      <w:bookmarkEnd w:id="700"/>
      <w:r>
        <w:rPr>
          <w:color w:val="000000"/>
          <w:spacing w:val="0"/>
          <w:w w:val="100"/>
          <w:position w:val="0"/>
        </w:rPr>
        <w:t>、</w:t>
        <w:tab/>
        <w:t>公司注册地、组织形式和总部地址</w:t>
      </w:r>
    </w:p>
    <w:p>
      <w:pPr>
        <w:pStyle w:val="Style17"/>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江苏五洋停车产业集团股份有限公司（以下简称公司或本公司）前身系徐州五洋科技有限公司（以下简称五洋停车公司）， 五洋停车公司系由自然人孙丹瑞和侯宝土共同出资组建，于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日在江苏省徐州工商行政管理局登记注册，取得注 册号为</w:t>
      </w:r>
      <w:r>
        <w:rPr>
          <w:rFonts w:ascii="Times New Roman" w:eastAsia="Times New Roman" w:hAnsi="Times New Roman" w:cs="Times New Roman"/>
          <w:color w:val="000000"/>
          <w:spacing w:val="0"/>
          <w:w w:val="100"/>
          <w:position w:val="0"/>
          <w:sz w:val="18"/>
          <w:szCs w:val="18"/>
        </w:rPr>
        <w:t>3203002105105</w:t>
      </w:r>
      <w:r>
        <w:rPr>
          <w:color w:val="000000"/>
          <w:spacing w:val="0"/>
          <w:w w:val="100"/>
          <w:position w:val="0"/>
        </w:rPr>
        <w:t>的企业法人营业执照，设立时注册资本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17"/>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日为基准日整体变更为股份有限公司，于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日在江苏省徐州工商行政管理局登记注册， 现持有统一社会信用代码为</w:t>
      </w:r>
      <w:r>
        <w:rPr>
          <w:rFonts w:ascii="Times New Roman" w:eastAsia="Times New Roman" w:hAnsi="Times New Roman" w:cs="Times New Roman"/>
          <w:color w:val="000000"/>
          <w:spacing w:val="0"/>
          <w:w w:val="100"/>
          <w:position w:val="0"/>
          <w:sz w:val="18"/>
          <w:szCs w:val="18"/>
        </w:rPr>
        <w:t>9132030072931977X4</w:t>
      </w:r>
      <w:r>
        <w:rPr>
          <w:color w:val="000000"/>
          <w:spacing w:val="0"/>
          <w:w w:val="100"/>
          <w:position w:val="0"/>
        </w:rPr>
        <w:t>的营业执照。公司现有注册资本人民币</w:t>
      </w:r>
      <w:r>
        <w:rPr>
          <w:rFonts w:ascii="Times New Roman" w:eastAsia="Times New Roman" w:hAnsi="Times New Roman" w:cs="Times New Roman"/>
          <w:color w:val="000000"/>
          <w:spacing w:val="0"/>
          <w:w w:val="100"/>
          <w:position w:val="0"/>
          <w:sz w:val="18"/>
          <w:szCs w:val="18"/>
        </w:rPr>
        <w:t>1,116,383,561.00</w:t>
      </w:r>
      <w:r>
        <w:rPr>
          <w:color w:val="000000"/>
          <w:spacing w:val="0"/>
          <w:w w:val="100"/>
          <w:position w:val="0"/>
        </w:rPr>
        <w:t xml:space="preserve">元，股份总数 </w:t>
      </w:r>
      <w:r>
        <w:rPr>
          <w:rFonts w:ascii="Times New Roman" w:eastAsia="Times New Roman" w:hAnsi="Times New Roman" w:cs="Times New Roman"/>
          <w:color w:val="000000"/>
          <w:spacing w:val="0"/>
          <w:w w:val="100"/>
          <w:position w:val="0"/>
          <w:sz w:val="18"/>
          <w:szCs w:val="18"/>
        </w:rPr>
        <w:t>1,116,383,561</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日，有限售条件的流通股</w:t>
      </w:r>
      <w:r>
        <w:rPr>
          <w:rFonts w:ascii="Times New Roman" w:eastAsia="Times New Roman" w:hAnsi="Times New Roman" w:cs="Times New Roman"/>
          <w:color w:val="000000"/>
          <w:spacing w:val="0"/>
          <w:w w:val="100"/>
          <w:position w:val="0"/>
          <w:sz w:val="18"/>
          <w:szCs w:val="18"/>
        </w:rPr>
        <w:t>79,508,667</w:t>
      </w:r>
      <w:r>
        <w:rPr>
          <w:color w:val="000000"/>
          <w:spacing w:val="0"/>
          <w:w w:val="100"/>
          <w:position w:val="0"/>
        </w:rPr>
        <w:t>股，无限售条件的流通股</w:t>
      </w:r>
      <w:r>
        <w:rPr>
          <w:rFonts w:ascii="Times New Roman" w:eastAsia="Times New Roman" w:hAnsi="Times New Roman" w:cs="Times New Roman"/>
          <w:color w:val="000000"/>
          <w:spacing w:val="0"/>
          <w:w w:val="100"/>
          <w:position w:val="0"/>
          <w:sz w:val="18"/>
          <w:szCs w:val="18"/>
        </w:rPr>
        <w:t xml:space="preserve">1,036,874,894 </w:t>
      </w:r>
      <w:r>
        <w:rPr>
          <w:color w:val="000000"/>
          <w:spacing w:val="0"/>
          <w:w w:val="100"/>
          <w:position w:val="0"/>
        </w:rPr>
        <w:t>股。公司股票于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日在深圳证券交易所挂牌交易。公司总部位于江苏省徐州市。</w:t>
      </w:r>
    </w:p>
    <w:p>
      <w:pPr>
        <w:pStyle w:val="Style17"/>
        <w:keepNext w:val="0"/>
        <w:keepLines w:val="0"/>
        <w:widowControl w:val="0"/>
        <w:shd w:val="clear" w:color="auto" w:fill="auto"/>
        <w:tabs>
          <w:tab w:pos="680" w:val="left"/>
        </w:tabs>
        <w:bidi w:val="0"/>
        <w:spacing w:before="0" w:after="0" w:line="311" w:lineRule="exact"/>
        <w:ind w:left="0" w:right="0" w:firstLine="360"/>
        <w:jc w:val="left"/>
      </w:pPr>
      <w:bookmarkStart w:id="701" w:name="bookmark701"/>
      <w:r>
        <w:rPr>
          <w:rFonts w:ascii="Times New Roman" w:eastAsia="Times New Roman" w:hAnsi="Times New Roman" w:cs="Times New Roman"/>
          <w:color w:val="000000"/>
          <w:spacing w:val="0"/>
          <w:w w:val="100"/>
          <w:position w:val="0"/>
          <w:sz w:val="18"/>
          <w:szCs w:val="18"/>
        </w:rPr>
        <w:t>2</w:t>
      </w:r>
      <w:bookmarkEnd w:id="701"/>
      <w:r>
        <w:rPr>
          <w:color w:val="000000"/>
          <w:spacing w:val="0"/>
          <w:w w:val="100"/>
          <w:position w:val="0"/>
        </w:rPr>
        <w:t>、</w:t>
        <w:tab/>
        <w:t>公司的业务性质和主要经营活动</w:t>
      </w:r>
    </w:p>
    <w:p>
      <w:pPr>
        <w:pStyle w:val="Style17"/>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本公司属专用设备制造行业。主要经营活动为机械式停车设备、自动化设备研发、制造、销售、技术服务；停车场管理 服务；信息系统集成服务；机电设备及配件（专营除外）、矿山机械设备及配件、液压设备及配件、环保专用设备及配件、 洗选设备及配件、管型母线、电力控制与保护设备及配件的研制、生产、销售、安装、维修、租赁及技术服务（专项审批除 外）；软件的开发、销售、安装及技术服务；房屋租赁；道路普通货物运输。</w:t>
      </w:r>
    </w:p>
    <w:p>
      <w:pPr>
        <w:pStyle w:val="Style17"/>
        <w:keepNext w:val="0"/>
        <w:keepLines w:val="0"/>
        <w:widowControl w:val="0"/>
        <w:shd w:val="clear" w:color="auto" w:fill="auto"/>
        <w:tabs>
          <w:tab w:pos="680" w:val="left"/>
        </w:tabs>
        <w:bidi w:val="0"/>
        <w:spacing w:before="0" w:after="0" w:line="311" w:lineRule="exact"/>
        <w:ind w:left="0" w:right="0" w:firstLine="360"/>
        <w:jc w:val="left"/>
      </w:pPr>
      <w:bookmarkStart w:id="702" w:name="bookmark702"/>
      <w:r>
        <w:rPr>
          <w:rFonts w:ascii="Times New Roman" w:eastAsia="Times New Roman" w:hAnsi="Times New Roman" w:cs="Times New Roman"/>
          <w:color w:val="000000"/>
          <w:spacing w:val="0"/>
          <w:w w:val="100"/>
          <w:position w:val="0"/>
          <w:sz w:val="18"/>
          <w:szCs w:val="18"/>
        </w:rPr>
        <w:t>3</w:t>
      </w:r>
      <w:bookmarkEnd w:id="702"/>
      <w:r>
        <w:rPr>
          <w:color w:val="000000"/>
          <w:spacing w:val="0"/>
          <w:w w:val="100"/>
          <w:position w:val="0"/>
        </w:rPr>
        <w:t>、</w:t>
        <w:tab/>
        <w:t>财务报告的批准报出</w:t>
      </w:r>
    </w:p>
    <w:p>
      <w:pPr>
        <w:pStyle w:val="Style17"/>
        <w:keepNext w:val="0"/>
        <w:keepLines w:val="0"/>
        <w:widowControl w:val="0"/>
        <w:shd w:val="clear" w:color="auto" w:fill="auto"/>
        <w:bidi w:val="0"/>
        <w:spacing w:before="0" w:after="300" w:line="311" w:lineRule="exact"/>
        <w:ind w:left="0" w:right="0" w:firstLine="36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日决议批准报出。</w:t>
      </w:r>
    </w:p>
    <w:p>
      <w:pPr>
        <w:pStyle w:val="Style17"/>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户，详见本节九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。本公司本期合并范围比上期增加</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户，详见本节八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合并范围的变更匚</w:t>
      </w:r>
    </w:p>
    <w:p>
      <w:pPr>
        <w:pStyle w:val="Style24"/>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四</w:t>
      </w:r>
      <w:bookmarkEnd w:id="705"/>
      <w:r>
        <w:rPr>
          <w:color w:val="000000"/>
          <w:spacing w:val="0"/>
          <w:w w:val="100"/>
          <w:position w:val="0"/>
        </w:rPr>
        <w:t>、财务报表的编制基础</w:t>
      </w:r>
      <w:bookmarkEnd w:id="703"/>
      <w:bookmarkEnd w:id="704"/>
      <w:bookmarkEnd w:id="706"/>
    </w:p>
    <w:p>
      <w:pPr>
        <w:pStyle w:val="Style28"/>
        <w:keepNext/>
        <w:keepLines/>
        <w:widowControl w:val="0"/>
        <w:shd w:val="clear" w:color="auto" w:fill="auto"/>
        <w:bidi w:val="0"/>
        <w:spacing w:before="0" w:after="26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bookmarkEnd w:id="709"/>
      <w:r>
        <w:rPr>
          <w:color w:val="000000"/>
          <w:spacing w:val="0"/>
          <w:w w:val="100"/>
          <w:position w:val="0"/>
        </w:rPr>
        <w:t>、编制基础</w:t>
      </w:r>
      <w:bookmarkEnd w:id="707"/>
      <w:bookmarkEnd w:id="708"/>
      <w:bookmarkEnd w:id="710"/>
    </w:p>
    <w:p>
      <w:pPr>
        <w:pStyle w:val="Style17"/>
        <w:keepNext w:val="0"/>
        <w:keepLines w:val="0"/>
        <w:widowControl w:val="0"/>
        <w:shd w:val="clear" w:color="auto" w:fill="auto"/>
        <w:bidi w:val="0"/>
        <w:spacing w:before="0" w:after="0" w:line="308" w:lineRule="exact"/>
        <w:ind w:left="0" w:right="0" w:firstLine="380"/>
        <w:jc w:val="both"/>
      </w:pPr>
      <w:r>
        <w:rPr>
          <w:color w:val="000000"/>
          <w:spacing w:val="0"/>
          <w:w w:val="100"/>
          <w:position w:val="0"/>
        </w:rPr>
        <w:t>本公司财务报表以持续经营假设为基础，根据实际发生的交易和事项，按照财政部发布的《企业会计准则一基本准则》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 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年修订）的规定编制。</w:t>
      </w:r>
    </w:p>
    <w:p>
      <w:pPr>
        <w:pStyle w:val="Style17"/>
        <w:keepNext w:val="0"/>
        <w:keepLines w:val="0"/>
        <w:widowControl w:val="0"/>
        <w:shd w:val="clear" w:color="auto" w:fill="auto"/>
        <w:bidi w:val="0"/>
        <w:spacing w:before="0" w:after="1000" w:line="308" w:lineRule="exact"/>
        <w:ind w:left="0" w:right="0" w:firstLine="380"/>
        <w:jc w:val="both"/>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28"/>
        <w:keepNext/>
        <w:keepLines/>
        <w:widowControl w:val="0"/>
        <w:shd w:val="clear" w:color="auto" w:fill="auto"/>
        <w:bidi w:val="0"/>
        <w:spacing w:before="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2</w:t>
      </w:r>
      <w:bookmarkEnd w:id="713"/>
      <w:r>
        <w:rPr>
          <w:color w:val="000000"/>
          <w:spacing w:val="0"/>
          <w:w w:val="100"/>
          <w:position w:val="0"/>
        </w:rPr>
        <w:t>、持续经营</w:t>
      </w:r>
      <w:bookmarkEnd w:id="711"/>
      <w:bookmarkEnd w:id="712"/>
      <w:bookmarkEnd w:id="714"/>
    </w:p>
    <w:p>
      <w:pPr>
        <w:pStyle w:val="Style17"/>
        <w:keepNext w:val="0"/>
        <w:keepLines w:val="0"/>
        <w:widowControl w:val="0"/>
        <w:shd w:val="clear" w:color="auto" w:fill="auto"/>
        <w:bidi w:val="0"/>
        <w:spacing w:before="0" w:after="700" w:line="240" w:lineRule="auto"/>
        <w:ind w:left="0" w:right="0" w:firstLine="380"/>
        <w:jc w:val="both"/>
      </w:pPr>
      <w:r>
        <w:rPr>
          <w:color w:val="000000"/>
          <w:spacing w:val="0"/>
          <w:w w:val="100"/>
          <w:position w:val="0"/>
        </w:rPr>
        <w:t>本财务报表以持续经营为基础列报，本公司自报告期末起至少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个月具有持续经营能力。</w:t>
      </w:r>
    </w:p>
    <w:p>
      <w:pPr>
        <w:pStyle w:val="Style24"/>
        <w:keepNext/>
        <w:keepLines/>
        <w:widowControl w:val="0"/>
        <w:shd w:val="clear" w:color="auto" w:fill="auto"/>
        <w:bidi w:val="0"/>
        <w:spacing w:before="0" w:after="26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五</w:t>
      </w:r>
      <w:bookmarkEnd w:id="717"/>
      <w:r>
        <w:rPr>
          <w:color w:val="000000"/>
          <w:spacing w:val="0"/>
          <w:w w:val="100"/>
          <w:position w:val="0"/>
        </w:rPr>
        <w:t>、重要会计政策及会计估计</w:t>
      </w:r>
      <w:bookmarkEnd w:id="715"/>
      <w:bookmarkEnd w:id="716"/>
      <w:bookmarkEnd w:id="718"/>
    </w:p>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具体会计政策和会计估计提示：</w:t>
      </w:r>
    </w:p>
    <w:p>
      <w:pPr>
        <w:pStyle w:val="Style17"/>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本公司及各子公司根据实际生产经营特点，依据相关企业会计准则的规定，对收入确认、金融工具减值、固定资产折旧、 无形资产摊销等交易和事项制定了若干项具体会计政策和会计估计，具体会计政策参见附注等相关说明。</w:t>
      </w:r>
    </w:p>
    <w:p>
      <w:pPr>
        <w:pStyle w:val="Style28"/>
        <w:keepNext/>
        <w:keepLines/>
        <w:widowControl w:val="0"/>
        <w:shd w:val="clear" w:color="auto" w:fill="auto"/>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、遵循企业会计准则的声明</w:t>
      </w:r>
      <w:bookmarkEnd w:id="719"/>
      <w:bookmarkEnd w:id="720"/>
      <w:bookmarkEnd w:id="722"/>
    </w:p>
    <w:p>
      <w:pPr>
        <w:pStyle w:val="Style17"/>
        <w:keepNext w:val="0"/>
        <w:keepLines w:val="0"/>
        <w:widowControl w:val="0"/>
        <w:shd w:val="clear" w:color="auto" w:fill="auto"/>
        <w:bidi w:val="0"/>
        <w:spacing w:before="0" w:after="700" w:line="315" w:lineRule="exact"/>
        <w:ind w:left="0" w:right="0" w:firstLine="38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 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年度的合并及母公司经营成果和合并及母公司现金流量等有关信息。此外，本公司的财务报表在所有重大方面符合中 国证券监督管理委员会</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 及其附注的披露要求。</w:t>
      </w:r>
    </w:p>
    <w:p>
      <w:pPr>
        <w:pStyle w:val="Style28"/>
        <w:keepNext/>
        <w:keepLines/>
        <w:widowControl w:val="0"/>
        <w:shd w:val="clear" w:color="auto" w:fill="auto"/>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、会计期间</w:t>
      </w:r>
      <w:bookmarkEnd w:id="723"/>
      <w:bookmarkEnd w:id="724"/>
      <w:bookmarkEnd w:id="726"/>
    </w:p>
    <w:p>
      <w:pPr>
        <w:pStyle w:val="Style17"/>
        <w:keepNext w:val="0"/>
        <w:keepLines w:val="0"/>
        <w:widowControl w:val="0"/>
        <w:shd w:val="clear" w:color="auto" w:fill="auto"/>
        <w:bidi w:val="0"/>
        <w:spacing w:before="0" w:after="700" w:line="298" w:lineRule="exact"/>
        <w:ind w:left="0" w:right="0" w:firstLine="38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8"/>
        <w:keepNext/>
        <w:keepLines/>
        <w:widowControl w:val="0"/>
        <w:shd w:val="clear" w:color="auto" w:fill="auto"/>
        <w:bidi w:val="0"/>
        <w:spacing w:before="0" w:after="2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3</w:t>
      </w:r>
      <w:bookmarkEnd w:id="729"/>
      <w:r>
        <w:rPr>
          <w:color w:val="000000"/>
          <w:spacing w:val="0"/>
          <w:w w:val="100"/>
          <w:position w:val="0"/>
        </w:rPr>
        <w:t>、营业周期</w:t>
      </w:r>
      <w:bookmarkEnd w:id="727"/>
      <w:bookmarkEnd w:id="728"/>
      <w:bookmarkEnd w:id="730"/>
    </w:p>
    <w:p>
      <w:pPr>
        <w:pStyle w:val="Style17"/>
        <w:keepNext w:val="0"/>
        <w:keepLines w:val="0"/>
        <w:widowControl w:val="0"/>
        <w:shd w:val="clear" w:color="auto" w:fill="auto"/>
        <w:bidi w:val="0"/>
        <w:spacing w:before="0" w:after="320" w:line="322" w:lineRule="exact"/>
        <w:ind w:left="0" w:right="0" w:firstLine="38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8"/>
        <w:keepNext/>
        <w:keepLines/>
        <w:widowControl w:val="0"/>
        <w:shd w:val="clear" w:color="auto" w:fill="auto"/>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4</w:t>
      </w:r>
      <w:bookmarkEnd w:id="733"/>
      <w:r>
        <w:rPr>
          <w:color w:val="000000"/>
          <w:spacing w:val="0"/>
          <w:w w:val="100"/>
          <w:position w:val="0"/>
        </w:rPr>
        <w:t>、记账本位币</w:t>
      </w:r>
      <w:bookmarkEnd w:id="731"/>
      <w:bookmarkEnd w:id="732"/>
      <w:bookmarkEnd w:id="734"/>
    </w:p>
    <w:p>
      <w:pPr>
        <w:pStyle w:val="Style17"/>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编制本财务报表时所采用的货币为人民币。</w:t>
      </w:r>
    </w:p>
    <w:p>
      <w:pPr>
        <w:pStyle w:val="Style28"/>
        <w:keepNext/>
        <w:keepLines/>
        <w:widowControl w:val="0"/>
        <w:shd w:val="clear" w:color="auto" w:fill="auto"/>
        <w:bidi w:val="0"/>
        <w:spacing w:before="0" w:after="26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5</w:t>
      </w:r>
      <w:bookmarkEnd w:id="737"/>
      <w:r>
        <w:rPr>
          <w:color w:val="000000"/>
          <w:spacing w:val="0"/>
          <w:w w:val="100"/>
          <w:position w:val="0"/>
        </w:rPr>
        <w:t>、同一控制下和非同一控制下企业合并的会计处理方法</w:t>
      </w:r>
      <w:bookmarkEnd w:id="735"/>
      <w:bookmarkEnd w:id="736"/>
      <w:bookmarkEnd w:id="738"/>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17"/>
        <w:keepNext w:val="0"/>
        <w:keepLines w:val="0"/>
        <w:widowControl w:val="0"/>
        <w:shd w:val="clear" w:color="auto" w:fill="auto"/>
        <w:tabs>
          <w:tab w:pos="765" w:val="left"/>
        </w:tabs>
        <w:bidi w:val="0"/>
        <w:spacing w:before="0" w:after="0" w:line="317" w:lineRule="exact"/>
        <w:ind w:left="0" w:right="0" w:firstLine="38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公司在企业合并中取得的资产和负债，按照合并日被合并方资产、负债（包括最终控制方收购被合并方形成的商誉）在 最终控制方合并财务报表中的账面价值计量；取得的净资产账面价值与支付的合并对价账面价值（或发行股份面值总额）的 差额，调整资本公积中的股本溢价，资本公积中股本溢价不足冲减的，调整留存收益。</w:t>
      </w:r>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合并方为进行企业合并发生的各项直接费用，于发生时计入当期损益。</w:t>
      </w:r>
    </w:p>
    <w:p>
      <w:pPr>
        <w:pStyle w:val="Style17"/>
        <w:keepNext w:val="0"/>
        <w:keepLines w:val="0"/>
        <w:widowControl w:val="0"/>
        <w:shd w:val="clear" w:color="auto" w:fill="auto"/>
        <w:tabs>
          <w:tab w:pos="765" w:val="left"/>
        </w:tabs>
        <w:bidi w:val="0"/>
        <w:spacing w:before="0" w:after="0" w:line="313" w:lineRule="exact"/>
        <w:ind w:left="0" w:right="0" w:firstLine="38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 分个别财务报表和合并财务报表进行相关会计处理：</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17"/>
        <w:keepNext w:val="0"/>
        <w:keepLines w:val="0"/>
        <w:widowControl w:val="0"/>
        <w:shd w:val="clear" w:color="auto" w:fill="auto"/>
        <w:bidi w:val="0"/>
        <w:spacing w:before="0" w:after="1000" w:line="313" w:lineRule="exact"/>
        <w:ind w:left="0" w:right="0" w:firstLine="380"/>
        <w:jc w:val="both"/>
      </w:pPr>
      <w:r>
        <w:rPr>
          <w:color w:val="000000"/>
          <w:spacing w:val="0"/>
          <w:w w:val="100"/>
          <w:position w:val="0"/>
        </w:rPr>
        <w:t xml:space="preserve">在合并财务报表中，对于购买日之前持有的被购买方的股权，按照该股权在购买日的公允价值进行重新计量，公允价值 </w:t>
      </w:r>
      <w:r>
        <w:rPr>
          <w:color w:val="000000"/>
          <w:spacing w:val="0"/>
          <w:w w:val="100"/>
          <w:position w:val="0"/>
        </w:rPr>
        <w:t>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28"/>
        <w:keepNext/>
        <w:keepLines/>
        <w:widowControl w:val="0"/>
        <w:shd w:val="clear" w:color="auto" w:fill="auto"/>
        <w:bidi w:val="0"/>
        <w:spacing w:before="0" w:after="28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6</w:t>
      </w:r>
      <w:bookmarkEnd w:id="743"/>
      <w:r>
        <w:rPr>
          <w:color w:val="000000"/>
          <w:spacing w:val="0"/>
          <w:w w:val="100"/>
          <w:position w:val="0"/>
        </w:rPr>
        <w:t>、合并财务报表的编制方法</w:t>
      </w:r>
      <w:bookmarkEnd w:id="741"/>
      <w:bookmarkEnd w:id="742"/>
      <w:bookmarkEnd w:id="744"/>
    </w:p>
    <w:p>
      <w:pPr>
        <w:pStyle w:val="Style17"/>
        <w:keepNext w:val="0"/>
        <w:keepLines w:val="0"/>
        <w:widowControl w:val="0"/>
        <w:shd w:val="clear" w:color="auto" w:fill="auto"/>
        <w:tabs>
          <w:tab w:pos="765" w:val="left"/>
        </w:tabs>
        <w:bidi w:val="0"/>
        <w:spacing w:before="0" w:after="0" w:line="312" w:lineRule="exact"/>
        <w:ind w:left="0" w:right="0" w:firstLine="38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一旦相关事实和情况的变化导致上述控制定义涉及的相关要素发生了变化，本公司将进行重新评估。</w:t>
      </w:r>
    </w:p>
    <w:p>
      <w:pPr>
        <w:pStyle w:val="Style17"/>
        <w:keepNext w:val="0"/>
        <w:keepLines w:val="0"/>
        <w:widowControl w:val="0"/>
        <w:shd w:val="clear" w:color="auto" w:fill="auto"/>
        <w:tabs>
          <w:tab w:pos="765" w:val="left"/>
        </w:tabs>
        <w:bidi w:val="0"/>
        <w:spacing w:before="0" w:after="0" w:line="312" w:lineRule="exact"/>
        <w:ind w:left="0" w:right="0" w:firstLine="38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公司内所有重大往来余额、交易及未实现利润在合并财务报表编制时予以抵销。</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w:t>
      </w:r>
    </w:p>
    <w:p>
      <w:pPr>
        <w:pStyle w:val="Style17"/>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 则进行会计处理。处置对子公司股权投资直至丧失控制权的各项交易属于一揽子交易的，将各项交易作为一项处置子公司并 丧失控制权的交易进行会计处理；但是，在丧失控制权之前每一次处置价款与处置投资对应的享有该子公司净资产份额的差 额，在合并财务报表中确认为其他综合收益，在丧失控制权时一并转入丧失控制权当期的损益。</w:t>
      </w:r>
    </w:p>
    <w:p>
      <w:pPr>
        <w:pStyle w:val="Style28"/>
        <w:keepNext/>
        <w:keepLines/>
        <w:widowControl w:val="0"/>
        <w:shd w:val="clear" w:color="auto" w:fill="auto"/>
        <w:bidi w:val="0"/>
        <w:spacing w:before="0" w:after="28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7</w:t>
      </w:r>
      <w:bookmarkEnd w:id="749"/>
      <w:r>
        <w:rPr>
          <w:color w:val="000000"/>
          <w:spacing w:val="0"/>
          <w:w w:val="100"/>
          <w:position w:val="0"/>
        </w:rPr>
        <w:t>、合营安排分类及共同经营会计处理方法</w:t>
      </w:r>
      <w:bookmarkEnd w:id="747"/>
      <w:bookmarkEnd w:id="748"/>
      <w:bookmarkEnd w:id="750"/>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本公司对合营企业的投资采用权益法核算，按照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中所述的会计政策处理。</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17"/>
        <w:keepNext w:val="0"/>
        <w:keepLines w:val="0"/>
        <w:widowControl w:val="0"/>
        <w:shd w:val="clear" w:color="auto" w:fill="auto"/>
        <w:bidi w:val="0"/>
        <w:spacing w:before="0" w:after="1000" w:line="313" w:lineRule="exact"/>
        <w:ind w:left="0" w:right="0" w:firstLine="38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号——资产减值》等规定的资产减值损失的，对于由本公司向共同经营投出或出售资产的情况，本公司全额确认 该损失；对于本公司自共同经营购买资产的情况，本公司按承担的份额确认该损失。</w:t>
      </w:r>
    </w:p>
    <w:p>
      <w:pPr>
        <w:pStyle w:val="Style28"/>
        <w:keepNext/>
        <w:keepLines/>
        <w:widowControl w:val="0"/>
        <w:shd w:val="clear" w:color="auto" w:fill="auto"/>
        <w:bidi w:val="0"/>
        <w:spacing w:before="0" w:after="2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8</w:t>
      </w:r>
      <w:bookmarkEnd w:id="753"/>
      <w:r>
        <w:rPr>
          <w:color w:val="000000"/>
          <w:spacing w:val="0"/>
          <w:w w:val="100"/>
          <w:position w:val="0"/>
        </w:rPr>
        <w:t>、现金及现金等价物的确定标准</w:t>
      </w:r>
      <w:bookmarkEnd w:id="751"/>
      <w:bookmarkEnd w:id="752"/>
      <w:bookmarkEnd w:id="754"/>
    </w:p>
    <w:p>
      <w:pPr>
        <w:pStyle w:val="Style17"/>
        <w:keepNext w:val="0"/>
        <w:keepLines w:val="0"/>
        <w:widowControl w:val="0"/>
        <w:shd w:val="clear" w:color="auto" w:fill="auto"/>
        <w:bidi w:val="0"/>
        <w:spacing w:before="0" w:after="1000" w:line="317" w:lineRule="exact"/>
        <w:ind w:left="0" w:right="0" w:firstLine="380"/>
        <w:jc w:val="both"/>
      </w:pPr>
      <w:r>
        <w:rPr>
          <w:color w:val="000000"/>
          <w:spacing w:val="0"/>
          <w:w w:val="100"/>
          <w:position w:val="0"/>
        </w:rPr>
        <w:t>本公司现金及现金等价物包括库存现金、可以随时用于支付的存款以及本公司持有的期限短（一般为从购买日起三个月 内到期）、流动性强、易于转换为已知金额现金、价值变动风险很小的投资。</w:t>
      </w:r>
    </w:p>
    <w:p>
      <w:pPr>
        <w:pStyle w:val="Style28"/>
        <w:keepNext/>
        <w:keepLines/>
        <w:widowControl w:val="0"/>
        <w:shd w:val="clear" w:color="auto" w:fill="auto"/>
        <w:bidi w:val="0"/>
        <w:spacing w:before="0" w:after="28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9</w:t>
      </w:r>
      <w:bookmarkEnd w:id="757"/>
      <w:r>
        <w:rPr>
          <w:color w:val="000000"/>
          <w:spacing w:val="0"/>
          <w:w w:val="100"/>
          <w:position w:val="0"/>
        </w:rPr>
        <w:t>、外币业务和外币报表折算</w:t>
      </w:r>
      <w:bookmarkEnd w:id="755"/>
      <w:bookmarkEnd w:id="756"/>
      <w:bookmarkEnd w:id="758"/>
    </w:p>
    <w:p>
      <w:pPr>
        <w:pStyle w:val="Style17"/>
        <w:keepNext w:val="0"/>
        <w:keepLines w:val="0"/>
        <w:widowControl w:val="0"/>
        <w:shd w:val="clear" w:color="auto" w:fill="auto"/>
        <w:tabs>
          <w:tab w:pos="813" w:val="left"/>
        </w:tabs>
        <w:bidi w:val="0"/>
        <w:spacing w:before="0" w:after="0" w:line="314" w:lineRule="exact"/>
        <w:ind w:left="0" w:right="0" w:firstLine="38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本公司发生的外币交易在初始确认时，按交易日的即期汇率折算为记账本位币金额，但公司发生的外币兑换业务或涉及 外币兑换的交易事项，按照实际采用的汇率折算为记账本位币金额。</w:t>
      </w:r>
    </w:p>
    <w:p>
      <w:pPr>
        <w:pStyle w:val="Style17"/>
        <w:keepNext w:val="0"/>
        <w:keepLines w:val="0"/>
        <w:widowControl w:val="0"/>
        <w:shd w:val="clear" w:color="auto" w:fill="auto"/>
        <w:tabs>
          <w:tab w:pos="813" w:val="left"/>
        </w:tabs>
        <w:bidi w:val="0"/>
        <w:spacing w:before="0" w:after="0" w:line="314" w:lineRule="exact"/>
        <w:ind w:left="0" w:right="0" w:firstLine="38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17"/>
        <w:keepNext w:val="0"/>
        <w:keepLines w:val="0"/>
        <w:widowControl w:val="0"/>
        <w:shd w:val="clear" w:color="auto" w:fill="auto"/>
        <w:bidi w:val="0"/>
        <w:spacing w:before="0" w:after="1000" w:line="314" w:lineRule="exact"/>
        <w:ind w:left="0" w:right="0" w:firstLine="38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8"/>
        <w:keepNext/>
        <w:keepLines/>
        <w:widowControl w:val="0"/>
        <w:shd w:val="clear" w:color="auto" w:fill="auto"/>
        <w:bidi w:val="0"/>
        <w:spacing w:before="0" w:after="70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61"/>
      <w:bookmarkEnd w:id="762"/>
      <w:bookmarkEnd w:id="764"/>
    </w:p>
    <w:p>
      <w:pPr>
        <w:pStyle w:val="Style17"/>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在本公司成为金融工具合同的一方时确认一项金融资产或金融负债。</w:t>
      </w:r>
    </w:p>
    <w:p>
      <w:pPr>
        <w:pStyle w:val="Style17"/>
        <w:keepNext w:val="0"/>
        <w:keepLines w:val="0"/>
        <w:widowControl w:val="0"/>
        <w:shd w:val="clear" w:color="auto" w:fill="auto"/>
        <w:bidi w:val="0"/>
        <w:spacing w:before="0" w:after="480" w:line="240" w:lineRule="auto"/>
        <w:ind w:left="0" w:right="0" w:firstLine="38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）金融资产的分类、确认和计量</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17"/>
        <w:keepNext w:val="0"/>
        <w:keepLines w:val="0"/>
        <w:widowControl w:val="0"/>
        <w:numPr>
          <w:ilvl w:val="0"/>
          <w:numId w:val="9"/>
        </w:numPr>
        <w:shd w:val="clear" w:color="auto" w:fill="auto"/>
        <w:tabs>
          <w:tab w:pos="713" w:val="left"/>
        </w:tabs>
        <w:bidi w:val="0"/>
        <w:spacing w:before="0" w:after="0" w:line="313" w:lineRule="exact"/>
        <w:ind w:left="0" w:right="0" w:firstLine="380"/>
        <w:jc w:val="both"/>
      </w:pPr>
      <w:bookmarkStart w:id="766" w:name="bookmark766"/>
      <w:bookmarkEnd w:id="766"/>
      <w:r>
        <w:rPr>
          <w:color w:val="000000"/>
          <w:spacing w:val="0"/>
          <w:w w:val="100"/>
          <w:position w:val="0"/>
        </w:rPr>
        <w:t>以摊余成本计量的金融资产</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17"/>
        <w:keepNext w:val="0"/>
        <w:keepLines w:val="0"/>
        <w:widowControl w:val="0"/>
        <w:numPr>
          <w:ilvl w:val="0"/>
          <w:numId w:val="9"/>
        </w:numPr>
        <w:shd w:val="clear" w:color="auto" w:fill="auto"/>
        <w:tabs>
          <w:tab w:pos="713" w:val="left"/>
        </w:tabs>
        <w:bidi w:val="0"/>
        <w:spacing w:before="0" w:after="0" w:line="313" w:lineRule="exact"/>
        <w:ind w:left="0" w:right="0" w:firstLine="380"/>
        <w:jc w:val="both"/>
      </w:pPr>
      <w:bookmarkStart w:id="767" w:name="bookmark767"/>
      <w:bookmarkEnd w:id="767"/>
      <w:r>
        <w:rPr>
          <w:color w:val="000000"/>
          <w:spacing w:val="0"/>
          <w:w w:val="100"/>
          <w:position w:val="0"/>
        </w:rPr>
        <w:t>以公允价值计量且其变动计入其他综合收益的金融资产</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特征与基本借贷安排相一致。本公司对此类金融资产按照公允价值计量且其变动计入其他综合收益，但减值损失或利得、汇 兑损益和按照实际利率法计算的利息收入计入当期损益。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此外，本公司将部分非交易性权益工具投资指定为以公允价值计量且其变动计入其他综合收益的金融资产。本公司将该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17"/>
        <w:keepNext w:val="0"/>
        <w:keepLines w:val="0"/>
        <w:widowControl w:val="0"/>
        <w:numPr>
          <w:ilvl w:val="0"/>
          <w:numId w:val="9"/>
        </w:numPr>
        <w:shd w:val="clear" w:color="auto" w:fill="auto"/>
        <w:tabs>
          <w:tab w:pos="713" w:val="left"/>
        </w:tabs>
        <w:bidi w:val="0"/>
        <w:spacing w:before="0" w:after="0" w:line="313" w:lineRule="exact"/>
        <w:ind w:left="0" w:right="0" w:firstLine="380"/>
        <w:jc w:val="both"/>
      </w:pPr>
      <w:bookmarkStart w:id="768" w:name="bookmark768"/>
      <w:bookmarkEnd w:id="768"/>
      <w:r>
        <w:rPr>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本公司将上述以摊余成本计量的金融资产和以公允价值计量且其变动计入其他综合收益的金融资产之外的金融资产，分 类为以公允价值计量且其变动计入当期损益的金融资产。此外，在初始确认时，本公司为了消除或显著减少会计错配，将部 分金融资产指定为以公允价值计量且其变动计入当期损益的金融资产。对于此类金融资产，本公司采用公允价值进行后续计 量，公允价值变动计入当期损益。</w:t>
      </w:r>
    </w:p>
    <w:p>
      <w:pPr>
        <w:pStyle w:val="Style17"/>
        <w:keepNext w:val="0"/>
        <w:keepLines w:val="0"/>
        <w:widowControl w:val="0"/>
        <w:shd w:val="clear" w:color="auto" w:fill="auto"/>
        <w:tabs>
          <w:tab w:pos="785" w:val="left"/>
        </w:tabs>
        <w:bidi w:val="0"/>
        <w:spacing w:before="0" w:after="0" w:line="313" w:lineRule="exact"/>
        <w:ind w:left="0" w:right="0" w:firstLine="38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金融负债的分类、确认和计量</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17"/>
        <w:keepNext w:val="0"/>
        <w:keepLines w:val="0"/>
        <w:widowControl w:val="0"/>
        <w:numPr>
          <w:ilvl w:val="0"/>
          <w:numId w:val="11"/>
        </w:numPr>
        <w:shd w:val="clear" w:color="auto" w:fill="auto"/>
        <w:tabs>
          <w:tab w:pos="713" w:val="left"/>
        </w:tabs>
        <w:bidi w:val="0"/>
        <w:spacing w:before="0" w:after="0" w:line="313" w:lineRule="exact"/>
        <w:ind w:left="0" w:right="0" w:firstLine="380"/>
        <w:jc w:val="both"/>
      </w:pPr>
      <w:bookmarkStart w:id="770" w:name="bookmark770"/>
      <w:bookmarkEnd w:id="770"/>
      <w:r>
        <w:rPr>
          <w:color w:val="000000"/>
          <w:spacing w:val="0"/>
          <w:w w:val="100"/>
          <w:position w:val="0"/>
        </w:rPr>
        <w:t>以公允价值计量且其变动计入当期损益的金融负债</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会计错配的，本公司将该金融负债的全部利得或损失（包括企业自身信用风险变动的影响金额）计入当期损益。</w:t>
      </w:r>
    </w:p>
    <w:p>
      <w:pPr>
        <w:pStyle w:val="Style17"/>
        <w:keepNext w:val="0"/>
        <w:keepLines w:val="0"/>
        <w:widowControl w:val="0"/>
        <w:numPr>
          <w:ilvl w:val="0"/>
          <w:numId w:val="11"/>
        </w:numPr>
        <w:shd w:val="clear" w:color="auto" w:fill="auto"/>
        <w:tabs>
          <w:tab w:pos="713" w:val="left"/>
        </w:tabs>
        <w:bidi w:val="0"/>
        <w:spacing w:before="0" w:after="0" w:line="313" w:lineRule="exact"/>
        <w:ind w:left="0" w:right="0" w:firstLine="380"/>
        <w:jc w:val="both"/>
      </w:pPr>
      <w:bookmarkStart w:id="771" w:name="bookmark771"/>
      <w:bookmarkEnd w:id="771"/>
      <w:r>
        <w:rPr>
          <w:color w:val="000000"/>
          <w:spacing w:val="0"/>
          <w:w w:val="100"/>
          <w:position w:val="0"/>
        </w:rPr>
        <w:t>其他金融负债</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17"/>
        <w:keepNext w:val="0"/>
        <w:keepLines w:val="0"/>
        <w:widowControl w:val="0"/>
        <w:shd w:val="clear" w:color="auto" w:fill="auto"/>
        <w:tabs>
          <w:tab w:pos="785" w:val="left"/>
        </w:tabs>
        <w:bidi w:val="0"/>
        <w:spacing w:before="0" w:after="0" w:line="313" w:lineRule="exact"/>
        <w:ind w:left="0" w:right="0" w:firstLine="38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金融资产转移的确认依据和计量方法</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金融资产整体转移满足终止确认条件的，将所转移金融资产的账面价值及因转移而收到的对价与原计入其他综合收益的 </w:t>
      </w:r>
      <w:r>
        <w:rPr>
          <w:color w:val="000000"/>
          <w:spacing w:val="0"/>
          <w:w w:val="100"/>
          <w:position w:val="0"/>
        </w:rPr>
        <w:t>公允价值变动累计额之和的差额计入当期损益。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17"/>
        <w:keepNext w:val="0"/>
        <w:keepLines w:val="0"/>
        <w:widowControl w:val="0"/>
        <w:shd w:val="clear" w:color="auto" w:fill="auto"/>
        <w:tabs>
          <w:tab w:pos="768" w:val="left"/>
        </w:tabs>
        <w:bidi w:val="0"/>
        <w:spacing w:before="0" w:after="0" w:line="313" w:lineRule="exact"/>
        <w:ind w:left="0" w:right="0" w:firstLine="38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金融负债的终止确认</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金融负债（或其一部分）的现时义务已经解除的，本公司终止确认该金融负债（或该部分金融负债）。本公司（借入方） 与借出方签订协议，以承担新金融负债的方式替换原金融负债，且新金融负债与原金融负债的合同条款实质上不同的，终止 确认原金融负债，同时确认一项新金融负债。本公司对原金融负债（或其一部分）的合同条款作出实质性修改的，终止确认 原金融负债，同时按照修改后的条款确认一项新金融负债。</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金融负债（或其一部分）终止确认的，本公司将其账面价值与支付的对价（包括转出的非现金资产或承担的负债）之间 的差额，计入当期损益。</w:t>
      </w:r>
    </w:p>
    <w:p>
      <w:pPr>
        <w:pStyle w:val="Style17"/>
        <w:keepNext w:val="0"/>
        <w:keepLines w:val="0"/>
        <w:widowControl w:val="0"/>
        <w:shd w:val="clear" w:color="auto" w:fill="auto"/>
        <w:tabs>
          <w:tab w:pos="768" w:val="left"/>
        </w:tabs>
        <w:bidi w:val="0"/>
        <w:spacing w:before="0" w:after="0" w:line="313" w:lineRule="exact"/>
        <w:ind w:left="0" w:right="0" w:firstLine="38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金融资产和金融负债的抵销</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当本公司具有抵销已确认金额的金融资产和金融负债的法定权利，且该种法定权利是当前可执行的，同时本公司计划以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17"/>
        <w:keepNext w:val="0"/>
        <w:keepLines w:val="0"/>
        <w:widowControl w:val="0"/>
        <w:shd w:val="clear" w:color="auto" w:fill="auto"/>
        <w:tabs>
          <w:tab w:pos="768" w:val="left"/>
        </w:tabs>
        <w:bidi w:val="0"/>
        <w:spacing w:before="0" w:after="0" w:line="313" w:lineRule="exact"/>
        <w:ind w:left="0" w:right="0" w:firstLine="38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金融资产和金融负债的公允价值确定方法</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照实质上相同的其他金融工具当前的公允价值、现金流量折现法和期权定价模型等。在估值时，公司采用在当前情况下适用 并且有足够可利用数据和其他信息支持的估值技术，选择与市场参与者在相关资产或负债的交易中所考虑的资产或负债特征 相一致的输入值，并尽可能优先使用相关可观察输入值。在相关可观察输入值无法取得或取得不切实可行的情况下，使用不 可输入值。</w:t>
      </w:r>
    </w:p>
    <w:p>
      <w:pPr>
        <w:pStyle w:val="Style17"/>
        <w:keepNext w:val="0"/>
        <w:keepLines w:val="0"/>
        <w:widowControl w:val="0"/>
        <w:shd w:val="clear" w:color="auto" w:fill="auto"/>
        <w:tabs>
          <w:tab w:pos="768" w:val="left"/>
        </w:tabs>
        <w:bidi w:val="0"/>
        <w:spacing w:before="0" w:after="0" w:line="313" w:lineRule="exact"/>
        <w:ind w:left="0" w:right="0" w:firstLine="38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权益工具</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本公司权益工具在存续期间分派股利（含分类为权益工具的工具所产生的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）的，作为利润分配处理。</w:t>
      </w:r>
    </w:p>
    <w:p>
      <w:pPr>
        <w:pStyle w:val="Style17"/>
        <w:keepNext w:val="0"/>
        <w:keepLines w:val="0"/>
        <w:widowControl w:val="0"/>
        <w:shd w:val="clear" w:color="auto" w:fill="auto"/>
        <w:tabs>
          <w:tab w:pos="768" w:val="left"/>
        </w:tabs>
        <w:bidi w:val="0"/>
        <w:spacing w:before="0" w:after="0" w:line="313" w:lineRule="exact"/>
        <w:ind w:left="0" w:right="0" w:firstLine="38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金融资产减值</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本公司需确认减值损失的金融资产系以摊余成本计量的金融资产、以公允价值计量且其变动计入其他综合收益的债务工 具投资，主要包括应收票据、应收账款、其他应收款、债权投资、其他债权投资、长期应收款等。此外，对部分财务担保合 同，也按照本部分所述会计政策计提减值准备和确认信用减值损失。</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①减值准备的确认方法</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本公司以预期信用损失为基础，对上述各项目按照其适用的预期信用损失计量方法（一般方法或简化方法）计提减值准 备并确认信用减值损失。</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预期信用损失计量的一般方法是指，本公司在每个资产负债表日评估金融资产的信用风险自初始确认后是否已经显著增 加，如果信用风险自初始确认后已显著增加，本公司按照相当于整个存续期内预期信用损失的金额计量损失准备；如果信用 </w:t>
      </w:r>
      <w:r>
        <w:rPr>
          <w:color w:val="000000"/>
          <w:spacing w:val="0"/>
          <w:w w:val="100"/>
          <w:position w:val="0"/>
        </w:rPr>
        <w:t>风险自初始确认后未显著增加，本公司按照相当于未来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个月内预期信用损失的金额计量损失准备。本公司在评估预期信用 损失时，考虑所有合理且有依据的信息，包括前瞻性信息。</w:t>
      </w:r>
    </w:p>
    <w:p>
      <w:pPr>
        <w:pStyle w:val="Style17"/>
        <w:keepNext w:val="0"/>
        <w:keepLines w:val="0"/>
        <w:widowControl w:val="0"/>
        <w:shd w:val="clear" w:color="auto" w:fill="auto"/>
        <w:bidi w:val="0"/>
        <w:spacing w:before="0" w:after="0" w:line="314" w:lineRule="exact"/>
        <w:ind w:left="340" w:right="0" w:firstLine="380"/>
        <w:jc w:val="both"/>
      </w:pPr>
      <w:r>
        <w:rPr>
          <w:color w:val="000000"/>
          <w:spacing w:val="0"/>
          <w:w w:val="100"/>
          <w:position w:val="0"/>
        </w:rPr>
        <w:t xml:space="preserve">对于在资产负债表日具有较低信用风险的金融工具，本公司假设其信用风险自初始确认后并未显著增加，选择按照未来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w:t>
      </w:r>
    </w:p>
    <w:p>
      <w:pPr>
        <w:pStyle w:val="Style17"/>
        <w:keepNext w:val="0"/>
        <w:keepLines w:val="0"/>
        <w:widowControl w:val="0"/>
        <w:numPr>
          <w:ilvl w:val="0"/>
          <w:numId w:val="13"/>
        </w:numPr>
        <w:shd w:val="clear" w:color="auto" w:fill="auto"/>
        <w:tabs>
          <w:tab w:pos="1093" w:val="left"/>
        </w:tabs>
        <w:bidi w:val="0"/>
        <w:spacing w:before="0" w:after="0" w:line="314" w:lineRule="exact"/>
        <w:ind w:left="0" w:right="0" w:firstLine="720"/>
        <w:jc w:val="both"/>
      </w:pPr>
      <w:bookmarkStart w:id="778" w:name="bookmark778"/>
      <w:bookmarkEnd w:id="778"/>
      <w:r>
        <w:rPr>
          <w:color w:val="000000"/>
          <w:spacing w:val="0"/>
          <w:w w:val="100"/>
          <w:position w:val="0"/>
        </w:rPr>
        <w:t>信用风险自初始确认后是否显著增加的判断标准</w:t>
      </w:r>
    </w:p>
    <w:p>
      <w:pPr>
        <w:pStyle w:val="Style17"/>
        <w:keepNext w:val="0"/>
        <w:keepLines w:val="0"/>
        <w:widowControl w:val="0"/>
        <w:shd w:val="clear" w:color="auto" w:fill="auto"/>
        <w:bidi w:val="0"/>
        <w:spacing w:before="0" w:after="100" w:line="314" w:lineRule="exact"/>
        <w:ind w:left="340" w:right="0" w:firstLine="38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17"/>
        <w:keepNext w:val="0"/>
        <w:keepLines w:val="0"/>
        <w:widowControl w:val="0"/>
        <w:shd w:val="clear" w:color="auto" w:fill="auto"/>
        <w:bidi w:val="0"/>
        <w:spacing w:before="0" w:after="0" w:line="313" w:lineRule="exact"/>
        <w:ind w:left="0" w:right="0" w:firstLine="720"/>
        <w:jc w:val="both"/>
      </w:pPr>
      <w:r>
        <w:rPr>
          <w:color w:val="000000"/>
          <w:spacing w:val="0"/>
          <w:w w:val="100"/>
          <w:position w:val="0"/>
        </w:rPr>
        <w:t>本公司在评估信用风险是否显著增加时会考虑如下因素：</w:t>
      </w:r>
    </w:p>
    <w:p>
      <w:pPr>
        <w:pStyle w:val="Style17"/>
        <w:keepNext w:val="0"/>
        <w:keepLines w:val="0"/>
        <w:widowControl w:val="0"/>
        <w:shd w:val="clear" w:color="auto" w:fill="auto"/>
        <w:tabs>
          <w:tab w:pos="989" w:val="left"/>
        </w:tabs>
        <w:bidi w:val="0"/>
        <w:spacing w:before="0" w:after="0" w:line="313" w:lineRule="exact"/>
        <w:ind w:left="0" w:right="0" w:firstLine="640"/>
        <w:jc w:val="both"/>
      </w:pPr>
      <w:bookmarkStart w:id="779" w:name="bookmark779"/>
      <w:r>
        <w:rPr>
          <w:rFonts w:ascii="Times New Roman" w:eastAsia="Times New Roman" w:hAnsi="Times New Roman" w:cs="Times New Roman"/>
          <w:color w:val="000000"/>
          <w:spacing w:val="0"/>
          <w:w w:val="100"/>
          <w:position w:val="0"/>
          <w:sz w:val="18"/>
          <w:szCs w:val="18"/>
        </w:rPr>
        <w:t>1</w:t>
      </w:r>
      <w:bookmarkEnd w:id="779"/>
      <w:r>
        <w:rPr>
          <w:color w:val="000000"/>
          <w:spacing w:val="0"/>
          <w:w w:val="100"/>
          <w:position w:val="0"/>
        </w:rPr>
        <w:t>）</w:t>
        <w:tab/>
        <w:t>债务人经营成果实际或预期是否发生显著变化；</w:t>
      </w:r>
    </w:p>
    <w:p>
      <w:pPr>
        <w:pStyle w:val="Style17"/>
        <w:keepNext w:val="0"/>
        <w:keepLines w:val="0"/>
        <w:widowControl w:val="0"/>
        <w:shd w:val="clear" w:color="auto" w:fill="auto"/>
        <w:tabs>
          <w:tab w:pos="1008" w:val="left"/>
        </w:tabs>
        <w:bidi w:val="0"/>
        <w:spacing w:before="0" w:after="0" w:line="313" w:lineRule="exact"/>
        <w:ind w:left="0" w:right="0" w:firstLine="640"/>
        <w:jc w:val="both"/>
      </w:pPr>
      <w:bookmarkStart w:id="780" w:name="bookmark780"/>
      <w:r>
        <w:rPr>
          <w:rFonts w:ascii="Times New Roman" w:eastAsia="Times New Roman" w:hAnsi="Times New Roman" w:cs="Times New Roman"/>
          <w:color w:val="000000"/>
          <w:spacing w:val="0"/>
          <w:w w:val="100"/>
          <w:position w:val="0"/>
          <w:sz w:val="18"/>
          <w:szCs w:val="18"/>
        </w:rPr>
        <w:t>2</w:t>
      </w:r>
      <w:bookmarkEnd w:id="780"/>
      <w:r>
        <w:rPr>
          <w:color w:val="000000"/>
          <w:spacing w:val="0"/>
          <w:w w:val="100"/>
          <w:position w:val="0"/>
        </w:rPr>
        <w:t>）</w:t>
        <w:tab/>
        <w:t>债务人所处的监管、经济或技术环境是否发生显著不利变化；</w:t>
      </w:r>
    </w:p>
    <w:p>
      <w:pPr>
        <w:pStyle w:val="Style17"/>
        <w:keepNext w:val="0"/>
        <w:keepLines w:val="0"/>
        <w:widowControl w:val="0"/>
        <w:shd w:val="clear" w:color="auto" w:fill="auto"/>
        <w:tabs>
          <w:tab w:pos="991" w:val="left"/>
        </w:tabs>
        <w:bidi w:val="0"/>
        <w:spacing w:before="0" w:after="0" w:line="313" w:lineRule="exact"/>
        <w:ind w:left="340" w:right="0"/>
        <w:jc w:val="both"/>
      </w:pPr>
      <w:bookmarkStart w:id="781" w:name="bookmark781"/>
      <w:r>
        <w:rPr>
          <w:rFonts w:ascii="Times New Roman" w:eastAsia="Times New Roman" w:hAnsi="Times New Roman" w:cs="Times New Roman"/>
          <w:color w:val="000000"/>
          <w:spacing w:val="0"/>
          <w:w w:val="100"/>
          <w:position w:val="0"/>
          <w:sz w:val="18"/>
          <w:szCs w:val="18"/>
        </w:rPr>
        <w:t>3</w:t>
      </w:r>
      <w:bookmarkEnd w:id="781"/>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17"/>
        <w:keepNext w:val="0"/>
        <w:keepLines w:val="0"/>
        <w:widowControl w:val="0"/>
        <w:shd w:val="clear" w:color="auto" w:fill="auto"/>
        <w:tabs>
          <w:tab w:pos="1008" w:val="left"/>
        </w:tabs>
        <w:bidi w:val="0"/>
        <w:spacing w:before="0" w:after="0" w:line="313" w:lineRule="exact"/>
        <w:ind w:left="0" w:right="0" w:firstLine="640"/>
        <w:jc w:val="both"/>
      </w:pPr>
      <w:bookmarkStart w:id="782" w:name="bookmark782"/>
      <w:r>
        <w:rPr>
          <w:rFonts w:ascii="Times New Roman" w:eastAsia="Times New Roman" w:hAnsi="Times New Roman" w:cs="Times New Roman"/>
          <w:color w:val="000000"/>
          <w:spacing w:val="0"/>
          <w:w w:val="100"/>
          <w:position w:val="0"/>
          <w:sz w:val="18"/>
          <w:szCs w:val="18"/>
        </w:rPr>
        <w:t>4</w:t>
      </w:r>
      <w:bookmarkEnd w:id="782"/>
      <w:r>
        <w:rPr>
          <w:color w:val="000000"/>
          <w:spacing w:val="0"/>
          <w:w w:val="100"/>
          <w:position w:val="0"/>
        </w:rPr>
        <w:t>）</w:t>
        <w:tab/>
        <w:t>债务人预期表现和还款行为是否发生显著变化；</w:t>
      </w:r>
    </w:p>
    <w:p>
      <w:pPr>
        <w:pStyle w:val="Style17"/>
        <w:keepNext w:val="0"/>
        <w:keepLines w:val="0"/>
        <w:widowControl w:val="0"/>
        <w:shd w:val="clear" w:color="auto" w:fill="auto"/>
        <w:tabs>
          <w:tab w:pos="1008" w:val="left"/>
        </w:tabs>
        <w:bidi w:val="0"/>
        <w:spacing w:before="0" w:after="0" w:line="313" w:lineRule="exact"/>
        <w:ind w:left="0" w:right="0" w:firstLine="640"/>
        <w:jc w:val="both"/>
      </w:pPr>
      <w:bookmarkStart w:id="783" w:name="bookmark783"/>
      <w:r>
        <w:rPr>
          <w:rFonts w:ascii="Times New Roman" w:eastAsia="Times New Roman" w:hAnsi="Times New Roman" w:cs="Times New Roman"/>
          <w:color w:val="000000"/>
          <w:spacing w:val="0"/>
          <w:w w:val="100"/>
          <w:position w:val="0"/>
          <w:sz w:val="18"/>
          <w:szCs w:val="18"/>
        </w:rPr>
        <w:t>5</w:t>
      </w:r>
      <w:bookmarkEnd w:id="783"/>
      <w:r>
        <w:rPr>
          <w:color w:val="000000"/>
          <w:spacing w:val="0"/>
          <w:w w:val="100"/>
          <w:position w:val="0"/>
        </w:rPr>
        <w:t>）</w:t>
        <w:tab/>
        <w:t>本公司对金融工具信用管理方法是否发生变化等。</w:t>
      </w:r>
    </w:p>
    <w:p>
      <w:pPr>
        <w:pStyle w:val="Style17"/>
        <w:keepNext w:val="0"/>
        <w:keepLines w:val="0"/>
        <w:widowControl w:val="0"/>
        <w:shd w:val="clear" w:color="auto" w:fill="auto"/>
        <w:bidi w:val="0"/>
        <w:spacing w:before="0" w:after="0" w:line="313" w:lineRule="exact"/>
        <w:ind w:left="340" w:right="0" w:firstLine="38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济形势和经营环境存在不利变化但未必一定降低借款人履行其合同现金义务，则该金融工具被视为具有较低的信用风险。</w:t>
      </w:r>
    </w:p>
    <w:p>
      <w:pPr>
        <w:pStyle w:val="Style17"/>
        <w:keepNext w:val="0"/>
        <w:keepLines w:val="0"/>
        <w:widowControl w:val="0"/>
        <w:numPr>
          <w:ilvl w:val="0"/>
          <w:numId w:val="13"/>
        </w:numPr>
        <w:shd w:val="clear" w:color="auto" w:fill="auto"/>
        <w:tabs>
          <w:tab w:pos="1093" w:val="left"/>
        </w:tabs>
        <w:bidi w:val="0"/>
        <w:spacing w:before="0" w:after="0" w:line="313" w:lineRule="exact"/>
        <w:ind w:left="0" w:right="0" w:firstLine="720"/>
        <w:jc w:val="both"/>
      </w:pPr>
      <w:bookmarkStart w:id="784" w:name="bookmark784"/>
      <w:bookmarkEnd w:id="784"/>
      <w:r>
        <w:rPr>
          <w:color w:val="000000"/>
          <w:spacing w:val="0"/>
          <w:w w:val="100"/>
          <w:position w:val="0"/>
        </w:rPr>
        <w:t>已发生信用减值的金融资产的判断标准</w:t>
      </w:r>
    </w:p>
    <w:p>
      <w:pPr>
        <w:pStyle w:val="Style17"/>
        <w:keepNext w:val="0"/>
        <w:keepLines w:val="0"/>
        <w:widowControl w:val="0"/>
        <w:shd w:val="clear" w:color="auto" w:fill="auto"/>
        <w:bidi w:val="0"/>
        <w:spacing w:before="0" w:after="100" w:line="313" w:lineRule="exact"/>
        <w:ind w:left="340" w:right="0" w:firstLine="20"/>
        <w:jc w:val="both"/>
      </w:pPr>
      <w:r>
        <w:rPr>
          <w:color w:val="000000"/>
          <w:spacing w:val="0"/>
          <w:w w:val="100"/>
          <w:position w:val="0"/>
        </w:rPr>
        <w:t>当对金融资产预期未来现金流量具有不利影响的一项或多项事件发生时，该金融资产成为已发生信用减值的金融资产。金融 资产已发生信用减值的证据包括下列可观察信息：</w:t>
      </w:r>
    </w:p>
    <w:p>
      <w:pPr>
        <w:pStyle w:val="Style17"/>
        <w:keepNext w:val="0"/>
        <w:keepLines w:val="0"/>
        <w:widowControl w:val="0"/>
        <w:shd w:val="clear" w:color="auto" w:fill="auto"/>
        <w:tabs>
          <w:tab w:pos="989" w:val="left"/>
        </w:tabs>
        <w:bidi w:val="0"/>
        <w:spacing w:before="0" w:after="0" w:line="360" w:lineRule="auto"/>
        <w:ind w:left="0" w:right="0" w:firstLine="640"/>
        <w:jc w:val="both"/>
      </w:pPr>
      <w:bookmarkStart w:id="785" w:name="bookmark785"/>
      <w:r>
        <w:rPr>
          <w:rFonts w:ascii="Times New Roman" w:eastAsia="Times New Roman" w:hAnsi="Times New Roman" w:cs="Times New Roman"/>
          <w:color w:val="000000"/>
          <w:spacing w:val="0"/>
          <w:w w:val="100"/>
          <w:position w:val="0"/>
          <w:sz w:val="18"/>
          <w:szCs w:val="18"/>
        </w:rPr>
        <w:t>1</w:t>
      </w:r>
      <w:bookmarkEnd w:id="785"/>
      <w:r>
        <w:rPr>
          <w:color w:val="000000"/>
          <w:spacing w:val="0"/>
          <w:w w:val="100"/>
          <w:position w:val="0"/>
        </w:rPr>
        <w:t>）</w:t>
        <w:tab/>
        <w:t>发行方或债务人发生重大财务困难；</w:t>
      </w:r>
    </w:p>
    <w:p>
      <w:pPr>
        <w:pStyle w:val="Style17"/>
        <w:keepNext w:val="0"/>
        <w:keepLines w:val="0"/>
        <w:widowControl w:val="0"/>
        <w:shd w:val="clear" w:color="auto" w:fill="auto"/>
        <w:tabs>
          <w:tab w:pos="1008" w:val="left"/>
        </w:tabs>
        <w:bidi w:val="0"/>
        <w:spacing w:before="0" w:after="0" w:line="313" w:lineRule="exact"/>
        <w:ind w:left="0" w:right="0" w:firstLine="640"/>
        <w:jc w:val="both"/>
      </w:pPr>
      <w:bookmarkStart w:id="786" w:name="bookmark786"/>
      <w:r>
        <w:rPr>
          <w:rFonts w:ascii="Times New Roman" w:eastAsia="Times New Roman" w:hAnsi="Times New Roman" w:cs="Times New Roman"/>
          <w:color w:val="000000"/>
          <w:spacing w:val="0"/>
          <w:w w:val="100"/>
          <w:position w:val="0"/>
          <w:sz w:val="18"/>
          <w:szCs w:val="18"/>
        </w:rPr>
        <w:t>2</w:t>
      </w:r>
      <w:bookmarkEnd w:id="786"/>
      <w:r>
        <w:rPr>
          <w:color w:val="000000"/>
          <w:spacing w:val="0"/>
          <w:w w:val="100"/>
          <w:position w:val="0"/>
        </w:rPr>
        <w:t>）</w:t>
        <w:tab/>
        <w:t>债务人违反合同，如偿付利息或本金违约或逾期等；</w:t>
      </w:r>
    </w:p>
    <w:p>
      <w:pPr>
        <w:pStyle w:val="Style17"/>
        <w:keepNext w:val="0"/>
        <w:keepLines w:val="0"/>
        <w:widowControl w:val="0"/>
        <w:shd w:val="clear" w:color="auto" w:fill="auto"/>
        <w:tabs>
          <w:tab w:pos="998" w:val="left"/>
        </w:tabs>
        <w:bidi w:val="0"/>
        <w:spacing w:before="0" w:after="100" w:line="313" w:lineRule="exact"/>
        <w:ind w:left="0" w:right="0" w:firstLine="640"/>
        <w:jc w:val="both"/>
      </w:pPr>
      <w:bookmarkStart w:id="787" w:name="bookmark787"/>
      <w:r>
        <w:rPr>
          <w:rFonts w:ascii="Times New Roman" w:eastAsia="Times New Roman" w:hAnsi="Times New Roman" w:cs="Times New Roman"/>
          <w:color w:val="000000"/>
          <w:spacing w:val="0"/>
          <w:w w:val="100"/>
          <w:position w:val="0"/>
          <w:sz w:val="18"/>
          <w:szCs w:val="18"/>
        </w:rPr>
        <w:t>3</w:t>
      </w:r>
      <w:bookmarkEnd w:id="787"/>
      <w:r>
        <w:rPr>
          <w:color w:val="000000"/>
          <w:spacing w:val="0"/>
          <w:w w:val="100"/>
          <w:position w:val="0"/>
        </w:rPr>
        <w:t>）</w:t>
        <w:tab/>
        <w:t>债权人出于与债务人财务困难有关的经济或合同考虑，给予债务人在任何其他情况下都不会做出的让步；</w:t>
      </w:r>
    </w:p>
    <w:p>
      <w:pPr>
        <w:pStyle w:val="Style17"/>
        <w:keepNext w:val="0"/>
        <w:keepLines w:val="0"/>
        <w:widowControl w:val="0"/>
        <w:shd w:val="clear" w:color="auto" w:fill="auto"/>
        <w:tabs>
          <w:tab w:pos="1008" w:val="left"/>
        </w:tabs>
        <w:bidi w:val="0"/>
        <w:spacing w:before="0" w:after="0" w:line="360" w:lineRule="auto"/>
        <w:ind w:left="0" w:right="0" w:firstLine="640"/>
        <w:jc w:val="both"/>
      </w:pPr>
      <w:bookmarkStart w:id="788" w:name="bookmark788"/>
      <w:r>
        <w:rPr>
          <w:rFonts w:ascii="Times New Roman" w:eastAsia="Times New Roman" w:hAnsi="Times New Roman" w:cs="Times New Roman"/>
          <w:color w:val="000000"/>
          <w:spacing w:val="0"/>
          <w:w w:val="100"/>
          <w:position w:val="0"/>
          <w:sz w:val="18"/>
          <w:szCs w:val="18"/>
        </w:rPr>
        <w:t>4</w:t>
      </w:r>
      <w:bookmarkEnd w:id="788"/>
      <w:r>
        <w:rPr>
          <w:color w:val="000000"/>
          <w:spacing w:val="0"/>
          <w:w w:val="100"/>
          <w:position w:val="0"/>
        </w:rPr>
        <w:t>）</w:t>
        <w:tab/>
        <w:t>债务人很可能破产或进行其他财务重组；</w:t>
      </w:r>
    </w:p>
    <w:p>
      <w:pPr>
        <w:pStyle w:val="Style17"/>
        <w:keepNext w:val="0"/>
        <w:keepLines w:val="0"/>
        <w:widowControl w:val="0"/>
        <w:shd w:val="clear" w:color="auto" w:fill="auto"/>
        <w:tabs>
          <w:tab w:pos="1008" w:val="left"/>
        </w:tabs>
        <w:bidi w:val="0"/>
        <w:spacing w:before="0" w:after="0" w:line="313" w:lineRule="exact"/>
        <w:ind w:left="0" w:right="0" w:firstLine="640"/>
        <w:jc w:val="both"/>
      </w:pPr>
      <w:bookmarkStart w:id="789" w:name="bookmark789"/>
      <w:r>
        <w:rPr>
          <w:rFonts w:ascii="Times New Roman" w:eastAsia="Times New Roman" w:hAnsi="Times New Roman" w:cs="Times New Roman"/>
          <w:color w:val="000000"/>
          <w:spacing w:val="0"/>
          <w:w w:val="100"/>
          <w:position w:val="0"/>
          <w:sz w:val="18"/>
          <w:szCs w:val="18"/>
        </w:rPr>
        <w:t>5</w:t>
      </w:r>
      <w:bookmarkEnd w:id="789"/>
      <w:r>
        <w:rPr>
          <w:color w:val="000000"/>
          <w:spacing w:val="0"/>
          <w:w w:val="100"/>
          <w:position w:val="0"/>
        </w:rPr>
        <w:t>）</w:t>
        <w:tab/>
        <w:t>发行方或债务人财务困难导致该金融资产的活跃市场消失；</w:t>
      </w:r>
    </w:p>
    <w:p>
      <w:pPr>
        <w:pStyle w:val="Style17"/>
        <w:keepNext w:val="0"/>
        <w:keepLines w:val="0"/>
        <w:widowControl w:val="0"/>
        <w:shd w:val="clear" w:color="auto" w:fill="auto"/>
        <w:tabs>
          <w:tab w:pos="1008" w:val="left"/>
        </w:tabs>
        <w:bidi w:val="0"/>
        <w:spacing w:before="0" w:after="0" w:line="313" w:lineRule="exact"/>
        <w:ind w:left="0" w:right="0" w:firstLine="640"/>
        <w:jc w:val="both"/>
      </w:pPr>
      <w:bookmarkStart w:id="790" w:name="bookmark790"/>
      <w:r>
        <w:rPr>
          <w:rFonts w:ascii="Times New Roman" w:eastAsia="Times New Roman" w:hAnsi="Times New Roman" w:cs="Times New Roman"/>
          <w:color w:val="000000"/>
          <w:spacing w:val="0"/>
          <w:w w:val="100"/>
          <w:position w:val="0"/>
          <w:sz w:val="18"/>
          <w:szCs w:val="18"/>
        </w:rPr>
        <w:t>6</w:t>
      </w:r>
      <w:bookmarkEnd w:id="790"/>
      <w:r>
        <w:rPr>
          <w:color w:val="000000"/>
          <w:spacing w:val="0"/>
          <w:w w:val="100"/>
          <w:position w:val="0"/>
        </w:rPr>
        <w:t>）</w:t>
        <w:tab/>
        <w:t>以大幅折扣购买或源生一项金融资产，该折扣反映了发生信用损失的事实。</w:t>
      </w:r>
    </w:p>
    <w:p>
      <w:pPr>
        <w:pStyle w:val="Style17"/>
        <w:keepNext w:val="0"/>
        <w:keepLines w:val="0"/>
        <w:widowControl w:val="0"/>
        <w:shd w:val="clear" w:color="auto" w:fill="auto"/>
        <w:bidi w:val="0"/>
        <w:spacing w:before="0" w:after="100" w:line="313" w:lineRule="exact"/>
        <w:ind w:left="0" w:right="0" w:firstLine="640"/>
        <w:jc w:val="both"/>
      </w:pPr>
      <w:r>
        <w:rPr>
          <w:color w:val="000000"/>
          <w:spacing w:val="0"/>
          <w:w w:val="100"/>
          <w:position w:val="0"/>
        </w:rPr>
        <w:t>金融资产发生信用减值，有可能是多个事件的共同作用所致，未必是可单独识别的事件所致。</w:t>
      </w:r>
    </w:p>
    <w:p>
      <w:pPr>
        <w:pStyle w:val="Style17"/>
        <w:keepNext w:val="0"/>
        <w:keepLines w:val="0"/>
        <w:widowControl w:val="0"/>
        <w:shd w:val="clear" w:color="auto" w:fill="auto"/>
        <w:tabs>
          <w:tab w:pos="629" w:val="left"/>
        </w:tabs>
        <w:bidi w:val="0"/>
        <w:spacing w:before="0" w:after="0" w:line="437" w:lineRule="auto"/>
        <w:ind w:left="0" w:right="0" w:firstLine="0"/>
        <w:jc w:val="both"/>
      </w:pPr>
      <w:r>
        <w:rPr>
          <w:rFonts w:ascii="Arial" w:eastAsia="Arial" w:hAnsi="Arial" w:cs="Arial"/>
          <w:color w:val="000000"/>
          <w:spacing w:val="0"/>
          <w:w w:val="100"/>
          <w:position w:val="0"/>
          <w:sz w:val="15"/>
          <w:szCs w:val="15"/>
        </w:rPr>
        <w:t>1.</w:t>
        <w:tab/>
      </w:r>
      <w:r>
        <w:rPr>
          <w:color w:val="000000"/>
          <w:spacing w:val="0"/>
          <w:w w:val="100"/>
          <w:position w:val="0"/>
        </w:rPr>
        <w:t>④以组合为基础评估预期信用风险的组合方法</w:t>
      </w:r>
    </w:p>
    <w:p>
      <w:pPr>
        <w:pStyle w:val="Style17"/>
        <w:keepNext w:val="0"/>
        <w:keepLines w:val="0"/>
        <w:widowControl w:val="0"/>
        <w:shd w:val="clear" w:color="auto" w:fill="auto"/>
        <w:bidi w:val="0"/>
        <w:spacing w:before="0" w:after="0" w:line="313" w:lineRule="exact"/>
        <w:ind w:left="340" w:right="0" w:firstLine="380"/>
        <w:jc w:val="both"/>
      </w:pPr>
      <w:r>
        <w:rPr>
          <w:color w:val="000000"/>
          <w:spacing w:val="0"/>
          <w:w w:val="100"/>
          <w:position w:val="0"/>
        </w:rPr>
        <w:t>本公司对信用风险显著不同的金融资产单项评价信用风险，如：与对方存在争议或涉及诉讼、仲裁的应收款项；已有明 显迹象表明债务人很可能无法履行还款义务的应收款项等。</w:t>
      </w:r>
    </w:p>
    <w:p>
      <w:pPr>
        <w:pStyle w:val="Style17"/>
        <w:keepNext w:val="0"/>
        <w:keepLines w:val="0"/>
        <w:widowControl w:val="0"/>
        <w:shd w:val="clear" w:color="auto" w:fill="auto"/>
        <w:bidi w:val="0"/>
        <w:spacing w:before="0" w:after="0" w:line="313" w:lineRule="exact"/>
        <w:ind w:left="340" w:right="0" w:firstLine="380"/>
        <w:jc w:val="both"/>
      </w:pPr>
      <w:r>
        <w:rPr>
          <w:color w:val="000000"/>
          <w:spacing w:val="0"/>
          <w:w w:val="100"/>
          <w:position w:val="0"/>
        </w:rPr>
        <w:t>除了单项评估信用风险的金融资产外，本公司基于共同风险特征将金融资产划分为不同的组别，本公司采用的共同信用 风险特征包括：金融工具类型、账龄组合等，在组合的基础上评估信用风险。</w:t>
      </w:r>
    </w:p>
    <w:p>
      <w:pPr>
        <w:pStyle w:val="Style17"/>
        <w:keepNext w:val="0"/>
        <w:keepLines w:val="0"/>
        <w:widowControl w:val="0"/>
        <w:numPr>
          <w:ilvl w:val="0"/>
          <w:numId w:val="15"/>
        </w:numPr>
        <w:shd w:val="clear" w:color="auto" w:fill="auto"/>
        <w:tabs>
          <w:tab w:pos="1093" w:val="left"/>
        </w:tabs>
        <w:bidi w:val="0"/>
        <w:spacing w:before="0" w:after="0" w:line="313" w:lineRule="exact"/>
        <w:ind w:left="0" w:right="0" w:firstLine="720"/>
        <w:jc w:val="both"/>
      </w:pPr>
      <w:bookmarkStart w:id="791" w:name="bookmark791"/>
      <w:bookmarkEnd w:id="791"/>
      <w:r>
        <w:rPr>
          <w:color w:val="000000"/>
          <w:spacing w:val="0"/>
          <w:w w:val="100"/>
          <w:position w:val="0"/>
        </w:rPr>
        <w:t>金融资产减值的会计处理方法</w:t>
      </w:r>
    </w:p>
    <w:p>
      <w:pPr>
        <w:pStyle w:val="Style17"/>
        <w:keepNext w:val="0"/>
        <w:keepLines w:val="0"/>
        <w:widowControl w:val="0"/>
        <w:shd w:val="clear" w:color="auto" w:fill="auto"/>
        <w:bidi w:val="0"/>
        <w:spacing w:before="0" w:after="0" w:line="313" w:lineRule="exact"/>
        <w:ind w:left="340" w:right="0" w:firstLine="380"/>
        <w:jc w:val="both"/>
      </w:pPr>
      <w:r>
        <w:rPr>
          <w:color w:val="000000"/>
          <w:spacing w:val="0"/>
          <w:w w:val="100"/>
          <w:position w:val="0"/>
        </w:rPr>
        <w:t>期末，本公司计算各类金融资产的预计信用损失，如果该预计信用损失大于其当前减值准备的账面金额，将其差额确认 为减值损失；如果小于当前减值准备的账面金额，则将差额确认为减值利得。</w:t>
      </w:r>
    </w:p>
    <w:p>
      <w:pPr>
        <w:pStyle w:val="Style17"/>
        <w:keepNext w:val="0"/>
        <w:keepLines w:val="0"/>
        <w:widowControl w:val="0"/>
        <w:numPr>
          <w:ilvl w:val="0"/>
          <w:numId w:val="15"/>
        </w:numPr>
        <w:shd w:val="clear" w:color="auto" w:fill="auto"/>
        <w:tabs>
          <w:tab w:pos="1093" w:val="left"/>
        </w:tabs>
        <w:bidi w:val="0"/>
        <w:spacing w:before="0" w:after="100" w:line="313" w:lineRule="exact"/>
        <w:ind w:left="0" w:right="0" w:firstLine="720"/>
        <w:jc w:val="both"/>
      </w:pPr>
      <w:bookmarkStart w:id="792" w:name="bookmark792"/>
      <w:bookmarkEnd w:id="792"/>
      <w:r>
        <w:rPr>
          <w:color w:val="000000"/>
          <w:spacing w:val="0"/>
          <w:w w:val="100"/>
          <w:position w:val="0"/>
        </w:rPr>
        <w:t>各类金融资产信用损失的确定方法</w:t>
      </w:r>
    </w:p>
    <w:p>
      <w:pPr>
        <w:pStyle w:val="Style17"/>
        <w:keepNext w:val="0"/>
        <w:keepLines w:val="0"/>
        <w:widowControl w:val="0"/>
        <w:shd w:val="clear" w:color="auto" w:fill="auto"/>
        <w:bidi w:val="0"/>
        <w:spacing w:before="0" w:after="0" w:line="360" w:lineRule="auto"/>
        <w:ind w:left="0" w:right="0" w:firstLine="7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）应收票据</w:t>
      </w:r>
    </w:p>
    <w:p>
      <w:pPr>
        <w:pStyle w:val="Style17"/>
        <w:keepNext w:val="0"/>
        <w:keepLines w:val="0"/>
        <w:widowControl w:val="0"/>
        <w:shd w:val="clear" w:color="auto" w:fill="auto"/>
        <w:bidi w:val="0"/>
        <w:spacing w:before="0" w:after="100" w:line="313" w:lineRule="exact"/>
        <w:ind w:left="0" w:right="0" w:firstLine="720"/>
        <w:jc w:val="both"/>
      </w:pPr>
      <w:r>
        <w:rPr>
          <w:color w:val="000000"/>
          <w:spacing w:val="0"/>
          <w:w w:val="100"/>
          <w:position w:val="0"/>
        </w:rPr>
        <w:t>本公司对于应收票据按照相当于整个存续期内的预期信用损失金额计量损失准备。基于应收票据的信用风险特征，将其</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划分为不同组合：</w:t>
      </w:r>
    </w:p>
    <w:tbl>
      <w:tblPr>
        <w:tblOverlap w:val="never"/>
        <w:jc w:val="center"/>
        <w:tblLayout w:type="fixed"/>
      </w:tblPr>
      <w:tblGrid>
        <w:gridCol w:w="3005"/>
        <w:gridCol w:w="1968"/>
        <w:gridCol w:w="4157"/>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票据类型</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参考历史信用损失经验，结合当前状况及对未来经济 状况的预测，测算整个存续期信用损失率，计算预期 信用损失</w:t>
            </w:r>
          </w:p>
        </w:tc>
      </w:tr>
      <w:tr>
        <w:trPr>
          <w:trHeight w:val="63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p>
      <w:pPr>
        <w:pStyle w:val="Style31"/>
        <w:keepNext w:val="0"/>
        <w:keepLines w:val="0"/>
        <w:widowControl w:val="0"/>
        <w:shd w:val="clear" w:color="auto" w:fill="auto"/>
        <w:bidi w:val="0"/>
        <w:spacing w:before="0" w:after="0" w:line="317" w:lineRule="exact"/>
        <w:ind w:left="269"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）应收账款及合同资产</w:t>
      </w:r>
    </w:p>
    <w:p>
      <w:pPr>
        <w:pStyle w:val="Style31"/>
        <w:keepNext w:val="0"/>
        <w:keepLines w:val="0"/>
        <w:widowControl w:val="0"/>
        <w:shd w:val="clear" w:color="auto" w:fill="auto"/>
        <w:bidi w:val="0"/>
        <w:spacing w:before="0" w:after="0" w:line="317" w:lineRule="exact"/>
        <w:ind w:left="269" w:right="0" w:firstLine="0"/>
        <w:jc w:val="left"/>
      </w:pPr>
      <w:r>
        <w:rPr>
          <w:color w:val="000000"/>
          <w:spacing w:val="0"/>
          <w:w w:val="100"/>
          <w:position w:val="0"/>
        </w:rPr>
        <w:t>对于不含重大融资成分的应收款项和合同资产，本公司按照相当于整个存续期内的预期信用损失金额计量损失准备。</w:t>
      </w:r>
    </w:p>
    <w:p>
      <w:pPr>
        <w:pStyle w:val="Style31"/>
        <w:keepNext w:val="0"/>
        <w:keepLines w:val="0"/>
        <w:widowControl w:val="0"/>
        <w:shd w:val="clear" w:color="auto" w:fill="auto"/>
        <w:bidi w:val="0"/>
        <w:spacing w:before="0" w:after="0" w:line="317" w:lineRule="exact"/>
        <w:ind w:left="269" w:right="0" w:firstLine="0"/>
        <w:jc w:val="left"/>
      </w:pPr>
      <w:r>
        <w:rPr>
          <w:color w:val="000000"/>
          <w:spacing w:val="0"/>
          <w:w w:val="100"/>
          <w:position w:val="0"/>
        </w:rPr>
        <w:t>对于包含重大融资成分的应收款项、合同资产，本公司选择始终按照相当于存续期内预期信用损失的金额计量损失准备。 除了单项评估信用风险的应收账款外，基于其信用风险特征，将其划分为不同组合：</w:t>
      </w:r>
    </w:p>
    <w:tbl>
      <w:tblPr>
        <w:tblOverlap w:val="never"/>
        <w:jc w:val="center"/>
        <w:tblLayout w:type="fixed"/>
      </w:tblPr>
      <w:tblGrid>
        <w:gridCol w:w="2419"/>
        <w:gridCol w:w="2410"/>
        <w:gridCol w:w="4301"/>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97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应收账款一账龄组合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本组合以应收款项的账龄作为 信用风险特征。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参考历史信用损失经验，结合当前状况及对未来经济状 况的预测，测算整个存续期信用损失率，计算预期信用 损失</w:t>
            </w:r>
          </w:p>
        </w:tc>
      </w:tr>
      <w:tr>
        <w:trPr>
          <w:trHeight w:val="98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r>
              <w:rPr>
                <w:color w:val="000000"/>
                <w:spacing w:val="0"/>
                <w:w w:val="100"/>
                <w:position w:val="0"/>
                <w:sz w:val="18"/>
                <w:szCs w:val="18"/>
              </w:rPr>
              <w:t>一一</w:t>
            </w:r>
            <w:r>
              <w:rPr>
                <w:color w:val="000000"/>
                <w:spacing w:val="0"/>
                <w:w w:val="100"/>
                <w:position w:val="0"/>
              </w:rPr>
              <w:t>账龄组合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本组合以合同资产的账龄作为 信用风险特征。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参考历史信用损失经验，结合当前状况以及对未来经济 状况的预测，测算整个存续期信用损失率，计算预期信 用损失</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合同资产一账龄组合的账龄与整个存续期预期信用损失率对照表</w:t>
      </w:r>
    </w:p>
    <w:p>
      <w:pPr>
        <w:widowControl w:val="0"/>
        <w:spacing w:line="1" w:lineRule="exact"/>
      </w:pPr>
    </w:p>
    <w:tbl>
      <w:tblPr>
        <w:tblOverlap w:val="never"/>
        <w:jc w:val="center"/>
        <w:tblLayout w:type="fixed"/>
      </w:tblPr>
      <w:tblGrid>
        <w:gridCol w:w="4090"/>
        <w:gridCol w:w="5146"/>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合同资产预期信用损失率</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1"/>
        <w:keepNext w:val="0"/>
        <w:keepLines w:val="0"/>
        <w:widowControl w:val="0"/>
        <w:shd w:val="clear" w:color="auto" w:fill="auto"/>
        <w:bidi w:val="0"/>
        <w:spacing w:before="0" w:after="100" w:line="240" w:lineRule="auto"/>
        <w:ind w:left="35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）其他应收款</w:t>
      </w:r>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w:t>
      </w:r>
    </w:p>
    <w:p>
      <w:pPr>
        <w:widowControl w:val="0"/>
        <w:spacing w:after="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2707"/>
        <w:gridCol w:w="2549"/>
        <w:gridCol w:w="3874"/>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29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其他应收款一账龄组合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本组合以其他应收款的账龄作为 信用风险特征。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参考历史信用损失经验，结合当前状况以及对未 来经济状况的预测，通过违约风险敞口和未来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个月内或整个存续期预期信用损失率，计算预期 信用损失</w:t>
            </w:r>
          </w:p>
        </w:tc>
      </w:tr>
    </w:tbl>
    <w:p>
      <w:pPr>
        <w:pStyle w:val="Style31"/>
        <w:keepNext w:val="0"/>
        <w:keepLines w:val="0"/>
        <w:widowControl w:val="0"/>
        <w:shd w:val="clear" w:color="auto" w:fill="auto"/>
        <w:bidi w:val="0"/>
        <w:spacing w:before="0" w:after="100" w:line="240" w:lineRule="auto"/>
        <w:ind w:left="341"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）长期应收款</w:t>
      </w:r>
    </w:p>
    <w:p>
      <w:pPr>
        <w:pStyle w:val="Style31"/>
        <w:keepNext w:val="0"/>
        <w:keepLines w:val="0"/>
        <w:widowControl w:val="0"/>
        <w:shd w:val="clear" w:color="auto" w:fill="auto"/>
        <w:bidi w:val="0"/>
        <w:spacing w:before="0" w:after="0" w:line="240" w:lineRule="auto"/>
        <w:ind w:left="341" w:right="0" w:firstLine="0"/>
        <w:jc w:val="left"/>
      </w:pPr>
      <w:r>
        <w:rPr>
          <w:color w:val="000000"/>
          <w:spacing w:val="0"/>
          <w:w w:val="100"/>
          <w:position w:val="0"/>
        </w:rPr>
        <w:t>本公司依据其信用风险自初始确认后是否已经显著增加，采用相当于未来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w:t>
      </w:r>
    </w:p>
    <w:p>
      <w:pPr>
        <w:widowControl w:val="0"/>
        <w:spacing w:after="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额计量长期应收款减值损失。除了单项评估信用风险的长期应收款外，基于其信用风险特征，将其划分为不同组合:</w:t>
      </w:r>
    </w:p>
    <w:tbl>
      <w:tblPr>
        <w:tblOverlap w:val="never"/>
        <w:jc w:val="center"/>
        <w:tblLayout w:type="fixed"/>
      </w:tblPr>
      <w:tblGrid>
        <w:gridCol w:w="2707"/>
        <w:gridCol w:w="2549"/>
        <w:gridCol w:w="3874"/>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计量预期信用损失的方法</w:t>
            </w:r>
          </w:p>
        </w:tc>
      </w:tr>
      <w:tr>
        <w:trPr>
          <w:trHeight w:val="129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长期应收款一应收融资租赁款 账期组合</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五级风险分类</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参考历史信用损失经验，结合当前状况以及对未 来经济状况的预测，编制长期应收款逾期天数与 整个存续期预期信用损失率对照表，计算预期信 用损失</w:t>
            </w:r>
          </w:p>
        </w:tc>
      </w:tr>
    </w:tbl>
    <w:p>
      <w:pPr>
        <w:widowControl w:val="0"/>
        <w:spacing w:line="1" w:lineRule="exact"/>
      </w:pPr>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长期应收款一应收融资租赁款五级风险分类法组合与整个存续期预期信用损失率对照表</w:t>
      </w:r>
    </w:p>
    <w:tbl>
      <w:tblPr>
        <w:tblOverlap w:val="never"/>
        <w:jc w:val="center"/>
        <w:tblLayout w:type="fixed"/>
      </w:tblPr>
      <w:tblGrid>
        <w:gridCol w:w="2813"/>
        <w:gridCol w:w="2549"/>
        <w:gridCol w:w="3874"/>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合同逾期（天）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预期信用损失率（</w:t>
            </w:r>
            <w:r>
              <w:rPr>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逾期</w:t>
            </w:r>
            <w:r>
              <w:rPr>
                <w:rFonts w:ascii="Times New Roman" w:eastAsia="Times New Roman" w:hAnsi="Times New Roman" w:cs="Times New Roman"/>
                <w:color w:val="000000"/>
                <w:spacing w:val="0"/>
                <w:w w:val="100"/>
                <w:position w:val="0"/>
                <w:sz w:val="18"/>
                <w:szCs w:val="18"/>
              </w:rPr>
              <w:t>6-12</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可疑类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12-24</w:t>
            </w:r>
            <w:r>
              <w:rPr>
                <w:color w:val="000000"/>
                <w:spacing w:val="0"/>
                <w:w w:val="100"/>
                <w:position w:val="0"/>
              </w:rPr>
              <w:t>个月（含）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8"/>
        <w:keepNext/>
        <w:keepLines/>
        <w:widowControl w:val="0"/>
        <w:shd w:val="clear" w:color="auto" w:fill="auto"/>
        <w:tabs>
          <w:tab w:pos="474" w:val="left"/>
        </w:tabs>
        <w:bidi w:val="0"/>
        <w:spacing w:before="0" w:after="26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93"/>
      <w:bookmarkEnd w:id="794"/>
      <w:bookmarkEnd w:id="796"/>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参照金融工具</w:t>
      </w:r>
    </w:p>
    <w:p>
      <w:pPr>
        <w:pStyle w:val="Style28"/>
        <w:keepNext/>
        <w:keepLines/>
        <w:widowControl w:val="0"/>
        <w:shd w:val="clear" w:color="auto" w:fill="auto"/>
        <w:tabs>
          <w:tab w:pos="474" w:val="left"/>
        </w:tabs>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97"/>
      <w:bookmarkEnd w:id="798"/>
      <w:bookmarkEnd w:id="800"/>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参照金融工具</w:t>
      </w:r>
    </w:p>
    <w:p>
      <w:pPr>
        <w:pStyle w:val="Style28"/>
        <w:keepNext/>
        <w:keepLines/>
        <w:widowControl w:val="0"/>
        <w:shd w:val="clear" w:color="auto" w:fill="auto"/>
        <w:tabs>
          <w:tab w:pos="474" w:val="left"/>
        </w:tabs>
        <w:bidi w:val="0"/>
        <w:spacing w:before="0" w:after="26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01"/>
      <w:bookmarkEnd w:id="802"/>
      <w:bookmarkEnd w:id="804"/>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w:t>
      </w:r>
    </w:p>
    <w:p>
      <w:pPr>
        <w:pStyle w:val="Style28"/>
        <w:keepNext/>
        <w:keepLines/>
        <w:widowControl w:val="0"/>
        <w:shd w:val="clear" w:color="auto" w:fill="auto"/>
        <w:tabs>
          <w:tab w:pos="474" w:val="left"/>
        </w:tabs>
        <w:bidi w:val="0"/>
        <w:spacing w:before="0" w:after="2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05"/>
      <w:bookmarkEnd w:id="806"/>
      <w:bookmarkEnd w:id="808"/>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参照金融工具</w:t>
      </w:r>
    </w:p>
    <w:p>
      <w:pPr>
        <w:pStyle w:val="Style28"/>
        <w:keepNext/>
        <w:keepLines/>
        <w:widowControl w:val="0"/>
        <w:shd w:val="clear" w:color="auto" w:fill="auto"/>
        <w:tabs>
          <w:tab w:pos="474" w:val="left"/>
        </w:tabs>
        <w:bidi w:val="0"/>
        <w:spacing w:before="0" w:after="26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09"/>
      <w:bookmarkEnd w:id="810"/>
      <w:bookmarkEnd w:id="812"/>
    </w:p>
    <w:p>
      <w:pPr>
        <w:pStyle w:val="Style17"/>
        <w:keepNext w:val="0"/>
        <w:keepLines w:val="0"/>
        <w:widowControl w:val="0"/>
        <w:shd w:val="clear" w:color="auto" w:fill="auto"/>
        <w:tabs>
          <w:tab w:pos="805" w:val="left"/>
        </w:tabs>
        <w:bidi w:val="0"/>
        <w:spacing w:before="0" w:after="0" w:line="312" w:lineRule="exact"/>
        <w:ind w:left="0" w:right="0" w:firstLine="360"/>
        <w:jc w:val="left"/>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1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存货主要包括原材料、在产品、周转材料、产成品、库存商品、合同履约成本等。</w:t>
      </w:r>
    </w:p>
    <w:p>
      <w:pPr>
        <w:pStyle w:val="Style17"/>
        <w:keepNext w:val="0"/>
        <w:keepLines w:val="0"/>
        <w:widowControl w:val="0"/>
        <w:shd w:val="clear" w:color="auto" w:fill="auto"/>
        <w:tabs>
          <w:tab w:pos="805" w:val="left"/>
        </w:tabs>
        <w:bidi w:val="0"/>
        <w:spacing w:before="0" w:after="0" w:line="312" w:lineRule="exact"/>
        <w:ind w:left="0" w:right="0" w:firstLine="360"/>
        <w:jc w:val="left"/>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1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存货在取得时按实际成本计价，存货成本包括采购成本、加工成本和其他成本。领用和发出时按加权平均法计价</w:t>
      </w:r>
    </w:p>
    <w:p>
      <w:pPr>
        <w:pStyle w:val="Style17"/>
        <w:keepNext w:val="0"/>
        <w:keepLines w:val="0"/>
        <w:widowControl w:val="0"/>
        <w:shd w:val="clear" w:color="auto" w:fill="auto"/>
        <w:tabs>
          <w:tab w:pos="805" w:val="left"/>
        </w:tabs>
        <w:bidi w:val="0"/>
        <w:spacing w:before="0" w:after="0" w:line="312" w:lineRule="exact"/>
        <w:ind w:left="0" w:right="0" w:firstLine="36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1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1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在资产负债表日，存货按照成本与可变现净值孰低计量。当其可变现净值低于成本时，提取存货跌价准备。存货跌价准 备按单个存货项目的成本高于其可变现净值的差额提取。</w:t>
      </w:r>
    </w:p>
    <w:p>
      <w:pPr>
        <w:pStyle w:val="Style1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7"/>
        <w:keepNext w:val="0"/>
        <w:keepLines w:val="0"/>
        <w:widowControl w:val="0"/>
        <w:shd w:val="clear" w:color="auto" w:fill="auto"/>
        <w:tabs>
          <w:tab w:pos="805" w:val="left"/>
        </w:tabs>
        <w:bidi w:val="0"/>
        <w:spacing w:before="0" w:after="0" w:line="312" w:lineRule="exact"/>
        <w:ind w:left="0" w:right="0" w:firstLine="36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17"/>
        <w:keepNext w:val="0"/>
        <w:keepLines w:val="0"/>
        <w:widowControl w:val="0"/>
        <w:shd w:val="clear" w:color="auto" w:fill="auto"/>
        <w:tabs>
          <w:tab w:pos="805" w:val="left"/>
        </w:tabs>
        <w:bidi w:val="0"/>
        <w:spacing w:before="0" w:after="0" w:line="312" w:lineRule="exact"/>
        <w:ind w:left="0" w:right="0" w:firstLine="36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17"/>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低值易耗品于领用时按一次摊销法摊销；包装物于领用时按一次摊销法摊销。</w:t>
      </w:r>
    </w:p>
    <w:p>
      <w:pPr>
        <w:pStyle w:val="Style28"/>
        <w:keepNext/>
        <w:keepLines/>
        <w:widowControl w:val="0"/>
        <w:shd w:val="clear" w:color="auto" w:fill="auto"/>
        <w:tabs>
          <w:tab w:pos="474" w:val="left"/>
        </w:tabs>
        <w:bidi w:val="0"/>
        <w:spacing w:before="0" w:after="26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18"/>
      <w:bookmarkEnd w:id="819"/>
      <w:bookmarkEnd w:id="821"/>
    </w:p>
    <w:p>
      <w:pPr>
        <w:pStyle w:val="Style17"/>
        <w:keepNext w:val="0"/>
        <w:keepLines w:val="0"/>
        <w:widowControl w:val="0"/>
        <w:shd w:val="clear" w:color="auto" w:fill="auto"/>
        <w:bidi w:val="0"/>
        <w:spacing w:before="0" w:after="260" w:line="314" w:lineRule="exact"/>
        <w:ind w:left="0" w:right="0" w:firstLine="360"/>
        <w:jc w:val="both"/>
      </w:pPr>
      <w:r>
        <w:rPr>
          <w:color w:val="000000"/>
          <w:spacing w:val="0"/>
          <w:w w:val="100"/>
          <w:position w:val="0"/>
        </w:rPr>
        <w:t>本公司将客户尚未支付合同对价，但本公司已经依据合同履行了履约义务，且不属于无条件（即仅取决于时间流逝）向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28"/>
        <w:keepNext/>
        <w:keepLines/>
        <w:widowControl w:val="0"/>
        <w:shd w:val="clear" w:color="auto" w:fill="auto"/>
        <w:tabs>
          <w:tab w:pos="419" w:val="left"/>
        </w:tabs>
        <w:bidi w:val="0"/>
        <w:spacing w:before="0" w:after="36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22"/>
      <w:bookmarkEnd w:id="823"/>
      <w:bookmarkEnd w:id="825"/>
    </w:p>
    <w:p>
      <w:pPr>
        <w:pStyle w:val="Style28"/>
        <w:keepNext/>
        <w:keepLines/>
        <w:widowControl w:val="0"/>
        <w:shd w:val="clear" w:color="auto" w:fill="auto"/>
        <w:tabs>
          <w:tab w:pos="419" w:val="left"/>
        </w:tabs>
        <w:bidi w:val="0"/>
        <w:spacing w:before="0" w:after="260" w:line="240" w:lineRule="auto"/>
        <w:ind w:left="0" w:right="0" w:firstLine="0"/>
        <w:jc w:val="left"/>
      </w:pPr>
      <w:bookmarkStart w:id="822" w:name="bookmark822"/>
      <w:bookmarkStart w:id="823" w:name="bookmark823"/>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22"/>
      <w:bookmarkEnd w:id="823"/>
      <w:bookmarkEnd w:id="827"/>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本公司若主要通过出售（包括具有商业实质的非货币性资产交换，下同）而非持续使用一项非流动资产或处置组收回其 账面价值的，则将其划分为持有待售类别。具体标准为同时满足以下条件：某项非流动资产或处置组根据类似交易中出售此 类资产或处置组的惯例，在当前状况下即可立即出售；本公司已经就出售计划作出决议且获得确定的购买承诺；预计出售将 在一年内完成。其中，处置组是指在一项交易中作为整体通过出售或其他方式一并处置的一组资产，以及在该交易中转让的 与这些资产直接相关的负债。处置组所属的资产组或资产组组合按照《企业会计准则第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号——资产减值》分摊了企业合 并中取得的商誉的，该处置组应当包含分摊至处置组的商誉。</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）的计量规 定的各项非流动资产的账面价值。后续资产负债表日持有待售的处置组公允价值减去出售费用后的净额增加的，以前减记的 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17"/>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非流动资产或处置组不再满足持有待售类别的划分条件时，本公司不再将其继续划分为持有待售类别或将非流动资产从 持有待售的处置组中移除，并按照以下两者孰低计量：（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 售类别情况下本应确认的折旧、摊销或减值等进行调整后的金额；（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28"/>
        <w:keepNext/>
        <w:keepLines/>
        <w:widowControl w:val="0"/>
        <w:shd w:val="clear" w:color="auto" w:fill="auto"/>
        <w:tabs>
          <w:tab w:pos="419" w:val="left"/>
        </w:tabs>
        <w:bidi w:val="0"/>
        <w:spacing w:before="0" w:after="36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28"/>
      <w:bookmarkEnd w:id="829"/>
      <w:bookmarkEnd w:id="831"/>
    </w:p>
    <w:p>
      <w:pPr>
        <w:pStyle w:val="Style28"/>
        <w:keepNext/>
        <w:keepLines/>
        <w:widowControl w:val="0"/>
        <w:shd w:val="clear" w:color="auto" w:fill="auto"/>
        <w:tabs>
          <w:tab w:pos="428" w:val="left"/>
        </w:tabs>
        <w:bidi w:val="0"/>
        <w:spacing w:before="0" w:after="360" w:line="240" w:lineRule="auto"/>
        <w:ind w:left="0" w:right="0" w:firstLine="0"/>
        <w:jc w:val="left"/>
      </w:pPr>
      <w:bookmarkStart w:id="828" w:name="bookmark828"/>
      <w:bookmarkStart w:id="829" w:name="bookmark829"/>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28"/>
      <w:bookmarkEnd w:id="829"/>
      <w:bookmarkEnd w:id="833"/>
    </w:p>
    <w:p>
      <w:pPr>
        <w:pStyle w:val="Style28"/>
        <w:keepNext/>
        <w:keepLines/>
        <w:widowControl w:val="0"/>
        <w:shd w:val="clear" w:color="auto" w:fill="auto"/>
        <w:tabs>
          <w:tab w:pos="428" w:val="left"/>
        </w:tabs>
        <w:bidi w:val="0"/>
        <w:spacing w:before="0" w:after="260" w:line="240" w:lineRule="auto"/>
        <w:ind w:left="0" w:right="0" w:firstLine="0"/>
        <w:jc w:val="left"/>
      </w:pPr>
      <w:bookmarkStart w:id="828" w:name="bookmark828"/>
      <w:bookmarkStart w:id="829" w:name="bookmark829"/>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28"/>
      <w:bookmarkEnd w:id="829"/>
      <w:bookmarkEnd w:id="835"/>
    </w:p>
    <w:p>
      <w:pPr>
        <w:pStyle w:val="Style17"/>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参照金融工具</w:t>
      </w:r>
    </w:p>
    <w:p>
      <w:pPr>
        <w:pStyle w:val="Style28"/>
        <w:keepNext/>
        <w:keepLines/>
        <w:widowControl w:val="0"/>
        <w:shd w:val="clear" w:color="auto" w:fill="auto"/>
        <w:tabs>
          <w:tab w:pos="428" w:val="left"/>
        </w:tabs>
        <w:bidi w:val="0"/>
        <w:spacing w:before="0" w:after="26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36"/>
      <w:bookmarkEnd w:id="837"/>
      <w:bookmarkEnd w:id="839"/>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单位不具有控制、共同控制或重大影响的长期股权投资，作为以公允价值计量且其变动计入当期损益的金融资产核算，其中 如果属于非交易性的，本公司在初始确认时可选择将其指定为以公允价值计量且其变动计入其他综合收益的金融资产核算。</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对于同一控制下的企业合并取得的长期股权投资，在合并日按照被合并方股东权益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所有者权益在最终控制方合并财务 报表中的账面价值的份额作为长期股权投资的初始投资成本。长期股权投资初始投资成本与支付的现金、转让的非现金资产 </w:t>
      </w:r>
      <w:r>
        <w:rPr>
          <w:color w:val="000000"/>
          <w:spacing w:val="0"/>
          <w:w w:val="100"/>
          <w:position w:val="0"/>
        </w:rPr>
        <w:t>以及所承担债务账面价值之间的差额，调整资本公积；资本公积不足冲减的，调整留存收益。以发行权益性证券作为合并对 价的，在合并日按照被合并方股东权益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所有者权益在最终控制方合并财务报表中的账面价值的份额作为长期股权投资的初 始投资成本，按照发行股份的面值总额作为股本，长期股权投资初始投资成本与所发行股份面值总额之间的差额，调整资本 公积；资本公积不足冲减的，调整留存收益。通过多次交易分步取得同一控制下被合并方的股权，最终形成同一控制下企业 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 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所有者权益在最终控制方合并财务报表中的账面价值 的份额作为长期股权投资的初始投资成本，长期股权投资初始投资成本与达到合并前的长期股权投资账面价值加上合并日进 一步取得股份新支付对价的账面价值之和的差额，调整资本公积；资本公积不足冲减的，调整留存收益。合并日之前持有的 股权投资因采用权益法核算或作为以公允价值计量且其变动计入其他综合收益的金融资产而确认的其他综合收益，暂不进行 会计处理。</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 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17"/>
        <w:keepNext w:val="0"/>
        <w:keepLines w:val="0"/>
        <w:widowControl w:val="0"/>
        <w:numPr>
          <w:ilvl w:val="0"/>
          <w:numId w:val="17"/>
        </w:numPr>
        <w:shd w:val="clear" w:color="auto" w:fill="auto"/>
        <w:tabs>
          <w:tab w:pos="693" w:val="left"/>
        </w:tabs>
        <w:bidi w:val="0"/>
        <w:spacing w:before="0" w:after="0" w:line="312" w:lineRule="exact"/>
        <w:ind w:left="0" w:right="0" w:firstLine="380"/>
        <w:jc w:val="both"/>
      </w:pPr>
      <w:bookmarkStart w:id="840" w:name="bookmark840"/>
      <w:bookmarkEnd w:id="840"/>
      <w:r>
        <w:rPr>
          <w:color w:val="000000"/>
          <w:spacing w:val="0"/>
          <w:w w:val="100"/>
          <w:position w:val="0"/>
        </w:rPr>
        <w:t>成本法核算的长期股权投资</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17"/>
        <w:keepNext w:val="0"/>
        <w:keepLines w:val="0"/>
        <w:widowControl w:val="0"/>
        <w:numPr>
          <w:ilvl w:val="0"/>
          <w:numId w:val="17"/>
        </w:numPr>
        <w:shd w:val="clear" w:color="auto" w:fill="auto"/>
        <w:tabs>
          <w:tab w:pos="693" w:val="left"/>
        </w:tabs>
        <w:bidi w:val="0"/>
        <w:spacing w:before="0" w:after="0" w:line="312" w:lineRule="exact"/>
        <w:ind w:left="0" w:right="0" w:firstLine="380"/>
        <w:jc w:val="both"/>
      </w:pPr>
      <w:bookmarkStart w:id="841" w:name="bookmark841"/>
      <w:bookmarkEnd w:id="841"/>
      <w:r>
        <w:rPr>
          <w:color w:val="000000"/>
          <w:spacing w:val="0"/>
          <w:w w:val="100"/>
          <w:position w:val="0"/>
        </w:rPr>
        <w:t>权益法核算的长期股权投资</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w:t>
      </w:r>
      <w:r>
        <w:rPr>
          <w:color w:val="000000"/>
          <w:spacing w:val="0"/>
          <w:w w:val="100"/>
          <w:position w:val="0"/>
        </w:rPr>
        <w:t>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17"/>
        <w:keepNext w:val="0"/>
        <w:keepLines w:val="0"/>
        <w:widowControl w:val="0"/>
        <w:numPr>
          <w:ilvl w:val="0"/>
          <w:numId w:val="17"/>
        </w:numPr>
        <w:shd w:val="clear" w:color="auto" w:fill="auto"/>
        <w:tabs>
          <w:tab w:pos="693" w:val="left"/>
        </w:tabs>
        <w:bidi w:val="0"/>
        <w:spacing w:before="0" w:after="0" w:line="313" w:lineRule="exact"/>
        <w:ind w:left="0" w:right="0" w:firstLine="380"/>
        <w:jc w:val="both"/>
      </w:pPr>
      <w:bookmarkStart w:id="842" w:name="bookmark842"/>
      <w:bookmarkEnd w:id="842"/>
      <w:r>
        <w:rPr>
          <w:color w:val="000000"/>
          <w:spacing w:val="0"/>
          <w:w w:val="100"/>
          <w:position w:val="0"/>
        </w:rPr>
        <w:t>收购少数股权</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17"/>
        <w:keepNext w:val="0"/>
        <w:keepLines w:val="0"/>
        <w:widowControl w:val="0"/>
        <w:numPr>
          <w:ilvl w:val="0"/>
          <w:numId w:val="17"/>
        </w:numPr>
        <w:shd w:val="clear" w:color="auto" w:fill="auto"/>
        <w:tabs>
          <w:tab w:pos="693" w:val="left"/>
        </w:tabs>
        <w:bidi w:val="0"/>
        <w:spacing w:before="0" w:after="0" w:line="313" w:lineRule="exact"/>
        <w:ind w:left="0" w:right="0" w:firstLine="380"/>
        <w:jc w:val="both"/>
      </w:pPr>
      <w:bookmarkStart w:id="843" w:name="bookmark843"/>
      <w:bookmarkEnd w:id="843"/>
      <w:r>
        <w:rPr>
          <w:color w:val="000000"/>
          <w:spacing w:val="0"/>
          <w:w w:val="100"/>
          <w:position w:val="0"/>
        </w:rPr>
        <w:t>处置长期股权投资</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 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17"/>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8"/>
        <w:keepNext/>
        <w:keepLines/>
        <w:widowControl w:val="0"/>
        <w:shd w:val="clear" w:color="auto" w:fill="auto"/>
        <w:bidi w:val="0"/>
        <w:spacing w:before="0" w:after="2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44"/>
      <w:bookmarkEnd w:id="845"/>
      <w:bookmarkEnd w:id="847"/>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17"/>
        <w:keepNext w:val="0"/>
        <w:keepLines w:val="0"/>
        <w:widowControl w:val="0"/>
        <w:shd w:val="clear" w:color="auto" w:fill="auto"/>
        <w:bidi w:val="0"/>
        <w:spacing w:before="0" w:after="280" w:line="313" w:lineRule="exact"/>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48"/>
      <w:bookmarkEnd w:id="849"/>
      <w:bookmarkEnd w:id="851"/>
    </w:p>
    <w:p>
      <w:pPr>
        <w:pStyle w:val="Style28"/>
        <w:keepNext/>
        <w:keepLines/>
        <w:widowControl w:val="0"/>
        <w:shd w:val="clear" w:color="auto" w:fill="auto"/>
        <w:bidi w:val="0"/>
        <w:spacing w:before="0" w:after="280" w:line="240" w:lineRule="auto"/>
        <w:ind w:left="0" w:right="0" w:firstLine="0"/>
        <w:jc w:val="left"/>
      </w:pPr>
      <w:bookmarkStart w:id="848" w:name="bookmark848"/>
      <w:bookmarkStart w:id="849" w:name="bookmark849"/>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8"/>
      <w:bookmarkEnd w:id="849"/>
      <w:bookmarkEnd w:id="853"/>
    </w:p>
    <w:p>
      <w:pPr>
        <w:pStyle w:val="Style17"/>
        <w:keepNext w:val="0"/>
        <w:keepLines w:val="0"/>
        <w:widowControl w:val="0"/>
        <w:shd w:val="clear" w:color="auto" w:fill="auto"/>
        <w:bidi w:val="0"/>
        <w:spacing w:before="0" w:after="360" w:line="312" w:lineRule="exact"/>
        <w:ind w:left="0" w:right="0" w:firstLine="640"/>
        <w:jc w:val="both"/>
      </w:pPr>
      <w:r>
        <w:rPr>
          <w:color w:val="000000"/>
          <w:spacing w:val="0"/>
          <w:w w:val="100"/>
          <w:position w:val="0"/>
        </w:rPr>
        <w:t>固定资产是指为生产商品、提供劳务、出租或经营管理而持有的，使用寿命超过一个会计年度的有形资产。固定资 产仅在与其有关的经济利益很可能流入本公司，且其成本能够可靠地计量时才予以确认。固定资产按成本并考虑预计弃置费 用因素的影响进行初始计量。</w:t>
      </w:r>
    </w:p>
    <w:p>
      <w:pPr>
        <w:pStyle w:val="Style28"/>
        <w:keepNext/>
        <w:keepLines/>
        <w:widowControl w:val="0"/>
        <w:shd w:val="clear" w:color="auto" w:fill="auto"/>
        <w:bidi w:val="0"/>
        <w:spacing w:before="0" w:after="36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54"/>
      <w:bookmarkEnd w:id="855"/>
      <w:bookmarkEnd w:id="857"/>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19.00%-4.75%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58"/>
      <w:bookmarkEnd w:id="859"/>
      <w:bookmarkEnd w:id="861"/>
    </w:p>
    <w:p>
      <w:pPr>
        <w:pStyle w:val="Style28"/>
        <w:keepNext/>
        <w:keepLines/>
        <w:widowControl w:val="0"/>
        <w:shd w:val="clear" w:color="auto" w:fill="auto"/>
        <w:tabs>
          <w:tab w:pos="483" w:val="left"/>
        </w:tabs>
        <w:bidi w:val="0"/>
        <w:spacing w:before="0" w:after="280" w:line="240" w:lineRule="auto"/>
        <w:ind w:left="0" w:right="0" w:firstLine="0"/>
        <w:jc w:val="left"/>
      </w:pPr>
      <w:bookmarkStart w:id="858" w:name="bookmark858"/>
      <w:bookmarkStart w:id="859" w:name="bookmark859"/>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58"/>
      <w:bookmarkEnd w:id="859"/>
      <w:bookmarkEnd w:id="863"/>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在建工程的减值测试方法和减值准备计提方法详见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483" w:val="left"/>
        </w:tabs>
        <w:bidi w:val="0"/>
        <w:spacing w:before="0" w:after="28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64"/>
      <w:bookmarkEnd w:id="865"/>
      <w:bookmarkEnd w:id="867"/>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资本化期间内，外币专门借款的汇兑差额全部予以资本化；外币一般借款的汇兑差额计入当期损益。</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17"/>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13"/>
        <w:keepNext w:val="0"/>
        <w:keepLines w:val="0"/>
        <w:widowControl w:val="0"/>
        <w:shd w:val="clear" w:color="auto" w:fill="auto"/>
        <w:tabs>
          <w:tab w:pos="512" w:val="left"/>
        </w:tabs>
        <w:bidi w:val="0"/>
        <w:spacing w:before="0" w:after="360" w:line="240" w:lineRule="auto"/>
        <w:ind w:left="0" w:right="0" w:firstLine="0"/>
        <w:jc w:val="left"/>
        <w:rPr>
          <w:sz w:val="20"/>
          <w:szCs w:val="20"/>
        </w:rPr>
      </w:pPr>
      <w:bookmarkStart w:id="868" w:name="bookmark868"/>
      <w:r>
        <w:rPr>
          <w:rFonts w:ascii="Times New Roman" w:eastAsia="Times New Roman" w:hAnsi="Times New Roman" w:cs="Times New Roman"/>
          <w:color w:val="000000"/>
          <w:spacing w:val="0"/>
          <w:w w:val="100"/>
          <w:position w:val="0"/>
          <w:sz w:val="20"/>
          <w:szCs w:val="20"/>
        </w:rPr>
        <w:t>2</w:t>
      </w:r>
      <w:bookmarkEnd w:id="868"/>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生物资产</w:t>
      </w:r>
    </w:p>
    <w:p>
      <w:pPr>
        <w:pStyle w:val="Style13"/>
        <w:keepNext w:val="0"/>
        <w:keepLines w:val="0"/>
        <w:widowControl w:val="0"/>
        <w:shd w:val="clear" w:color="auto" w:fill="auto"/>
        <w:tabs>
          <w:tab w:pos="512" w:val="left"/>
        </w:tabs>
        <w:bidi w:val="0"/>
        <w:spacing w:before="0" w:after="360" w:line="240" w:lineRule="auto"/>
        <w:ind w:left="0" w:right="0" w:firstLine="0"/>
        <w:jc w:val="left"/>
        <w:rPr>
          <w:sz w:val="20"/>
          <w:szCs w:val="20"/>
        </w:rPr>
      </w:pPr>
      <w:bookmarkStart w:id="869" w:name="bookmark869"/>
      <w:r>
        <w:rPr>
          <w:rFonts w:ascii="Times New Roman" w:eastAsia="Times New Roman" w:hAnsi="Times New Roman" w:cs="Times New Roman"/>
          <w:color w:val="000000"/>
          <w:spacing w:val="0"/>
          <w:w w:val="100"/>
          <w:position w:val="0"/>
          <w:sz w:val="20"/>
          <w:szCs w:val="20"/>
        </w:rPr>
        <w:t>2</w:t>
      </w:r>
      <w:bookmarkEnd w:id="869"/>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油气资产</w:t>
      </w:r>
    </w:p>
    <w:p>
      <w:pPr>
        <w:pStyle w:val="Style13"/>
        <w:keepNext w:val="0"/>
        <w:keepLines w:val="0"/>
        <w:widowControl w:val="0"/>
        <w:shd w:val="clear" w:color="auto" w:fill="auto"/>
        <w:tabs>
          <w:tab w:pos="512" w:val="left"/>
        </w:tabs>
        <w:bidi w:val="0"/>
        <w:spacing w:before="0" w:after="360" w:line="240" w:lineRule="auto"/>
        <w:ind w:left="0" w:right="0" w:firstLine="0"/>
        <w:jc w:val="left"/>
        <w:rPr>
          <w:sz w:val="20"/>
          <w:szCs w:val="20"/>
        </w:rPr>
      </w:pPr>
      <w:bookmarkStart w:id="870" w:name="bookmark870"/>
      <w:r>
        <w:rPr>
          <w:rFonts w:ascii="Times New Roman" w:eastAsia="Times New Roman" w:hAnsi="Times New Roman" w:cs="Times New Roman"/>
          <w:color w:val="000000"/>
          <w:spacing w:val="0"/>
          <w:w w:val="100"/>
          <w:position w:val="0"/>
          <w:sz w:val="20"/>
          <w:szCs w:val="20"/>
        </w:rPr>
        <w:t>2</w:t>
      </w:r>
      <w:bookmarkEnd w:id="870"/>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t>使用权资产</w:t>
      </w:r>
    </w:p>
    <w:p>
      <w:pPr>
        <w:pStyle w:val="Style13"/>
        <w:keepNext w:val="0"/>
        <w:keepLines w:val="0"/>
        <w:widowControl w:val="0"/>
        <w:shd w:val="clear" w:color="auto" w:fill="auto"/>
        <w:tabs>
          <w:tab w:pos="512" w:val="left"/>
        </w:tabs>
        <w:bidi w:val="0"/>
        <w:spacing w:before="0" w:after="360" w:line="240" w:lineRule="auto"/>
        <w:ind w:left="0" w:right="0" w:firstLine="0"/>
        <w:jc w:val="left"/>
        <w:rPr>
          <w:sz w:val="20"/>
          <w:szCs w:val="20"/>
        </w:rPr>
      </w:pPr>
      <w:bookmarkStart w:id="871" w:name="bookmark871"/>
      <w:r>
        <w:rPr>
          <w:rFonts w:ascii="Times New Roman" w:eastAsia="Times New Roman" w:hAnsi="Times New Roman" w:cs="Times New Roman"/>
          <w:color w:val="000000"/>
          <w:spacing w:val="0"/>
          <w:w w:val="100"/>
          <w:position w:val="0"/>
          <w:sz w:val="20"/>
          <w:szCs w:val="20"/>
        </w:rPr>
        <w:t>3</w:t>
      </w:r>
      <w:bookmarkEnd w:id="871"/>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tab/>
        <w:t>无形资产</w:t>
      </w:r>
    </w:p>
    <w:p>
      <w:pPr>
        <w:pStyle w:val="Style13"/>
        <w:keepNext w:val="0"/>
        <w:keepLines w:val="0"/>
        <w:widowControl w:val="0"/>
        <w:shd w:val="clear" w:color="auto" w:fill="auto"/>
        <w:bidi w:val="0"/>
        <w:spacing w:before="0" w:after="280" w:line="240" w:lineRule="auto"/>
        <w:ind w:left="0" w:right="0" w:firstLine="0"/>
        <w:jc w:val="left"/>
        <w:rPr>
          <w:sz w:val="20"/>
          <w:szCs w:val="20"/>
        </w:rPr>
      </w:pPr>
      <w:bookmarkStart w:id="872" w:name="bookmark872"/>
      <w:r>
        <w:rPr>
          <w:color w:val="000000"/>
          <w:spacing w:val="0"/>
          <w:w w:val="100"/>
          <w:position w:val="0"/>
          <w:sz w:val="20"/>
          <w:szCs w:val="20"/>
        </w:rPr>
        <w:t>（</w:t>
      </w:r>
      <w:bookmarkEnd w:id="87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）计价方法、使用寿命、减值测试</w:t>
      </w:r>
    </w:p>
    <w:p>
      <w:pPr>
        <w:pStyle w:val="Style1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无形资产是指本公司拥有或者控制的没有实物形态的可辨认非货币性资产。</w:t>
      </w:r>
    </w:p>
    <w:p>
      <w:pPr>
        <w:pStyle w:val="Style1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17"/>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17"/>
        <w:keepNext w:val="0"/>
        <w:keepLines w:val="0"/>
        <w:widowControl w:val="0"/>
        <w:shd w:val="clear" w:color="auto" w:fill="auto"/>
        <w:bidi w:val="0"/>
        <w:spacing w:before="0" w:after="80" w:line="310" w:lineRule="exact"/>
        <w:ind w:left="0" w:right="0" w:firstLine="380"/>
        <w:jc w:val="both"/>
      </w:pPr>
      <w:r>
        <w:rPr>
          <w:color w:val="000000"/>
          <w:spacing w:val="0"/>
          <w:w w:val="100"/>
          <w:position w:val="0"/>
        </w:rPr>
        <w:t>使用寿命有限的无形资产自可供使用时起，对其原值减去已计提的减值准备累计金额在其预计使用寿命内采用直线法分</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期平均摊销。使用寿命不确定的无形资产不予摊销。</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具体摊销年限如下：</w:t>
      </w:r>
    </w:p>
    <w:tbl>
      <w:tblPr>
        <w:tblOverlap w:val="never"/>
        <w:jc w:val="center"/>
        <w:tblLayout w:type="fixed"/>
      </w:tblPr>
      <w:tblGrid>
        <w:gridCol w:w="3442"/>
        <w:gridCol w:w="5635"/>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特许经营权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停车场租赁合同权益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w:t>
            </w:r>
          </w:p>
        </w:tc>
      </w:tr>
    </w:tbl>
    <w:p>
      <w:pPr>
        <w:pStyle w:val="Style31"/>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widowControl w:val="0"/>
        <w:spacing w:after="619" w:line="1" w:lineRule="exact"/>
      </w:pPr>
    </w:p>
    <w:p>
      <w:pPr>
        <w:pStyle w:val="Style13"/>
        <w:keepNext w:val="0"/>
        <w:keepLines w:val="0"/>
        <w:widowControl w:val="0"/>
        <w:shd w:val="clear" w:color="auto" w:fill="auto"/>
        <w:bidi w:val="0"/>
        <w:spacing w:before="0" w:after="280" w:line="240" w:lineRule="auto"/>
        <w:ind w:left="0" w:right="0" w:firstLine="0"/>
        <w:jc w:val="left"/>
        <w:rPr>
          <w:sz w:val="20"/>
          <w:szCs w:val="20"/>
        </w:rPr>
      </w:pPr>
      <w:bookmarkStart w:id="873" w:name="bookmark873"/>
      <w:r>
        <w:rPr>
          <w:color w:val="000000"/>
          <w:spacing w:val="0"/>
          <w:w w:val="100"/>
          <w:position w:val="0"/>
          <w:sz w:val="20"/>
          <w:szCs w:val="20"/>
        </w:rPr>
        <w:t>（</w:t>
      </w:r>
      <w:bookmarkEnd w:id="87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）内部研究开发支出会计政策</w:t>
      </w:r>
    </w:p>
    <w:p>
      <w:pPr>
        <w:pStyle w:val="Style17"/>
        <w:keepNext w:val="0"/>
        <w:keepLines w:val="0"/>
        <w:widowControl w:val="0"/>
        <w:shd w:val="clear" w:color="auto" w:fill="auto"/>
        <w:bidi w:val="0"/>
        <w:spacing w:before="0" w:after="0" w:line="298" w:lineRule="exact"/>
        <w:ind w:left="0" w:right="0" w:firstLine="380"/>
        <w:jc w:val="both"/>
      </w:pPr>
      <w:r>
        <w:rPr>
          <w:color w:val="000000"/>
          <w:spacing w:val="0"/>
          <w:w w:val="100"/>
          <w:position w:val="0"/>
        </w:rPr>
        <w:t>本公司内部研究开发项目的支出分为研究阶段支出与开发阶段支出。</w:t>
      </w:r>
    </w:p>
    <w:p>
      <w:pPr>
        <w:pStyle w:val="Style17"/>
        <w:keepNext w:val="0"/>
        <w:keepLines w:val="0"/>
        <w:widowControl w:val="0"/>
        <w:shd w:val="clear" w:color="auto" w:fill="auto"/>
        <w:bidi w:val="0"/>
        <w:spacing w:before="0" w:after="0" w:line="298" w:lineRule="exact"/>
        <w:ind w:left="0" w:right="0" w:firstLine="380"/>
        <w:jc w:val="both"/>
      </w:pPr>
      <w:r>
        <w:rPr>
          <w:color w:val="000000"/>
          <w:spacing w:val="0"/>
          <w:w w:val="100"/>
          <w:position w:val="0"/>
        </w:rPr>
        <w:t>研究阶段的支出，于发生时计入当期损益。</w:t>
      </w:r>
    </w:p>
    <w:p>
      <w:pPr>
        <w:pStyle w:val="Style17"/>
        <w:keepNext w:val="0"/>
        <w:keepLines w:val="0"/>
        <w:widowControl w:val="0"/>
        <w:shd w:val="clear" w:color="auto" w:fill="auto"/>
        <w:bidi w:val="0"/>
        <w:spacing w:before="0" w:after="0" w:line="298" w:lineRule="exact"/>
        <w:ind w:left="0" w:right="0" w:firstLine="380"/>
        <w:jc w:val="both"/>
      </w:pPr>
      <w:r>
        <w:rPr>
          <w:color w:val="000000"/>
          <w:spacing w:val="0"/>
          <w:w w:val="100"/>
          <w:position w:val="0"/>
        </w:rPr>
        <w:t>开发阶段的支出同时满足下列条件的，确认为无形资产，不能满足下述条件的开发阶段的支出计入当期损益：</w:t>
      </w:r>
    </w:p>
    <w:p>
      <w:pPr>
        <w:pStyle w:val="Style17"/>
        <w:keepNext w:val="0"/>
        <w:keepLines w:val="0"/>
        <w:widowControl w:val="0"/>
        <w:numPr>
          <w:ilvl w:val="0"/>
          <w:numId w:val="19"/>
        </w:numPr>
        <w:shd w:val="clear" w:color="auto" w:fill="auto"/>
        <w:tabs>
          <w:tab w:pos="753" w:val="left"/>
        </w:tabs>
        <w:bidi w:val="0"/>
        <w:spacing w:before="0" w:after="0" w:line="298" w:lineRule="exact"/>
        <w:ind w:left="0" w:right="0" w:firstLine="380"/>
        <w:jc w:val="both"/>
      </w:pPr>
      <w:bookmarkStart w:id="874" w:name="bookmark874"/>
      <w:bookmarkEnd w:id="874"/>
      <w:r>
        <w:rPr>
          <w:color w:val="000000"/>
          <w:spacing w:val="0"/>
          <w:w w:val="100"/>
          <w:position w:val="0"/>
        </w:rPr>
        <w:t>完成该无形资产以使其能够使用或出售在技术上具有可行性；</w:t>
      </w:r>
    </w:p>
    <w:p>
      <w:pPr>
        <w:pStyle w:val="Style17"/>
        <w:keepNext w:val="0"/>
        <w:keepLines w:val="0"/>
        <w:widowControl w:val="0"/>
        <w:numPr>
          <w:ilvl w:val="0"/>
          <w:numId w:val="19"/>
        </w:numPr>
        <w:shd w:val="clear" w:color="auto" w:fill="auto"/>
        <w:tabs>
          <w:tab w:pos="753" w:val="left"/>
        </w:tabs>
        <w:bidi w:val="0"/>
        <w:spacing w:before="0" w:after="0" w:line="298" w:lineRule="exact"/>
        <w:ind w:left="0" w:right="0" w:firstLine="380"/>
        <w:jc w:val="both"/>
      </w:pPr>
      <w:bookmarkStart w:id="875" w:name="bookmark875"/>
      <w:bookmarkEnd w:id="875"/>
      <w:r>
        <w:rPr>
          <w:color w:val="000000"/>
          <w:spacing w:val="0"/>
          <w:w w:val="100"/>
          <w:position w:val="0"/>
        </w:rPr>
        <w:t>具有完成该无形资产并使用或出售的意图；</w:t>
      </w:r>
    </w:p>
    <w:p>
      <w:pPr>
        <w:pStyle w:val="Style17"/>
        <w:keepNext w:val="0"/>
        <w:keepLines w:val="0"/>
        <w:widowControl w:val="0"/>
        <w:numPr>
          <w:ilvl w:val="0"/>
          <w:numId w:val="19"/>
        </w:numPr>
        <w:shd w:val="clear" w:color="auto" w:fill="auto"/>
        <w:tabs>
          <w:tab w:pos="723" w:val="left"/>
        </w:tabs>
        <w:bidi w:val="0"/>
        <w:spacing w:before="0" w:after="0" w:line="298" w:lineRule="exact"/>
        <w:ind w:left="0" w:right="0" w:firstLine="380"/>
        <w:jc w:val="both"/>
      </w:pPr>
      <w:bookmarkStart w:id="876" w:name="bookmark876"/>
      <w:bookmarkEnd w:id="876"/>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17"/>
        <w:keepNext w:val="0"/>
        <w:keepLines w:val="0"/>
        <w:widowControl w:val="0"/>
        <w:numPr>
          <w:ilvl w:val="0"/>
          <w:numId w:val="19"/>
        </w:numPr>
        <w:shd w:val="clear" w:color="auto" w:fill="auto"/>
        <w:tabs>
          <w:tab w:pos="753" w:val="left"/>
        </w:tabs>
        <w:bidi w:val="0"/>
        <w:spacing w:before="0" w:after="0" w:line="298" w:lineRule="exact"/>
        <w:ind w:left="0" w:right="0" w:firstLine="380"/>
        <w:jc w:val="both"/>
      </w:pPr>
      <w:bookmarkStart w:id="877" w:name="bookmark877"/>
      <w:bookmarkEnd w:id="877"/>
      <w:r>
        <w:rPr>
          <w:color w:val="000000"/>
          <w:spacing w:val="0"/>
          <w:w w:val="100"/>
          <w:position w:val="0"/>
        </w:rPr>
        <w:t>有足够的技术、财务资源和其他资源支持，以完成该无形资产的开发，并有能力使用或出售该无形资产；</w:t>
      </w:r>
    </w:p>
    <w:p>
      <w:pPr>
        <w:pStyle w:val="Style17"/>
        <w:keepNext w:val="0"/>
        <w:keepLines w:val="0"/>
        <w:widowControl w:val="0"/>
        <w:numPr>
          <w:ilvl w:val="0"/>
          <w:numId w:val="19"/>
        </w:numPr>
        <w:shd w:val="clear" w:color="auto" w:fill="auto"/>
        <w:tabs>
          <w:tab w:pos="753" w:val="left"/>
        </w:tabs>
        <w:bidi w:val="0"/>
        <w:spacing w:before="0" w:after="0" w:line="298" w:lineRule="exact"/>
        <w:ind w:left="0" w:right="0" w:firstLine="380"/>
        <w:jc w:val="both"/>
      </w:pPr>
      <w:bookmarkStart w:id="878" w:name="bookmark878"/>
      <w:bookmarkEnd w:id="878"/>
      <w:r>
        <w:rPr>
          <w:color w:val="000000"/>
          <w:spacing w:val="0"/>
          <w:w w:val="100"/>
          <w:position w:val="0"/>
        </w:rPr>
        <w:t>归属于该无形资产开发阶段的支出能够可靠地计量。</w:t>
      </w:r>
    </w:p>
    <w:p>
      <w:pPr>
        <w:pStyle w:val="Style17"/>
        <w:keepNext w:val="0"/>
        <w:keepLines w:val="0"/>
        <w:widowControl w:val="0"/>
        <w:shd w:val="clear" w:color="auto" w:fill="auto"/>
        <w:bidi w:val="0"/>
        <w:spacing w:before="0" w:after="0" w:line="298" w:lineRule="exact"/>
        <w:ind w:left="0" w:right="0" w:firstLine="380"/>
        <w:jc w:val="both"/>
      </w:pPr>
      <w:r>
        <w:rPr>
          <w:color w:val="000000"/>
          <w:spacing w:val="0"/>
          <w:w w:val="100"/>
          <w:position w:val="0"/>
        </w:rPr>
        <w:t>无法区分研究阶段支出和开发阶段支出的，将发生的研发支出全部计入当期损益。</w:t>
      </w:r>
    </w:p>
    <w:p>
      <w:pPr>
        <w:pStyle w:val="Style28"/>
        <w:keepNext/>
        <w:keepLines/>
        <w:widowControl w:val="0"/>
        <w:shd w:val="clear" w:color="auto" w:fill="auto"/>
        <w:bidi w:val="0"/>
        <w:spacing w:before="0" w:after="26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3</w:t>
      </w:r>
      <w:bookmarkEnd w:id="881"/>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879"/>
      <w:bookmarkEnd w:id="880"/>
      <w:bookmarkEnd w:id="882"/>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对于固定资产、在建工程、使用寿命有限的无形资产、使用权资产、以成本模式计量的投资性房地产及对子公司、合营 企业、联营企业的长期股权投资等非流动非金融资产，本公司于资产负债表日判断是否存在减值迹象。如存在减值迹象的， 则估计其可收回金额，进行减值测试。商誉、使用寿命不确定的无形资产和尚未达到可使用状态的无形资产，无论是否存在 减值迹象，每年均进行减值测试。</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17"/>
        <w:keepNext w:val="0"/>
        <w:keepLines w:val="0"/>
        <w:widowControl w:val="0"/>
        <w:shd w:val="clear" w:color="auto" w:fill="auto"/>
        <w:bidi w:val="0"/>
        <w:spacing w:before="0" w:after="680" w:line="311" w:lineRule="exact"/>
        <w:ind w:left="0" w:right="0" w:firstLine="380"/>
        <w:jc w:val="both"/>
      </w:pPr>
      <w:r>
        <w:rPr>
          <w:color w:val="000000"/>
          <w:spacing w:val="0"/>
          <w:w w:val="100"/>
          <w:position w:val="0"/>
        </w:rPr>
        <w:t>上述资产减值损失一经确认，以后期间不予转回价值得以恢复的部分。</w:t>
      </w:r>
    </w:p>
    <w:p>
      <w:pPr>
        <w:pStyle w:val="Style28"/>
        <w:keepNext/>
        <w:keepLines/>
        <w:widowControl w:val="0"/>
        <w:shd w:val="clear" w:color="auto" w:fill="auto"/>
        <w:bidi w:val="0"/>
        <w:spacing w:before="0" w:after="26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3</w:t>
      </w:r>
      <w:bookmarkEnd w:id="885"/>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883"/>
      <w:bookmarkEnd w:id="884"/>
      <w:bookmarkEnd w:id="886"/>
    </w:p>
    <w:p>
      <w:pPr>
        <w:pStyle w:val="Style17"/>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长期待摊费用为已经发生但应由报告期和以后各期负担的分摊期限在一年以上的各项费用。本公司的长期待摊费用主要 包括使用权资产改良支出。长期待摊费用在预计受益期间按直线法摊销。</w:t>
      </w:r>
    </w:p>
    <w:p>
      <w:pPr>
        <w:pStyle w:val="Style28"/>
        <w:keepNext/>
        <w:keepLines/>
        <w:widowControl w:val="0"/>
        <w:shd w:val="clear" w:color="auto" w:fill="auto"/>
        <w:tabs>
          <w:tab w:pos="438" w:val="left"/>
        </w:tabs>
        <w:bidi w:val="0"/>
        <w:spacing w:before="0" w:after="26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3</w:t>
      </w:r>
      <w:bookmarkEnd w:id="88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87"/>
      <w:bookmarkEnd w:id="888"/>
      <w:bookmarkEnd w:id="890"/>
    </w:p>
    <w:p>
      <w:pPr>
        <w:pStyle w:val="Style17"/>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合同负债，是指本公司已收或应收客户对价而应向客户转让商品的义务。如果在本公司向客户转让商品之前，客户已经 支付了合同对价或本公司已经取得了无条件收款权，本公司在客户实际支付款项和到期应支付款项孰早时点，将该已收或应 收款项列示为合同负债。同一合同下的合同资产和合同负债以净额列示，不同合同下的合同资产和合同负债不予抵销。</w:t>
      </w:r>
    </w:p>
    <w:p>
      <w:pPr>
        <w:pStyle w:val="Style28"/>
        <w:keepNext/>
        <w:keepLines/>
        <w:widowControl w:val="0"/>
        <w:shd w:val="clear" w:color="auto" w:fill="auto"/>
        <w:tabs>
          <w:tab w:pos="438" w:val="left"/>
        </w:tabs>
        <w:bidi w:val="0"/>
        <w:spacing w:before="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3</w:t>
      </w:r>
      <w:bookmarkEnd w:id="89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91"/>
      <w:bookmarkEnd w:id="892"/>
      <w:bookmarkEnd w:id="894"/>
    </w:p>
    <w:p>
      <w:pPr>
        <w:pStyle w:val="Style28"/>
        <w:keepNext/>
        <w:keepLines/>
        <w:widowControl w:val="0"/>
        <w:shd w:val="clear" w:color="auto" w:fill="auto"/>
        <w:bidi w:val="0"/>
        <w:spacing w:before="0" w:after="260" w:line="240" w:lineRule="auto"/>
        <w:ind w:left="0" w:right="0" w:firstLine="0"/>
        <w:jc w:val="left"/>
      </w:pPr>
      <w:bookmarkStart w:id="891" w:name="bookmark891"/>
      <w:bookmarkStart w:id="892" w:name="bookmark892"/>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91"/>
      <w:bookmarkEnd w:id="892"/>
      <w:bookmarkEnd w:id="896"/>
    </w:p>
    <w:p>
      <w:pPr>
        <w:pStyle w:val="Style17"/>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28"/>
        <w:keepNext/>
        <w:keepLines/>
        <w:widowControl w:val="0"/>
        <w:shd w:val="clear" w:color="auto" w:fill="auto"/>
        <w:bidi w:val="0"/>
        <w:spacing w:before="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97"/>
      <w:bookmarkEnd w:id="898"/>
      <w:bookmarkEnd w:id="900"/>
    </w:p>
    <w:p>
      <w:pPr>
        <w:pStyle w:val="Style17"/>
        <w:keepNext w:val="0"/>
        <w:keepLines w:val="0"/>
        <w:widowControl w:val="0"/>
        <w:shd w:val="clear" w:color="auto" w:fill="auto"/>
        <w:bidi w:val="0"/>
        <w:spacing w:before="0" w:after="680" w:line="240" w:lineRule="auto"/>
        <w:ind w:left="0" w:right="0" w:firstLine="380"/>
        <w:jc w:val="both"/>
      </w:pPr>
      <w:r>
        <w:rPr>
          <w:color w:val="000000"/>
          <w:spacing w:val="0"/>
          <w:w w:val="100"/>
          <w:position w:val="0"/>
        </w:rPr>
        <w:t xml:space="preserve">离职后福利主要包括基本养老保险、失业保险等。离职后福利计划包括设定提存计划。采用设定提存计划的，相应的应 </w:t>
      </w:r>
      <w:r>
        <w:rPr>
          <w:color w:val="000000"/>
          <w:spacing w:val="0"/>
          <w:w w:val="100"/>
          <w:position w:val="0"/>
        </w:rPr>
        <w:t>缴存金额于发生时计入相关资产成本或当期损益。</w:t>
      </w:r>
    </w:p>
    <w:p>
      <w:pPr>
        <w:pStyle w:val="Style28"/>
        <w:keepNext/>
        <w:keepLines/>
        <w:widowControl w:val="0"/>
        <w:shd w:val="clear" w:color="auto" w:fill="auto"/>
        <w:bidi w:val="0"/>
        <w:spacing w:before="0" w:after="26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01"/>
      <w:bookmarkEnd w:id="902"/>
      <w:bookmarkEnd w:id="904"/>
    </w:p>
    <w:p>
      <w:pPr>
        <w:pStyle w:val="Style17"/>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28"/>
        <w:keepNext/>
        <w:keepLines/>
        <w:widowControl w:val="0"/>
        <w:shd w:val="clear" w:color="auto" w:fill="auto"/>
        <w:bidi w:val="0"/>
        <w:spacing w:before="0" w:after="260" w:line="240" w:lineRule="auto"/>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05"/>
      <w:bookmarkEnd w:id="906"/>
      <w:bookmarkEnd w:id="908"/>
    </w:p>
    <w:p>
      <w:pPr>
        <w:pStyle w:val="Style17"/>
        <w:keepNext w:val="0"/>
        <w:keepLines w:val="0"/>
        <w:widowControl w:val="0"/>
        <w:shd w:val="clear" w:color="auto" w:fill="auto"/>
        <w:bidi w:val="0"/>
        <w:spacing w:before="0" w:after="680" w:line="317" w:lineRule="exact"/>
        <w:ind w:left="0" w:right="0" w:firstLine="38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28"/>
        <w:keepNext/>
        <w:keepLines/>
        <w:widowControl w:val="0"/>
        <w:shd w:val="clear" w:color="auto" w:fill="auto"/>
        <w:tabs>
          <w:tab w:pos="483" w:val="left"/>
        </w:tabs>
        <w:bidi w:val="0"/>
        <w:spacing w:before="0" w:after="36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3</w:t>
      </w:r>
      <w:bookmarkEnd w:id="911"/>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09"/>
      <w:bookmarkEnd w:id="910"/>
      <w:bookmarkEnd w:id="912"/>
    </w:p>
    <w:p>
      <w:pPr>
        <w:pStyle w:val="Style28"/>
        <w:keepNext/>
        <w:keepLines/>
        <w:widowControl w:val="0"/>
        <w:shd w:val="clear" w:color="auto" w:fill="auto"/>
        <w:tabs>
          <w:tab w:pos="483" w:val="left"/>
        </w:tabs>
        <w:bidi w:val="0"/>
        <w:spacing w:before="0" w:after="260" w:line="240" w:lineRule="auto"/>
        <w:ind w:left="0" w:right="0" w:firstLine="0"/>
        <w:jc w:val="left"/>
      </w:pPr>
      <w:bookmarkStart w:id="909" w:name="bookmark909"/>
      <w:bookmarkStart w:id="910" w:name="bookmark910"/>
      <w:bookmarkStart w:id="913" w:name="bookmark913"/>
      <w:bookmarkStart w:id="914" w:name="bookmark914"/>
      <w:r>
        <w:rPr>
          <w:rFonts w:ascii="Times New Roman" w:eastAsia="Times New Roman" w:hAnsi="Times New Roman" w:cs="Times New Roman"/>
          <w:color w:val="000000"/>
          <w:spacing w:val="0"/>
          <w:w w:val="100"/>
          <w:position w:val="0"/>
        </w:rPr>
        <w:t>3</w:t>
      </w:r>
      <w:bookmarkEnd w:id="91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09"/>
      <w:bookmarkEnd w:id="910"/>
      <w:bookmarkEnd w:id="914"/>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17"/>
        <w:keepNext w:val="0"/>
        <w:keepLines w:val="0"/>
        <w:widowControl w:val="0"/>
        <w:shd w:val="clear" w:color="auto" w:fill="auto"/>
        <w:tabs>
          <w:tab w:pos="825" w:val="left"/>
        </w:tabs>
        <w:bidi w:val="0"/>
        <w:spacing w:before="0" w:after="0" w:line="312" w:lineRule="exact"/>
        <w:ind w:left="0" w:right="0" w:firstLine="38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17"/>
        <w:keepNext w:val="0"/>
        <w:keepLines w:val="0"/>
        <w:widowControl w:val="0"/>
        <w:shd w:val="clear" w:color="auto" w:fill="auto"/>
        <w:tabs>
          <w:tab w:pos="825" w:val="left"/>
        </w:tabs>
        <w:bidi w:val="0"/>
        <w:spacing w:before="0" w:after="0" w:line="317" w:lineRule="exact"/>
        <w:ind w:left="0" w:right="0" w:firstLine="38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17"/>
        <w:keepNext w:val="0"/>
        <w:keepLines w:val="0"/>
        <w:widowControl w:val="0"/>
        <w:shd w:val="clear" w:color="auto" w:fill="auto"/>
        <w:bidi w:val="0"/>
        <w:spacing w:before="0" w:after="680" w:line="317" w:lineRule="exact"/>
        <w:ind w:left="0" w:right="0" w:firstLine="380"/>
        <w:jc w:val="both"/>
      </w:pPr>
      <w:r>
        <w:rPr>
          <w:color w:val="000000"/>
          <w:spacing w:val="0"/>
          <w:w w:val="100"/>
          <w:position w:val="0"/>
        </w:rPr>
        <w:t>对于有详细、正式并且已经对外公告的重组计划，在满足前述预计负债的确认条件的情况下，按照与重组有关的直接支 出确定预计负债金额。</w:t>
      </w:r>
    </w:p>
    <w:p>
      <w:pPr>
        <w:pStyle w:val="Style28"/>
        <w:keepNext/>
        <w:keepLines/>
        <w:widowControl w:val="0"/>
        <w:shd w:val="clear" w:color="auto" w:fill="auto"/>
        <w:tabs>
          <w:tab w:pos="483" w:val="left"/>
        </w:tabs>
        <w:bidi w:val="0"/>
        <w:spacing w:before="0" w:after="36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17"/>
      <w:bookmarkEnd w:id="918"/>
      <w:bookmarkEnd w:id="920"/>
    </w:p>
    <w:p>
      <w:pPr>
        <w:pStyle w:val="Style28"/>
        <w:keepNext/>
        <w:keepLines/>
        <w:widowControl w:val="0"/>
        <w:shd w:val="clear" w:color="auto" w:fill="auto"/>
        <w:tabs>
          <w:tab w:pos="483" w:val="left"/>
        </w:tabs>
        <w:bidi w:val="0"/>
        <w:spacing w:before="0" w:after="360" w:line="240" w:lineRule="auto"/>
        <w:ind w:left="0" w:right="0" w:firstLine="0"/>
        <w:jc w:val="left"/>
      </w:pPr>
      <w:bookmarkStart w:id="917" w:name="bookmark917"/>
      <w:bookmarkStart w:id="918" w:name="bookmark918"/>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17"/>
      <w:bookmarkEnd w:id="918"/>
      <w:bookmarkEnd w:id="922"/>
    </w:p>
    <w:p>
      <w:pPr>
        <w:pStyle w:val="Style28"/>
        <w:keepNext/>
        <w:keepLines/>
        <w:widowControl w:val="0"/>
        <w:shd w:val="clear" w:color="auto" w:fill="auto"/>
        <w:tabs>
          <w:tab w:pos="483" w:val="left"/>
        </w:tabs>
        <w:bidi w:val="0"/>
        <w:spacing w:before="0" w:after="260" w:line="240" w:lineRule="auto"/>
        <w:ind w:left="0" w:right="0" w:firstLine="0"/>
        <w:jc w:val="left"/>
      </w:pPr>
      <w:bookmarkStart w:id="917" w:name="bookmark917"/>
      <w:bookmarkStart w:id="918" w:name="bookmark918"/>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17"/>
      <w:bookmarkEnd w:id="918"/>
      <w:bookmarkEnd w:id="924"/>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收入确认和计量所采用的会计政策</w:t>
      </w:r>
    </w:p>
    <w:p>
      <w:pPr>
        <w:pStyle w:val="Style1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 xml:space="preserve">本公司与客户之间的合同同时满足下列条件时，在客户取得相关商品控制权时确认收入：合同各方已批准该合同并承诺 将履行各自义务；合同明确了合同各方与所转让商品或提供劳务相关的权利和义务；合同有明确的与所转让商品相关的支付 </w:t>
      </w:r>
      <w:r>
        <w:rPr>
          <w:color w:val="000000"/>
          <w:spacing w:val="0"/>
          <w:w w:val="100"/>
          <w:position w:val="0"/>
        </w:rPr>
        <w:t>条款；合同具有商业实质，即履行该合同将改变本公司未来现金流量的风险、时间分布或金额；本公司因向客户转让商品而 有权取得的对价很可能收回。</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在合同开始日，本公司识别合同中存在的各单项履约义务，并将交易价格按照各单项履约义务所承诺商品的单独售价的 相对比例分摊至各单项履约义务。在确定交易价格时考虑了可变对价、合同中存在的重大融资成分、非现金对价、应付客户 对价等因素的影响。</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对于合同中的每个单项履约义务，如果满足下列条件之一的，本公司在相关履约时段内按照履约进度将分摊至该单项履 约义务的交易价格确认为收入：客户在本公司履约的同时即取得并消耗本公司履约所带来的经济利益；客户能够控制本公司 履约过程中在建的商品；本公司履约过程中所产出的商品具有不可替代用途，且本公司在整个合同期间内有权就累计至今已 完成的履约部分收取款项。履约进度根据所转让商品的性质采用投入法或产出法确定，当履约进度不能合理确定时，本公司 已经发生的成本预计能够得到补偿的，按照已经发生的成本金额确认收入，直到履约进度能够合理确定为止。</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如果不满足上述条件之一，则本公司在客户取得相关商品控制权的时点将分摊至该单项履约义务的交易价格确认收入。 在判断客户是否已取得商品控制权时，本公司考虑下列迹象：企业就该商品享有现时收款权利，即客户就该商品负有现时付 款义务；企业已将该商品的法定所有权转移给客户，即客户已拥有该商品的法定所有权；企业已将该商品实物转移给客户， 即客户已实物占有该商品；企业已将该商品所有权上的主要风险和报酬转移给客户，即客户已取得该商品所有权上的主要风 险和报酬；客户已接受该商品；其他表明客户已取得商品控制权的迹象。</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本公司收入确认的具体方法：</w:t>
      </w:r>
    </w:p>
    <w:p>
      <w:pPr>
        <w:pStyle w:val="Style17"/>
        <w:keepNext w:val="0"/>
        <w:keepLines w:val="0"/>
        <w:widowControl w:val="0"/>
        <w:shd w:val="clear" w:color="auto" w:fill="auto"/>
        <w:tabs>
          <w:tab w:pos="702" w:val="left"/>
        </w:tabs>
        <w:bidi w:val="0"/>
        <w:spacing w:before="0" w:after="0" w:line="312" w:lineRule="exact"/>
        <w:ind w:left="0" w:right="0" w:firstLine="380"/>
        <w:jc w:val="both"/>
      </w:pPr>
      <w:bookmarkStart w:id="925" w:name="bookmark925"/>
      <w:r>
        <w:rPr>
          <w:rFonts w:ascii="Times New Roman" w:eastAsia="Times New Roman" w:hAnsi="Times New Roman" w:cs="Times New Roman"/>
          <w:color w:val="000000"/>
          <w:spacing w:val="0"/>
          <w:w w:val="100"/>
          <w:position w:val="0"/>
          <w:sz w:val="18"/>
          <w:szCs w:val="18"/>
        </w:rPr>
        <w:t>（</w:t>
      </w:r>
      <w:bookmarkEnd w:id="92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主体车库及其安装服务、智能物流及仓储系统、自动化生产线设备、散料搬运核心装置、两站及机制砂设备、管型 母线、固态电子盘及其他存储设备业务</w:t>
      </w:r>
    </w:p>
    <w:p>
      <w:pPr>
        <w:pStyle w:val="Style17"/>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属于在某一时点履行的履约义务，在产品销售金额已经确定，公司已根据合同约定将产品交付给购货方，并由购货方验 收（若按照合同约定需安装调试的，则双方在安装调试完成后验收），已经收回货款或取得了收款凭证且相关的经济利益很 可能流入时确认收入。</w:t>
      </w:r>
    </w:p>
    <w:p>
      <w:pPr>
        <w:pStyle w:val="Style17"/>
        <w:keepNext w:val="0"/>
        <w:keepLines w:val="0"/>
        <w:widowControl w:val="0"/>
        <w:shd w:val="clear" w:color="auto" w:fill="auto"/>
        <w:tabs>
          <w:tab w:pos="726" w:val="left"/>
        </w:tabs>
        <w:bidi w:val="0"/>
        <w:spacing w:before="0" w:after="0" w:line="360" w:lineRule="auto"/>
        <w:ind w:left="0" w:right="0" w:firstLine="380"/>
        <w:jc w:val="both"/>
      </w:pPr>
      <w:bookmarkStart w:id="926" w:name="bookmark926"/>
      <w:r>
        <w:rPr>
          <w:rFonts w:ascii="Times New Roman" w:eastAsia="Times New Roman" w:hAnsi="Times New Roman" w:cs="Times New Roman"/>
          <w:color w:val="000000"/>
          <w:spacing w:val="0"/>
          <w:w w:val="100"/>
          <w:position w:val="0"/>
          <w:sz w:val="18"/>
          <w:szCs w:val="18"/>
        </w:rPr>
        <w:t>（</w:t>
      </w:r>
      <w:bookmarkEnd w:id="92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停车场运营业务</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公司停车场运营业务属于在某一时段内履行的履约义务，根据已提供服务期间占授权客户使用期限的比例确定提供服务 的履约进度，并按履约进度确认收入。</w:t>
      </w:r>
    </w:p>
    <w:p>
      <w:pPr>
        <w:pStyle w:val="Style1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同类业务采用不同经营模式导致收入确认会计政策存在差异的情况</w:t>
      </w:r>
    </w:p>
    <w:p>
      <w:pPr>
        <w:pStyle w:val="Style28"/>
        <w:keepNext/>
        <w:keepLines/>
        <w:widowControl w:val="0"/>
        <w:shd w:val="clear" w:color="auto" w:fill="auto"/>
        <w:bidi w:val="0"/>
        <w:spacing w:before="0" w:after="2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4</w:t>
      </w:r>
      <w:bookmarkEnd w:id="92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27"/>
      <w:bookmarkEnd w:id="928"/>
      <w:bookmarkEnd w:id="930"/>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政府补助是指本公司从政府无偿取得货币性资产和非货币性资产，不包括政府以投资者身份并享有相应所有者权益而投 入的资本。政府补助分为与资产相关的政府补助和与收益相关的政府补助。</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本公司将所取得的用于购建或以其他方式形成长期资产的政府补助界定为与资产相关的政府补助;其余政府补助界定为 与收益相关的政府补助。若政府文件未明确规定补助对象，则采用以下方式将补助款划分为与收益相关的政府补助和与资产 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）政府文件明确了补助所针对的特定项目的，根据该特定项目的预算中将形成资产的支出金额和计入 费用的支出金额的相对比例进行划分，对该划分比例需在每个资产负债表日进行复核，必要时进行变更；（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 对用途仅作一般性表述，没有指明特定项目的，作为与收益相关的政府补助。政府补助为货币性资产的，按照收到或应收的 金额计量。政府补助为非货币性资产的，按照公允价值计量；公允价值不能够可靠取得的，按照名义金额计量。按照名义金 额计量的政府补助，直接计入当期损益。</w:t>
      </w:r>
    </w:p>
    <w:p>
      <w:pPr>
        <w:pStyle w:val="Style17"/>
        <w:keepNext w:val="0"/>
        <w:keepLines w:val="0"/>
        <w:widowControl w:val="0"/>
        <w:shd w:val="clear" w:color="auto" w:fill="auto"/>
        <w:bidi w:val="0"/>
        <w:spacing w:before="0" w:after="180" w:line="311" w:lineRule="exact"/>
        <w:ind w:left="0" w:right="0" w:firstLine="38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 的，因而可以合理保证其可在规定期限内收到；（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）根据本公司和该补助事项的具体情况，应满足的其他相关条件（如有）。</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与资产相关的政府补助，确认为递延收益，并在相关资产的使用寿命内按照合理、系统的方法分期计入当期损益。与收 益相关的政府补助，用于补偿以后期间的相关成本费用或损失的，确认为递延收益，并在确认相关成本费用或损失的期间计 入当期损益；用于补偿已经发生的相关成本费用或损失的，直接计入当期损益。</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1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与本公司日常活动相关的政府补助，按照经济业务的实质，计入其他收益或冲减相关成本费用；与日常活动无关的政府 补助，计入营业外收支。</w:t>
      </w:r>
    </w:p>
    <w:p>
      <w:pPr>
        <w:pStyle w:val="Style17"/>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已确认的政府补助需要退回时，存在相关递延收益余额的，冲减相关递延收益账面余额，超出部分计入当期损益；属于 其他情况的，直接计入当期损益。</w:t>
      </w:r>
    </w:p>
    <w:p>
      <w:pPr>
        <w:pStyle w:val="Style28"/>
        <w:keepNext/>
        <w:keepLines/>
        <w:widowControl w:val="0"/>
        <w:shd w:val="clear" w:color="auto" w:fill="auto"/>
        <w:bidi w:val="0"/>
        <w:spacing w:before="0" w:after="26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4</w:t>
      </w:r>
      <w:bookmarkEnd w:id="933"/>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1"/>
      <w:bookmarkEnd w:id="932"/>
      <w:bookmarkEnd w:id="934"/>
    </w:p>
    <w:p>
      <w:pPr>
        <w:pStyle w:val="Style17"/>
        <w:keepNext w:val="0"/>
        <w:keepLines w:val="0"/>
        <w:widowControl w:val="0"/>
        <w:shd w:val="clear" w:color="auto" w:fill="auto"/>
        <w:tabs>
          <w:tab w:pos="785" w:val="left"/>
        </w:tabs>
        <w:bidi w:val="0"/>
        <w:spacing w:before="0" w:after="0" w:line="312" w:lineRule="exact"/>
        <w:ind w:left="0" w:right="0" w:firstLine="38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17"/>
        <w:keepNext w:val="0"/>
        <w:keepLines w:val="0"/>
        <w:widowControl w:val="0"/>
        <w:shd w:val="clear" w:color="auto" w:fill="auto"/>
        <w:tabs>
          <w:tab w:pos="785" w:val="left"/>
        </w:tabs>
        <w:bidi w:val="0"/>
        <w:spacing w:before="0" w:after="0" w:line="313" w:lineRule="exact"/>
        <w:ind w:left="0" w:right="0" w:firstLine="38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17"/>
        <w:keepNext w:val="0"/>
        <w:keepLines w:val="0"/>
        <w:widowControl w:val="0"/>
        <w:shd w:val="clear" w:color="auto" w:fill="auto"/>
        <w:tabs>
          <w:tab w:pos="785" w:val="left"/>
        </w:tabs>
        <w:bidi w:val="0"/>
        <w:spacing w:before="0" w:after="0" w:line="313" w:lineRule="exact"/>
        <w:ind w:left="0" w:right="0" w:firstLine="38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所得税费用包括当期所得税和递延所得税。</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17"/>
        <w:keepNext w:val="0"/>
        <w:keepLines w:val="0"/>
        <w:widowControl w:val="0"/>
        <w:shd w:val="clear" w:color="auto" w:fill="auto"/>
        <w:tabs>
          <w:tab w:pos="785" w:val="left"/>
        </w:tabs>
        <w:bidi w:val="0"/>
        <w:spacing w:before="0" w:after="0" w:line="313" w:lineRule="exact"/>
        <w:ind w:left="0" w:right="0" w:firstLine="38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17"/>
        <w:keepNext w:val="0"/>
        <w:keepLines w:val="0"/>
        <w:widowControl w:val="0"/>
        <w:shd w:val="clear" w:color="auto" w:fill="auto"/>
        <w:bidi w:val="0"/>
        <w:spacing w:before="0" w:after="360" w:line="313" w:lineRule="exact"/>
        <w:ind w:left="0" w:right="0" w:firstLine="0"/>
        <w:jc w:val="both"/>
      </w:pPr>
      <w:r>
        <w:rPr>
          <w:color w:val="000000"/>
          <w:spacing w:val="0"/>
          <w:w w:val="100"/>
          <w:position w:val="0"/>
        </w:rPr>
        <w:t xml:space="preserve">当拥有以净额结算当期所得税资产及当期所得税负债的法定权利，且递延所得税资产及递延所得税负债是与同一税收征管部 </w:t>
      </w:r>
      <w:r>
        <w:rPr>
          <w:color w:val="000000"/>
          <w:spacing w:val="0"/>
          <w:w w:val="100"/>
          <w:position w:val="0"/>
        </w:rPr>
        <w:t>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的期间内，涉及的纳税主体意图以净额结算当期所得税资产和负债或是同时取得资产、清偿负债时，本公司递延所得税资产 及递延所得税负债以抵销后的净额列报。</w:t>
      </w:r>
    </w:p>
    <w:p>
      <w:pPr>
        <w:pStyle w:val="Style28"/>
        <w:keepNext/>
        <w:keepLines/>
        <w:widowControl w:val="0"/>
        <w:shd w:val="clear" w:color="auto" w:fill="auto"/>
        <w:bidi w:val="0"/>
        <w:spacing w:before="0" w:after="360" w:line="240" w:lineRule="auto"/>
        <w:ind w:left="0" w:right="0" w:firstLine="0"/>
        <w:jc w:val="both"/>
      </w:pPr>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939"/>
      <w:bookmarkEnd w:id="940"/>
      <w:bookmarkEnd w:id="941"/>
    </w:p>
    <w:p>
      <w:pPr>
        <w:pStyle w:val="Style28"/>
        <w:keepNext/>
        <w:keepLines/>
        <w:widowControl w:val="0"/>
        <w:shd w:val="clear" w:color="auto" w:fill="auto"/>
        <w:bidi w:val="0"/>
        <w:spacing w:before="0" w:after="260" w:line="240" w:lineRule="auto"/>
        <w:ind w:left="0" w:right="0" w:firstLine="0"/>
        <w:jc w:val="both"/>
      </w:pPr>
      <w:bookmarkStart w:id="939" w:name="bookmark939"/>
      <w:bookmarkStart w:id="940" w:name="bookmark940"/>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39"/>
      <w:bookmarkEnd w:id="940"/>
      <w:bookmarkEnd w:id="943"/>
    </w:p>
    <w:p>
      <w:pPr>
        <w:pStyle w:val="Style17"/>
        <w:keepNext w:val="0"/>
        <w:keepLines w:val="0"/>
        <w:widowControl w:val="0"/>
        <w:shd w:val="clear" w:color="auto" w:fill="auto"/>
        <w:bidi w:val="0"/>
        <w:spacing w:before="0" w:after="680" w:line="322" w:lineRule="exact"/>
        <w:ind w:left="0" w:right="0" w:firstLine="380"/>
        <w:jc w:val="both"/>
      </w:pPr>
      <w:r>
        <w:rPr>
          <w:color w:val="000000"/>
          <w:spacing w:val="0"/>
          <w:w w:val="100"/>
          <w:position w:val="0"/>
        </w:rPr>
        <w:t>本公司采用直线法将经营租赁的租赁收款额确认为租赁期内各期间的租金收入。与经营租赁有关的未计入租赁收款额的 可变租赁付款额，于实际发生时计入当期损益。</w:t>
      </w:r>
    </w:p>
    <w:p>
      <w:pPr>
        <w:pStyle w:val="Style28"/>
        <w:keepNext/>
        <w:keepLines/>
        <w:widowControl w:val="0"/>
        <w:shd w:val="clear" w:color="auto" w:fill="auto"/>
        <w:bidi w:val="0"/>
        <w:spacing w:before="0" w:after="26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44"/>
      <w:bookmarkEnd w:id="945"/>
      <w:bookmarkEnd w:id="947"/>
    </w:p>
    <w:p>
      <w:pPr>
        <w:pStyle w:val="Style17"/>
        <w:keepNext w:val="0"/>
        <w:keepLines w:val="0"/>
        <w:widowControl w:val="0"/>
        <w:shd w:val="clear" w:color="auto" w:fill="auto"/>
        <w:bidi w:val="0"/>
        <w:spacing w:before="0" w:after="680" w:line="317" w:lineRule="exact"/>
        <w:ind w:left="0" w:right="0" w:firstLine="380"/>
        <w:jc w:val="both"/>
      </w:pPr>
      <w:r>
        <w:rPr>
          <w:color w:val="000000"/>
          <w:spacing w:val="0"/>
          <w:w w:val="100"/>
          <w:position w:val="0"/>
        </w:rPr>
        <w:t>于租赁期开始日，本公司确认应收融资租赁款，并终止确认融资租赁资产。应收融资租赁款以租赁投资净额（未担保余 值和租赁期开始日尚未收到的租赁收款额按照租赁内含利率折现的现值之和）进行初始计量，并按照固定的周期性利率计算 确认租赁期内的利息收入。本公司取得的未纳入租赁投资净额计量的可变租赁付款额在实际发生时计入当期损益。</w:t>
      </w:r>
    </w:p>
    <w:p>
      <w:pPr>
        <w:pStyle w:val="Style28"/>
        <w:keepNext/>
        <w:keepLines/>
        <w:widowControl w:val="0"/>
        <w:shd w:val="clear" w:color="auto" w:fill="auto"/>
        <w:tabs>
          <w:tab w:pos="483" w:val="left"/>
        </w:tabs>
        <w:bidi w:val="0"/>
        <w:spacing w:before="0" w:after="36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4</w:t>
      </w:r>
      <w:bookmarkEnd w:id="950"/>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48"/>
      <w:bookmarkEnd w:id="949"/>
      <w:bookmarkEnd w:id="951"/>
    </w:p>
    <w:p>
      <w:pPr>
        <w:pStyle w:val="Style28"/>
        <w:keepNext/>
        <w:keepLines/>
        <w:widowControl w:val="0"/>
        <w:shd w:val="clear" w:color="auto" w:fill="auto"/>
        <w:tabs>
          <w:tab w:pos="483" w:val="left"/>
        </w:tabs>
        <w:bidi w:val="0"/>
        <w:spacing w:before="0" w:after="360" w:line="240" w:lineRule="auto"/>
        <w:ind w:left="0" w:right="0" w:firstLine="0"/>
        <w:jc w:val="left"/>
      </w:pPr>
      <w:bookmarkStart w:id="948" w:name="bookmark948"/>
      <w:bookmarkStart w:id="949" w:name="bookmark949"/>
      <w:bookmarkStart w:id="952" w:name="bookmark952"/>
      <w:bookmarkStart w:id="953" w:name="bookmark953"/>
      <w:r>
        <w:rPr>
          <w:rFonts w:ascii="Times New Roman" w:eastAsia="Times New Roman" w:hAnsi="Times New Roman" w:cs="Times New Roman"/>
          <w:color w:val="000000"/>
          <w:spacing w:val="0"/>
          <w:w w:val="100"/>
          <w:position w:val="0"/>
        </w:rPr>
        <w:t>4</w:t>
      </w:r>
      <w:bookmarkEnd w:id="952"/>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48"/>
      <w:bookmarkEnd w:id="949"/>
      <w:bookmarkEnd w:id="953"/>
    </w:p>
    <w:p>
      <w:pPr>
        <w:pStyle w:val="Style28"/>
        <w:keepNext/>
        <w:keepLines/>
        <w:widowControl w:val="0"/>
        <w:shd w:val="clear" w:color="auto" w:fill="auto"/>
        <w:bidi w:val="0"/>
        <w:spacing w:before="0" w:after="360" w:line="240" w:lineRule="auto"/>
        <w:ind w:left="0" w:right="0" w:firstLine="0"/>
        <w:jc w:val="left"/>
      </w:pPr>
      <w:bookmarkStart w:id="948" w:name="bookmark948"/>
      <w:bookmarkStart w:id="949" w:name="bookmark949"/>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8"/>
      <w:bookmarkEnd w:id="949"/>
      <w:bookmarkEnd w:id="955"/>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 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年修订的《企业会计准则第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 w:right="0" w:firstLine="0"/>
              <w:jc w:val="center"/>
            </w:pPr>
            <w:r>
              <w:rPr>
                <w:color w:val="000000"/>
                <w:spacing w:val="0"/>
                <w:w w:val="100"/>
                <w:position w:val="0"/>
              </w:rPr>
              <w:t>第四届第九次董事会会议决议通过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 准则，并依据新租赁准则的规定对相关 会计政策进行变更。</w:t>
            </w:r>
          </w:p>
        </w:tc>
      </w:tr>
    </w:tbl>
    <w:p>
      <w:pPr>
        <w:pStyle w:val="Style31"/>
        <w:keepNext w:val="0"/>
        <w:keepLines w:val="0"/>
        <w:widowControl w:val="0"/>
        <w:shd w:val="clear" w:color="auto" w:fill="auto"/>
        <w:bidi w:val="0"/>
        <w:spacing w:before="0" w:after="0" w:line="240" w:lineRule="auto"/>
        <w:ind w:left="274" w:right="0" w:firstLine="0"/>
        <w:jc w:val="left"/>
      </w:pPr>
      <w:r>
        <w:rPr>
          <w:color w:val="000000"/>
          <w:spacing w:val="0"/>
          <w:w w:val="100"/>
          <w:position w:val="0"/>
        </w:rPr>
        <w:t>执行新租赁准则会计政策变更对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日财务报表的影响如下:</w:t>
      </w:r>
    </w:p>
    <w:p>
      <w:pPr>
        <w:widowControl w:val="0"/>
        <w:spacing w:line="1" w:lineRule="exact"/>
      </w:pPr>
    </w:p>
    <w:tbl>
      <w:tblPr>
        <w:tblOverlap w:val="never"/>
        <w:jc w:val="center"/>
        <w:tblLayout w:type="fixed"/>
      </w:tblPr>
      <w:tblGrid>
        <w:gridCol w:w="1877"/>
        <w:gridCol w:w="1896"/>
        <w:gridCol w:w="1896"/>
        <w:gridCol w:w="1781"/>
        <w:gridCol w:w="1786"/>
      </w:tblGrid>
      <w:tr>
        <w:trPr>
          <w:trHeight w:val="355"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580"/>
              <w:jc w:val="left"/>
            </w:pPr>
            <w:r>
              <w:rPr>
                <w:color w:val="000000"/>
                <w:spacing w:val="0"/>
                <w:w w:val="100"/>
                <w:position w:val="0"/>
              </w:rPr>
              <w:t>报表项目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日（变更前）金额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日（变更后）金额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合并报表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25,621,224.38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32,497,003.05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217,730,358.34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127,334,643.58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4,829,496.03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421,179,553.37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15,370,058.95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409,144,682.59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15,370,058.95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135,021,362.50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617,602,757.77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104,729,885.53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605,676,523.47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104,729,885.53</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136,130,257.12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127,170,989.16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日计入资产负债表的租赁负债所采用的增量借款利率的加权平均值为</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w:t>
      </w:r>
    </w:p>
    <w:p>
      <w:pPr>
        <w:pStyle w:val="Style28"/>
        <w:keepNext/>
        <w:keepLines/>
        <w:widowControl w:val="0"/>
        <w:numPr>
          <w:ilvl w:val="0"/>
          <w:numId w:val="21"/>
        </w:numPr>
        <w:shd w:val="clear" w:color="auto" w:fill="auto"/>
        <w:tabs>
          <w:tab w:pos="493" w:val="left"/>
        </w:tabs>
        <w:bidi w:val="0"/>
        <w:spacing w:before="0" w:line="240" w:lineRule="auto"/>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重要会计估计变更</w:t>
      </w:r>
      <w:bookmarkEnd w:id="956"/>
      <w:bookmarkEnd w:id="957"/>
      <w:bookmarkEnd w:id="959"/>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numPr>
          <w:ilvl w:val="0"/>
          <w:numId w:val="21"/>
        </w:numPr>
        <w:shd w:val="clear" w:color="auto" w:fill="auto"/>
        <w:tabs>
          <w:tab w:pos="493" w:val="left"/>
        </w:tabs>
        <w:bidi w:val="0"/>
        <w:spacing w:before="0" w:line="240" w:lineRule="auto"/>
        <w:ind w:left="0" w:right="0" w:firstLine="0"/>
        <w:jc w:val="left"/>
      </w:pPr>
      <w:bookmarkStart w:id="960" w:name="bookmark960"/>
      <w:bookmarkStart w:id="961" w:name="bookmark961"/>
      <w:bookmarkStart w:id="962" w:name="bookmark962"/>
      <w:bookmarkStart w:id="963" w:name="bookmark963"/>
      <w:bookmarkEnd w:id="962"/>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960"/>
      <w:bookmarkEnd w:id="961"/>
      <w:bookmarkEnd w:id="963"/>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641,447,936.66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641,447,936.66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136,087,653.35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136,087,653.35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61,843,678.42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61,843,678.42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923,688,156.90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923,688,156.90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39,661,817.05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39,661,817.05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34,638,225.36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34,638,225.36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41,395,708.58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41,395,708.58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600,028,285.93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600,028,285.93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137,517,908.38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137,517,908.38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59,703,387.60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59,703,387.60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25,621,224.38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32,497,003.05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6,875,778.67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2,701,633,982.61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2,708,509,761.28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6,875,778.67</w:t>
            </w: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28,102,729.75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28,102,729.75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6,829,282.67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6,829,282.67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302,672,036.23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302,672,036.23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37,321,665.30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37,321,665.30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217,730,358.34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217,730,358.34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193,871,424.15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193,871,424.15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488,755,401.80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488,755,401.80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127,334,643.58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4,829,496.03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-122,505,147.55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31,941,642.37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31,941,642.37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28,983,598.03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28,983,598.03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1,246,717,423.88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1,341,942,634.67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95,225,210.79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3,948,351,406.49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4,050,452,395.95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102,100,989.46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117,693,485.21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117,693,485.21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93,495,208.00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93,495,208.00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421,179,553.37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409,144,682.59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-12,034,870.78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9,169,822.90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9,169,822.90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294,758,916.52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294,758,916.52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18,991,151.12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18,991,151.12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49,847,066.37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49,847,066.37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171,285,121.48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171,285,121.48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21,703,853.24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21,703,853.24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1,198,124,178.21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1,186,089,307.43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-12,034,870.78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135,021,362.50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135,021,362.50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12,973,897.70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12,973,897.70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23,832,193.32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23,832,193.32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36,806,091.02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171,827,453.52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135,021,362.50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1,234,930,269.23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1,357,916,760.95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122,986,491.72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858,756,586.00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858,756,586.00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1,079,672,602.81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1,079,672,602.81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21,258,933.56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21,258,933.56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617,602,757.77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605,676,523.47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-11,926,234.30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2,577,290,880.14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2,565,364,645.84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-11,926,234.30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136,130,257.12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127,170,989.16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-8,959,267.96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2,713,421,137.26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2,692,535,635.00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-20,885,502.26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3,948,351,406.49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4,050,452,395.95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102,100,989.46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 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）。经本公司第四届董事会第九次会议于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日决议通过，本公司于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日起执行前述新租赁准则， 并依据新租赁准则的规定对相关会计政策进行变更。</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根据新租赁准则的规定，对于首次执行日前已存在的合同，本公司选择不重新评估其是否为租赁或者包含租赁。</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本公司选择仅对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日尚未完成的租赁合同的累计影响数进行调整。首次执行的累积影响金额调整首次执行当期 期初（即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于新租赁准则首次执行日（即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日），本公司的具体衔接处理及其影响如下：</w:t>
      </w:r>
    </w:p>
    <w:p>
      <w:pPr>
        <w:pStyle w:val="Style17"/>
        <w:keepNext w:val="0"/>
        <w:keepLines w:val="0"/>
        <w:widowControl w:val="0"/>
        <w:shd w:val="clear" w:color="auto" w:fill="auto"/>
        <w:tabs>
          <w:tab w:pos="757" w:val="left"/>
        </w:tabs>
        <w:bidi w:val="0"/>
        <w:spacing w:before="0" w:after="0" w:line="313" w:lineRule="exact"/>
        <w:ind w:left="0" w:right="0" w:firstLine="360"/>
        <w:jc w:val="both"/>
      </w:pPr>
      <w:bookmarkStart w:id="964" w:name="bookmark964"/>
      <w:r>
        <w:rPr>
          <w:rFonts w:ascii="Times New Roman" w:eastAsia="Times New Roman" w:hAnsi="Times New Roman" w:cs="Times New Roman"/>
          <w:color w:val="000000"/>
          <w:spacing w:val="0"/>
          <w:w w:val="100"/>
          <w:position w:val="0"/>
          <w:sz w:val="18"/>
          <w:szCs w:val="18"/>
        </w:rPr>
        <w:t>A</w:t>
      </w:r>
      <w:bookmarkEnd w:id="964"/>
      <w:r>
        <w:rPr>
          <w:color w:val="000000"/>
          <w:spacing w:val="0"/>
          <w:w w:val="100"/>
          <w:position w:val="0"/>
        </w:rPr>
        <w:t>、</w:t>
        <w:tab/>
      </w:r>
      <w:r>
        <w:rPr>
          <w:color w:val="000000"/>
          <w:spacing w:val="0"/>
          <w:w w:val="100"/>
          <w:position w:val="0"/>
        </w:rPr>
        <w:t>本公司作为承租人</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对首次执行日的融资租赁，本公司作为承租人按照融资租入资产和应付融资租赁款的原账面价值，分别计量使用权资产 和租赁负债；对首次执行日的经营租赁，作为承租人根据剩余租赁付款额按首次执行日的增量借款利率折现的现值计量租赁 负债；原租赁准则下按照权责发生制计提的应付未付租金，纳入剩余租赁付款额中。</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对首次执行日前的经营租赁，本公司按照假设自租赁期开始日即采用新租赁准则，并采用首次执行日的增量借款利率作 为折现率计量使用权资产。本公司于首次执行日对使用权资产进行减值测试，不调整使用权资产的账面价值。</w:t>
      </w:r>
    </w:p>
    <w:p>
      <w:pPr>
        <w:pStyle w:val="Style1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本公司对于首次执行日前的租赁资产属于低价值资产的经营租赁，不确认使用权资产和租赁负债。对于首次执行日除低 价值租赁之外的经营租赁，本公司根据每项租赁采用下列一项或多项简化处理：</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17"/>
        <w:keepNext w:val="0"/>
        <w:keepLines w:val="0"/>
        <w:widowControl w:val="0"/>
        <w:shd w:val="clear" w:color="auto" w:fill="auto"/>
        <w:bidi w:val="0"/>
        <w:spacing w:before="0" w:after="0" w:line="322" w:lineRule="exact"/>
        <w:ind w:left="360" w:right="0" w:hanging="360"/>
        <w:jc w:val="both"/>
      </w:pPr>
      <w:r>
        <w:rPr>
          <w:color w:val="000000"/>
          <w:spacing w:val="0"/>
          <w:w w:val="100"/>
          <w:position w:val="0"/>
        </w:rPr>
        <w:t>•</w:t>
      </w:r>
      <w:r>
        <w:rPr>
          <w:color w:val="000000"/>
          <w:spacing w:val="0"/>
          <w:w w:val="100"/>
          <w:position w:val="0"/>
        </w:rPr>
        <w:t>作为使用权资产减值测试的替代，本公司根据《企业会计准则第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号——或有事项》评估包含租赁的合同在首次执行日 前是否为亏损合同，并根据首次执行日前计入资产负债表的亏损准备金额调整使用权资产；</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首次执行日之前发生租赁变更的，本公司根据租赁变更的最终安排进行会计处理。</w:t>
      </w:r>
    </w:p>
    <w:p>
      <w:pPr>
        <w:pStyle w:val="Style17"/>
        <w:keepNext w:val="0"/>
        <w:keepLines w:val="0"/>
        <w:widowControl w:val="0"/>
        <w:shd w:val="clear" w:color="auto" w:fill="auto"/>
        <w:tabs>
          <w:tab w:pos="757" w:val="left"/>
        </w:tabs>
        <w:bidi w:val="0"/>
        <w:spacing w:before="0" w:after="0" w:line="310" w:lineRule="exact"/>
        <w:ind w:left="0" w:right="0" w:firstLine="360"/>
        <w:jc w:val="both"/>
      </w:pPr>
      <w:bookmarkStart w:id="965" w:name="bookmark965"/>
      <w:r>
        <w:rPr>
          <w:rFonts w:ascii="Times New Roman" w:eastAsia="Times New Roman" w:hAnsi="Times New Roman" w:cs="Times New Roman"/>
          <w:color w:val="000000"/>
          <w:spacing w:val="0"/>
          <w:w w:val="100"/>
          <w:position w:val="0"/>
          <w:sz w:val="18"/>
          <w:szCs w:val="18"/>
        </w:rPr>
        <w:t>B</w:t>
      </w:r>
      <w:bookmarkEnd w:id="965"/>
      <w:r>
        <w:rPr>
          <w:color w:val="000000"/>
          <w:spacing w:val="0"/>
          <w:w w:val="100"/>
          <w:position w:val="0"/>
        </w:rPr>
        <w:t>、</w:t>
        <w:tab/>
      </w:r>
      <w:r>
        <w:rPr>
          <w:color w:val="000000"/>
          <w:spacing w:val="0"/>
          <w:w w:val="100"/>
          <w:position w:val="0"/>
        </w:rPr>
        <w:t>执行新租赁准则的主要变化和影响如下：</w:t>
      </w:r>
    </w:p>
    <w:p>
      <w:pPr>
        <w:pStyle w:val="Style17"/>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—本公司承租的土地，租赁期为</w:t>
      </w:r>
      <w:r>
        <w:rPr>
          <w:rFonts w:ascii="Times New Roman" w:eastAsia="Times New Roman" w:hAnsi="Times New Roman" w:cs="Times New Roman"/>
          <w:color w:val="000000"/>
          <w:spacing w:val="0"/>
          <w:w w:val="100"/>
          <w:position w:val="0"/>
          <w:sz w:val="18"/>
          <w:szCs w:val="18"/>
        </w:rPr>
        <w:t>303</w:t>
      </w:r>
      <w:r>
        <w:rPr>
          <w:color w:val="000000"/>
          <w:spacing w:val="0"/>
          <w:w w:val="100"/>
          <w:position w:val="0"/>
        </w:rPr>
        <w:t>个月，原作为经营租赁处理，根据新租赁准则，于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日确认使用权资产 </w:t>
      </w:r>
      <w:r>
        <w:rPr>
          <w:rFonts w:ascii="Times New Roman" w:eastAsia="Times New Roman" w:hAnsi="Times New Roman" w:cs="Times New Roman"/>
          <w:color w:val="000000"/>
          <w:spacing w:val="0"/>
          <w:w w:val="100"/>
          <w:position w:val="0"/>
          <w:sz w:val="18"/>
          <w:szCs w:val="18"/>
        </w:rPr>
        <w:t xml:space="preserve">858,415.59 </w:t>
      </w:r>
      <w:r>
        <w:rPr>
          <w:color w:val="000000"/>
          <w:spacing w:val="0"/>
          <w:w w:val="100"/>
          <w:position w:val="0"/>
        </w:rPr>
        <w:t>元。</w:t>
      </w:r>
    </w:p>
    <w:p>
      <w:pPr>
        <w:pStyle w:val="Style17"/>
        <w:keepNext w:val="0"/>
        <w:keepLines w:val="0"/>
        <w:widowControl w:val="0"/>
        <w:shd w:val="clear" w:color="auto" w:fill="auto"/>
        <w:bidi w:val="0"/>
        <w:spacing w:before="0" w:after="780" w:line="310" w:lineRule="exact"/>
        <w:ind w:left="0" w:right="0" w:firstLine="360"/>
        <w:jc w:val="both"/>
      </w:pPr>
      <w:r>
        <w:rPr>
          <w:color w:val="000000"/>
          <w:spacing w:val="0"/>
          <w:w w:val="100"/>
          <w:position w:val="0"/>
        </w:rPr>
        <w:t>—本公司承租的停车场地，租赁期为</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个月，原作为经营租赁处理，根据新租赁准则，于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日确认使用权 资产</w:t>
      </w:r>
      <w:r>
        <w:rPr>
          <w:rFonts w:ascii="Times New Roman" w:eastAsia="Times New Roman" w:hAnsi="Times New Roman" w:cs="Times New Roman"/>
          <w:color w:val="000000"/>
          <w:spacing w:val="0"/>
          <w:w w:val="100"/>
          <w:position w:val="0"/>
          <w:sz w:val="18"/>
          <w:szCs w:val="18"/>
        </w:rPr>
        <w:t>216,871,942.75</w:t>
      </w:r>
      <w:r>
        <w:rPr>
          <w:color w:val="000000"/>
          <w:spacing w:val="0"/>
          <w:w w:val="100"/>
          <w:position w:val="0"/>
        </w:rPr>
        <w:t>元，确认租赁负债</w:t>
      </w:r>
      <w:r>
        <w:rPr>
          <w:rFonts w:ascii="Times New Roman" w:eastAsia="Times New Roman" w:hAnsi="Times New Roman" w:cs="Times New Roman"/>
          <w:color w:val="000000"/>
          <w:spacing w:val="0"/>
          <w:w w:val="100"/>
          <w:position w:val="0"/>
          <w:sz w:val="18"/>
          <w:szCs w:val="18"/>
        </w:rPr>
        <w:t>135,021,362.5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母公司资产负债表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25,192,046.80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25,192,046.80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2,239,425.55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2,239,425.55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68,360,460.91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68,360,460.91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23,989,806.34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23,989,806.34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665,783.30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665,783.30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85,491,186.11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85,491,186.11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18,519,856.89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18,519,856.89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8,377,919.79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8,377,919.79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258,336,485.69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258,336,485.69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1,872,688,263.99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1,872,688,263.99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29,820,499.27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29,820,499.27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4,977,355.97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4,977,355.97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2,910,743.83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2,910,743.83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1,910,649,163.06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1,910,649,163.06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2,168,985,648.75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2,168,985,648.75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10,011,458.33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10,011,458.33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15,370,058.95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15,370,058.95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9,356,723.39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9,356,723.39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1,295,603.71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1,295,603.71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2,377,638.91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2,377,638.91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45,004,909.62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45,004,909.62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1,216,374.04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1,216,374.04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106,359,927.95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106,359,927.95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106,359,927.95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106,359,927.95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858,756,586.00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858,756,586.00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1,077,880,315.71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1,077,880,315.71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21,258,933.56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21,258,933.56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104,729,885.53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104,729,885.53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2,062,625,720.80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2,062,625,720.80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2,168,985,648.75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2,168,985,648.75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79" w:line="1" w:lineRule="exact"/>
      </w:pPr>
    </w:p>
    <w:p>
      <w:pPr>
        <w:pStyle w:val="Style28"/>
        <w:keepNext/>
        <w:keepLines/>
        <w:widowControl w:val="0"/>
        <w:shd w:val="clear" w:color="auto" w:fill="auto"/>
        <w:bidi w:val="0"/>
        <w:spacing w:before="0" w:after="280" w:line="240" w:lineRule="auto"/>
        <w:ind w:left="0" w:right="0" w:firstLine="0"/>
        <w:jc w:val="both"/>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66"/>
      <w:bookmarkEnd w:id="967"/>
      <w:bookmarkEnd w:id="969"/>
    </w:p>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详见本节</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）重要会计政策变更的说明。</w:t>
      </w:r>
    </w:p>
    <w:p>
      <w:pPr>
        <w:pStyle w:val="Style28"/>
        <w:keepNext/>
        <w:keepLines/>
        <w:widowControl w:val="0"/>
        <w:shd w:val="clear" w:color="auto" w:fill="auto"/>
        <w:bidi w:val="0"/>
        <w:spacing w:before="0" w:after="280" w:line="240" w:lineRule="auto"/>
        <w:ind w:left="0" w:right="0" w:firstLine="0"/>
        <w:jc w:val="both"/>
      </w:pPr>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70"/>
      <w:bookmarkEnd w:id="971"/>
      <w:bookmarkEnd w:id="972"/>
    </w:p>
    <w:p>
      <w:pPr>
        <w:pStyle w:val="Style1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1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1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于资产负债表日，本公司需对财务报表项目金额进行判断、估计和假设的重要领域如下：</w:t>
      </w:r>
    </w:p>
    <w:p>
      <w:pPr>
        <w:pStyle w:val="Style17"/>
        <w:keepNext w:val="0"/>
        <w:keepLines w:val="0"/>
        <w:widowControl w:val="0"/>
        <w:shd w:val="clear" w:color="auto" w:fill="auto"/>
        <w:bidi w:val="0"/>
        <w:spacing w:before="0" w:after="0" w:line="313" w:lineRule="exact"/>
        <w:ind w:left="0" w:right="0" w:firstLine="38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）收入确认</w:t>
      </w:r>
    </w:p>
    <w:p>
      <w:pPr>
        <w:pStyle w:val="Style17"/>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如本节</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所述，本公司在收入确认方面涉及到如下重大的会计判断和估计：识别客户合同；估计因向客户转让 商品而有权取得的对价的可收回性；识别合同中的履约义务；估计合同中存在的可变对价以及在相关不确定性消除时累计已 确认收入极可能不会发生重大转回的金额；合同中是否存在重大融资成分；估计合同中单项履约义务的单独售价；确定履约 义务是在某一时段内履行还是在某一时点履行；履约进度的确定，等等。</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本公司主要依靠过去的经验和工作作出判断，这些重大判断和估计变更都可能对变更当期或以后期间的营业收入、营业 成本，以及期间损益产生影响，且可能构成重大影响。</w:t>
      </w:r>
    </w:p>
    <w:p>
      <w:pPr>
        <w:pStyle w:val="Style17"/>
        <w:keepNext w:val="0"/>
        <w:keepLines w:val="0"/>
        <w:widowControl w:val="0"/>
        <w:shd w:val="clear" w:color="auto" w:fill="auto"/>
        <w:tabs>
          <w:tab w:pos="792" w:val="left"/>
        </w:tabs>
        <w:bidi w:val="0"/>
        <w:spacing w:before="0" w:after="0" w:line="312" w:lineRule="exact"/>
        <w:ind w:left="0" w:right="0" w:firstLine="38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租赁的归类</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以下与租赁相关的重大会计判断和估计适用于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p>
      <w:pPr>
        <w:pStyle w:val="Style17"/>
        <w:keepNext w:val="0"/>
        <w:keepLines w:val="0"/>
        <w:widowControl w:val="0"/>
        <w:numPr>
          <w:ilvl w:val="0"/>
          <w:numId w:val="23"/>
        </w:numPr>
        <w:shd w:val="clear" w:color="auto" w:fill="auto"/>
        <w:tabs>
          <w:tab w:pos="720" w:val="left"/>
        </w:tabs>
        <w:bidi w:val="0"/>
        <w:spacing w:before="0" w:after="0" w:line="312" w:lineRule="exact"/>
        <w:ind w:left="0" w:right="0" w:firstLine="380"/>
        <w:jc w:val="both"/>
      </w:pPr>
      <w:bookmarkStart w:id="975" w:name="bookmark975"/>
      <w:bookmarkEnd w:id="975"/>
      <w:r>
        <w:rPr>
          <w:color w:val="000000"/>
          <w:spacing w:val="0"/>
          <w:w w:val="100"/>
          <w:position w:val="0"/>
        </w:rPr>
        <w:t>租赁的识别</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本集团在识别一项合同是否为租赁或包含租赁时，需要评估是否存在一项已识别资产，且客户控制了该资产在一定期间 内的使用权。在评估时，需要考虑资产的性质、实质性替换权、以及客户是否有权获得因在该期间使用该资产所产生的几乎 全部经济利益，并能够主导该资产的使用。</w:t>
      </w:r>
    </w:p>
    <w:p>
      <w:pPr>
        <w:pStyle w:val="Style17"/>
        <w:keepNext w:val="0"/>
        <w:keepLines w:val="0"/>
        <w:widowControl w:val="0"/>
        <w:numPr>
          <w:ilvl w:val="0"/>
          <w:numId w:val="23"/>
        </w:numPr>
        <w:shd w:val="clear" w:color="auto" w:fill="auto"/>
        <w:tabs>
          <w:tab w:pos="720" w:val="left"/>
        </w:tabs>
        <w:bidi w:val="0"/>
        <w:spacing w:before="0" w:after="0" w:line="312" w:lineRule="exact"/>
        <w:ind w:left="0" w:right="0" w:firstLine="380"/>
        <w:jc w:val="both"/>
      </w:pPr>
      <w:bookmarkStart w:id="976" w:name="bookmark976"/>
      <w:bookmarkEnd w:id="976"/>
      <w:r>
        <w:rPr>
          <w:color w:val="000000"/>
          <w:spacing w:val="0"/>
          <w:w w:val="100"/>
          <w:position w:val="0"/>
        </w:rPr>
        <w:t>租赁的分类</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本集团作为出租人时，将租赁分类为经营租赁和融资租赁。在进行分类时，管理层需要对是否已将与租出资产所有权有 关的全部风险和报酬实质上转移给承租人作出分析和判断。</w:t>
      </w:r>
    </w:p>
    <w:p>
      <w:pPr>
        <w:pStyle w:val="Style17"/>
        <w:keepNext w:val="0"/>
        <w:keepLines w:val="0"/>
        <w:widowControl w:val="0"/>
        <w:numPr>
          <w:ilvl w:val="0"/>
          <w:numId w:val="23"/>
        </w:numPr>
        <w:shd w:val="clear" w:color="auto" w:fill="auto"/>
        <w:tabs>
          <w:tab w:pos="720" w:val="left"/>
        </w:tabs>
        <w:bidi w:val="0"/>
        <w:spacing w:before="0" w:after="0" w:line="312" w:lineRule="exact"/>
        <w:ind w:left="0" w:right="0" w:firstLine="380"/>
        <w:jc w:val="both"/>
      </w:pPr>
      <w:bookmarkStart w:id="977" w:name="bookmark977"/>
      <w:bookmarkEnd w:id="977"/>
      <w:r>
        <w:rPr>
          <w:color w:val="000000"/>
          <w:spacing w:val="0"/>
          <w:w w:val="100"/>
          <w:position w:val="0"/>
        </w:rPr>
        <w:t>租赁负债</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本集团作为承租人时，租赁负债按照租赁期开始日尚未支付的租赁付款额的现值进行初始计量。在计量租赁付款额的现 值时，本集团对使用的折现率以及存在续租选择权或终止选择权的租赁合同的租赁期进行估计。在评估租赁期时，本集团综 合考虑与本集团行使选择权带来经济利益的所有相关事实和情况，包括自租赁期开始日至选择权行使日之间的事实和情况的 预期变化等。不同的判断及估计可能会影响租赁负债和使用权资产的确认，并将影响后续期间的损益。</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以下与租赁相关的重大会计判断和估计适用于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号——租赁》的规定，将租赁归类为经营租赁和融资租赁，在进行归类时，管理层需要 对是否已将与租出资产所有权有关的全部风险和报酬实质上转移给承租人，或者本集团是否已经实质上承担与租入资产所有 权有关的全部风险和报酬，作出分析和判断。</w:t>
      </w:r>
    </w:p>
    <w:p>
      <w:pPr>
        <w:pStyle w:val="Style17"/>
        <w:keepNext w:val="0"/>
        <w:keepLines w:val="0"/>
        <w:widowControl w:val="0"/>
        <w:shd w:val="clear" w:color="auto" w:fill="auto"/>
        <w:tabs>
          <w:tab w:pos="792" w:val="left"/>
        </w:tabs>
        <w:bidi w:val="0"/>
        <w:spacing w:before="0" w:after="0" w:line="312" w:lineRule="exact"/>
        <w:ind w:left="0" w:right="0" w:firstLine="38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金融资产减值</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本公司采用预期信用损失模型对金融工具的减值进行评估，应用预期信用损失模型需要做出重大判断和估计，需考虑所 有合理且有依据的信息，包括前瞻性信息。在做出该等判断和估计时，本公司根据历史数据结合经济政策、宏观经济指标、 行业风险、外部市场环境、技术环境、客户情况的变化等因素推断债务人信用风险的预期变动。</w:t>
      </w:r>
    </w:p>
    <w:p>
      <w:pPr>
        <w:pStyle w:val="Style17"/>
        <w:keepNext w:val="0"/>
        <w:keepLines w:val="0"/>
        <w:widowControl w:val="0"/>
        <w:shd w:val="clear" w:color="auto" w:fill="auto"/>
        <w:tabs>
          <w:tab w:pos="792" w:val="left"/>
        </w:tabs>
        <w:bidi w:val="0"/>
        <w:spacing w:before="0" w:after="0" w:line="312" w:lineRule="exact"/>
        <w:ind w:left="0" w:right="0" w:firstLine="38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存货跌价准备</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17"/>
        <w:keepNext w:val="0"/>
        <w:keepLines w:val="0"/>
        <w:widowControl w:val="0"/>
        <w:shd w:val="clear" w:color="auto" w:fill="auto"/>
        <w:tabs>
          <w:tab w:pos="792" w:val="left"/>
        </w:tabs>
        <w:bidi w:val="0"/>
        <w:spacing w:before="0" w:after="0" w:line="312" w:lineRule="exact"/>
        <w:ind w:left="0" w:right="0" w:firstLine="38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金融工具公允价值</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对不存在活跃交易市场的金融工具，本公司通过各种估值方法确定其公允价值。这些估值方法包括贴现现金流模型分析 等。估值时本公司需对未来现金流量、信用风险、市场波动率和相关性等方面进行估计，并选择适当的折现率。这些相关假 设具有不确定性，其变化会对金融工具的公允价值产生影响。权益工具投资或合同有公开报价的，本公司不将成本作为其公 允价值的最佳估计。</w:t>
      </w:r>
    </w:p>
    <w:p>
      <w:pPr>
        <w:pStyle w:val="Style17"/>
        <w:keepNext w:val="0"/>
        <w:keepLines w:val="0"/>
        <w:widowControl w:val="0"/>
        <w:shd w:val="clear" w:color="auto" w:fill="auto"/>
        <w:tabs>
          <w:tab w:pos="792" w:val="left"/>
        </w:tabs>
        <w:bidi w:val="0"/>
        <w:spacing w:before="0" w:after="0" w:line="312" w:lineRule="exact"/>
        <w:ind w:left="0" w:right="0" w:firstLine="38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长期资产减值准备</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w:t>
      </w:r>
      <w:r>
        <w:rPr>
          <w:color w:val="000000"/>
          <w:spacing w:val="0"/>
          <w:w w:val="100"/>
          <w:position w:val="0"/>
        </w:rPr>
        <w:t>售价和相关经营成本的预测。</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17"/>
        <w:keepNext w:val="0"/>
        <w:keepLines w:val="0"/>
        <w:widowControl w:val="0"/>
        <w:shd w:val="clear" w:color="auto" w:fill="auto"/>
        <w:tabs>
          <w:tab w:pos="783" w:val="left"/>
        </w:tabs>
        <w:bidi w:val="0"/>
        <w:spacing w:before="0" w:after="0" w:line="312" w:lineRule="exact"/>
        <w:ind w:left="0" w:right="0" w:firstLine="38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折旧和摊销</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本公司对固定资产、使用权资产和无形资产在考虑其残值后，在使用寿命内按直线法计提折旧和摊销。本公司定期复核 使用寿命，以决定将计入每个报告期的折旧和摊销费用数额。使用寿命是本公司根据对同类资产的以往经验并结合预期的技 术更新而确定的。如果以前的估计发生重大变化，则会在未来期间对折旧和摊销费用进行调整。</w:t>
      </w:r>
    </w:p>
    <w:p>
      <w:pPr>
        <w:pStyle w:val="Style17"/>
        <w:keepNext w:val="0"/>
        <w:keepLines w:val="0"/>
        <w:widowControl w:val="0"/>
        <w:shd w:val="clear" w:color="auto" w:fill="auto"/>
        <w:tabs>
          <w:tab w:pos="783" w:val="left"/>
        </w:tabs>
        <w:bidi w:val="0"/>
        <w:spacing w:before="0" w:after="0" w:line="312" w:lineRule="exact"/>
        <w:ind w:left="0" w:right="0" w:firstLine="38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递延所得税资产</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17"/>
        <w:keepNext w:val="0"/>
        <w:keepLines w:val="0"/>
        <w:widowControl w:val="0"/>
        <w:shd w:val="clear" w:color="auto" w:fill="auto"/>
        <w:tabs>
          <w:tab w:pos="783" w:val="left"/>
        </w:tabs>
        <w:bidi w:val="0"/>
        <w:spacing w:before="0" w:after="0" w:line="312" w:lineRule="exact"/>
        <w:ind w:left="0" w:right="0" w:firstLine="38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所得税</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17"/>
        <w:keepNext w:val="0"/>
        <w:keepLines w:val="0"/>
        <w:widowControl w:val="0"/>
        <w:shd w:val="clear" w:color="auto" w:fill="auto"/>
        <w:tabs>
          <w:tab w:pos="874" w:val="left"/>
        </w:tabs>
        <w:bidi w:val="0"/>
        <w:spacing w:before="0" w:after="0" w:line="312" w:lineRule="exact"/>
        <w:ind w:left="0" w:right="0" w:firstLine="38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预计负债</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本公司根据合约条款、现有知识及历史经验，对产品质量保证、预计合同亏损、延迟交货违约金等估计并计提相应准备。 在该等或有事项已经形成一项现时义务，且履行该等现时义务很可能导致经济利益流出本公司的情况下，本公司对或有事项 按履行相关现时义务所需支出的最佳估计数确认为预计负债。预计负债的确认和计量在很大程度上依赖于管理层的判断。在 进行判断过程中本公司需评估该等或有事项相关的风险、不确定性及货币时间价值等因素。</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其中，本公司会就出售、维修及改造所售商品向客户提供的售后质量维修承诺预计负债。预计负债时已考虑本公司近期 的维修经验数据，但近期的维修经验可能无法反映将来的维修情况。这项准备的任何增加或减少，均可能影响未来年度的损 益。</w:t>
      </w:r>
    </w:p>
    <w:p>
      <w:pPr>
        <w:pStyle w:val="Style17"/>
        <w:keepNext w:val="0"/>
        <w:keepLines w:val="0"/>
        <w:widowControl w:val="0"/>
        <w:shd w:val="clear" w:color="auto" w:fill="auto"/>
        <w:tabs>
          <w:tab w:pos="874" w:val="left"/>
        </w:tabs>
        <w:bidi w:val="0"/>
        <w:spacing w:before="0" w:after="0" w:line="312" w:lineRule="exact"/>
        <w:ind w:left="0" w:right="0" w:firstLine="38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公允价值计量</w:t>
      </w:r>
    </w:p>
    <w:p>
      <w:pPr>
        <w:pStyle w:val="Style17"/>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本公司的某些资产和负债在财务报表中按公允价值计量。本公司的董事会已成立估价委员会（该估价委员会由本公司的 首席财务官领导），以便为公允价值计量确定适当的估值技术和输入值。在对某项资产或负债的公允价值作出估计时，本公 司采用可获得的可观察市场数据。如果无法获得第一层次输入值，本公司会聘用第三方有资质的评估师来执行估价。估价委 员会与有资质的外部估价师紧密合作，以确定适当的估值技术和相关模型的输入值。首席财务官每季度向本公司董事会呈报 估价委员会的发现，以说明导致相关资产和负债的公允价值发生波动的原因。在确定各类资产和负债的公允价值的过程中所 采用的估值技术和输入值的相关信息在相关资产和负债的附注中披露。</w:t>
      </w:r>
    </w:p>
    <w:p>
      <w:pPr>
        <w:pStyle w:val="Style24"/>
        <w:keepNext/>
        <w:keepLines/>
        <w:widowControl w:val="0"/>
        <w:shd w:val="clear" w:color="auto" w:fill="auto"/>
        <w:bidi w:val="0"/>
        <w:spacing w:before="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六</w:t>
      </w:r>
      <w:bookmarkEnd w:id="989"/>
      <w:r>
        <w:rPr>
          <w:color w:val="000000"/>
          <w:spacing w:val="0"/>
          <w:w w:val="100"/>
          <w:position w:val="0"/>
        </w:rPr>
        <w:t>、税项</w:t>
      </w:r>
      <w:bookmarkEnd w:id="987"/>
      <w:bookmarkEnd w:id="988"/>
      <w:bookmarkEnd w:id="990"/>
    </w:p>
    <w:p>
      <w:pPr>
        <w:pStyle w:val="Style28"/>
        <w:keepNext/>
        <w:keepLines/>
        <w:widowControl w:val="0"/>
        <w:shd w:val="clear" w:color="auto" w:fill="auto"/>
        <w:bidi w:val="0"/>
        <w:spacing w:before="0" w:after="30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1</w:t>
      </w:r>
      <w:bookmarkEnd w:id="993"/>
      <w:r>
        <w:rPr>
          <w:color w:val="000000"/>
          <w:spacing w:val="0"/>
          <w:w w:val="100"/>
          <w:position w:val="0"/>
        </w:rPr>
        <w:t>、主要税种及税率</w:t>
      </w:r>
      <w:bookmarkEnd w:id="991"/>
      <w:bookmarkEnd w:id="992"/>
      <w:bookmarkEnd w:id="99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普通货物和软件产品销售按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计算销 项税、设备安装服务按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计算销项税、 维保服务按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计算销项税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本公司、伟创自动化公司、广东伟创公司、天辰智能公司、 同方佰宜公司、天沃重工公司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沈阳恒信公司、五洋智慧交通（徐州）公司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8"/>
        <w:keepNext/>
        <w:keepLines/>
        <w:widowControl w:val="0"/>
        <w:shd w:val="clear" w:color="auto" w:fill="auto"/>
        <w:bidi w:val="0"/>
        <w:spacing w:before="0" w:after="2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color w:val="000000"/>
          <w:spacing w:val="0"/>
          <w:w w:val="100"/>
          <w:position w:val="0"/>
        </w:rPr>
        <w:t>、税收优惠</w:t>
      </w:r>
      <w:bookmarkEnd w:id="995"/>
      <w:bookmarkEnd w:id="996"/>
      <w:bookmarkEnd w:id="998"/>
    </w:p>
    <w:p>
      <w:pPr>
        <w:pStyle w:val="Style17"/>
        <w:keepNext w:val="0"/>
        <w:keepLines w:val="0"/>
        <w:widowControl w:val="0"/>
        <w:shd w:val="clear" w:color="auto" w:fill="auto"/>
        <w:tabs>
          <w:tab w:pos="779" w:val="left"/>
        </w:tabs>
        <w:bidi w:val="0"/>
        <w:spacing w:before="0" w:after="0" w:line="312" w:lineRule="exact"/>
        <w:ind w:left="0" w:right="0" w:firstLine="38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w:t>
      </w:r>
    </w:p>
    <w:p>
      <w:pPr>
        <w:pStyle w:val="Style17"/>
        <w:keepNext w:val="0"/>
        <w:keepLines w:val="0"/>
        <w:widowControl w:val="0"/>
        <w:shd w:val="clear" w:color="auto" w:fill="auto"/>
        <w:tabs>
          <w:tab w:pos="6721" w:val="left"/>
        </w:tabs>
        <w:bidi w:val="0"/>
        <w:spacing w:before="0" w:after="0" w:line="312" w:lineRule="exact"/>
        <w:ind w:left="0" w:right="0" w:firstLine="380"/>
        <w:jc w:val="both"/>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号）第一条规定，一般纳税人软件</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 五洋停车公司销售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五洋液压卷带装置控制软件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五洋液压拉紧装置控制软件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五洋张紧绞车控制软件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五洋 盘式制动器控制软件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color w:val="000000"/>
          <w:spacing w:val="0"/>
          <w:w w:val="100"/>
          <w:position w:val="0"/>
        </w:rPr>
        <w:t>软件与伟创自动化公司销售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伟创车库控件系统软件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伟创自动化仓库管理控制软件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软件享受前述超税负部分增值税即征即退的税收优惠。</w:t>
      </w:r>
    </w:p>
    <w:p>
      <w:pPr>
        <w:pStyle w:val="Style17"/>
        <w:keepNext w:val="0"/>
        <w:keepLines w:val="0"/>
        <w:widowControl w:val="0"/>
        <w:shd w:val="clear" w:color="auto" w:fill="auto"/>
        <w:tabs>
          <w:tab w:pos="779" w:val="left"/>
        </w:tabs>
        <w:bidi w:val="0"/>
        <w:spacing w:before="0" w:after="0" w:line="312" w:lineRule="exact"/>
        <w:ind w:left="0" w:right="0" w:firstLine="380"/>
        <w:jc w:val="both"/>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w:t>
      </w:r>
    </w:p>
    <w:p>
      <w:pPr>
        <w:pStyle w:val="Style1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日，公司获得江苏省科学技术厅、江苏省财政厅、国家税务总局江苏省税务局颁发的编号为</w:t>
      </w:r>
      <w:r>
        <w:rPr>
          <w:rFonts w:ascii="Times New Roman" w:eastAsia="Times New Roman" w:hAnsi="Times New Roman" w:cs="Times New Roman"/>
          <w:color w:val="000000"/>
          <w:spacing w:val="0"/>
          <w:w w:val="100"/>
          <w:position w:val="0"/>
          <w:sz w:val="18"/>
          <w:szCs w:val="18"/>
        </w:rPr>
        <w:t xml:space="preserve">GR202032003868 </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日，深圳市伟创自动化设备有限公司获得深圳市科技创新委员会、深圳市财政委员会、国家税务总局深圳 市税务局颁发的编号为</w:t>
      </w:r>
      <w:r>
        <w:rPr>
          <w:rFonts w:ascii="Times New Roman" w:eastAsia="Times New Roman" w:hAnsi="Times New Roman" w:cs="Times New Roman"/>
          <w:color w:val="000000"/>
          <w:spacing w:val="0"/>
          <w:w w:val="100"/>
          <w:position w:val="0"/>
          <w:sz w:val="18"/>
          <w:szCs w:val="18"/>
        </w:rPr>
        <w:t>GR202144201539</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日，广东伟创五洋智能设备有限公司获得广东省科学技术厅、广东省财政厅、国家税务总局广东省税务局 颁发的编号为</w:t>
      </w:r>
      <w:r>
        <w:rPr>
          <w:rFonts w:ascii="Times New Roman" w:eastAsia="Times New Roman" w:hAnsi="Times New Roman" w:cs="Times New Roman"/>
          <w:color w:val="000000"/>
          <w:spacing w:val="0"/>
          <w:w w:val="100"/>
          <w:position w:val="0"/>
          <w:sz w:val="18"/>
          <w:szCs w:val="18"/>
        </w:rPr>
        <w:t>GR202144002547</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日，山东天辰智能停车有限公司获得山东省科学技术厅、山东省财政厅、国家税务总局山东省税务局颁发 的编号为</w:t>
      </w:r>
      <w:r>
        <w:rPr>
          <w:rFonts w:ascii="Times New Roman" w:eastAsia="Times New Roman" w:hAnsi="Times New Roman" w:cs="Times New Roman"/>
          <w:color w:val="000000"/>
          <w:spacing w:val="0"/>
          <w:w w:val="100"/>
          <w:position w:val="0"/>
          <w:sz w:val="18"/>
          <w:szCs w:val="18"/>
        </w:rPr>
        <w:t>GR202137002674</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日，同方佰宜科技（北京）有限公司获得北京市科学技术委员会、北京市财政局、国家税务总局北京市税 务局颁发的编号为</w:t>
      </w:r>
      <w:r>
        <w:rPr>
          <w:rFonts w:ascii="Times New Roman" w:eastAsia="Times New Roman" w:hAnsi="Times New Roman" w:cs="Times New Roman"/>
          <w:color w:val="000000"/>
          <w:spacing w:val="0"/>
          <w:w w:val="100"/>
          <w:position w:val="0"/>
          <w:sz w:val="18"/>
          <w:szCs w:val="18"/>
        </w:rPr>
        <w:t>GR202111006396</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日，天沃重工公司获得江苏省科学技术厅、江苏省财政厅、国家税务总局江苏省税务局颁发的编号为 </w:t>
      </w:r>
      <w:r>
        <w:rPr>
          <w:rFonts w:ascii="Times New Roman" w:eastAsia="Times New Roman" w:hAnsi="Times New Roman" w:cs="Times New Roman"/>
          <w:color w:val="000000"/>
          <w:spacing w:val="0"/>
          <w:w w:val="100"/>
          <w:position w:val="0"/>
          <w:sz w:val="18"/>
          <w:szCs w:val="18"/>
        </w:rPr>
        <w:t>GR201932007725</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根据财政部、国家税务总局《关于扩大小型微利企业所得税优惠政策范围的通知》（财税〔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号）、《关于实施小微 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号）有关规定，子公司沈阳恒信公司、五洋智慧交通（徐州）公司符合 小型微利企业条件。按税法规定，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年度按其应纳税所得额年应纳税所得额不超过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 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的税率缴纳企业所得税；其年应纳税所得额超过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 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r>
        <w:br w:type="page"/>
      </w:r>
    </w:p>
    <w:p>
      <w:pPr>
        <w:pStyle w:val="Style28"/>
        <w:keepNext/>
        <w:keepLines/>
        <w:widowControl w:val="0"/>
        <w:shd w:val="clear" w:color="auto" w:fill="auto"/>
        <w:bidi w:val="0"/>
        <w:spacing w:before="0" w:after="36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color w:val="000000"/>
          <w:spacing w:val="0"/>
          <w:w w:val="100"/>
          <w:position w:val="0"/>
        </w:rPr>
        <w:t>、其他</w:t>
      </w:r>
      <w:bookmarkEnd w:id="1001"/>
      <w:bookmarkEnd w:id="1002"/>
      <w:bookmarkEnd w:id="1004"/>
    </w:p>
    <w:p>
      <w:pPr>
        <w:pStyle w:val="Style24"/>
        <w:keepNext/>
        <w:keepLines/>
        <w:widowControl w:val="0"/>
        <w:shd w:val="clear" w:color="auto" w:fill="auto"/>
        <w:bidi w:val="0"/>
        <w:spacing w:before="0" w:line="240" w:lineRule="auto"/>
        <w:ind w:left="0" w:right="0" w:firstLine="0"/>
        <w:jc w:val="both"/>
      </w:pPr>
      <w:bookmarkStart w:id="1005" w:name="bookmark1005"/>
      <w:bookmarkStart w:id="1006" w:name="bookmark1006"/>
      <w:bookmarkStart w:id="1007" w:name="bookmark1007"/>
      <w:bookmarkStart w:id="1008" w:name="bookmark1008"/>
      <w:r>
        <w:rPr>
          <w:color w:val="000000"/>
          <w:spacing w:val="0"/>
          <w:w w:val="100"/>
          <w:position w:val="0"/>
        </w:rPr>
        <w:t>七</w:t>
      </w:r>
      <w:bookmarkEnd w:id="1007"/>
      <w:r>
        <w:rPr>
          <w:color w:val="000000"/>
          <w:spacing w:val="0"/>
          <w:w w:val="100"/>
          <w:position w:val="0"/>
        </w:rPr>
        <w:t>、合并财务报表项目注释</w:t>
      </w:r>
      <w:bookmarkEnd w:id="1005"/>
      <w:bookmarkEnd w:id="1006"/>
      <w:bookmarkEnd w:id="1008"/>
    </w:p>
    <w:p>
      <w:pPr>
        <w:pStyle w:val="Style28"/>
        <w:keepNext/>
        <w:keepLines/>
        <w:widowControl w:val="0"/>
        <w:shd w:val="clear" w:color="auto" w:fill="auto"/>
        <w:bidi w:val="0"/>
        <w:spacing w:before="0" w:after="360" w:line="240" w:lineRule="auto"/>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color w:val="000000"/>
          <w:spacing w:val="0"/>
          <w:w w:val="100"/>
          <w:position w:val="0"/>
        </w:rPr>
        <w:t>、货币资金</w:t>
      </w:r>
      <w:bookmarkEnd w:id="1009"/>
      <w:bookmarkEnd w:id="1010"/>
      <w:bookmarkEnd w:id="1012"/>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160,816.27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112,017.55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273,689,542.00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605,276,054.51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46,722,625.47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36,059,864.60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320,572,983.74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641,447,936.66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其他货币资金明细如下:</w:t>
      </w:r>
    </w:p>
    <w:tbl>
      <w:tblPr>
        <w:tblOverlap w:val="never"/>
        <w:jc w:val="center"/>
        <w:tblLayout w:type="fixed"/>
      </w:tblPr>
      <w:tblGrid>
        <w:gridCol w:w="3826"/>
        <w:gridCol w:w="2813"/>
        <w:gridCol w:w="2597"/>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tabs>
                <w:tab w:pos="2074" w:val="left"/>
              </w:tabs>
              <w:bidi w:val="0"/>
              <w:spacing w:before="0" w:after="0" w:line="240" w:lineRule="auto"/>
              <w:ind w:left="1580" w:right="0" w:firstLine="0"/>
              <w:jc w:val="left"/>
            </w:pPr>
            <w:r>
              <w:rPr>
                <w:color w:val="000000"/>
                <w:spacing w:val="0"/>
                <w:w w:val="100"/>
                <w:position w:val="0"/>
              </w:rPr>
              <w:t>项</w:t>
              <w:tab/>
              <w:t>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27,381,098.46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16,155,953.10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7,496,905.38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5,905,905.39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产业基金托管专项资金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6,835,264.51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13,174,132.97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微信、支付宝账户资金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3,009,357.12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823,873.14</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46,722,625.47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36,059,864.60</w:t>
            </w:r>
          </w:p>
        </w:tc>
      </w:tr>
    </w:tbl>
    <w:p>
      <w:pPr>
        <w:pStyle w:val="Style31"/>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17"/>
          <w:szCs w:val="17"/>
        </w:rPr>
        <w:t>期末银行存款中，有项目共同管理资金</w:t>
      </w:r>
      <w:r>
        <w:rPr>
          <w:rFonts w:ascii="Times New Roman" w:eastAsia="Times New Roman" w:hAnsi="Times New Roman" w:cs="Times New Roman"/>
          <w:color w:val="000000"/>
          <w:spacing w:val="0"/>
          <w:w w:val="100"/>
          <w:position w:val="0"/>
          <w:sz w:val="18"/>
          <w:szCs w:val="18"/>
        </w:rPr>
        <w:t>33,809,443.4</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元使用受限，期末其他货币资金中，承兑汇票保证金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7,381,098.46</w:t>
      </w:r>
      <w:r>
        <w:rPr>
          <w:color w:val="000000"/>
          <w:spacing w:val="0"/>
          <w:w w:val="100"/>
          <w:position w:val="0"/>
          <w:sz w:val="17"/>
          <w:szCs w:val="17"/>
        </w:rPr>
        <w:t>元、 保函保证金</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,496,905.38</w:t>
      </w:r>
      <w:r>
        <w:rPr>
          <w:color w:val="000000"/>
          <w:spacing w:val="0"/>
          <w:w w:val="100"/>
          <w:position w:val="0"/>
          <w:sz w:val="17"/>
          <w:szCs w:val="17"/>
        </w:rPr>
        <w:t>元、信用证保证金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,000,000.00</w:t>
      </w:r>
      <w:r>
        <w:rPr>
          <w:color w:val="000000"/>
          <w:spacing w:val="0"/>
          <w:w w:val="100"/>
          <w:position w:val="0"/>
          <w:sz w:val="17"/>
          <w:szCs w:val="17"/>
        </w:rPr>
        <w:t>元、产业基金托管专项资金</w:t>
      </w:r>
      <w:r>
        <w:rPr>
          <w:rFonts w:ascii="Times New Roman" w:eastAsia="Times New Roman" w:hAnsi="Times New Roman" w:cs="Times New Roman"/>
          <w:color w:val="000000"/>
          <w:spacing w:val="0"/>
          <w:w w:val="100"/>
          <w:position w:val="0"/>
          <w:sz w:val="18"/>
          <w:szCs w:val="18"/>
        </w:rPr>
        <w:t>6,835,264.51</w:t>
      </w:r>
      <w:r>
        <w:rPr>
          <w:color w:val="000000"/>
          <w:spacing w:val="0"/>
          <w:w w:val="100"/>
          <w:position w:val="0"/>
          <w:sz w:val="17"/>
          <w:szCs w:val="17"/>
        </w:rPr>
        <w:t>元使用受限。</w:t>
      </w:r>
      <w:r>
        <w:rPr>
          <w:rFonts w:ascii="Times New Roman" w:eastAsia="Times New Roman" w:hAnsi="Times New Roman" w:cs="Times New Roman"/>
          <w:color w:val="000000"/>
          <w:spacing w:val="0"/>
          <w:w w:val="100"/>
          <w:position w:val="0"/>
          <w:sz w:val="24"/>
          <w:szCs w:val="24"/>
          <w:vertAlign w:val="superscript"/>
        </w:rPr>
        <w:t>a</w:t>
      </w:r>
    </w:p>
    <w:p>
      <w:pPr>
        <w:widowControl w:val="0"/>
        <w:spacing w:after="899" w:line="1" w:lineRule="exact"/>
      </w:pPr>
    </w:p>
    <w:p>
      <w:pPr>
        <w:pStyle w:val="Style28"/>
        <w:keepNext/>
        <w:keepLines/>
        <w:widowControl w:val="0"/>
        <w:shd w:val="clear" w:color="auto" w:fill="auto"/>
        <w:bidi w:val="0"/>
        <w:spacing w:before="0" w:after="36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color w:val="000000"/>
          <w:spacing w:val="0"/>
          <w:w w:val="100"/>
          <w:position w:val="0"/>
        </w:rPr>
        <w:t>、交易性金融资产</w:t>
      </w:r>
      <w:bookmarkEnd w:id="1013"/>
      <w:bookmarkEnd w:id="1014"/>
      <w:bookmarkEnd w:id="1016"/>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333,585,242.94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136,087,653.35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银行短期理财及结构性存款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333,585,242.94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136,087,653.35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333,585,242.94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136,087,653.35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color w:val="000000"/>
          <w:spacing w:val="0"/>
          <w:w w:val="100"/>
          <w:position w:val="0"/>
        </w:rPr>
        <w:t>、衍生金融资产</w:t>
      </w:r>
      <w:bookmarkEnd w:id="1017"/>
      <w:bookmarkEnd w:id="1018"/>
      <w:bookmarkEnd w:id="102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4</w:t>
      </w:r>
      <w:bookmarkEnd w:id="1023"/>
      <w:r>
        <w:rPr>
          <w:color w:val="000000"/>
          <w:spacing w:val="0"/>
          <w:w w:val="100"/>
          <w:position w:val="0"/>
        </w:rPr>
        <w:t>、应收票据</w:t>
      </w:r>
      <w:bookmarkEnd w:id="1021"/>
      <w:bookmarkEnd w:id="1022"/>
      <w:bookmarkEnd w:id="1024"/>
    </w:p>
    <w:p>
      <w:pPr>
        <w:pStyle w:val="Style28"/>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21"/>
      <w:bookmarkEnd w:id="1022"/>
      <w:bookmarkEnd w:id="1026"/>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57,692,033.08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61,843,678.42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57,692,033.08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61,843,678.42</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8,210,87</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4,271,51</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3,939,358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8,210,87</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4,271,51</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3,939,358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56,581,7</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2,829,08</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53,752,67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65,098,60</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3,254,930.4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56,581,7</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2,829,08</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53,752,67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65,098,60</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3,254,930.4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64,792,6</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7,100,60</w:t>
            </w:r>
          </w:p>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57,692,03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65,098,60</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3,254,930.4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常州世茂新城房地产开 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2,900,161.00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1,450,080.50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难以全部收回</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杭州世茂瑞盈置业有限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难以全部收回</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泉州世茂新领域置业有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难以全部收回</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武汉世茂新城房地产开 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难以全部收回</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南宁世茂投资有限公司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648,410.00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324,205.00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难以全部收回</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南通世茂新纪元房地产 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难以全部收回</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万元以下合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887,301.17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609,727.85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难以全部收回</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8,210,872.17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4,271,513.35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56,581,762.38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2,829,088.12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56,581,762.38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2,829,088.12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160" w:line="346" w:lineRule="exact"/>
        <w:ind w:left="0" w:right="0" w:firstLine="0"/>
        <w:jc w:val="left"/>
      </w:pPr>
      <w:r>
        <w:rPr>
          <w:color w:val="000000"/>
          <w:spacing w:val="0"/>
          <w:w w:val="100"/>
          <w:position w:val="0"/>
        </w:rPr>
        <w:t>确定该组合依据的说明: 按组合计提坏账准备：</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7"/>
      <w:bookmarkEnd w:id="1028"/>
      <w:bookmarkEnd w:id="1030"/>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3,254,930.43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3,845,671.04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7,100,601.47</w:t>
            </w: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3,254,930.43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3,845,671.04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7,100,601.47</w:t>
            </w: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31"/>
      <w:bookmarkEnd w:id="1032"/>
      <w:bookmarkEnd w:id="103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35"/>
      <w:bookmarkEnd w:id="1036"/>
      <w:bookmarkEnd w:id="103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39"/>
      <w:bookmarkEnd w:id="1040"/>
      <w:bookmarkEnd w:id="104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其他说明</w:t>
      </w:r>
    </w:p>
    <w:p>
      <w:pPr>
        <w:pStyle w:val="Style17"/>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商业承兑汇票的承兑人不是银行，存在到期不获兑付的风险，故公司已背书或贴现且在资产负债表日尚未到期的商业承兑汇 票未终止确认。</w:t>
      </w:r>
    </w:p>
    <w:p>
      <w:pPr>
        <w:pStyle w:val="Style28"/>
        <w:keepNext/>
        <w:keepLines/>
        <w:widowControl w:val="0"/>
        <w:shd w:val="clear" w:color="auto" w:fill="auto"/>
        <w:bidi w:val="0"/>
        <w:spacing w:before="0" w:line="240" w:lineRule="auto"/>
        <w:ind w:left="0" w:right="0" w:firstLine="0"/>
        <w:jc w:val="both"/>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43"/>
      <w:bookmarkEnd w:id="1044"/>
      <w:bookmarkEnd w:id="10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28"/>
        <w:keepNext/>
        <w:keepLines/>
        <w:widowControl w:val="0"/>
        <w:shd w:val="clear" w:color="auto" w:fill="auto"/>
        <w:bidi w:val="0"/>
        <w:spacing w:before="0" w:line="240" w:lineRule="auto"/>
        <w:ind w:left="0" w:right="0" w:firstLine="0"/>
        <w:jc w:val="both"/>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5</w:t>
      </w:r>
      <w:bookmarkEnd w:id="1049"/>
      <w:r>
        <w:rPr>
          <w:color w:val="000000"/>
          <w:spacing w:val="0"/>
          <w:w w:val="100"/>
          <w:position w:val="0"/>
        </w:rPr>
        <w:t>、应收账款</w:t>
      </w:r>
      <w:bookmarkEnd w:id="1047"/>
      <w:bookmarkEnd w:id="1048"/>
      <w:bookmarkEnd w:id="1050"/>
    </w:p>
    <w:p>
      <w:pPr>
        <w:pStyle w:val="Style28"/>
        <w:keepNext/>
        <w:keepLines/>
        <w:widowControl w:val="0"/>
        <w:shd w:val="clear" w:color="auto" w:fill="auto"/>
        <w:bidi w:val="0"/>
        <w:spacing w:before="0" w:line="240" w:lineRule="auto"/>
        <w:ind w:left="0" w:right="0" w:firstLine="0"/>
        <w:jc w:val="both"/>
      </w:pPr>
      <w:bookmarkStart w:id="1047" w:name="bookmark1047"/>
      <w:bookmarkStart w:id="1048" w:name="bookmark1048"/>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47"/>
      <w:bookmarkEnd w:id="1048"/>
      <w:bookmarkEnd w:id="105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33,596,2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33,596,2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7,757,777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7,757,777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1,059,28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173,500,</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885,783,8</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1,070,503</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146,815,1</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923,688,15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1,059,28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173,500,</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885,783,8</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1,070,503</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146,815,1</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923,688,15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1,092,88</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207,096,</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885,783,8</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1,078,261</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154,572,9</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923,688,15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甘肃恒源房地产开发有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7,083,107.02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7,083,107.02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黄石奥山置业有限公司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3,483,912.60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3,483,912.60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廊坊市圣斌房地产开发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3,308,752.38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3,308,752.38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中建东方装饰有限公司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3,259,040.00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3,259,040.00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涿州致远房地产开发有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1,927,054.00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1,927,054.00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惠州仲恺创业广场发展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1,903,625.00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1,903,625.00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山东白鹤（集团）有限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广州市合富投资有限公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1,651,836.00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1,651,836.00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北京日隆电力科技有限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1,591,250.00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1,591,250.00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宜良建设管理有限公司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1,516,096.00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1,516,096.00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深圳富茅房地产开发有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包头市大成机电设备有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广州市富晟房地产开发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794,916.00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794,916.00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安徽中汇国银德源置业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723,579.45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723,579.45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广东皇玛控股集团股份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525,632.00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525,632.00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南京九霄置业有限公司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521,274.50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521,274.50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万元以下合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1,785,809.87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1,785,809.87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33,596,254.82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33,596,254.82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17"/>
        <w:keepNext w:val="0"/>
        <w:keepLines w:val="0"/>
        <w:widowControl w:val="0"/>
        <w:shd w:val="clear" w:color="auto" w:fill="auto"/>
        <w:bidi w:val="0"/>
        <w:spacing w:before="0" w:after="65" w:line="240" w:lineRule="auto"/>
        <w:ind w:left="8940" w:right="0" w:firstLine="0"/>
        <w:jc w:val="left"/>
      </w:pPr>
      <w:r>
        <w:rPr>
          <w:color w:val="000000"/>
          <w:spacing w:val="0"/>
          <w:w w:val="100"/>
          <w:position w:val="0"/>
        </w:rPr>
        <w:t>单位：元</w:t>
      </w:r>
    </w:p>
    <w:p>
      <w:pPr>
        <w:pStyle w:val="Style17"/>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17"/>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924" w:val="left"/>
          <w:tab w:leader="hyphen" w:pos="3830" w:val="left"/>
          <w:tab w:leader="hyphen" w:pos="5745" w:val="left"/>
          <w:tab w:leader="hyphen" w:pos="7664" w:val="left"/>
          <w:tab w:leader="hyphen" w:pos="9570" w:val="left"/>
        </w:tabs>
        <w:bidi w:val="0"/>
        <w:spacing w:before="0" w:after="0" w:line="240" w:lineRule="auto"/>
        <w:ind w:left="0" w:right="0" w:firstLine="800"/>
        <w:jc w:val="left"/>
      </w:pPr>
      <w:r>
        <w:rPr>
          <w:color w:val="000000"/>
          <w:spacing w:val="0"/>
          <w:w w:val="100"/>
          <w:position w:val="0"/>
        </w:rPr>
        <w:t>名称</w:t>
        <w:tab/>
        <w:tab/>
        <w:tab/>
        <w:tab/>
        <w:tab/>
      </w:r>
    </w:p>
    <w:p>
      <w:pPr>
        <w:pStyle w:val="Style17"/>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924" w:val="left"/>
          <w:tab w:pos="3830" w:val="left"/>
          <w:tab w:pos="5745" w:val="left"/>
        </w:tabs>
        <w:bidi w:val="0"/>
        <w:spacing w:before="0" w:after="46" w:line="240" w:lineRule="auto"/>
        <w:ind w:left="0" w:right="0" w:firstLine="0"/>
        <w:jc w:val="center"/>
      </w:pPr>
      <w:r>
        <w:rPr>
          <w:color w:val="000000"/>
          <w:spacing w:val="0"/>
          <w:w w:val="100"/>
          <w:position w:val="0"/>
        </w:rPr>
        <w:t>账面余额</w:t>
        <w:tab/>
        <w:t>坏账准备</w:t>
        <w:tab/>
        <w:t>计提比例</w:t>
        <w:tab/>
        <w:t>计提理由</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574,893,647.35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28,744,682.37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294,629,075.34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29,462,907.54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105,476,237.30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42,190,494.92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13,934,423.89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11,147,539.11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41,980,526.30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33,584,421.05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28,370,238.44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28,370,238.44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1,059,284,158.62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173,500,291.43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7"/>
        <w:keepNext w:val="0"/>
        <w:keepLines w:val="0"/>
        <w:widowControl w:val="0"/>
        <w:shd w:val="clear" w:color="auto" w:fill="auto"/>
        <w:bidi w:val="0"/>
        <w:spacing w:before="0" w:after="18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576,898,417.78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294,629,075.34</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116,190,380.28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105,162,540.04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43,324,388.30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17,298,519.89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44,539,631.85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1,092,880,413.44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3"/>
      <w:bookmarkEnd w:id="1054"/>
      <w:bookmarkEnd w:id="1056"/>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7,757,777.00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25,858,477.82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33,596,254.82</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146,815,179.88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27,343,407.39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658,295.84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173,500,291.43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154,572,956.88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53,201,885.21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658,295.84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207,096,546.25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57"/>
      <w:bookmarkEnd w:id="1058"/>
      <w:bookmarkEnd w:id="106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658,295.84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28"/>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61"/>
      <w:bookmarkEnd w:id="1062"/>
      <w:bookmarkEnd w:id="1064"/>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82"/>
        <w:gridCol w:w="2530"/>
        <w:gridCol w:w="2530"/>
        <w:gridCol w:w="2539"/>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982"/>
        <w:gridCol w:w="2530"/>
        <w:gridCol w:w="2530"/>
        <w:gridCol w:w="2539"/>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36,718,184.66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1,835,909.23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25,280,000.00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25,071,465.47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10,028,586.19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22,611,195.00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2,261,119.50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17,964,900.00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898,245.00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127,645,745.13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tabs>
          <w:tab w:pos="493" w:val="left"/>
        </w:tabs>
        <w:bidi w:val="0"/>
        <w:spacing w:before="0" w:after="36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65"/>
      <w:bookmarkEnd w:id="1066"/>
      <w:bookmarkEnd w:id="1068"/>
    </w:p>
    <w:p>
      <w:pPr>
        <w:pStyle w:val="Style28"/>
        <w:keepNext/>
        <w:keepLines/>
        <w:widowControl w:val="0"/>
        <w:shd w:val="clear" w:color="auto" w:fill="auto"/>
        <w:tabs>
          <w:tab w:pos="493" w:val="left"/>
        </w:tabs>
        <w:bidi w:val="0"/>
        <w:spacing w:before="0" w:after="360" w:line="240" w:lineRule="auto"/>
        <w:ind w:left="0" w:right="0" w:firstLine="0"/>
        <w:jc w:val="left"/>
      </w:pPr>
      <w:bookmarkStart w:id="1065" w:name="bookmark1065"/>
      <w:bookmarkStart w:id="1066" w:name="bookmark1066"/>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65"/>
      <w:bookmarkEnd w:id="1066"/>
      <w:bookmarkEnd w:id="1070"/>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6</w:t>
      </w:r>
      <w:bookmarkEnd w:id="1073"/>
      <w:r>
        <w:rPr>
          <w:color w:val="000000"/>
          <w:spacing w:val="0"/>
          <w:w w:val="100"/>
          <w:position w:val="0"/>
        </w:rPr>
        <w:t>、应收款项融资</w:t>
      </w:r>
      <w:bookmarkEnd w:id="1071"/>
      <w:bookmarkEnd w:id="1072"/>
      <w:bookmarkEnd w:id="107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54,929,228.70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39,661,817.05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54,929,228.70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39,661,817.05</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应收款项融资本期增减变动及公允价值变动情况</w:t>
      </w:r>
    </w:p>
    <w:p>
      <w:pPr>
        <w:pStyle w:val="Style1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27"/>
        <w:gridCol w:w="1546"/>
        <w:gridCol w:w="1176"/>
        <w:gridCol w:w="1536"/>
        <w:gridCol w:w="1378"/>
        <w:gridCol w:w="1430"/>
        <w:gridCol w:w="1109"/>
      </w:tblGrid>
      <w:tr>
        <w:trPr>
          <w:trHeight w:val="36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公允价值变动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成本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公允价值变 动</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39,661,817.05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15,267,411.65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54,929,228.70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17" w:lineRule="exact"/>
        <w:ind w:left="0" w:right="0" w:firstLine="240"/>
        <w:jc w:val="both"/>
      </w:pPr>
      <w:r>
        <w:rPr>
          <w:color w:val="000000"/>
          <w:spacing w:val="0"/>
          <w:w w:val="100"/>
          <w:position w:val="0"/>
        </w:rPr>
        <w:t>本公司期末已背书或贴现且在资产负债表日尚未到期的银行承兑汇票汇总金额为</w:t>
      </w:r>
      <w:r>
        <w:rPr>
          <w:rFonts w:ascii="Times New Roman" w:eastAsia="Times New Roman" w:hAnsi="Times New Roman" w:cs="Times New Roman"/>
          <w:color w:val="000000"/>
          <w:spacing w:val="0"/>
          <w:w w:val="100"/>
          <w:position w:val="0"/>
          <w:sz w:val="18"/>
          <w:szCs w:val="18"/>
        </w:rPr>
        <w:t>126,694,468.26</w:t>
      </w:r>
      <w:r>
        <w:rPr>
          <w:color w:val="000000"/>
          <w:spacing w:val="0"/>
          <w:w w:val="100"/>
          <w:position w:val="0"/>
        </w:rPr>
        <w:t>元，银行承兑汇票的承兑 人是商业银行，由于商业银行具有较高的信用，银行承兑汇票到期不获支付的可能性较低，故本公司将已背书或贴现的银行 承兑汇票予以终止确认。但如果该等票据到期不获支付，依据《票据法》之规定，公司仍将对持票人承担连带责任。</w:t>
      </w:r>
    </w:p>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2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7</w:t>
      </w:r>
      <w:bookmarkEnd w:id="1077"/>
      <w:r>
        <w:rPr>
          <w:color w:val="000000"/>
          <w:spacing w:val="0"/>
          <w:w w:val="100"/>
          <w:position w:val="0"/>
        </w:rPr>
        <w:t>、预付款项</w:t>
      </w:r>
      <w:bookmarkEnd w:id="1075"/>
      <w:bookmarkEnd w:id="1076"/>
      <w:bookmarkEnd w:id="1078"/>
    </w:p>
    <w:p>
      <w:pPr>
        <w:pStyle w:val="Style28"/>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5"/>
      <w:bookmarkEnd w:id="1076"/>
      <w:bookmarkEnd w:id="10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26,358,910.28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28,245,592.33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1,754,176.87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1,826,494.16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772,783.69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1,339,979.24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3,141,507.17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3,226,159.63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32,027,378.01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34,638,225.36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widowControl w:val="0"/>
        <w:spacing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年以上的大额预付款项</w:t>
      </w:r>
    </w:p>
    <w:tbl>
      <w:tblPr>
        <w:tblOverlap w:val="never"/>
        <w:jc w:val="center"/>
        <w:tblLayout w:type="fixed"/>
      </w:tblPr>
      <w:tblGrid>
        <w:gridCol w:w="3725"/>
        <w:gridCol w:w="1699"/>
        <w:gridCol w:w="3696"/>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深圳市引升自动化设备有限公司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预付货款，尚未结算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珠海横琴富华文博园实业有限公司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889,612.96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预付货款，尚未结算</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上海诺力智能科技有限公司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780,395.00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预付货款，尚未结算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米亚斯物流设备（昆山）有限公司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预付货款，尚未结算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东莞金丰物流设备有限公司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预付货款，尚未结算</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3,825,007.96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8"/>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1"/>
      <w:bookmarkEnd w:id="1082"/>
      <w:bookmarkEnd w:id="1084"/>
    </w:p>
    <w:p>
      <w:pPr>
        <w:pStyle w:val="Style17"/>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本公司按预付对象归集的期末余额前五名预付账款汇总金额为</w:t>
      </w:r>
      <w:r>
        <w:rPr>
          <w:rFonts w:ascii="Times New Roman" w:eastAsia="Times New Roman" w:hAnsi="Times New Roman" w:cs="Times New Roman"/>
          <w:color w:val="000000"/>
          <w:spacing w:val="0"/>
          <w:w w:val="100"/>
          <w:position w:val="0"/>
          <w:sz w:val="18"/>
          <w:szCs w:val="18"/>
        </w:rPr>
        <w:t>12,636,497.71</w:t>
      </w:r>
      <w:r>
        <w:rPr>
          <w:color w:val="000000"/>
          <w:spacing w:val="0"/>
          <w:w w:val="100"/>
          <w:position w:val="0"/>
        </w:rPr>
        <w:t>元，占预付账款期末余额合计数的比例为</w:t>
      </w:r>
    </w:p>
    <w:p>
      <w:pPr>
        <w:pStyle w:val="Style5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39.46%</w:t>
      </w:r>
      <w:r>
        <w:rPr>
          <w:rFonts w:ascii="SimSun" w:eastAsia="SimSun" w:hAnsi="SimSun" w:cs="SimSun"/>
          <w:color w:val="000000"/>
          <w:spacing w:val="0"/>
          <w:w w:val="100"/>
          <w:position w:val="0"/>
          <w:sz w:val="17"/>
          <w:szCs w:val="17"/>
        </w:rPr>
        <w:t>。</w:t>
      </w:r>
    </w:p>
    <w:tbl>
      <w:tblPr>
        <w:tblOverlap w:val="never"/>
        <w:jc w:val="center"/>
        <w:tblLayout w:type="fixed"/>
      </w:tblPr>
      <w:tblGrid>
        <w:gridCol w:w="3725"/>
        <w:gridCol w:w="1699"/>
        <w:gridCol w:w="3696"/>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占预付款项余额的比例</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山东钢冶金属材料有限公司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3,766,938.37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天津君诚管道实业集团有限公司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3,446,686.79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安徽宜百嘉贸易有限公司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2,945,524.17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东莞市炜烨供应链管理有限公司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1,284,071.12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佛山市顺德区领德贸易有限公司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1,193,277.26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12,636,497.71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39.46%</w:t>
            </w:r>
          </w:p>
        </w:tc>
      </w:tr>
    </w:tbl>
    <w:p>
      <w:pPr>
        <w:widowControl w:val="0"/>
        <w:spacing w:after="71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8</w:t>
      </w:r>
      <w:bookmarkEnd w:id="1087"/>
      <w:r>
        <w:rPr>
          <w:color w:val="000000"/>
          <w:spacing w:val="0"/>
          <w:w w:val="100"/>
          <w:position w:val="0"/>
        </w:rPr>
        <w:t>、其他应收款</w:t>
      </w:r>
      <w:bookmarkEnd w:id="1085"/>
      <w:bookmarkEnd w:id="1086"/>
      <w:bookmarkEnd w:id="1088"/>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62,816,871.53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41,395,708.58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62,816,871.53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41,395,708.58</w:t>
            </w:r>
          </w:p>
        </w:tc>
      </w:tr>
    </w:tbl>
    <w:p>
      <w:pPr>
        <w:pStyle w:val="Style28"/>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89"/>
      <w:bookmarkEnd w:id="1090"/>
      <w:bookmarkEnd w:id="1092"/>
    </w:p>
    <w:p>
      <w:pPr>
        <w:pStyle w:val="Style28"/>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color w:val="000000"/>
          <w:spacing w:val="0"/>
          <w:w w:val="100"/>
          <w:position w:val="0"/>
        </w:rPr>
        <w:t>）应收利息分类</w:t>
      </w:r>
      <w:bookmarkEnd w:id="1089"/>
      <w:bookmarkEnd w:id="1090"/>
      <w:bookmarkEnd w:id="10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272"/>
        <w:gridCol w:w="638"/>
        <w:gridCol w:w="1915"/>
        <w:gridCol w:w="638"/>
        <w:gridCol w:w="1277"/>
        <w:gridCol w:w="1978"/>
      </w:tblGrid>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7" w:hRule="exact"/>
        </w:trPr>
        <w:tc>
          <w:tcPr>
            <w:gridSpan w:val="7"/>
            <w:tcBorders>
              <w:top w:val="single" w:sz="4"/>
            </w:tcBorders>
            <w:shd w:val="clear" w:color="auto" w:fill="FFFFFF"/>
            <w:vAlign w:val="bottom"/>
          </w:tcPr>
          <w:p>
            <w:pPr>
              <w:pStyle w:val="Style20"/>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095"/>
      <w:bookmarkEnd w:id="1096"/>
      <w:bookmarkEnd w:id="1097"/>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98"/>
      <w:bookmarkEnd w:id="1099"/>
      <w:bookmarkEnd w:id="1101"/>
    </w:p>
    <w:p>
      <w:pPr>
        <w:pStyle w:val="Style28"/>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color w:val="000000"/>
          <w:spacing w:val="0"/>
          <w:w w:val="100"/>
          <w:position w:val="0"/>
        </w:rPr>
        <w:t>）应收股利分类</w:t>
      </w:r>
      <w:bookmarkEnd w:id="1098"/>
      <w:bookmarkEnd w:id="1099"/>
      <w:bookmarkEnd w:id="1103"/>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bookmarkEnd w:id="110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04"/>
      <w:bookmarkEnd w:id="1105"/>
      <w:bookmarkEnd w:id="1107"/>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color w:val="000000"/>
          <w:spacing w:val="0"/>
          <w:w w:val="100"/>
          <w:position w:val="0"/>
        </w:rPr>
        <w:t>）坏账准备计提情况</w:t>
      </w:r>
      <w:bookmarkEnd w:id="1108"/>
      <w:bookmarkEnd w:id="1109"/>
      <w:bookmarkEnd w:id="1111"/>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12"/>
      <w:bookmarkEnd w:id="1113"/>
      <w:bookmarkEnd w:id="1115"/>
    </w:p>
    <w:p>
      <w:pPr>
        <w:pStyle w:val="Style28"/>
        <w:keepNext/>
        <w:keepLines/>
        <w:widowControl w:val="0"/>
        <w:shd w:val="clear" w:color="auto" w:fill="auto"/>
        <w:bidi w:val="0"/>
        <w:spacing w:before="0" w:after="360" w:line="240" w:lineRule="auto"/>
        <w:ind w:left="0" w:right="0" w:firstLine="0"/>
        <w:jc w:val="left"/>
      </w:pPr>
      <w:bookmarkStart w:id="1112" w:name="bookmark1112"/>
      <w:bookmarkStart w:id="1113" w:name="bookmark1113"/>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color w:val="000000"/>
          <w:spacing w:val="0"/>
          <w:w w:val="100"/>
          <w:position w:val="0"/>
        </w:rPr>
        <w:t>）其他应收款按款项性质分类情况</w:t>
      </w:r>
      <w:bookmarkEnd w:id="1112"/>
      <w:bookmarkEnd w:id="1113"/>
      <w:bookmarkEnd w:id="1117"/>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49,574,086.38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42,380,719.24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17,965,518.57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11,545,141.17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钢结构合作开发保证金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往来及暂借款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4,849,574.75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4,004,944.64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9,091,800.00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708,452.41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718,965.28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86,589,432.11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63,049,770.33</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bookmarkEnd w:id="1120"/>
      <w:r>
        <w:rPr>
          <w:color w:val="000000"/>
          <w:spacing w:val="0"/>
          <w:w w:val="100"/>
          <w:position w:val="0"/>
        </w:rPr>
        <w:t>）坏账准备计提情况</w:t>
      </w:r>
      <w:bookmarkEnd w:id="1118"/>
      <w:bookmarkEnd w:id="1119"/>
      <w:bookmarkEnd w:id="1121"/>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1,116,418.90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1,698,056.27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18,839,586.58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21,654,061.75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-353,943.45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353,943.45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-1,115,354.84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1,115,354.84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1,889,228.74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889,271.21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2,633,336.71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389,914.00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389,914.00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-124,923.88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2,570,415.04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707,886.91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20,494,258.63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23,772,560.58</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51,408,300.67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7,078,869.04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11,153,548.42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16,948,713.98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6,115,180.54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2,864,193.05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7,969,340.39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86,589,432.11</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w:t>
      </w:r>
      <w:bookmarkEnd w:id="1124"/>
      <w:r>
        <w:rPr>
          <w:color w:val="000000"/>
          <w:spacing w:val="0"/>
          <w:w w:val="100"/>
          <w:position w:val="0"/>
        </w:rPr>
        <w:t>）本期计提、收回或转回的坏账准备情况</w:t>
      </w:r>
      <w:bookmarkEnd w:id="1122"/>
      <w:bookmarkEnd w:id="1123"/>
      <w:bookmarkEnd w:id="112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4</w:t>
      </w:r>
      <w:bookmarkEnd w:id="1128"/>
      <w:r>
        <w:rPr>
          <w:color w:val="000000"/>
          <w:spacing w:val="0"/>
          <w:w w:val="100"/>
          <w:position w:val="0"/>
        </w:rPr>
        <w:t>）本期实际核销的其他应收款情况</w:t>
      </w:r>
      <w:bookmarkEnd w:id="1126"/>
      <w:bookmarkEnd w:id="1127"/>
      <w:bookmarkEnd w:id="1129"/>
    </w:p>
    <w:p>
      <w:pPr>
        <w:pStyle w:val="Style17"/>
        <w:keepNext w:val="0"/>
        <w:keepLines w:val="0"/>
        <w:widowControl w:val="0"/>
        <w:shd w:val="clear" w:color="auto" w:fill="auto"/>
        <w:bidi w:val="0"/>
        <w:spacing w:before="0" w:after="80" w:line="240" w:lineRule="auto"/>
        <w:ind w:left="8940" w:right="0" w:firstLine="0"/>
        <w:jc w:val="left"/>
      </w:pPr>
      <w:bookmarkStart w:id="1130" w:name="bookmark1130"/>
      <w:r>
        <w:rPr>
          <w:color w:val="000000"/>
          <w:spacing w:val="0"/>
          <w:w w:val="100"/>
          <w:position w:val="0"/>
        </w:rPr>
        <w:t>单</w:t>
      </w:r>
      <w:bookmarkEnd w:id="1130"/>
      <w:r>
        <w:rPr>
          <w:color w:val="000000"/>
          <w:spacing w:val="0"/>
          <w:w w:val="100"/>
          <w:position w:val="0"/>
        </w:rPr>
        <w:t>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389,914.00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0"/>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p>
          <w:p>
            <w:pPr>
              <w:pStyle w:val="Style2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宜春市数字经济产 业运营有限公司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14,729,921.86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736,496.09</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南昌市青云谱区国 有资产投资集团有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9,091,800.00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454,590.00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昆明安特钢结构技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钢结构合作开发保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山东红场文化创意 产业园有限公司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2,007,360.00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802,944.00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江西金融租赁股份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1,036,597.13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829,277.70</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江西金融租赁股份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745,965.10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745,965.10</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32,011,644.09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7,969,272.89</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6</w:t>
      </w:r>
      <w:bookmarkEnd w:id="1133"/>
      <w:r>
        <w:rPr>
          <w:color w:val="000000"/>
          <w:spacing w:val="0"/>
          <w:w w:val="100"/>
          <w:position w:val="0"/>
        </w:rPr>
        <w:t>）涉及政府补助的应收款项</w:t>
      </w:r>
      <w:bookmarkEnd w:id="1131"/>
      <w:bookmarkEnd w:id="1132"/>
      <w:bookmarkEnd w:id="113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28"/>
        <w:keepNext/>
        <w:keepLines/>
        <w:widowControl w:val="0"/>
        <w:shd w:val="clear" w:color="auto" w:fill="auto"/>
        <w:tabs>
          <w:tab w:pos="392" w:val="left"/>
        </w:tabs>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7</w:t>
      </w:r>
      <w:bookmarkEnd w:id="1137"/>
      <w:r>
        <w:rPr>
          <w:color w:val="000000"/>
          <w:spacing w:val="0"/>
          <w:w w:val="100"/>
          <w:position w:val="0"/>
        </w:rPr>
        <w:t>）</w:t>
        <w:tab/>
        <w:t>因金融资产转移而终止确认的其他应收款</w:t>
      </w:r>
      <w:bookmarkEnd w:id="1135"/>
      <w:bookmarkEnd w:id="1136"/>
      <w:bookmarkEnd w:id="1138"/>
    </w:p>
    <w:p>
      <w:pPr>
        <w:pStyle w:val="Style28"/>
        <w:keepNext/>
        <w:keepLines/>
        <w:widowControl w:val="0"/>
        <w:shd w:val="clear" w:color="auto" w:fill="auto"/>
        <w:tabs>
          <w:tab w:pos="397" w:val="left"/>
        </w:tabs>
        <w:bidi w:val="0"/>
        <w:spacing w:before="0" w:after="360" w:line="240" w:lineRule="auto"/>
        <w:ind w:left="0" w:right="0" w:firstLine="0"/>
        <w:jc w:val="left"/>
      </w:pPr>
      <w:bookmarkStart w:id="1135" w:name="bookmark1135"/>
      <w:bookmarkStart w:id="1136" w:name="bookmark1136"/>
      <w:bookmarkStart w:id="1139" w:name="bookmark1139"/>
      <w:bookmarkStart w:id="1140" w:name="bookmark1140"/>
      <w:r>
        <w:rPr>
          <w:rFonts w:ascii="Times New Roman" w:eastAsia="Times New Roman" w:hAnsi="Times New Roman" w:cs="Times New Roman"/>
          <w:color w:val="000000"/>
          <w:spacing w:val="0"/>
          <w:w w:val="100"/>
          <w:position w:val="0"/>
        </w:rPr>
        <w:t>8</w:t>
      </w:r>
      <w:bookmarkEnd w:id="1139"/>
      <w:r>
        <w:rPr>
          <w:color w:val="000000"/>
          <w:spacing w:val="0"/>
          <w:w w:val="100"/>
          <w:position w:val="0"/>
        </w:rPr>
        <w:t>）</w:t>
        <w:tab/>
        <w:t>转移其他应收款且继续涉入形成的资产、负债金额</w:t>
      </w:r>
      <w:bookmarkEnd w:id="1135"/>
      <w:bookmarkEnd w:id="1136"/>
      <w:bookmarkEnd w:id="1140"/>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9</w:t>
      </w:r>
      <w:bookmarkEnd w:id="1143"/>
      <w:r>
        <w:rPr>
          <w:color w:val="000000"/>
          <w:spacing w:val="0"/>
          <w:w w:val="100"/>
          <w:position w:val="0"/>
        </w:rPr>
        <w:t>、存货</w:t>
      </w:r>
      <w:bookmarkEnd w:id="1141"/>
      <w:bookmarkEnd w:id="1142"/>
      <w:bookmarkEnd w:id="114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28"/>
        <w:keepNext/>
        <w:keepLines/>
        <w:widowControl w:val="0"/>
        <w:shd w:val="clear" w:color="auto" w:fill="auto"/>
        <w:bidi w:val="0"/>
        <w:spacing w:before="0" w:after="36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5"/>
      <w:bookmarkEnd w:id="1146"/>
      <w:bookmarkEnd w:id="11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存货跌价准备或</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合同履约成本减</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130,769,421.83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130,769,421.83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106,644,999.56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106,644,999.56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441,095,030.64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12,991,142.08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428,103,888.56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387,014,860.66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387,014,860.66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63,182,800.64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1,166,438.22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62,016,362.42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106,368,425.71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106,368,425.71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3,736,538.79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3,736,538.79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638,783,791.90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14,157,580.30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624,626,211.60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600,028,285.93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600,028,285.93</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49"/>
      <w:bookmarkEnd w:id="1150"/>
      <w:bookmarkEnd w:id="11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12,991,142.08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12,991,142.08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1,166,438.22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1,166,438.22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14,157,580.30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14,157,580.30</w:t>
            </w:r>
          </w:p>
        </w:tc>
      </w:tr>
    </w:tbl>
    <w:p>
      <w:pPr>
        <w:spacing w:lineRule="exact" w:line="1"/>
        <w:rPr>
          <w:sz w:val="2"/>
          <w:szCs w:val="2"/>
        </w:rPr>
      </w:pPr>
      <w:r>
        <w:br w:type="page"/>
      </w:r>
    </w:p>
    <w:p>
      <w:pPr>
        <w:pStyle w:val="Style28"/>
        <w:keepNext/>
        <w:keepLines/>
        <w:widowControl w:val="0"/>
        <w:numPr>
          <w:ilvl w:val="0"/>
          <w:numId w:val="25"/>
        </w:numPr>
        <w:shd w:val="clear" w:color="auto" w:fill="auto"/>
        <w:tabs>
          <w:tab w:pos="493" w:val="left"/>
        </w:tabs>
        <w:bidi w:val="0"/>
        <w:spacing w:before="0" w:after="360" w:line="240" w:lineRule="auto"/>
        <w:ind w:left="0" w:right="0" w:firstLine="0"/>
        <w:jc w:val="both"/>
      </w:pPr>
      <w:bookmarkStart w:id="1153" w:name="bookmark1153"/>
      <w:bookmarkStart w:id="1154" w:name="bookmark1154"/>
      <w:bookmarkStart w:id="1155" w:name="bookmark1155"/>
      <w:bookmarkStart w:id="1156" w:name="bookmark1156"/>
      <w:bookmarkEnd w:id="1155"/>
      <w:r>
        <w:rPr>
          <w:color w:val="000000"/>
          <w:spacing w:val="0"/>
          <w:w w:val="100"/>
          <w:position w:val="0"/>
        </w:rPr>
        <w:t>存货期末余额含有借款费用资本化金额的说明</w:t>
      </w:r>
      <w:bookmarkEnd w:id="1153"/>
      <w:bookmarkEnd w:id="1154"/>
      <w:bookmarkEnd w:id="1156"/>
    </w:p>
    <w:p>
      <w:pPr>
        <w:pStyle w:val="Style28"/>
        <w:keepNext/>
        <w:keepLines/>
        <w:widowControl w:val="0"/>
        <w:numPr>
          <w:ilvl w:val="0"/>
          <w:numId w:val="25"/>
        </w:numPr>
        <w:shd w:val="clear" w:color="auto" w:fill="auto"/>
        <w:tabs>
          <w:tab w:pos="493" w:val="left"/>
        </w:tabs>
        <w:bidi w:val="0"/>
        <w:spacing w:before="0" w:after="360" w:line="240" w:lineRule="auto"/>
        <w:ind w:left="0" w:right="0" w:firstLine="0"/>
        <w:jc w:val="both"/>
      </w:pPr>
      <w:bookmarkStart w:id="1153" w:name="bookmark1153"/>
      <w:bookmarkStart w:id="1154" w:name="bookmark1154"/>
      <w:bookmarkStart w:id="1157" w:name="bookmark1157"/>
      <w:bookmarkStart w:id="1158" w:name="bookmark1158"/>
      <w:bookmarkEnd w:id="1157"/>
      <w:r>
        <w:rPr>
          <w:color w:val="000000"/>
          <w:spacing w:val="0"/>
          <w:w w:val="100"/>
          <w:position w:val="0"/>
        </w:rPr>
        <w:t>合同履约成本本期摊销金额的说明</w:t>
      </w:r>
      <w:bookmarkEnd w:id="1153"/>
      <w:bookmarkEnd w:id="1154"/>
      <w:bookmarkEnd w:id="1158"/>
    </w:p>
    <w:p>
      <w:pPr>
        <w:pStyle w:val="Style28"/>
        <w:keepNext/>
        <w:keepLines/>
        <w:widowControl w:val="0"/>
        <w:shd w:val="clear" w:color="auto" w:fill="auto"/>
        <w:bidi w:val="0"/>
        <w:spacing w:before="0" w:after="360" w:line="240" w:lineRule="auto"/>
        <w:ind w:left="0" w:right="0" w:firstLine="0"/>
        <w:jc w:val="both"/>
      </w:pPr>
      <w:bookmarkStart w:id="1153" w:name="bookmark1153"/>
      <w:bookmarkStart w:id="1154" w:name="bookmark1154"/>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53"/>
      <w:bookmarkEnd w:id="1154"/>
      <w:bookmarkEnd w:id="116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179,963,732.40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13,754,278.25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166,209,454.15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154,069,760.15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16,551,851.77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137,517,908.38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179,963,732.40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13,754,278.25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166,209,454.15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154,069,760.15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16,551,851.77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137,517,908.38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-2,797,573.52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-2,797,573.52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161"/>
      <w:bookmarkEnd w:id="1162"/>
      <w:bookmarkEnd w:id="11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65"/>
      <w:bookmarkEnd w:id="1166"/>
      <w:bookmarkEnd w:id="116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58,351,782.09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59,703,387.60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58,351,782.09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59,703,387.60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26"/>
        <w:gridCol w:w="384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955"/>
        <w:gridCol w:w="960"/>
        <w:gridCol w:w="955"/>
        <w:gridCol w:w="955"/>
        <w:gridCol w:w="960"/>
        <w:gridCol w:w="955"/>
        <w:gridCol w:w="955"/>
        <w:gridCol w:w="97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69"/>
      <w:bookmarkEnd w:id="1170"/>
      <w:bookmarkEnd w:id="1172"/>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增值税负值重分类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70,296,887.88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24,078,766.26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2,327,007.17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969,978.77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待摊房屋租赁费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426,115.16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611,524.14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146,364.19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8,083,043.23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6,875,778.67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81,318,462.42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32,497,003.05</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173"/>
      <w:bookmarkEnd w:id="1174"/>
      <w:bookmarkEnd w:id="11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177"/>
      <w:bookmarkEnd w:id="1178"/>
      <w:bookmarkEnd w:id="1180"/>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01"/>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81"/>
      <w:bookmarkEnd w:id="1182"/>
      <w:bookmarkEnd w:id="1184"/>
    </w:p>
    <w:p>
      <w:pPr>
        <w:pStyle w:val="Style28"/>
        <w:keepNext/>
        <w:keepLines/>
        <w:widowControl w:val="0"/>
        <w:shd w:val="clear" w:color="auto" w:fill="auto"/>
        <w:bidi w:val="0"/>
        <w:spacing w:before="0" w:line="240" w:lineRule="auto"/>
        <w:ind w:left="0" w:right="0" w:firstLine="0"/>
        <w:jc w:val="both"/>
      </w:pPr>
      <w:bookmarkStart w:id="1181" w:name="bookmark1181"/>
      <w:bookmarkStart w:id="1182" w:name="bookmark1182"/>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81"/>
      <w:bookmarkEnd w:id="1182"/>
      <w:bookmarkEnd w:id="1186"/>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应收融资租赁款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24,911,345.95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2,110,039.23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22,801,306.72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30,010,107.02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1,907,377.27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28,102,729.75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10.08%-15.30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24,911,345.95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2,110,039.23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22,801,306.72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30,010,107.02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1,907,377.27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28,102,729.75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tabs>
          <w:tab w:pos="493" w:val="left"/>
        </w:tabs>
        <w:bidi w:val="0"/>
        <w:spacing w:before="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87"/>
      <w:bookmarkEnd w:id="1188"/>
      <w:bookmarkEnd w:id="1190"/>
    </w:p>
    <w:p>
      <w:pPr>
        <w:pStyle w:val="Style28"/>
        <w:keepNext/>
        <w:keepLines/>
        <w:widowControl w:val="0"/>
        <w:shd w:val="clear" w:color="auto" w:fill="auto"/>
        <w:tabs>
          <w:tab w:pos="493" w:val="left"/>
        </w:tabs>
        <w:bidi w:val="0"/>
        <w:spacing w:before="0" w:line="240" w:lineRule="auto"/>
        <w:ind w:left="0" w:right="0" w:firstLine="0"/>
        <w:jc w:val="left"/>
      </w:pPr>
      <w:bookmarkStart w:id="1187" w:name="bookmark1187"/>
      <w:bookmarkStart w:id="1188" w:name="bookmark1188"/>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87"/>
      <w:bookmarkEnd w:id="1188"/>
      <w:bookmarkEnd w:id="1192"/>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93"/>
      <w:bookmarkEnd w:id="1194"/>
      <w:bookmarkEnd w:id="11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0"/>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0"/>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福建比硕 停车运营 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3,715,422</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-1,252,58</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2,462,833</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重庆鸿达 智慧城市 发展有限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1,869,469</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-384,770.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1,484,698</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长安停车</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1,244,391</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-635,700.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608,690.5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6,829,282</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-2,273,05</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4,556,223</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6,829,282</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-2,273,05</w:t>
            </w:r>
          </w:p>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4,556,223</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197"/>
      <w:bookmarkEnd w:id="1198"/>
      <w:bookmarkEnd w:id="1200"/>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分项披露本期非交易性权益工具投资</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其他综合收益转</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入留存收益的金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指定为以公允价</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值计量且其变动</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计入其他综合收</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其他综合收益转 入留存收益的原</w:t>
            </w: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01"/>
      <w:bookmarkEnd w:id="1202"/>
      <w:bookmarkEnd w:id="120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分类以公允价值计量且其变动计入当期 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39" w:line="1" w:lineRule="exact"/>
      </w:pPr>
    </w:p>
    <w:p>
      <w:pPr>
        <w:pStyle w:val="Style28"/>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05"/>
      <w:bookmarkEnd w:id="1206"/>
      <w:bookmarkEnd w:id="1208"/>
    </w:p>
    <w:p>
      <w:pPr>
        <w:pStyle w:val="Style28"/>
        <w:keepNext/>
        <w:keepLines/>
        <w:widowControl w:val="0"/>
        <w:shd w:val="clear" w:color="auto" w:fill="auto"/>
        <w:tabs>
          <w:tab w:pos="493" w:val="left"/>
        </w:tabs>
        <w:bidi w:val="0"/>
        <w:spacing w:before="0" w:line="240" w:lineRule="auto"/>
        <w:ind w:left="0" w:right="0" w:firstLine="0"/>
        <w:jc w:val="left"/>
      </w:pPr>
      <w:bookmarkStart w:id="1205" w:name="bookmark1205"/>
      <w:bookmarkStart w:id="1206" w:name="bookmark1206"/>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05"/>
      <w:bookmarkEnd w:id="1206"/>
      <w:bookmarkEnd w:id="1210"/>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93" w:val="left"/>
        </w:tabs>
        <w:bidi w:val="0"/>
        <w:spacing w:before="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11"/>
      <w:bookmarkEnd w:id="1212"/>
      <w:bookmarkEnd w:id="1214"/>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93" w:val="left"/>
        </w:tabs>
        <w:bidi w:val="0"/>
        <w:spacing w:before="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15"/>
      <w:bookmarkEnd w:id="1216"/>
      <w:bookmarkEnd w:id="121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19"/>
      <w:bookmarkEnd w:id="1220"/>
      <w:bookmarkEnd w:id="122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299,175,819.78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302,672,036.23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299,175,819.78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302,672,036.23</w:t>
            </w:r>
          </w:p>
        </w:tc>
      </w:tr>
    </w:tbl>
    <w:p>
      <w:pPr>
        <w:widowControl w:val="0"/>
        <w:spacing w:after="379" w:line="1" w:lineRule="exact"/>
      </w:pPr>
    </w:p>
    <w:p>
      <w:pPr>
        <w:pStyle w:val="Style28"/>
        <w:keepNext/>
        <w:keepLines/>
        <w:widowControl w:val="0"/>
        <w:shd w:val="clear" w:color="auto" w:fill="auto"/>
        <w:bidi w:val="0"/>
        <w:spacing w:before="0" w:line="240" w:lineRule="auto"/>
        <w:ind w:left="0" w:right="0" w:firstLine="0"/>
        <w:jc w:val="both"/>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23"/>
      <w:bookmarkEnd w:id="1224"/>
      <w:bookmarkEnd w:id="122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289,164,120.06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18,604,495.80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128,539,168.27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23,410,273.05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459,718,057.18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6,171,375.93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20,922,539.17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30,383,268.46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1,176,257.18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58,653,440.74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6,058,553.84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10,093,926.17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7,710,406.90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1,176,257.18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25,039,144.09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112,822.09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22,672,861.56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22,785,683.65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10,828,613.00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10,828,613.00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33,364,339.37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1,381,312.01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10,435,092.74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2,040,679.58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47,221,423.70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1,208,646.94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2,925,961.66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2,015,015.86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6,149,624.46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33,364,339.37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172,665.07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7,509,131.08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41,071,799.24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261,971,156.62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38,145,722.96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148,487,343.99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22,545,850.65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471,150,074.22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90,504,449.27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11,114,762.38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40,473,658.39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14,953,150.91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157,046,020.95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13,530,949.68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7,859,708.84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11,443,424.68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2,266,443.09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35,100,526.29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13,530,949.68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5,222,279.08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11,443,424.68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2,266,443.09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32,463,096.53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2,637,429.76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2,637,429.76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10,791,239.30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1,244,461.11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6,348,102.26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1,788,490.13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20,172,292.80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1,105,312.60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2,353,763.86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1,780,871.18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5,239,947.64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10,791,239.30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139,148.51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3,994,338.40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14,932,345.16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93,244,159.65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17,730,010.11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45,568,980.81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15,431,103.87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171,974,254.44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168,726,996.97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20,415,712.85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102,918,363.18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7,114,746.78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299,175,819.78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198,659,670.79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7,489,733.42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88,065,509.88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8,457,122.14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302,672,036.23</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27"/>
      <w:bookmarkEnd w:id="1228"/>
      <w:bookmarkEnd w:id="123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31"/>
      <w:bookmarkEnd w:id="1232"/>
      <w:bookmarkEnd w:id="123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1,080,717.60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35"/>
      <w:bookmarkEnd w:id="1236"/>
      <w:bookmarkEnd w:id="123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16,036,901.05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期末所有权或使用权受限制的固定资产情况详见本财务报表附注第十节、七、</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所有权或使用权收到限制的资产。</w:t>
      </w:r>
    </w:p>
    <w:p>
      <w:pPr>
        <w:pStyle w:val="Style28"/>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39"/>
      <w:bookmarkEnd w:id="1240"/>
      <w:bookmarkEnd w:id="124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43"/>
      <w:bookmarkEnd w:id="1244"/>
      <w:bookmarkEnd w:id="124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44,695,105.33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37,321,665.30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44,695,105.33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37,321,665.30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47"/>
      <w:bookmarkEnd w:id="1248"/>
      <w:bookmarkEnd w:id="12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抚州五洋第一医 院停车建设项目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27,491,635.09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27,491,635.09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青云市政公司包 家花园停车场项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10,677,841.43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10,677,841.43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抚州五洋瑶坪路 停车建设项目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10,398,226.76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10,398,226.76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徐州五洋公司车 间扩建项目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14,401,705.77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14,401,705.77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7,061,392.20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7,061,392.20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伟创自动化公司</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停车库项目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4,905,105.06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4,905,105.06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伟创华鑫研发中 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2,002,606.44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2,002,606.44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智能机械式立体 停车设备制造项 目(徐州基地)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4,227,621.87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4,227,621.87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其他零星工程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799,158.03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799,158.03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51,477.98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44,695,105.33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44,695,105.33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37,321,665.30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37,321,665.30</w:t>
            </w:r>
          </w:p>
        </w:tc>
      </w:tr>
    </w:tbl>
    <w:p>
      <w:pPr>
        <w:widowControl w:val="0"/>
        <w:spacing w:after="319" w:line="1" w:lineRule="exact"/>
      </w:pPr>
    </w:p>
    <w:p>
      <w:pPr>
        <w:pStyle w:val="Style28"/>
        <w:keepNext/>
        <w:keepLines/>
        <w:widowControl w:val="0"/>
        <w:numPr>
          <w:ilvl w:val="0"/>
          <w:numId w:val="27"/>
        </w:numPr>
        <w:shd w:val="clear" w:color="auto" w:fill="auto"/>
        <w:bidi w:val="0"/>
        <w:spacing w:before="0" w:after="400" w:line="240"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重要在建工程项目本期变动情况</w:t>
      </w:r>
      <w:bookmarkEnd w:id="1251"/>
      <w:bookmarkEnd w:id="1252"/>
      <w:bookmarkEnd w:id="125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抚州五</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洋第一 医院停 车建设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27,491,6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27,491,6</w:t>
            </w:r>
          </w:p>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青云市 政公司 包家花 园停车 场项目 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10,677,8</w:t>
            </w:r>
          </w:p>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1,251,26</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抚州五</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洋瑶坪</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路停车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10,398,2</w:t>
            </w:r>
          </w:p>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5,649,63</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16,047,8</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建设项</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徐州五</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洋公司</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车间扩</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7,061,39</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7,340,31</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智能机</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械式立</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体停车 设备制 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4,227,62</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2,397,37</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6,624,99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32,365,0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44,130,2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22,672,8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55"/>
      <w:bookmarkEnd w:id="1256"/>
      <w:bookmarkEnd w:id="125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59"/>
      <w:bookmarkEnd w:id="1260"/>
      <w:bookmarkEnd w:id="126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63"/>
      <w:bookmarkEnd w:id="1264"/>
      <w:bookmarkEnd w:id="1266"/>
    </w:p>
    <w:p>
      <w:pPr>
        <w:pStyle w:val="Style28"/>
        <w:keepNext/>
        <w:keepLines/>
        <w:widowControl w:val="0"/>
        <w:shd w:val="clear" w:color="auto" w:fill="auto"/>
        <w:tabs>
          <w:tab w:pos="493" w:val="left"/>
        </w:tabs>
        <w:bidi w:val="0"/>
        <w:spacing w:before="0" w:line="240" w:lineRule="auto"/>
        <w:ind w:left="0" w:right="0" w:firstLine="0"/>
        <w:jc w:val="left"/>
      </w:pPr>
      <w:bookmarkStart w:id="1263" w:name="bookmark1263"/>
      <w:bookmarkStart w:id="1264" w:name="bookmark1264"/>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63"/>
      <w:bookmarkEnd w:id="1264"/>
      <w:bookmarkEnd w:id="1268"/>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93" w:val="left"/>
        </w:tabs>
        <w:bidi w:val="0"/>
        <w:spacing w:before="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69"/>
      <w:bookmarkEnd w:id="1270"/>
      <w:bookmarkEnd w:id="1272"/>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73"/>
      <w:bookmarkEnd w:id="1274"/>
      <w:bookmarkEnd w:id="1276"/>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6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bookmarkEnd w:id="1279"/>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277"/>
      <w:bookmarkEnd w:id="1278"/>
      <w:bookmarkEnd w:id="12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停车场地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278,264,803.71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279,764,803.71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7,885,607.37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9,047,985.97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16,933,593.34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4,737,700.00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7,885,607.37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282,575,089.68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291,960,697.05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641,584.41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61,392,860.96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62,034,445.37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982,432.02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15,368,051.25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16,409,889.21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982,432.02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15,368,051.25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16,409,889.21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700,990.35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982,432.02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76,760,912.21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78,444,334.58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799,009.65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6,903,175.35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205,814,177.47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213,516,362.47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858,415.59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216,871,942.75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217,730,358.34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81"/>
      <w:bookmarkEnd w:id="1282"/>
      <w:bookmarkEnd w:id="1284"/>
    </w:p>
    <w:p>
      <w:pPr>
        <w:pStyle w:val="Style28"/>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1"/>
      <w:bookmarkEnd w:id="1282"/>
      <w:bookmarkEnd w:id="128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特许经营权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停车场租赁合 同权益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专用软件</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80,795,076.26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23,211,118.64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101,809,500.00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675,466.54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232,291,161.44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97,087.40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528,392.72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625,480.12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97,087.40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528,392.72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625,480.12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660"/>
              <w:jc w:val="both"/>
            </w:pPr>
            <w:r>
              <w:rPr>
                <w:color w:val="000000"/>
                <w:spacing w:val="0"/>
                <w:w w:val="100"/>
                <w:position w:val="0"/>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6,883,796.87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6,883,796.87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6,883,796.87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6,883,796.87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73,911,279.39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23,308,206.04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101,809,500.00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1,203,859.26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226,032,844.69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12,715,697.91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13,402,131.97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4,958,333.24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6,480,726.73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38,419,737.29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1,673,755.59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2,189,483.50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2,124,999.96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6,480,726.73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12,613,519.61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1,673,755.59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2,189,483.50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2,124,999.96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6,480,726.73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12,613,519.61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1,166,372.81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1,166,372.81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1,166,372.81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1,166,372.81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13,223,080.69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15,591,615.47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7,083,333.20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12,961,453.46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707,401.27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49,866,884.09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60,688,198.70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7,716,590.57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18,416,666.80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88,848,046.54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496,457.99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176,165,960.60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68,079,378.35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9,808,986.67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20,541,666.76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95,328,773.27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112,619.10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193,871,424.15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87"/>
      <w:bookmarkEnd w:id="1288"/>
      <w:bookmarkEnd w:id="129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91"/>
      <w:bookmarkEnd w:id="1292"/>
      <w:bookmarkEnd w:id="129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1"/>
        <w:gridCol w:w="107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确认为无形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1"/>
        <w:gridCol w:w="107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295"/>
      <w:bookmarkEnd w:id="1296"/>
      <w:bookmarkEnd w:id="1297"/>
    </w:p>
    <w:p>
      <w:pPr>
        <w:pStyle w:val="Style28"/>
        <w:keepNext/>
        <w:keepLines/>
        <w:widowControl w:val="0"/>
        <w:shd w:val="clear" w:color="auto" w:fill="auto"/>
        <w:bidi w:val="0"/>
        <w:spacing w:before="0" w:line="240" w:lineRule="auto"/>
        <w:ind w:left="0" w:right="0" w:firstLine="0"/>
        <w:jc w:val="both"/>
      </w:pPr>
      <w:bookmarkStart w:id="1295" w:name="bookmark1295"/>
      <w:bookmarkStart w:id="1296" w:name="bookmark1296"/>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5"/>
      <w:bookmarkEnd w:id="1296"/>
      <w:bookmarkEnd w:id="1299"/>
    </w:p>
    <w:p>
      <w:pPr>
        <w:pStyle w:val="Style17"/>
        <w:keepNext w:val="0"/>
        <w:keepLines w:val="0"/>
        <w:widowControl w:val="0"/>
        <w:shd w:val="clear" w:color="auto" w:fill="auto"/>
        <w:bidi w:val="0"/>
        <w:spacing w:before="0" w:after="80" w:line="240" w:lineRule="auto"/>
        <w:ind w:left="8940" w:right="0" w:firstLine="0"/>
        <w:jc w:val="left"/>
      </w:pPr>
      <w:bookmarkStart w:id="1300" w:name="bookmark1300"/>
      <w:r>
        <w:rPr>
          <w:color w:val="000000"/>
          <w:spacing w:val="0"/>
          <w:w w:val="100"/>
          <w:position w:val="0"/>
        </w:rPr>
        <w:t>单</w:t>
      </w:r>
      <w:bookmarkEnd w:id="1300"/>
      <w:r>
        <w:rPr>
          <w:color w:val="000000"/>
          <w:spacing w:val="0"/>
          <w:w w:val="100"/>
          <w:position w:val="0"/>
        </w:rPr>
        <w:t>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深圳市伟创自动 化设备有限公司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334,964,694.37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334,964,694.37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北京华逸奇科贸</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13,425,367.55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13,425,367.55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山东天辰智能停 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167,156,998.87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167,156,998.87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北京泊创科技有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618,393.76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618,393.76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长安停车投资管 理（上海）有限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25,362,863.68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25,362,863.68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541,528,318.23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541,528,318.23</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01"/>
      <w:bookmarkEnd w:id="1302"/>
      <w:bookmarkEnd w:id="130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北京华逸奇科贸</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13,425,367.55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13,425,367.55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山东天辰智能停 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37,108,973.44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71,372,821.23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108,481,794.67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北京泊创科技有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618,393.76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618,393.76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长安停车投资管 理（上海）有限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1,620,181.68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1,620,181.68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3,240,363.36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52,772,916.43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72,993,002.91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125,765,919.34</w:t>
            </w:r>
          </w:p>
        </w:tc>
      </w:tr>
    </w:tbl>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商誉所在资产组或资产组组合的相关信息</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7"/>
        <w:keepNext w:val="0"/>
        <w:keepLines w:val="0"/>
        <w:widowControl w:val="0"/>
        <w:shd w:val="clear" w:color="auto" w:fill="auto"/>
        <w:bidi w:val="0"/>
        <w:spacing w:before="0" w:after="0" w:line="310" w:lineRule="exact"/>
        <w:ind w:left="0" w:right="0" w:firstLine="560"/>
        <w:jc w:val="both"/>
      </w:pPr>
      <w:r>
        <w:rPr>
          <w:color w:val="000000"/>
          <w:spacing w:val="0"/>
          <w:w w:val="100"/>
          <w:position w:val="0"/>
        </w:rPr>
        <w:t>主要商誉的减值测试过程</w:t>
      </w:r>
    </w:p>
    <w:p>
      <w:pPr>
        <w:pStyle w:val="Style17"/>
        <w:keepNext w:val="0"/>
        <w:keepLines w:val="0"/>
        <w:widowControl w:val="0"/>
        <w:shd w:val="clear" w:color="auto" w:fill="auto"/>
        <w:bidi w:val="0"/>
        <w:spacing w:before="0" w:after="0" w:line="310" w:lineRule="exact"/>
        <w:ind w:left="0" w:right="0" w:firstLine="560"/>
        <w:jc w:val="both"/>
      </w:pPr>
      <w:r>
        <w:rPr>
          <w:color w:val="000000"/>
          <w:spacing w:val="0"/>
          <w:w w:val="100"/>
          <w:position w:val="0"/>
        </w:rPr>
        <w:t>①深圳市伟创自动化设备有限公司</w:t>
      </w:r>
    </w:p>
    <w:p>
      <w:pPr>
        <w:pStyle w:val="Style17"/>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年度以发行股份及支付现金的方式购买伟创自动化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股权，交易定价系以中联资产评估集团有限公司（以 下简称中联评估公司）以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日为评估基准日，对伟创自动化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的股东权益价值以收益法确定的评估价值为基础， 经交易各方协商确定交易价格为</w:t>
      </w:r>
      <w:r>
        <w:rPr>
          <w:rFonts w:ascii="Times New Roman" w:eastAsia="Times New Roman" w:hAnsi="Times New Roman" w:cs="Times New Roman"/>
          <w:color w:val="000000"/>
          <w:spacing w:val="0"/>
          <w:w w:val="100"/>
          <w:position w:val="0"/>
          <w:sz w:val="18"/>
          <w:szCs w:val="18"/>
        </w:rPr>
        <w:t>55,000</w:t>
      </w:r>
      <w:r>
        <w:rPr>
          <w:color w:val="000000"/>
          <w:spacing w:val="0"/>
          <w:w w:val="100"/>
          <w:position w:val="0"/>
        </w:rPr>
        <w:t>万元。上述合并对价与合并日（即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日）伟创自动化可辨认净资产的公允 价值差额</w:t>
      </w:r>
      <w:r>
        <w:rPr>
          <w:rFonts w:ascii="Times New Roman" w:eastAsia="Times New Roman" w:hAnsi="Times New Roman" w:cs="Times New Roman"/>
          <w:color w:val="000000"/>
          <w:spacing w:val="0"/>
          <w:w w:val="100"/>
          <w:position w:val="0"/>
          <w:sz w:val="18"/>
          <w:szCs w:val="18"/>
        </w:rPr>
        <w:t>334,964,694.37</w:t>
      </w:r>
      <w:r>
        <w:rPr>
          <w:color w:val="000000"/>
          <w:spacing w:val="0"/>
          <w:w w:val="100"/>
          <w:position w:val="0"/>
        </w:rPr>
        <w:t>元在合并报表中确认为商誉。</w:t>
      </w:r>
    </w:p>
    <w:p>
      <w:pPr>
        <w:pStyle w:val="Style31"/>
        <w:keepNext w:val="0"/>
        <w:keepLines w:val="0"/>
        <w:widowControl w:val="0"/>
        <w:shd w:val="clear" w:color="auto" w:fill="auto"/>
        <w:bidi w:val="0"/>
        <w:spacing w:before="0" w:after="0" w:line="240" w:lineRule="auto"/>
        <w:ind w:left="538" w:right="0" w:firstLine="0"/>
        <w:jc w:val="left"/>
      </w:pPr>
      <w:r>
        <w:rPr>
          <w:color w:val="000000"/>
          <w:spacing w:val="0"/>
          <w:w w:val="100"/>
          <w:position w:val="0"/>
        </w:rPr>
        <w:t>商誉所在资产组相关信息</w:t>
      </w:r>
    </w:p>
    <w:tbl>
      <w:tblPr>
        <w:tblOverlap w:val="never"/>
        <w:jc w:val="left"/>
        <w:tblLayout w:type="fixed"/>
      </w:tblPr>
      <w:tblGrid>
        <w:gridCol w:w="4574"/>
        <w:gridCol w:w="4406"/>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固定资产、无形资产、在建工程等可辨认资产</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207,560,418.35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分摊至本资产组的商誉账面价值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334,964,694.37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包含商誉的资产组的账面价值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542,525,112.72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包含商誉的资产组的评估值</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资产组是否与购买日、以前年度商誉减值测试时所确定的 资产组一致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商誉减值测试的过程与方法、结论</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商誉的可收回金额按照预计未来现金流量的现值计算，以伟创自动化公司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年度的现金流量预测为基础，现 金流量预测使用的折现率</w:t>
      </w:r>
      <w:r>
        <w:rPr>
          <w:rFonts w:ascii="Times New Roman" w:eastAsia="Times New Roman" w:hAnsi="Times New Roman" w:cs="Times New Roman"/>
          <w:color w:val="000000"/>
          <w:spacing w:val="0"/>
          <w:w w:val="100"/>
          <w:position w:val="0"/>
          <w:sz w:val="18"/>
          <w:szCs w:val="18"/>
        </w:rPr>
        <w:t>11.97%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13.71%</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年现金流量为基础推断得出。</w:t>
      </w:r>
    </w:p>
    <w:p>
      <w:pPr>
        <w:pStyle w:val="Style17"/>
        <w:keepNext w:val="0"/>
        <w:keepLines w:val="0"/>
        <w:widowControl w:val="0"/>
        <w:shd w:val="clear" w:color="auto" w:fill="auto"/>
        <w:bidi w:val="0"/>
        <w:spacing w:before="0" w:after="0" w:line="311" w:lineRule="exact"/>
        <w:ind w:left="0" w:right="0" w:firstLine="200"/>
        <w:jc w:val="left"/>
      </w:pPr>
      <w:r>
        <w:rPr>
          <w:color w:val="000000"/>
          <w:spacing w:val="0"/>
          <w:w w:val="100"/>
          <w:position w:val="0"/>
        </w:rPr>
        <w:t>减值测试中采用的其他关键数据包括：收入增长率、生产成本及其他相关费用。</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公司根据历史经验及对市场发展的预测确定上述关键数据。公司采用的折现率是反映当前市场货币时间价值和相关资产 组特定风险的税前利率。</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根据公司聘请的沃克森（北京）国际资产评估有限公司出具的《评估报告》（沃克森国际评报字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0572</w:t>
      </w:r>
      <w:r>
        <w:rPr>
          <w:color w:val="000000"/>
          <w:spacing w:val="0"/>
          <w:w w:val="100"/>
          <w:position w:val="0"/>
        </w:rPr>
        <w:t>号），包 含商誉的资产组未来现金流量现值为</w:t>
      </w:r>
      <w:r>
        <w:rPr>
          <w:rFonts w:ascii="Times New Roman" w:eastAsia="Times New Roman" w:hAnsi="Times New Roman" w:cs="Times New Roman"/>
          <w:color w:val="000000"/>
          <w:spacing w:val="0"/>
          <w:w w:val="100"/>
          <w:position w:val="0"/>
          <w:sz w:val="18"/>
          <w:szCs w:val="18"/>
        </w:rPr>
        <w:t>59,331.19</w:t>
      </w:r>
      <w:r>
        <w:rPr>
          <w:color w:val="000000"/>
          <w:spacing w:val="0"/>
          <w:w w:val="100"/>
          <w:position w:val="0"/>
        </w:rPr>
        <w:t>万元，高于账面价值</w:t>
      </w:r>
      <w:r>
        <w:rPr>
          <w:rFonts w:ascii="Times New Roman" w:eastAsia="Times New Roman" w:hAnsi="Times New Roman" w:cs="Times New Roman"/>
          <w:color w:val="000000"/>
          <w:spacing w:val="0"/>
          <w:w w:val="100"/>
          <w:position w:val="0"/>
          <w:sz w:val="18"/>
          <w:szCs w:val="18"/>
        </w:rPr>
        <w:t>54,252.51</w:t>
      </w:r>
      <w:r>
        <w:rPr>
          <w:color w:val="000000"/>
          <w:spacing w:val="0"/>
          <w:w w:val="100"/>
          <w:position w:val="0"/>
        </w:rPr>
        <w:t>万元，商誉未出现减值情形。</w:t>
      </w:r>
    </w:p>
    <w:p>
      <w:pPr>
        <w:pStyle w:val="Style17"/>
        <w:keepNext w:val="0"/>
        <w:keepLines w:val="0"/>
        <w:widowControl w:val="0"/>
        <w:shd w:val="clear" w:color="auto" w:fill="auto"/>
        <w:bidi w:val="0"/>
        <w:spacing w:before="0" w:after="0" w:line="311" w:lineRule="exact"/>
        <w:ind w:left="0" w:right="0" w:firstLine="560"/>
        <w:jc w:val="both"/>
      </w:pPr>
      <w:r>
        <w:rPr>
          <w:color w:val="000000"/>
          <w:spacing w:val="0"/>
          <w:w w:val="100"/>
          <w:position w:val="0"/>
        </w:rPr>
        <w:t>②山东天辰智能停车有限公司</w:t>
      </w:r>
    </w:p>
    <w:p>
      <w:pPr>
        <w:pStyle w:val="Style17"/>
        <w:keepNext w:val="0"/>
        <w:keepLines w:val="0"/>
        <w:widowControl w:val="0"/>
        <w:shd w:val="clear" w:color="auto" w:fill="auto"/>
        <w:bidi w:val="0"/>
        <w:spacing w:before="0" w:after="100" w:line="311" w:lineRule="exact"/>
        <w:ind w:left="0" w:right="0" w:firstLine="5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年度公司以发行股份及支付现金的方式购买天辰智能公司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股权，交易定价系以中联评估公司以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日为评估基准日，对天辰智能公司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的股东权益价值以收益法确定的评估价值为基础，经交易各方协商确定交易价格 为</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万元。上述合并对价与合并日（即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日）天辰智能公司可辨认净资产的公允价值差额</w:t>
      </w:r>
      <w:r>
        <w:rPr>
          <w:rFonts w:ascii="Times New Roman" w:eastAsia="Times New Roman" w:hAnsi="Times New Roman" w:cs="Times New Roman"/>
          <w:color w:val="000000"/>
          <w:spacing w:val="0"/>
          <w:w w:val="100"/>
          <w:position w:val="0"/>
          <w:sz w:val="18"/>
          <w:szCs w:val="18"/>
        </w:rPr>
        <w:t>167,156,998.8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元在 合并报表中确认为商誉。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年度，根据公司聘请的沃克森（北京）国际资产评估有限公司出具的《评估报告》（沃克森评 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0514</w:t>
      </w:r>
      <w:r>
        <w:rPr>
          <w:color w:val="000000"/>
          <w:spacing w:val="0"/>
          <w:w w:val="100"/>
          <w:position w:val="0"/>
        </w:rPr>
        <w:t>号）评估的包含商誉的资产组未来现金流量现值与账面价值的差额确认商誉减值损失</w:t>
      </w:r>
      <w:r>
        <w:rPr>
          <w:rFonts w:ascii="Times New Roman" w:eastAsia="Times New Roman" w:hAnsi="Times New Roman" w:cs="Times New Roman"/>
          <w:color w:val="000000"/>
          <w:spacing w:val="0"/>
          <w:w w:val="100"/>
          <w:position w:val="0"/>
          <w:sz w:val="18"/>
          <w:szCs w:val="18"/>
        </w:rPr>
        <w:t>3,710.90</w:t>
      </w:r>
      <w:r>
        <w:rPr>
          <w:color w:val="000000"/>
          <w:spacing w:val="0"/>
          <w:w w:val="100"/>
          <w:position w:val="0"/>
        </w:rPr>
        <w:t>万元。</w:t>
      </w:r>
    </w:p>
    <w:p>
      <w:pPr>
        <w:pStyle w:val="Style31"/>
        <w:keepNext w:val="0"/>
        <w:keepLines w:val="0"/>
        <w:widowControl w:val="0"/>
        <w:shd w:val="clear" w:color="auto" w:fill="auto"/>
        <w:bidi w:val="0"/>
        <w:spacing w:before="0" w:after="0" w:line="240" w:lineRule="auto"/>
        <w:ind w:left="538" w:right="0" w:firstLine="0"/>
        <w:jc w:val="left"/>
      </w:pPr>
      <w:r>
        <w:rPr>
          <w:color w:val="000000"/>
          <w:spacing w:val="0"/>
          <w:w w:val="100"/>
          <w:position w:val="0"/>
        </w:rPr>
        <w:t>商誉所在资产组相关信息</w:t>
      </w:r>
    </w:p>
    <w:tbl>
      <w:tblPr>
        <w:tblOverlap w:val="never"/>
        <w:jc w:val="center"/>
        <w:tblLayout w:type="fixed"/>
      </w:tblPr>
      <w:tblGrid>
        <w:gridCol w:w="4574"/>
        <w:gridCol w:w="4406"/>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固定资产、无形资产、在建工程等可辨认资产</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46,691,192.04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分摊至本资产组的商誉账面价值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130,048,025.43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包含商誉的资产组的账面价值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176,739,217.47</w:t>
            </w:r>
          </w:p>
        </w:tc>
      </w:tr>
      <w:tr>
        <w:trPr>
          <w:trHeight w:val="67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资产组是否与购买日、以前年度商誉减值测试时所确定的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资产组一致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商誉减值测试的过程与方法、结论</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商誉的可收回金额按照预计未来现金流量的现值计算，以天辰智能公司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年度的现金流量预测为基础，现金流 量预测使用的折现率</w:t>
      </w:r>
      <w:r>
        <w:rPr>
          <w:rFonts w:ascii="Times New Roman" w:eastAsia="Times New Roman" w:hAnsi="Times New Roman" w:cs="Times New Roman"/>
          <w:color w:val="000000"/>
          <w:spacing w:val="0"/>
          <w:w w:val="100"/>
          <w:position w:val="0"/>
          <w:sz w:val="18"/>
          <w:szCs w:val="18"/>
        </w:rPr>
        <w:t xml:space="preserve">13.88%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14.80%</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年现金流量为基础推断得出。</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减值测试中采用的其他关键数据包括：收入增长率、生产成本及其他相关费用。</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公司根据历史经验及对市场发展的预测确定上述关键数据。公司采用的折现率是反映当前市场货币时间价值和相关资产</w:t>
      </w:r>
    </w:p>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组特定风险的税前利率。</w:t>
      </w:r>
    </w:p>
    <w:p>
      <w:pPr>
        <w:pStyle w:val="Style17"/>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根据公司聘请的沃克森（北京）国际资产评估有限公司出具的《评估报告》（沃克森评报字〔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0514</w:t>
      </w:r>
      <w:r>
        <w:rPr>
          <w:color w:val="000000"/>
          <w:spacing w:val="0"/>
          <w:w w:val="100"/>
          <w:position w:val="0"/>
        </w:rPr>
        <w:t>号），包含 商誉的资产组未来现金流量现值为</w:t>
      </w:r>
      <w:r>
        <w:rPr>
          <w:rFonts w:ascii="Times New Roman" w:eastAsia="Times New Roman" w:hAnsi="Times New Roman" w:cs="Times New Roman"/>
          <w:color w:val="000000"/>
          <w:spacing w:val="0"/>
          <w:w w:val="100"/>
          <w:position w:val="0"/>
          <w:sz w:val="18"/>
          <w:szCs w:val="18"/>
        </w:rPr>
        <w:t>10,536.64</w:t>
      </w:r>
      <w:r>
        <w:rPr>
          <w:color w:val="000000"/>
          <w:spacing w:val="0"/>
          <w:w w:val="100"/>
          <w:position w:val="0"/>
        </w:rPr>
        <w:t>万元，账面价值</w:t>
      </w:r>
      <w:r>
        <w:rPr>
          <w:rFonts w:ascii="Times New Roman" w:eastAsia="Times New Roman" w:hAnsi="Times New Roman" w:cs="Times New Roman"/>
          <w:color w:val="000000"/>
          <w:spacing w:val="0"/>
          <w:w w:val="100"/>
          <w:position w:val="0"/>
          <w:sz w:val="18"/>
          <w:szCs w:val="18"/>
        </w:rPr>
        <w:t>17,673.92</w:t>
      </w:r>
      <w:r>
        <w:rPr>
          <w:color w:val="000000"/>
          <w:spacing w:val="0"/>
          <w:w w:val="100"/>
          <w:position w:val="0"/>
        </w:rPr>
        <w:t>万元，本期应确认商誉减值损失</w:t>
      </w:r>
      <w:r>
        <w:rPr>
          <w:rFonts w:ascii="Times New Roman" w:eastAsia="Times New Roman" w:hAnsi="Times New Roman" w:cs="Times New Roman"/>
          <w:color w:val="000000"/>
          <w:spacing w:val="0"/>
          <w:w w:val="100"/>
          <w:position w:val="0"/>
          <w:sz w:val="18"/>
          <w:szCs w:val="18"/>
        </w:rPr>
        <w:t>7,137.28</w:t>
      </w:r>
      <w:r>
        <w:rPr>
          <w:color w:val="000000"/>
          <w:spacing w:val="0"/>
          <w:w w:val="100"/>
          <w:position w:val="0"/>
        </w:rPr>
        <w:t>万元，其中归 属于本公司应确认的商誉减值损失</w:t>
      </w:r>
      <w:r>
        <w:rPr>
          <w:rFonts w:ascii="Times New Roman" w:eastAsia="Times New Roman" w:hAnsi="Times New Roman" w:cs="Times New Roman"/>
          <w:color w:val="000000"/>
          <w:spacing w:val="0"/>
          <w:w w:val="100"/>
          <w:position w:val="0"/>
          <w:sz w:val="18"/>
          <w:szCs w:val="18"/>
        </w:rPr>
        <w:t>7,137.28</w:t>
      </w:r>
      <w:r>
        <w:rPr>
          <w:color w:val="000000"/>
          <w:spacing w:val="0"/>
          <w:w w:val="100"/>
          <w:position w:val="0"/>
        </w:rPr>
        <w:t>万元。</w:t>
      </w:r>
    </w:p>
    <w:p>
      <w:pPr>
        <w:pStyle w:val="Style17"/>
        <w:keepNext w:val="0"/>
        <w:keepLines w:val="0"/>
        <w:widowControl w:val="0"/>
        <w:shd w:val="clear" w:color="auto" w:fill="auto"/>
        <w:bidi w:val="0"/>
        <w:spacing w:before="0" w:after="0" w:line="311" w:lineRule="exact"/>
        <w:ind w:left="0" w:right="0"/>
        <w:jc w:val="left"/>
      </w:pPr>
      <w:r>
        <w:rPr>
          <w:color w:val="000000"/>
          <w:spacing w:val="0"/>
          <w:w w:val="100"/>
          <w:position w:val="0"/>
        </w:rPr>
        <w:t>④长安停车投资管理（上海）有限公司</w:t>
      </w:r>
    </w:p>
    <w:p>
      <w:pPr>
        <w:pStyle w:val="Style1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本公司子公司五洋智慧交通（徐州）公司以支付现金的方式购买长安投资公司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的股权，交易定价系以北京华亚正信评 估有限公司以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日为评估基准日，对长安投资公司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的股东权益价值以收益法确定的评估价值为基础，经交易 各方协商确定交易价格为</w:t>
      </w:r>
      <w:r>
        <w:rPr>
          <w:rFonts w:ascii="Times New Roman" w:eastAsia="Times New Roman" w:hAnsi="Times New Roman" w:cs="Times New Roman"/>
          <w:color w:val="000000"/>
          <w:spacing w:val="0"/>
          <w:w w:val="100"/>
          <w:position w:val="0"/>
          <w:sz w:val="18"/>
          <w:szCs w:val="18"/>
        </w:rPr>
        <w:t>247,180,000.00</w:t>
      </w:r>
      <w:r>
        <w:rPr>
          <w:color w:val="000000"/>
          <w:spacing w:val="0"/>
          <w:w w:val="100"/>
          <w:position w:val="0"/>
        </w:rPr>
        <w:t>元。五洋智慧交通（徐州）公司聘请沃克森（北京）国际资产评估有限公司以</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日为评估基准日对收购的长安投资公司进行合并对价分摊涉及的可辨认净资产项目进行价值评估，出具了《咨询报 告》（沃克森咨报字〔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0601</w:t>
      </w:r>
      <w:r>
        <w:rPr>
          <w:color w:val="000000"/>
          <w:spacing w:val="0"/>
          <w:w w:val="100"/>
          <w:position w:val="0"/>
        </w:rPr>
        <w:t>号），评估增值</w:t>
      </w:r>
      <w:r>
        <w:rPr>
          <w:rFonts w:ascii="Times New Roman" w:eastAsia="Times New Roman" w:hAnsi="Times New Roman" w:cs="Times New Roman"/>
          <w:color w:val="000000"/>
          <w:spacing w:val="0"/>
          <w:w w:val="100"/>
          <w:position w:val="0"/>
          <w:sz w:val="18"/>
          <w:szCs w:val="18"/>
        </w:rPr>
        <w:t>10,262.48</w:t>
      </w:r>
      <w:r>
        <w:rPr>
          <w:color w:val="000000"/>
          <w:spacing w:val="0"/>
          <w:w w:val="100"/>
          <w:position w:val="0"/>
        </w:rPr>
        <w:t>万元，主要系停车场租赁合同权益，长安投资公司将其计入无 形资产</w:t>
      </w:r>
      <w:r>
        <w:rPr>
          <w:rFonts w:ascii="Times New Roman" w:eastAsia="Times New Roman" w:hAnsi="Times New Roman" w:cs="Times New Roman"/>
          <w:color w:val="000000"/>
          <w:spacing w:val="0"/>
          <w:w w:val="100"/>
          <w:position w:val="0"/>
          <w:sz w:val="18"/>
          <w:szCs w:val="18"/>
        </w:rPr>
        <w:t>101,809,500.00</w:t>
      </w:r>
      <w:r>
        <w:rPr>
          <w:color w:val="000000"/>
          <w:spacing w:val="0"/>
          <w:w w:val="100"/>
          <w:position w:val="0"/>
        </w:rPr>
        <w:t>元，与账面价值形成的暂时性差异确认为递延所得税负债</w:t>
      </w:r>
      <w:r>
        <w:rPr>
          <w:rFonts w:ascii="Times New Roman" w:eastAsia="Times New Roman" w:hAnsi="Times New Roman" w:cs="Times New Roman"/>
          <w:color w:val="000000"/>
          <w:spacing w:val="0"/>
          <w:w w:val="100"/>
          <w:position w:val="0"/>
          <w:sz w:val="18"/>
          <w:szCs w:val="18"/>
        </w:rPr>
        <w:t>25,452,375.00</w:t>
      </w:r>
      <w:r>
        <w:rPr>
          <w:color w:val="000000"/>
          <w:spacing w:val="0"/>
          <w:w w:val="100"/>
          <w:position w:val="0"/>
        </w:rPr>
        <w:t>元，经上述调整后的长安投资公 司可辨认净资产的公允价值为</w:t>
      </w:r>
      <w:r>
        <w:rPr>
          <w:rFonts w:ascii="Times New Roman" w:eastAsia="Times New Roman" w:hAnsi="Times New Roman" w:cs="Times New Roman"/>
          <w:color w:val="000000"/>
          <w:spacing w:val="0"/>
          <w:w w:val="100"/>
          <w:position w:val="0"/>
          <w:sz w:val="18"/>
          <w:szCs w:val="18"/>
        </w:rPr>
        <w:t>221,817,136.3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元。公司支付的合并对价与合并日（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日）长安投资公司调整后的可 辨认净资产的公允价值差额</w:t>
      </w:r>
      <w:r>
        <w:rPr>
          <w:rFonts w:ascii="Times New Roman" w:eastAsia="Times New Roman" w:hAnsi="Times New Roman" w:cs="Times New Roman"/>
          <w:color w:val="000000"/>
          <w:spacing w:val="0"/>
          <w:w w:val="100"/>
          <w:position w:val="0"/>
          <w:sz w:val="18"/>
          <w:szCs w:val="18"/>
        </w:rPr>
        <w:t>25,362,863.68</w:t>
      </w:r>
      <w:r>
        <w:rPr>
          <w:color w:val="000000"/>
          <w:spacing w:val="0"/>
          <w:w w:val="100"/>
          <w:position w:val="0"/>
        </w:rPr>
        <w:t>元在合并报表中确认为商誉。本期因确认递延所得税负债而形成的商誉随着递延所 得税负债的转回计提同等金额的商誉减值准备，计提商誉减值准备金额为</w:t>
      </w:r>
      <w:r>
        <w:rPr>
          <w:rFonts w:ascii="Times New Roman" w:eastAsia="Times New Roman" w:hAnsi="Times New Roman" w:cs="Times New Roman"/>
          <w:color w:val="000000"/>
          <w:spacing w:val="0"/>
          <w:w w:val="100"/>
          <w:position w:val="0"/>
          <w:sz w:val="18"/>
          <w:szCs w:val="18"/>
        </w:rPr>
        <w:t>1,620,181.68</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年末，因确认递延所得 税负债而形成的商誉随着递延所得税负债的转回共计提商誉减值准备</w:t>
      </w:r>
      <w:r>
        <w:rPr>
          <w:rFonts w:ascii="Times New Roman" w:eastAsia="Times New Roman" w:hAnsi="Times New Roman" w:cs="Times New Roman"/>
          <w:color w:val="000000"/>
          <w:spacing w:val="0"/>
          <w:w w:val="100"/>
          <w:position w:val="0"/>
          <w:sz w:val="18"/>
          <w:szCs w:val="18"/>
        </w:rPr>
        <w:t>3,240,363.36</w:t>
      </w:r>
      <w:r>
        <w:rPr>
          <w:color w:val="000000"/>
          <w:spacing w:val="0"/>
          <w:w w:val="100"/>
          <w:position w:val="0"/>
        </w:rPr>
        <w:t>元。</w:t>
      </w:r>
    </w:p>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商誉减值测试的影响</w:t>
      </w:r>
    </w:p>
    <w:p>
      <w:pPr>
        <w:pStyle w:val="Style1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05"/>
      <w:bookmarkEnd w:id="1306"/>
      <w:bookmarkEnd w:id="130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2,785,786.18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2,111,932.84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1,762,022.66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3,135,696.36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停车场工程支出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2,043,709.85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2,217,763.60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1,489,901.96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1,668,625.06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1,102,946.43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4,829,496.03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4,329,696.44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3,251,924.62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1,668,625.06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4,238,642.79</w:t>
            </w:r>
          </w:p>
        </w:tc>
      </w:tr>
    </w:tbl>
    <w:p>
      <w:pPr>
        <w:widowControl w:val="0"/>
        <w:spacing w:after="7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其他减少系合并减少。</w:t>
      </w:r>
    </w:p>
    <w:p>
      <w:pPr>
        <w:pStyle w:val="Style28"/>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09"/>
      <w:bookmarkEnd w:id="1310"/>
      <w:bookmarkEnd w:id="1312"/>
    </w:p>
    <w:p>
      <w:pPr>
        <w:pStyle w:val="Style28"/>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09"/>
      <w:bookmarkEnd w:id="1310"/>
      <w:bookmarkEnd w:id="13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261,730,183.14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39,575,017.86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193,754,787.52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29,442,557.31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22,456,580.97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3,368,487.15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4,037,490.17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605,623.53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14,252,805.77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2,137,920.87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12,623,076.87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1,893,461.53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298,439,569.88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45,081,425.88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210,415,354.56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31,941,642.37</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15"/>
      <w:bookmarkEnd w:id="1316"/>
      <w:bookmarkEnd w:id="13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88,848,046.54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22,212,011.64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95,328,773.27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23,832,193.32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88,848,046.54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22,212,011.64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95,328,773.27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23,832,193.32</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19"/>
      <w:bookmarkEnd w:id="1320"/>
      <w:bookmarkEnd w:id="13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45,081,425.88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31,941,642.37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22,212,011.64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23,832,193.32</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23"/>
      <w:bookmarkEnd w:id="1324"/>
      <w:bookmarkEnd w:id="1326"/>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27"/>
      <w:bookmarkEnd w:id="1328"/>
      <w:bookmarkEnd w:id="1330"/>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31"/>
      <w:bookmarkEnd w:id="1332"/>
      <w:bookmarkEnd w:id="1334"/>
    </w:p>
    <w:p>
      <w:pPr>
        <w:pStyle w:val="Style17"/>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预付停车场长期租赁款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8,688,897.00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8,688,897.00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17,688,897.0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17,688,897.0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预付长期资产购置款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21,716,881.4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1,725,473.42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19,991,408.0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11,294,701.0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11,294,701.0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已付股权受让款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1066"/>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41,605,778.4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1,725,473.42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39,880,305.0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28,983,598.0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28,983,598.0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35"/>
      <w:bookmarkEnd w:id="1336"/>
      <w:bookmarkEnd w:id="1338"/>
    </w:p>
    <w:p>
      <w:pPr>
        <w:pStyle w:val="Style28"/>
        <w:keepNext/>
        <w:keepLines/>
        <w:widowControl w:val="0"/>
        <w:shd w:val="clear" w:color="auto" w:fill="auto"/>
        <w:bidi w:val="0"/>
        <w:spacing w:before="0" w:line="240" w:lineRule="auto"/>
        <w:ind w:left="0" w:right="0" w:firstLine="0"/>
        <w:jc w:val="both"/>
      </w:pPr>
      <w:bookmarkStart w:id="1335" w:name="bookmark1335"/>
      <w:bookmarkStart w:id="1336" w:name="bookmark1336"/>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35"/>
      <w:bookmarkEnd w:id="1336"/>
      <w:bookmarkEnd w:id="134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抵押兼保证借款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质押兼保证借款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信用证贴现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融资性商业承兑汇票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10,560,000.00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应付短期借款利息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240,970.39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133,485.21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228,640,970.39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117,693,485.21</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28"/>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41"/>
      <w:bookmarkEnd w:id="1342"/>
      <w:bookmarkEnd w:id="1344"/>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345"/>
      <w:bookmarkEnd w:id="1346"/>
      <w:bookmarkEnd w:id="1348"/>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349"/>
      <w:bookmarkEnd w:id="1350"/>
      <w:bookmarkEnd w:id="1352"/>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353"/>
      <w:bookmarkEnd w:id="1354"/>
      <w:bookmarkEnd w:id="135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76,395,754.51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93,495,208.00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76,395,754.51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93,495,208.00</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28"/>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57"/>
      <w:bookmarkEnd w:id="1358"/>
      <w:bookmarkEnd w:id="1360"/>
    </w:p>
    <w:p>
      <w:pPr>
        <w:pStyle w:val="Style28"/>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57"/>
      <w:bookmarkEnd w:id="1358"/>
      <w:bookmarkEnd w:id="136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应付商品款、劳务款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380,999,545.26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403,157,754.97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应付工程款、设备款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14,283,234.77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5,986,927.62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395,282,780.03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409,144,682.59</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63"/>
      <w:bookmarkEnd w:id="1364"/>
      <w:bookmarkEnd w:id="136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367"/>
      <w:bookmarkEnd w:id="1368"/>
      <w:bookmarkEnd w:id="1370"/>
    </w:p>
    <w:p>
      <w:pPr>
        <w:pStyle w:val="Style28"/>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67"/>
      <w:bookmarkEnd w:id="1368"/>
      <w:bookmarkEnd w:id="137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预收停车租金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6,196,017.72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9,169,822.90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6,196,017.72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9,169,822.90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73"/>
      <w:bookmarkEnd w:id="1374"/>
      <w:bookmarkEnd w:id="137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3</w:t>
      </w:r>
      <w:bookmarkEnd w:id="137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377"/>
      <w:bookmarkEnd w:id="1378"/>
      <w:bookmarkEnd w:id="138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342,368,996.52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294,758,916.52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342,368,996.52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294,758,916.52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381"/>
      <w:bookmarkEnd w:id="1382"/>
      <w:bookmarkEnd w:id="1384"/>
    </w:p>
    <w:p>
      <w:pPr>
        <w:pStyle w:val="Style28"/>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1"/>
      <w:bookmarkEnd w:id="1382"/>
      <w:bookmarkEnd w:id="13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18,716,111.59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193,853,642.18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191,412,674.50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21,157,079.27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275,039.53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16,731,386.91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16,914,741.18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91,685.26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2,388,047.46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2,388,047.46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18,991,151.12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212,973,076.55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210,715,463.14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21,248,764.53</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87"/>
      <w:bookmarkEnd w:id="1388"/>
      <w:bookmarkEnd w:id="13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16,964,762.83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177,978,357.05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175,720,155.45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19,222,964.43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68,012.10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4,497,380.94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4,222,933.19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342,459.85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96,132.87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6,389,755.49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6,404,829.31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81,059.05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72,642.58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5,347,801.25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5,345,343.73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75,100.10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462,355.54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466,130.88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13,869.26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579,598.70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593,354.70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139,333.69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4,762,064.24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4,658,118.24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243,279.69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1,447,870.10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226,084.46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1,267,316.25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18,716,111.59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193,853,642.18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191,412,674.50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21,157,079.27</w:t>
            </w:r>
          </w:p>
        </w:tc>
      </w:tr>
    </w:tbl>
    <w:p>
      <w:pPr>
        <w:spacing w:lineRule="exact" w:line="1"/>
        <w:rPr>
          <w:sz w:val="2"/>
          <w:szCs w:val="2"/>
        </w:rPr>
      </w:pPr>
      <w:r>
        <w:br w:type="page"/>
      </w:r>
    </w:p>
    <w:p>
      <w:pPr>
        <w:pStyle w:val="Style28"/>
        <w:keepNext/>
        <w:keepLines/>
        <w:widowControl w:val="0"/>
        <w:numPr>
          <w:ilvl w:val="0"/>
          <w:numId w:val="27"/>
        </w:numPr>
        <w:shd w:val="clear" w:color="auto" w:fill="auto"/>
        <w:bidi w:val="0"/>
        <w:spacing w:before="0" w:line="240" w:lineRule="auto"/>
        <w:ind w:left="0" w:right="0" w:firstLine="0"/>
        <w:jc w:val="both"/>
      </w:pPr>
      <w:bookmarkStart w:id="1391" w:name="bookmark1391"/>
      <w:bookmarkStart w:id="1392" w:name="bookmark1392"/>
      <w:bookmarkStart w:id="1393" w:name="bookmark1393"/>
      <w:bookmarkStart w:id="1394" w:name="bookmark1394"/>
      <w:bookmarkEnd w:id="1393"/>
      <w:r>
        <w:rPr>
          <w:color w:val="000000"/>
          <w:spacing w:val="0"/>
          <w:w w:val="100"/>
          <w:position w:val="0"/>
        </w:rPr>
        <w:t>设定提存计划列示</w:t>
      </w:r>
      <w:bookmarkEnd w:id="1391"/>
      <w:bookmarkEnd w:id="1392"/>
      <w:bookmarkEnd w:id="13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264,456.47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16,157,222.31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16,337,199.11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84,479.67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574,164.60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577,542.07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7,205.59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275,039.53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16,731,386.91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16,914,741.18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91,685.26</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395"/>
      <w:bookmarkEnd w:id="1396"/>
      <w:bookmarkEnd w:id="1398"/>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23,635,867.03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23,469,154.18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14,625,642.25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22,664,711.02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570,456.28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140,329.16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735,373.57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886,359.58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433,025.95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590,616.98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321,748.93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341,531.83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989,939.30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861,647.04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572,870.36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870,644.39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15,275.82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水资源税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35,559.66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41,923,157.83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49,847,066.37</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99"/>
      <w:bookmarkEnd w:id="1400"/>
      <w:bookmarkEnd w:id="1402"/>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74,590,886.72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171,285,121.48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74,590,886.72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171,285,121.48</w:t>
            </w:r>
          </w:p>
        </w:tc>
      </w:tr>
    </w:tbl>
    <w:p>
      <w:pPr>
        <w:widowControl w:val="0"/>
        <w:spacing w:after="319" w:line="1" w:lineRule="exact"/>
      </w:pPr>
    </w:p>
    <w:p>
      <w:pPr>
        <w:pStyle w:val="Style28"/>
        <w:keepNext/>
        <w:keepLines/>
        <w:widowControl w:val="0"/>
        <w:numPr>
          <w:ilvl w:val="0"/>
          <w:numId w:val="29"/>
        </w:numPr>
        <w:shd w:val="clear" w:color="auto" w:fill="auto"/>
        <w:bidi w:val="0"/>
        <w:spacing w:before="0" w:line="240" w:lineRule="auto"/>
        <w:ind w:left="0" w:right="0" w:firstLine="0"/>
        <w:jc w:val="both"/>
      </w:pPr>
      <w:bookmarkStart w:id="1403" w:name="bookmark1403"/>
      <w:bookmarkStart w:id="1404" w:name="bookmark1404"/>
      <w:bookmarkStart w:id="1405" w:name="bookmark1405"/>
      <w:bookmarkStart w:id="1406" w:name="bookmark1406"/>
      <w:bookmarkEnd w:id="1405"/>
      <w:r>
        <w:rPr>
          <w:color w:val="000000"/>
          <w:spacing w:val="0"/>
          <w:w w:val="100"/>
          <w:position w:val="0"/>
        </w:rPr>
        <w:t>应付利息</w:t>
      </w:r>
      <w:bookmarkEnd w:id="1403"/>
      <w:bookmarkEnd w:id="1404"/>
      <w:bookmarkEnd w:id="1406"/>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07"/>
      <w:bookmarkEnd w:id="1408"/>
      <w:bookmarkEnd w:id="141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8"/>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11"/>
      <w:bookmarkEnd w:id="1412"/>
      <w:bookmarkEnd w:id="1414"/>
    </w:p>
    <w:p>
      <w:pPr>
        <w:pStyle w:val="Style28"/>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5" w:name="bookmark1415"/>
      <w:bookmarkStart w:id="1416" w:name="bookmark1416"/>
      <w:r>
        <w:rPr>
          <w:rFonts w:ascii="Times New Roman" w:eastAsia="Times New Roman" w:hAnsi="Times New Roman" w:cs="Times New Roman"/>
          <w:color w:val="000000"/>
          <w:spacing w:val="0"/>
          <w:w w:val="100"/>
          <w:position w:val="0"/>
        </w:rPr>
        <w:t>1</w:t>
      </w:r>
      <w:bookmarkEnd w:id="1415"/>
      <w:r>
        <w:rPr>
          <w:color w:val="000000"/>
          <w:spacing w:val="0"/>
          <w:w w:val="100"/>
          <w:position w:val="0"/>
        </w:rPr>
        <w:t>）按款项性质列示其他应付款</w:t>
      </w:r>
      <w:bookmarkEnd w:id="1411"/>
      <w:bookmarkEnd w:id="1412"/>
      <w:bookmarkEnd w:id="1416"/>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3,763,893.89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88,227,978.76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4,507,175.00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7,709,932.00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应计未付市场推广费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28,238,613.66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15,956,444.80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应付代垫款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27,727,638.57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48,447,471.37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1,940,909.66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1,676,413.60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4,616,000.00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3,716,000.00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应付工伤赔偿款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1,766,739.06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3,796,655.94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3,784,141.89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74,590,886.72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171,285,121.48</w:t>
            </w:r>
          </w:p>
        </w:tc>
      </w:tr>
    </w:tbl>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bookmarkEnd w:id="141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17"/>
      <w:bookmarkEnd w:id="1418"/>
      <w:bookmarkEnd w:id="142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421"/>
      <w:bookmarkEnd w:id="1422"/>
      <w:bookmarkEnd w:id="1424"/>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25"/>
      <w:bookmarkEnd w:id="1426"/>
      <w:bookmarkEnd w:id="142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29"/>
      <w:bookmarkEnd w:id="1430"/>
      <w:bookmarkEnd w:id="143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60,679,703.00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21,703,853.24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已背书未到期的商业承兑汇票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38,351,855.13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99,031,558.13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21,703,853.24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4</w:t>
      </w:r>
      <w:bookmarkEnd w:id="143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33"/>
      <w:bookmarkEnd w:id="1434"/>
      <w:bookmarkEnd w:id="1436"/>
    </w:p>
    <w:p>
      <w:pPr>
        <w:pStyle w:val="Style28"/>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33"/>
      <w:bookmarkEnd w:id="1434"/>
      <w:bookmarkEnd w:id="143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抵押加保证借款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应付借款利息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23,248.14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10,021,248.14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28"/>
        <w:keepNext/>
        <w:keepLines/>
        <w:widowControl w:val="0"/>
        <w:shd w:val="clear" w:color="auto" w:fill="auto"/>
        <w:bidi w:val="0"/>
        <w:spacing w:before="0" w:line="240" w:lineRule="auto"/>
        <w:ind w:left="0" w:right="0" w:firstLine="0"/>
        <w:jc w:val="both"/>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39"/>
      <w:bookmarkEnd w:id="1440"/>
      <w:bookmarkEnd w:id="1442"/>
    </w:p>
    <w:p>
      <w:pPr>
        <w:pStyle w:val="Style28"/>
        <w:keepNext/>
        <w:keepLines/>
        <w:widowControl w:val="0"/>
        <w:shd w:val="clear" w:color="auto" w:fill="auto"/>
        <w:bidi w:val="0"/>
        <w:spacing w:before="0" w:line="240" w:lineRule="auto"/>
        <w:ind w:left="0" w:right="0" w:firstLine="0"/>
        <w:jc w:val="both"/>
      </w:pPr>
      <w:bookmarkStart w:id="1439" w:name="bookmark1439"/>
      <w:bookmarkStart w:id="1440" w:name="bookmark1440"/>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39"/>
      <w:bookmarkEnd w:id="1440"/>
      <w:bookmarkEnd w:id="144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45"/>
      <w:bookmarkEnd w:id="1446"/>
      <w:bookmarkEnd w:id="14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tabs>
          <w:tab w:pos="493" w:val="left"/>
        </w:tabs>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49"/>
      <w:bookmarkEnd w:id="1450"/>
      <w:bookmarkEnd w:id="1452"/>
    </w:p>
    <w:p>
      <w:pPr>
        <w:pStyle w:val="Style28"/>
        <w:keepNext/>
        <w:keepLines/>
        <w:widowControl w:val="0"/>
        <w:shd w:val="clear" w:color="auto" w:fill="auto"/>
        <w:tabs>
          <w:tab w:pos="493" w:val="left"/>
        </w:tabs>
        <w:bidi w:val="0"/>
        <w:spacing w:before="0" w:after="360" w:line="240" w:lineRule="auto"/>
        <w:ind w:left="0" w:right="0" w:firstLine="0"/>
        <w:jc w:val="left"/>
      </w:pPr>
      <w:bookmarkStart w:id="1449" w:name="bookmark1449"/>
      <w:bookmarkStart w:id="1450" w:name="bookmark1450"/>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49"/>
      <w:bookmarkEnd w:id="1450"/>
      <w:bookmarkEnd w:id="145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其他金融工具划分为金融负债的依据说明</w:t>
      </w: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455"/>
      <w:bookmarkEnd w:id="1456"/>
      <w:bookmarkEnd w:id="1458"/>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7,366,391.58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178,031,475.30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178,119,134.78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-44,768,547.68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-43,097,772.28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140,629,319.20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135,021,362.50</w:t>
            </w:r>
          </w:p>
        </w:tc>
      </w:tr>
    </w:tbl>
    <w:p>
      <w:pPr>
        <w:widowControl w:val="0"/>
        <w:spacing w:after="9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4</w:t>
      </w:r>
      <w:bookmarkEnd w:id="146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459"/>
      <w:bookmarkEnd w:id="1460"/>
      <w:bookmarkEnd w:id="1462"/>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63"/>
      <w:bookmarkEnd w:id="1464"/>
      <w:bookmarkEnd w:id="1466"/>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467"/>
      <w:bookmarkEnd w:id="1468"/>
      <w:bookmarkEnd w:id="147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471"/>
      <w:bookmarkEnd w:id="1472"/>
      <w:bookmarkEnd w:id="1474"/>
    </w:p>
    <w:p>
      <w:pPr>
        <w:pStyle w:val="Style28"/>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71"/>
      <w:bookmarkEnd w:id="1472"/>
      <w:bookmarkEnd w:id="1475"/>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76"/>
      <w:bookmarkEnd w:id="1477"/>
      <w:bookmarkEnd w:id="147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80"/>
      <w:bookmarkEnd w:id="1481"/>
      <w:bookmarkEnd w:id="1483"/>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8"/>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84"/>
      <w:bookmarkEnd w:id="1485"/>
      <w:bookmarkEnd w:id="1487"/>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立体停车设备生产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线（一期）项目补助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350,820.83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350,820.83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与资产相关的政府</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bl>
    <w:p>
      <w:pPr>
        <w:widowControl w:val="0"/>
        <w:spacing w:line="1" w:lineRule="exact"/>
      </w:pPr>
      <w:r>
        <w:br w:type="page"/>
      </w:r>
    </w:p>
    <w:tbl>
      <w:tblPr>
        <w:tblOverlap w:val="never"/>
        <w:jc w:val="center"/>
        <w:tblLayout w:type="fixed"/>
      </w:tblPr>
      <w:tblGrid>
        <w:gridCol w:w="1598"/>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天辰智能公司土地 出让金返还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12,623,076.87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300,271.10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14,252,805.77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与资产相关的政府 补助</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12,973,897.70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1,930,000.00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651,091.93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14,252,805.77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本期新增补</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立体停车设</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备生产线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（一期）项</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目补助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350,820.83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350,820.83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天辰智能公 司土地出让 金返还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12,623,076.87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300,271.10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14,252,805.77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12,973,897.70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651,091.93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14,252,805.70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5</w:t>
      </w:r>
      <w:bookmarkEnd w:id="149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88"/>
      <w:bookmarkEnd w:id="1489"/>
      <w:bookmarkEnd w:id="1491"/>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92"/>
      <w:bookmarkEnd w:id="1493"/>
      <w:bookmarkEnd w:id="1494"/>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858,756,586.00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257,626,975.00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257,626,975.00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1,116,383,561.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年度利润分配方案，以总股本</w:t>
      </w:r>
      <w:r>
        <w:rPr>
          <w:rFonts w:ascii="Times New Roman" w:eastAsia="Times New Roman" w:hAnsi="Times New Roman" w:cs="Times New Roman"/>
          <w:color w:val="000000"/>
          <w:spacing w:val="0"/>
          <w:w w:val="100"/>
          <w:position w:val="0"/>
          <w:sz w:val="18"/>
          <w:szCs w:val="18"/>
        </w:rPr>
        <w:t>858,756,586</w:t>
      </w:r>
      <w:r>
        <w:rPr>
          <w:color w:val="000000"/>
          <w:spacing w:val="0"/>
          <w:w w:val="100"/>
          <w:position w:val="0"/>
        </w:rPr>
        <w:t>股为基数，以资本公积金转增股本，每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sz w:val="18"/>
          <w:szCs w:val="18"/>
        </w:rPr>
        <w:t>257,626,976</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sz w:val="18"/>
          <w:szCs w:val="18"/>
        </w:rPr>
        <w:t>1,116,383,561</w:t>
      </w:r>
      <w:r>
        <w:rPr>
          <w:color w:val="000000"/>
          <w:spacing w:val="0"/>
          <w:w w:val="100"/>
          <w:position w:val="0"/>
        </w:rPr>
        <w:t>股。</w:t>
      </w:r>
      <w:r>
        <w:br w:type="page"/>
      </w:r>
    </w:p>
    <w:p>
      <w:pPr>
        <w:pStyle w:val="Style28"/>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95"/>
      <w:bookmarkEnd w:id="1496"/>
      <w:bookmarkEnd w:id="1498"/>
    </w:p>
    <w:p>
      <w:pPr>
        <w:pStyle w:val="Style28"/>
        <w:keepNext/>
        <w:keepLines/>
        <w:widowControl w:val="0"/>
        <w:shd w:val="clear" w:color="auto" w:fill="auto"/>
        <w:tabs>
          <w:tab w:pos="493" w:val="left"/>
        </w:tabs>
        <w:bidi w:val="0"/>
        <w:spacing w:before="0" w:line="240" w:lineRule="auto"/>
        <w:ind w:left="0" w:right="0" w:firstLine="0"/>
        <w:jc w:val="left"/>
      </w:pPr>
      <w:bookmarkStart w:id="1495" w:name="bookmark1495"/>
      <w:bookmarkStart w:id="1496" w:name="bookmark1496"/>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95"/>
      <w:bookmarkEnd w:id="1496"/>
      <w:bookmarkEnd w:id="1500"/>
    </w:p>
    <w:p>
      <w:pPr>
        <w:pStyle w:val="Style28"/>
        <w:keepNext/>
        <w:keepLines/>
        <w:widowControl w:val="0"/>
        <w:shd w:val="clear" w:color="auto" w:fill="auto"/>
        <w:tabs>
          <w:tab w:pos="493" w:val="left"/>
        </w:tabs>
        <w:bidi w:val="0"/>
        <w:spacing w:before="0" w:line="240" w:lineRule="auto"/>
        <w:ind w:left="0" w:right="0" w:firstLine="0"/>
        <w:jc w:val="left"/>
      </w:pPr>
      <w:bookmarkStart w:id="1495" w:name="bookmark1495"/>
      <w:bookmarkStart w:id="1496" w:name="bookmark1496"/>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95"/>
      <w:bookmarkEnd w:id="1496"/>
      <w:bookmarkEnd w:id="1502"/>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03"/>
      <w:bookmarkEnd w:id="1504"/>
      <w:bookmarkEnd w:id="15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1,078,107,783.36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259,989,530.65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818,118,252.71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1,564,819.45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1,079,672,602.81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259,989,530.65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819,683,072.16</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17"/>
        <w:keepNext w:val="0"/>
        <w:keepLines w:val="0"/>
        <w:widowControl w:val="0"/>
        <w:shd w:val="clear" w:color="auto" w:fill="auto"/>
        <w:bidi w:val="0"/>
        <w:spacing w:before="0" w:after="680" w:line="240" w:lineRule="auto"/>
        <w:ind w:left="0" w:right="0" w:firstLine="380"/>
        <w:jc w:val="left"/>
      </w:pPr>
      <w:r>
        <w:rPr>
          <w:color w:val="000000"/>
          <w:spacing w:val="0"/>
          <w:w w:val="100"/>
          <w:position w:val="0"/>
        </w:rPr>
        <w:t>本期资本公积减少系转增股本</w:t>
      </w:r>
      <w:r>
        <w:rPr>
          <w:rFonts w:ascii="Times New Roman" w:eastAsia="Times New Roman" w:hAnsi="Times New Roman" w:cs="Times New Roman"/>
          <w:color w:val="000000"/>
          <w:spacing w:val="0"/>
          <w:w w:val="100"/>
          <w:position w:val="0"/>
          <w:sz w:val="18"/>
          <w:szCs w:val="18"/>
        </w:rPr>
        <w:t>257,626,975.00</w:t>
      </w:r>
      <w:r>
        <w:rPr>
          <w:color w:val="000000"/>
          <w:spacing w:val="0"/>
          <w:w w:val="100"/>
          <w:position w:val="0"/>
        </w:rPr>
        <w:t>元，因子公司持股比例发生变化减少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,362,555.65</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07"/>
      <w:bookmarkEnd w:id="1508"/>
      <w:bookmarkEnd w:id="151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11"/>
      <w:bookmarkEnd w:id="1512"/>
      <w:bookmarkEnd w:id="1514"/>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6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税前发生</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28"/>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w:t>
      </w:r>
      <w:bookmarkEnd w:id="151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15"/>
      <w:bookmarkEnd w:id="1516"/>
      <w:bookmarkEnd w:id="1518"/>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11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5</w:t>
      </w:r>
      <w:bookmarkEnd w:id="152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19"/>
      <w:bookmarkEnd w:id="1520"/>
      <w:bookmarkEnd w:id="15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21,258,933.56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21,258,933.56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21,258,933.56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21,258,933.56</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17"/>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根据《公司法》、公司章程的规定，本公司按净利润的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p>
    <w:p>
      <w:pPr>
        <w:pStyle w:val="Style28"/>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6</w:t>
      </w:r>
      <w:bookmarkEnd w:id="152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23"/>
      <w:bookmarkEnd w:id="1524"/>
      <w:bookmarkEnd w:id="1526"/>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617,602,757.77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471,174,795.98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-11,926,234.30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605,676,523.47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471,174,795.98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-177,177,478.96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148,416,990.20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1,989,028.41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25,762,697.58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402,736,346.93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617,602,757.77</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7"/>
        <w:keepNext w:val="0"/>
        <w:keepLines w:val="0"/>
        <w:widowControl w:val="0"/>
        <w:shd w:val="clear" w:color="auto" w:fill="auto"/>
        <w:tabs>
          <w:tab w:pos="330" w:val="left"/>
        </w:tabs>
        <w:bidi w:val="0"/>
        <w:spacing w:before="0" w:after="120" w:line="240" w:lineRule="auto"/>
        <w:ind w:left="0" w:right="0" w:firstLine="0"/>
        <w:jc w:val="left"/>
      </w:pPr>
      <w:bookmarkStart w:id="1527" w:name="bookmark1527"/>
      <w:r>
        <w:rPr>
          <w:rFonts w:ascii="Times New Roman" w:eastAsia="Times New Roman" w:hAnsi="Times New Roman" w:cs="Times New Roman"/>
          <w:color w:val="000000"/>
          <w:spacing w:val="0"/>
          <w:w w:val="100"/>
          <w:position w:val="0"/>
          <w:sz w:val="18"/>
          <w:szCs w:val="18"/>
        </w:rPr>
        <w:t>1</w:t>
      </w:r>
      <w:bookmarkEnd w:id="15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-11,926,234.30</w:t>
      </w:r>
      <w:r>
        <w:rPr>
          <w:color w:val="000000"/>
          <w:spacing w:val="0"/>
          <w:w w:val="100"/>
          <w:position w:val="0"/>
        </w:rPr>
        <w:t>元。</w:t>
      </w:r>
    </w:p>
    <w:p>
      <w:pPr>
        <w:pStyle w:val="Style17"/>
        <w:keepNext w:val="0"/>
        <w:keepLines w:val="0"/>
        <w:widowControl w:val="0"/>
        <w:shd w:val="clear" w:color="auto" w:fill="auto"/>
        <w:tabs>
          <w:tab w:pos="349" w:val="left"/>
        </w:tabs>
        <w:bidi w:val="0"/>
        <w:spacing w:before="0" w:after="120" w:line="240" w:lineRule="auto"/>
        <w:ind w:left="0" w:right="0" w:firstLine="0"/>
        <w:jc w:val="left"/>
      </w:pPr>
      <w:bookmarkStart w:id="1528" w:name="bookmark1528"/>
      <w:r>
        <w:rPr>
          <w:rFonts w:ascii="Times New Roman" w:eastAsia="Times New Roman" w:hAnsi="Times New Roman" w:cs="Times New Roman"/>
          <w:color w:val="000000"/>
          <w:spacing w:val="0"/>
          <w:w w:val="100"/>
          <w:position w:val="0"/>
          <w:sz w:val="18"/>
          <w:szCs w:val="18"/>
        </w:rPr>
        <w:t>2</w:t>
      </w:r>
      <w:bookmarkEnd w:id="15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7"/>
        <w:keepNext w:val="0"/>
        <w:keepLines w:val="0"/>
        <w:widowControl w:val="0"/>
        <w:shd w:val="clear" w:color="auto" w:fill="auto"/>
        <w:tabs>
          <w:tab w:pos="349" w:val="left"/>
        </w:tabs>
        <w:bidi w:val="0"/>
        <w:spacing w:before="0" w:after="120" w:line="240" w:lineRule="auto"/>
        <w:ind w:left="0" w:right="0" w:firstLine="0"/>
        <w:jc w:val="left"/>
      </w:pPr>
      <w:bookmarkStart w:id="1529" w:name="bookmark1529"/>
      <w:r>
        <w:rPr>
          <w:rFonts w:ascii="Times New Roman" w:eastAsia="Times New Roman" w:hAnsi="Times New Roman" w:cs="Times New Roman"/>
          <w:color w:val="000000"/>
          <w:spacing w:val="0"/>
          <w:w w:val="100"/>
          <w:position w:val="0"/>
          <w:sz w:val="18"/>
          <w:szCs w:val="18"/>
        </w:rPr>
        <w:t>3</w:t>
      </w:r>
      <w:bookmarkEnd w:id="15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7"/>
        <w:keepNext w:val="0"/>
        <w:keepLines w:val="0"/>
        <w:widowControl w:val="0"/>
        <w:shd w:val="clear" w:color="auto" w:fill="auto"/>
        <w:tabs>
          <w:tab w:pos="349" w:val="left"/>
        </w:tabs>
        <w:bidi w:val="0"/>
        <w:spacing w:before="0" w:after="120" w:line="240" w:lineRule="auto"/>
        <w:ind w:left="0" w:right="0" w:firstLine="0"/>
        <w:jc w:val="left"/>
      </w:pPr>
      <w:bookmarkStart w:id="1530" w:name="bookmark1530"/>
      <w:r>
        <w:rPr>
          <w:rFonts w:ascii="Times New Roman" w:eastAsia="Times New Roman" w:hAnsi="Times New Roman" w:cs="Times New Roman"/>
          <w:color w:val="000000"/>
          <w:spacing w:val="0"/>
          <w:w w:val="100"/>
          <w:position w:val="0"/>
          <w:sz w:val="18"/>
          <w:szCs w:val="18"/>
        </w:rPr>
        <w:t>4</w:t>
      </w:r>
      <w:bookmarkEnd w:id="15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7"/>
        <w:keepNext w:val="0"/>
        <w:keepLines w:val="0"/>
        <w:widowControl w:val="0"/>
        <w:shd w:val="clear" w:color="auto" w:fill="auto"/>
        <w:tabs>
          <w:tab w:pos="349" w:val="left"/>
        </w:tabs>
        <w:bidi w:val="0"/>
        <w:spacing w:before="0" w:after="380" w:line="240" w:lineRule="auto"/>
        <w:ind w:left="0" w:right="0" w:firstLine="0"/>
        <w:jc w:val="left"/>
      </w:pPr>
      <w:bookmarkStart w:id="1531" w:name="bookmark1531"/>
      <w:r>
        <w:rPr>
          <w:rFonts w:ascii="Times New Roman" w:eastAsia="Times New Roman" w:hAnsi="Times New Roman" w:cs="Times New Roman"/>
          <w:color w:val="000000"/>
          <w:spacing w:val="0"/>
          <w:w w:val="100"/>
          <w:position w:val="0"/>
          <w:sz w:val="18"/>
          <w:szCs w:val="18"/>
        </w:rPr>
        <w:t>5</w:t>
      </w:r>
      <w:bookmarkEnd w:id="15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8"/>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6</w:t>
      </w:r>
      <w:bookmarkEnd w:id="153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32"/>
      <w:bookmarkEnd w:id="1533"/>
      <w:bookmarkEnd w:id="15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1,540,103,828.31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1,286,496,752.12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1,620,686,074.09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1,104,049,847.14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15,851,429.74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9,382,008.36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10,877,649.47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9,298,225.98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1,555,955,258.05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1,295,878,760.48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1,631,563,723.56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1,113,348,073.12</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723"/>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1,555,955,258.05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1,631,563,723.56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全部收入</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营业收入扣除项目合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15,851,429.74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销售材料、低值易耗品、 废物废料、租赁收入、技 术服务收入等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10,877,649.47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销售材料、低值易耗 品、废物废料、租赁 收入、技术服务收入 等</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营业收入扣除项目合 计金额占营业收入的 比重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352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15,851,429.74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销售材料、低值易耗品、 废物废料、租赁收入、技 术服务收入等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10,877,649.47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销售材料、低值易耗 品、废物废料、租赁 收入、技术服务收入 等</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15,851,429.74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销售材料、低值易耗品、 废物废料、租赁收入、技 术服务收入等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10,877,649.47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销售材料、低值易耗 品、废物废料、租赁 收入、技术服务收入 等</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二、不具备商业实质 的收入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不具备商业实质的收 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1,540,103,828.31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1,620,686,074.09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17"/>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6</w:t>
      </w:r>
      <w:bookmarkEnd w:id="153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36"/>
      <w:bookmarkEnd w:id="1537"/>
      <w:bookmarkEnd w:id="153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4,892,356.18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4,587,446.21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3,748,027.19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3,490,882.13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1,819,803.19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1,936,859.35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1,727,669.44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1,468,557.88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1,447,330.11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1,629,660.87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42,301.44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13,716,669.18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13,181,753.40</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6</w:t>
      </w:r>
      <w:bookmarkEnd w:id="154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40"/>
      <w:bookmarkEnd w:id="1541"/>
      <w:bookmarkEnd w:id="154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50,276,616.92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43,005,393.51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29,666,280.29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22,968,326.94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14,132,546.54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8,874,735.35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9,000,159.33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8,827,487.75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7,329,152.83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8,397,930.70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3,076,961.51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6,968,997.97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2,194,783.49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1,547,441.99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1,194,170.26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1,283,574.61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116,870,671.17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101,873,888.82</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6</w:t>
      </w:r>
      <w:bookmarkEnd w:id="154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44"/>
      <w:bookmarkEnd w:id="1545"/>
      <w:bookmarkEnd w:id="154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34,585,298.72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26,946,827.23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15,017,500.98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17,200,316.05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13,877,887.29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11,098,846.49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11,971,009.55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7,619,698.03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7,422,683.67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5,940,151.59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4,430,833.11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3,511,445.58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2,048,223.84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2,222,985.66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89,353,437.16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74,540,270.63</w:t>
            </w:r>
          </w:p>
        </w:tc>
      </w:tr>
    </w:tbl>
    <w:p>
      <w:pPr>
        <w:spacing w:lineRule="exact" w:line="1"/>
        <w:rPr>
          <w:sz w:val="2"/>
          <w:szCs w:val="2"/>
        </w:rPr>
      </w:pPr>
      <w:r>
        <w:br w:type="page"/>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6</w:t>
      </w:r>
      <w:bookmarkEnd w:id="155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48"/>
      <w:bookmarkEnd w:id="1549"/>
      <w:bookmarkEnd w:id="1551"/>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79,978,435.89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51,193,811.55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51,739,940.17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46,693,213.79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3,362,903.52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3,068,885.33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折旧费用与长期费用摊销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1,570,186.40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1,415,970.68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136,651,465.98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102,371,881.35</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6</w:t>
      </w:r>
      <w:bookmarkEnd w:id="155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52"/>
      <w:bookmarkEnd w:id="1553"/>
      <w:bookmarkEnd w:id="1555"/>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16,518,074.06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14,013,434.58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-2,859,774.21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-8,611,143.33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24,802.51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3,042,758.54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996,103.15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1,843,540.15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17,863,728.54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7,270,633.91</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6</w:t>
      </w:r>
      <w:bookmarkEnd w:id="155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56"/>
      <w:bookmarkEnd w:id="1557"/>
      <w:bookmarkEnd w:id="155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651,091.93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603,784.98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27,012,252.76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35,060,277.15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即征即退的增值税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25,673,827.81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15,514,844.96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贪困建卡及退役军人减免增值税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394,343.24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92,543.90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54,086,085.74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35,756,606.03</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6</w:t>
      </w:r>
      <w:bookmarkEnd w:id="156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60"/>
      <w:bookmarkEnd w:id="1561"/>
      <w:bookmarkEnd w:id="156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-2,273,059.64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-1,391,015.77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-2,580,541.53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北京华逸奇科贸有限公司业绩补偿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15,145,184.27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理财产品及结构性存款收益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9,573,664.24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1,840,967.50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19,865,247.34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449,951.73</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6</w:t>
      </w:r>
      <w:bookmarkEnd w:id="1566"/>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564"/>
      <w:bookmarkEnd w:id="1565"/>
      <w:bookmarkEnd w:id="156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7</w:t>
      </w:r>
      <w:bookmarkEnd w:id="1570"/>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68"/>
      <w:bookmarkEnd w:id="1569"/>
      <w:bookmarkEnd w:id="1571"/>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7</w:t>
      </w:r>
      <w:bookmarkEnd w:id="157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72"/>
      <w:bookmarkEnd w:id="1573"/>
      <w:bookmarkEnd w:id="1575"/>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-2,633,336.71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-6,291,034.69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-494,711.49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-818,523.25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-3,845,671.04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-3,254,930.43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-53,181,885.21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-35,923,854.22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407,847.65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-60,155,604.45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-45,880,494.94</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7</w:t>
      </w:r>
      <w:bookmarkEnd w:id="157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76"/>
      <w:bookmarkEnd w:id="1577"/>
      <w:bookmarkEnd w:id="157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-14,157,580.30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-72,993,002.91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-38,729,155.12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2,797,573.52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120,656.49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-1,725,473.42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-86,078,483.11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-38,608,498.63</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7</w:t>
      </w:r>
      <w:bookmarkEnd w:id="158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80"/>
      <w:bookmarkEnd w:id="1581"/>
      <w:bookmarkEnd w:id="158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266,620.16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-352,553.24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7</w:t>
      </w:r>
      <w:bookmarkEnd w:id="158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84"/>
      <w:bookmarkEnd w:id="1585"/>
      <w:bookmarkEnd w:id="158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2,761,074.84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1,632,027.31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2,761,074.84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1,010,328.63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13,378.32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1,010,328.63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3,775,793.31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1,653,205.63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3,775,793.31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1"/>
        <w:gridCol w:w="1066"/>
        <w:gridCol w:w="1061"/>
        <w:gridCol w:w="1066"/>
        <w:gridCol w:w="1070"/>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补贴是否影</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7</w:t>
      </w:r>
      <w:bookmarkEnd w:id="159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88"/>
      <w:bookmarkEnd w:id="1589"/>
      <w:bookmarkEnd w:id="1591"/>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10,631.85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10,631.85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172,822.14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98,431.15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172,822.14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172,822.14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98,431.15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172,822.14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81,854.29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2,127,582.03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81,854.29</w:t>
            </w:r>
          </w:p>
        </w:tc>
      </w:tr>
    </w:tbl>
    <w:p>
      <w:pPr>
        <w:widowControl w:val="0"/>
        <w:spacing w:line="1" w:lineRule="exact"/>
      </w:pPr>
      <w:r>
        <w:br w:type="page"/>
      </w:r>
    </w:p>
    <w:tbl>
      <w:tblPr>
        <w:tblOverlap w:val="never"/>
        <w:jc w:val="center"/>
        <w:tblLayout w:type="fixed"/>
      </w:tblPr>
      <w:tblGrid>
        <w:gridCol w:w="2390"/>
        <w:gridCol w:w="2395"/>
        <w:gridCol w:w="2395"/>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32,338.83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44,413.66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135,299.24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135,299.24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361,042.44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81,614.05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526,635.23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2,730,038.45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7</w:t>
      </w:r>
      <w:bookmarkEnd w:id="159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92"/>
      <w:bookmarkEnd w:id="1593"/>
      <w:bookmarkEnd w:id="1595"/>
    </w:p>
    <w:p>
      <w:pPr>
        <w:pStyle w:val="Style28"/>
        <w:keepNext/>
        <w:keepLines/>
        <w:widowControl w:val="0"/>
        <w:shd w:val="clear" w:color="auto" w:fill="auto"/>
        <w:bidi w:val="0"/>
        <w:spacing w:before="0" w:line="240" w:lineRule="auto"/>
        <w:ind w:left="0" w:right="0" w:firstLine="0"/>
        <w:jc w:val="both"/>
      </w:pPr>
      <w:bookmarkStart w:id="1592" w:name="bookmark1592"/>
      <w:bookmarkStart w:id="1593" w:name="bookmark1593"/>
      <w:bookmarkStart w:id="1596" w:name="bookmark15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92"/>
      <w:bookmarkEnd w:id="1593"/>
      <w:bookmarkEnd w:id="159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10,861,032.41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25,830,871.34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-14,738,474.74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-7,471,978.75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-3,877,442.33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18,358,892.59</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97"/>
      <w:bookmarkEnd w:id="1598"/>
      <w:bookmarkEnd w:id="159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-183,146,450.70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-27,471,967.60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-8,813,657.99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3,221,244.00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368,629.17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12,285,594.67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-1,524,686.61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35,010,083.84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研发费加计扣除对所得税的影响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-16,952,681.81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-3,877,442.33</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7</w:t>
      </w:r>
      <w:bookmarkEnd w:id="160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00"/>
      <w:bookmarkEnd w:id="1601"/>
      <w:bookmarkEnd w:id="1603"/>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br w:type="page"/>
      </w:r>
    </w:p>
    <w:p>
      <w:pPr>
        <w:pStyle w:val="Style28"/>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7</w:t>
      </w:r>
      <w:bookmarkEnd w:id="1606"/>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604"/>
      <w:bookmarkEnd w:id="1605"/>
      <w:bookmarkEnd w:id="1607"/>
    </w:p>
    <w:p>
      <w:pPr>
        <w:pStyle w:val="Style28"/>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04"/>
      <w:bookmarkEnd w:id="1605"/>
      <w:bookmarkEnd w:id="1608"/>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28,942,252.76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15,513,775.32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8,987,093.72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9,622,198.72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收到银行存款利息收入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2,859,774.21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8,611,143.33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收到的其他及往来款净额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22,450,625.22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7,835,405.52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63,239,745.91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41,582,522.89</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8"/>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09"/>
      <w:bookmarkEnd w:id="1610"/>
      <w:bookmarkEnd w:id="1611"/>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支付办公、差旅、招待费等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57,332,876.46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62,161,260.70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市场推广费、运输装卸费等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41,071,409.57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30,841,460.39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支付技术开发服务、检验费等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11,775,968.02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10,256,477.35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19,420,428.86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7,311,987.35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支付咨询服务费等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11,971,009.55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6,914,733.53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支付其他往来款净额及费用等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72,549,247.60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3,541,133.93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214,120,940.06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121,027,053.25</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28"/>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12"/>
      <w:bookmarkEnd w:id="1613"/>
      <w:bookmarkEnd w:id="1615"/>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赎回理财产品及结构性存款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2,330,352,600.24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1,042,304,073.36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赎回基金托管账户资金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6,338,868.46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26,731,022.08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合并日子公司现金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6,371,345.54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收到的业绩补偿款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使用权资产租金调整收回的现金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118,056.17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2,343,059,344.75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1,075,406,440.98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28"/>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16"/>
      <w:bookmarkEnd w:id="1617"/>
      <w:bookmarkEnd w:id="161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购买理财及结构性存款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2,518,276,525.59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1,095,304,527.69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支付深圳伟创原股东股权转让的代交个 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2,518,276,525.59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1,101,304,527.69</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28"/>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20"/>
      <w:bookmarkEnd w:id="1621"/>
      <w:bookmarkEnd w:id="162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融资性质的票据贴现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9,843,233.52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收到济南天辰机器集团有限公司暂借款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收到马立基暂借款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子公司收到少数股东借款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13,543,233.52</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28"/>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24"/>
      <w:bookmarkEnd w:id="1625"/>
      <w:bookmarkEnd w:id="162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9,166,234.65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子公司归还少数股东暂借款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10,830,500.00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归还济南天辰机器集团有限公司暂借款 及利息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90,880,468.58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子公司同比例减资退还给少数股东部分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9,964,937.33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1,697,824.29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支付保理手续费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3,381,724.16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106,124,954.36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22,996,734.65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8"/>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7</w:t>
      </w:r>
      <w:bookmarkEnd w:id="163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28"/>
      <w:bookmarkEnd w:id="1629"/>
      <w:bookmarkEnd w:id="1631"/>
    </w:p>
    <w:p>
      <w:pPr>
        <w:pStyle w:val="Style28"/>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2" w:name="bookmark16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28"/>
      <w:bookmarkEnd w:id="1629"/>
      <w:bookmarkEnd w:id="163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-179,269,008.37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150,906,507.87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146,234,087.56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84,488,993.57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48,872,985.74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27,087,977.49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12,613,519.61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12,651,962.98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3,251,924.62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9,450,755.32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-266,620.16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352,553.24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172,822.14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98,431.15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18,530,839.48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14,038,190.80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-19,865,247.34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-449,951.73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递延所得税资产减少（增加以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-13,118,293.06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-5,851,797.07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-1,620,181.68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-1,620,181.68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-33,137,951.72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-181,498,822.43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经营性应收项目的减少（增加以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-181,386,957.69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-424,914,686.18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96,624,012.37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285,698,030.80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-102,364,068.50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-29,562,035.87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243,050,271.99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554,914,292.98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554,914,292.98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71,751,496.08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-311,864,020.99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483,162,796.90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33"/>
      <w:bookmarkEnd w:id="1634"/>
      <w:bookmarkEnd w:id="1635"/>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numPr>
          <w:ilvl w:val="0"/>
          <w:numId w:val="31"/>
        </w:numPr>
        <w:shd w:val="clear" w:color="auto" w:fill="auto"/>
        <w:bidi w:val="0"/>
        <w:spacing w:before="0" w:line="240" w:lineRule="auto"/>
        <w:ind w:left="0" w:right="0" w:firstLine="0"/>
        <w:jc w:val="left"/>
      </w:pPr>
      <w:bookmarkStart w:id="1636" w:name="bookmark1636"/>
      <w:bookmarkStart w:id="1637" w:name="bookmark1637"/>
      <w:bookmarkStart w:id="1638" w:name="bookmark1638"/>
      <w:bookmarkStart w:id="1639" w:name="bookmark1639"/>
      <w:bookmarkEnd w:id="1638"/>
      <w:r>
        <w:rPr>
          <w:color w:val="000000"/>
          <w:spacing w:val="0"/>
          <w:w w:val="100"/>
          <w:position w:val="0"/>
        </w:rPr>
        <w:t>本期收到的处置子公司的现金净额</w:t>
      </w:r>
      <w:bookmarkEnd w:id="1636"/>
      <w:bookmarkEnd w:id="1637"/>
      <w:bookmarkEnd w:id="1639"/>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32,804,200.00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合肥市伟创自动化设备有限公司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沈阳市五洋恒信泊车有限公司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南昌市青云市政运营有限公司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2,004,200.00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3,956,059.92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合肥市伟创自动化设备有限公司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126,372.83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沈阳市五洋恒信泊车有限公司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3,827,148.94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南昌市青云市政运营有限公司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28,848,140.08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numPr>
          <w:ilvl w:val="0"/>
          <w:numId w:val="31"/>
        </w:numPr>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bookmarkEnd w:id="1642"/>
      <w:r>
        <w:rPr>
          <w:color w:val="000000"/>
          <w:spacing w:val="0"/>
          <w:w w:val="100"/>
          <w:position w:val="0"/>
        </w:rPr>
        <w:t>现金和现金等价物的构成</w:t>
      </w:r>
      <w:bookmarkEnd w:id="1640"/>
      <w:bookmarkEnd w:id="1641"/>
      <w:bookmarkEnd w:id="164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243,050,271.99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554,914,292.98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160,816.27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112,017.55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239,880,098.60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553,978,402.29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3,009,357.12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823,873.14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243,050,271.99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554,914,292.98</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8</w:t>
      </w:r>
      <w:bookmarkEnd w:id="164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44"/>
      <w:bookmarkEnd w:id="1645"/>
      <w:bookmarkEnd w:id="164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8"/>
        <w:keepNext/>
        <w:keepLines/>
        <w:widowControl w:val="0"/>
        <w:shd w:val="clear" w:color="auto" w:fill="auto"/>
        <w:tabs>
          <w:tab w:pos="483" w:val="left"/>
        </w:tabs>
        <w:bidi w:val="0"/>
        <w:spacing w:before="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8</w:t>
      </w:r>
      <w:bookmarkEnd w:id="165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48"/>
      <w:bookmarkEnd w:id="1649"/>
      <w:bookmarkEnd w:id="165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77,522,711.75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承兑汇票、保函、信用证保证金及产业 基金托管专项资金、项目共同管理资金</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76,365,502.34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用于借款及票据抵押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13,537,703.66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用于借款抵押</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167,425,917.75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8</w:t>
      </w:r>
      <w:bookmarkEnd w:id="165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52"/>
      <w:bookmarkEnd w:id="1653"/>
      <w:bookmarkEnd w:id="1655"/>
    </w:p>
    <w:p>
      <w:pPr>
        <w:pStyle w:val="Style28"/>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52"/>
      <w:bookmarkEnd w:id="1653"/>
      <w:bookmarkEnd w:id="165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331" w:lineRule="exact"/>
        <w:ind w:left="0" w:right="0" w:firstLine="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57"/>
      <w:bookmarkEnd w:id="1658"/>
      <w:bookmarkEnd w:id="1659"/>
    </w:p>
    <w:p>
      <w:pPr>
        <w:pStyle w:val="Style1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line="331" w:lineRule="exact"/>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8</w:t>
      </w:r>
      <w:bookmarkEnd w:id="166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60"/>
      <w:bookmarkEnd w:id="1661"/>
      <w:bookmarkEnd w:id="1663"/>
    </w:p>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8"/>
        <w:keepNext/>
        <w:keepLines/>
        <w:widowControl w:val="0"/>
        <w:shd w:val="clear" w:color="auto" w:fill="auto"/>
        <w:tabs>
          <w:tab w:pos="483" w:val="left"/>
        </w:tabs>
        <w:bidi w:val="0"/>
        <w:spacing w:before="0" w:after="280" w:line="331" w:lineRule="exact"/>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8</w:t>
      </w:r>
      <w:bookmarkEnd w:id="166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664"/>
      <w:bookmarkEnd w:id="1665"/>
      <w:bookmarkEnd w:id="1667"/>
    </w:p>
    <w:p>
      <w:pPr>
        <w:pStyle w:val="Style28"/>
        <w:keepNext/>
        <w:keepLines/>
        <w:widowControl w:val="0"/>
        <w:shd w:val="clear" w:color="auto" w:fill="auto"/>
        <w:bidi w:val="0"/>
        <w:spacing w:before="0" w:line="331" w:lineRule="exact"/>
        <w:ind w:left="0" w:right="0" w:firstLine="0"/>
        <w:jc w:val="left"/>
      </w:pPr>
      <w:bookmarkStart w:id="1664" w:name="bookmark1664"/>
      <w:bookmarkStart w:id="1665" w:name="bookmark1665"/>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64"/>
      <w:bookmarkEnd w:id="1665"/>
      <w:bookmarkEnd w:id="166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天辰智能公司土地出让金返 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300,271.10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立体停车设备生产线（一期） 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350,820.83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26,028,397.81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26,028,397.81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年工业企业扩大产能奖 励项目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16,880,000.00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先制造业工业经营支持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高新处报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年企业研发资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助第一批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工信</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先进制造业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工业经营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支持第三季度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年高新技术培育资助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年是双创第一批资助资金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工信先进制造业工业企业经 营支持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工信</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先进制造业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工业经营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支持第二季度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科技企业高成长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科技小巨人 支持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发改总部经济贡献营收入增 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禹城市场监管局奖励资金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213,000.00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工程技术中心补贴款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科创企业高成长</w:t>
            </w:r>
            <w:r>
              <w:rPr>
                <w:rFonts w:ascii="Times New Roman" w:eastAsia="Times New Roman" w:hAnsi="Times New Roman" w:cs="Times New Roman"/>
                <w:color w:val="000000"/>
                <w:spacing w:val="0"/>
                <w:w w:val="100"/>
                <w:position w:val="0"/>
                <w:sz w:val="18"/>
                <w:szCs w:val="18"/>
              </w:rPr>
              <w:t>-RD</w:t>
            </w:r>
            <w:r>
              <w:rPr>
                <w:color w:val="000000"/>
                <w:spacing w:val="0"/>
                <w:w w:val="100"/>
                <w:position w:val="0"/>
              </w:rPr>
              <w:t>投入支持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进项税加计扣除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132,077.57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132,077.57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111,763.24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111,763.24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职业技能提升行动专项资金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109,500.00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109,500.00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年东莞市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倍增计划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 务包奖励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102,400.00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102,400.00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技师工作站奖励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年国家高新技术奖励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工业和信息化局小升规补贴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经信局数字车间奖补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浦东十三五安商育商扶持款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工信选进制造贷款贴息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71,200.00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71,200.00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以工代训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56,900.00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56,900.00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创新强镇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成果转化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53,000.00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社会产业间空租金支持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51,700.00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51,700.00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工业和信息化局稳增长增长</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32,500.00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32,500.00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上海市奉贤区奉城镇财政所 扶持资金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30,679.00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30,679.00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年度发明专利资助款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年度知识产权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17,940.00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17,940.00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收禹城市科技局科技奖励费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发明专利资助项目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8,360.00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社保返还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4,703.55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4,703.55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知识产权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土地税减免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53,040,650.57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53,691,742.50</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69"/>
      <w:bookmarkEnd w:id="1670"/>
      <w:bookmarkEnd w:id="1671"/>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672"/>
      <w:bookmarkEnd w:id="1673"/>
      <w:bookmarkEnd w:id="1674"/>
    </w:p>
    <w:p>
      <w:pPr>
        <w:pStyle w:val="Style24"/>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八</w:t>
      </w:r>
      <w:bookmarkEnd w:id="1677"/>
      <w:r>
        <w:rPr>
          <w:color w:val="000000"/>
          <w:spacing w:val="0"/>
          <w:w w:val="100"/>
          <w:position w:val="0"/>
        </w:rPr>
        <w:t>、合并范围的变更</w:t>
      </w:r>
      <w:bookmarkEnd w:id="1675"/>
      <w:bookmarkEnd w:id="1676"/>
      <w:bookmarkEnd w:id="1678"/>
    </w:p>
    <w:p>
      <w:pPr>
        <w:pStyle w:val="Style28"/>
        <w:keepNext/>
        <w:keepLines/>
        <w:widowControl w:val="0"/>
        <w:shd w:val="clear" w:color="auto" w:fill="auto"/>
        <w:bidi w:val="0"/>
        <w:spacing w:before="0" w:after="36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1</w:t>
      </w:r>
      <w:bookmarkEnd w:id="1681"/>
      <w:r>
        <w:rPr>
          <w:color w:val="000000"/>
          <w:spacing w:val="0"/>
          <w:w w:val="100"/>
          <w:position w:val="0"/>
        </w:rPr>
        <w:t>、非同一控制下企业合并</w:t>
      </w:r>
      <w:bookmarkEnd w:id="1679"/>
      <w:bookmarkEnd w:id="1680"/>
      <w:bookmarkEnd w:id="1682"/>
    </w:p>
    <w:p>
      <w:pPr>
        <w:pStyle w:val="Style28"/>
        <w:keepNext/>
        <w:keepLines/>
        <w:widowControl w:val="0"/>
        <w:shd w:val="clear" w:color="auto" w:fill="auto"/>
        <w:bidi w:val="0"/>
        <w:spacing w:before="0" w:after="360" w:line="240" w:lineRule="auto"/>
        <w:ind w:left="0" w:right="0" w:firstLine="0"/>
        <w:jc w:val="left"/>
      </w:pPr>
      <w:bookmarkStart w:id="1679" w:name="bookmark1679"/>
      <w:bookmarkStart w:id="1680" w:name="bookmark1680"/>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79"/>
      <w:bookmarkEnd w:id="1680"/>
      <w:bookmarkEnd w:id="168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购买日的确</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购买日至期</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末被购买方</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的净利润</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重庆市綦江 区易思泊信 息技术有限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出资完成、工 商变更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7,552,307.08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15,079.27</w:t>
            </w:r>
          </w:p>
        </w:tc>
      </w:tr>
    </w:tbl>
    <w:p>
      <w:pPr>
        <w:pStyle w:val="Style17"/>
        <w:keepNext w:val="0"/>
        <w:keepLines w:val="0"/>
        <w:widowControl w:val="0"/>
        <w:shd w:val="clear" w:color="auto" w:fill="auto"/>
        <w:bidi w:val="0"/>
        <w:spacing w:before="0" w:after="80" w:line="307"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本公司子公司迈泊停车管理（上海）有限公司于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月对重庆市綦江区易思泊信息技术有限公司增资</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日完成工商变更手续，取得重庆市綦江区易思泊信息技术有限公司</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的股权，将购买日确定为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8"/>
        <w:keepNext/>
        <w:keepLines/>
        <w:widowControl w:val="0"/>
        <w:shd w:val="clear" w:color="auto" w:fill="auto"/>
        <w:bidi w:val="0"/>
        <w:spacing w:before="0" w:after="360" w:line="240" w:lineRule="auto"/>
        <w:ind w:left="0" w:right="0" w:firstLine="0"/>
        <w:jc w:val="left"/>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84"/>
      <w:bookmarkEnd w:id="1685"/>
      <w:bookmarkEnd w:id="168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合并成本公允价值的确定方法、或有对价及其变动的说明:</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大额商誉形成的主要原因：</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87"/>
      <w:bookmarkEnd w:id="1688"/>
      <w:bookmarkEnd w:id="16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可辨认资产、负债公允价值的确定方法：</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企业合并中承担的被购买方的或有负债：</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691"/>
      <w:bookmarkEnd w:id="1692"/>
      <w:bookmarkEnd w:id="1694"/>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3"/>
        <w:keepNext w:val="0"/>
        <w:keepLines w:val="0"/>
        <w:widowControl w:val="0"/>
        <w:shd w:val="clear" w:color="auto" w:fill="auto"/>
        <w:bidi w:val="0"/>
        <w:spacing w:before="0" w:after="380" w:line="240" w:lineRule="auto"/>
        <w:ind w:left="0" w:right="0" w:firstLine="0"/>
        <w:jc w:val="left"/>
        <w:rPr>
          <w:sz w:val="20"/>
          <w:szCs w:val="20"/>
        </w:rPr>
      </w:pPr>
      <w:bookmarkStart w:id="1695" w:name="bookmark1695"/>
      <w:r>
        <w:rPr>
          <w:color w:val="000000"/>
          <w:spacing w:val="0"/>
          <w:w w:val="100"/>
          <w:position w:val="0"/>
          <w:sz w:val="20"/>
          <w:szCs w:val="20"/>
        </w:rPr>
        <w:t>（</w:t>
      </w:r>
      <w:bookmarkEnd w:id="1695"/>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购买日或合并当期期末无法合理确定合并对价或被购买方可辨认资产、负债公允价值的相关说明</w:t>
      </w:r>
    </w:p>
    <w:p>
      <w:pPr>
        <w:pStyle w:val="Style13"/>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1696" w:name="bookmark1696"/>
      <w:r>
        <w:rPr>
          <w:color w:val="000000"/>
          <w:spacing w:val="0"/>
          <w:w w:val="100"/>
          <w:position w:val="0"/>
          <w:sz w:val="20"/>
          <w:szCs w:val="20"/>
        </w:rPr>
        <w:t>（</w:t>
      </w:r>
      <w:bookmarkEnd w:id="1696"/>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其他说明</w:t>
      </w:r>
    </w:p>
    <w:p>
      <w:pPr>
        <w:pStyle w:val="Style13"/>
        <w:keepNext w:val="0"/>
        <w:keepLines w:val="0"/>
        <w:widowControl w:val="0"/>
        <w:shd w:val="clear" w:color="auto" w:fill="auto"/>
        <w:bidi w:val="0"/>
        <w:spacing w:before="0" w:after="380" w:line="240" w:lineRule="auto"/>
        <w:ind w:left="0" w:right="0" w:firstLine="0"/>
        <w:jc w:val="left"/>
        <w:rPr>
          <w:sz w:val="20"/>
          <w:szCs w:val="20"/>
        </w:rPr>
      </w:pPr>
      <w:bookmarkStart w:id="1697" w:name="bookmark1697"/>
      <w:r>
        <w:rPr>
          <w:rFonts w:ascii="Times New Roman" w:eastAsia="Times New Roman" w:hAnsi="Times New Roman" w:cs="Times New Roman"/>
          <w:color w:val="000000"/>
          <w:spacing w:val="0"/>
          <w:w w:val="100"/>
          <w:position w:val="0"/>
          <w:sz w:val="20"/>
          <w:szCs w:val="20"/>
        </w:rPr>
        <w:t>2</w:t>
      </w:r>
      <w:bookmarkEnd w:id="1697"/>
      <w:r>
        <w:rPr>
          <w:color w:val="000000"/>
          <w:spacing w:val="0"/>
          <w:w w:val="100"/>
          <w:position w:val="0"/>
          <w:sz w:val="20"/>
          <w:szCs w:val="20"/>
        </w:rPr>
        <w:t>、同一控制下企业合并</w:t>
      </w:r>
    </w:p>
    <w:p>
      <w:pPr>
        <w:pStyle w:val="Style13"/>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）本期发生的同一控制下企业合并</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）合并成本</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80" w:line="240" w:lineRule="auto"/>
        <w:ind w:left="0" w:right="0" w:firstLine="0"/>
        <w:jc w:val="left"/>
        <w:rPr>
          <w:sz w:val="20"/>
          <w:szCs w:val="20"/>
        </w:rPr>
      </w:pPr>
      <w:bookmarkStart w:id="1698" w:name="bookmark1698"/>
      <w:r>
        <w:rPr>
          <w:color w:val="000000"/>
          <w:spacing w:val="0"/>
          <w:w w:val="100"/>
          <w:position w:val="0"/>
          <w:sz w:val="20"/>
          <w:szCs w:val="20"/>
        </w:rPr>
        <w:t>（</w:t>
      </w:r>
      <w:bookmarkEnd w:id="1698"/>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）合并日被合并方资产、负债的账面价值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40" w:line="317" w:lineRule="exact"/>
        <w:ind w:left="0" w:right="0" w:firstLine="0"/>
        <w:jc w:val="left"/>
      </w:pPr>
      <w:r>
        <w:rPr>
          <w:color w:val="000000"/>
          <w:spacing w:val="0"/>
          <w:w w:val="100"/>
          <w:position w:val="0"/>
        </w:rPr>
        <w:t>企业合并中承担的被合并方的或有负债：</w:t>
      </w:r>
    </w:p>
    <w:p>
      <w:pPr>
        <w:pStyle w:val="Style17"/>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3</w:t>
      </w:r>
      <w:bookmarkEnd w:id="1701"/>
      <w:r>
        <w:rPr>
          <w:color w:val="000000"/>
          <w:spacing w:val="0"/>
          <w:w w:val="100"/>
          <w:position w:val="0"/>
        </w:rPr>
        <w:t>、</w:t>
        <w:tab/>
        <w:t>反向购买</w:t>
      </w:r>
      <w:bookmarkEnd w:id="1699"/>
      <w:bookmarkEnd w:id="1700"/>
      <w:bookmarkEnd w:id="1702"/>
    </w:p>
    <w:p>
      <w:pPr>
        <w:pStyle w:val="Style17"/>
        <w:keepNext w:val="0"/>
        <w:keepLines w:val="0"/>
        <w:widowControl w:val="0"/>
        <w:shd w:val="clear" w:color="auto" w:fill="auto"/>
        <w:bidi w:val="0"/>
        <w:spacing w:before="0" w:after="40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4</w:t>
      </w:r>
      <w:bookmarkEnd w:id="1705"/>
      <w:r>
        <w:rPr>
          <w:color w:val="000000"/>
          <w:spacing w:val="0"/>
          <w:w w:val="100"/>
          <w:position w:val="0"/>
        </w:rPr>
        <w:t>、</w:t>
        <w:tab/>
        <w:t>处置子公司</w:t>
      </w:r>
      <w:bookmarkEnd w:id="1703"/>
      <w:bookmarkEnd w:id="1704"/>
      <w:bookmarkEnd w:id="1706"/>
    </w:p>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是否存在单次处置对子公司投资即丧失控制权的情形</w:t>
      </w:r>
    </w:p>
    <w:p>
      <w:pPr>
        <w:pStyle w:val="Style17"/>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制权的</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时点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双方签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伟创自</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动化设</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订转让</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协议并</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让款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双方签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五洋恒</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订转让</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信泊车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协议并</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739"/>
        <w:gridCol w:w="734"/>
        <w:gridCol w:w="739"/>
        <w:gridCol w:w="734"/>
        <w:gridCol w:w="734"/>
        <w:gridCol w:w="734"/>
        <w:gridCol w:w="734"/>
        <w:gridCol w:w="734"/>
        <w:gridCol w:w="739"/>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南昌市</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青云市</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政运营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11,096,0</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双方签 订转让 协议并 收到部 分转让 款、完成 工商变</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五洋智 慧交通 产业（成 都）有限 公司注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双方签 订转让 协议、完 成工商 变更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五洋智慧交通产业（成都）有限公司成立于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日，成立后本公司未实缴出资，至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日转让前未进行 任何生产经营活动，于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元的价格转让。</w:t>
      </w:r>
    </w:p>
    <w:p>
      <w:pPr>
        <w:pStyle w:val="Style17"/>
        <w:keepNext w:val="0"/>
        <w:keepLines w:val="0"/>
        <w:widowControl w:val="0"/>
        <w:shd w:val="clear" w:color="auto" w:fill="auto"/>
        <w:bidi w:val="0"/>
        <w:spacing w:before="0" w:after="140" w:line="315" w:lineRule="exact"/>
        <w:ind w:left="0" w:right="0" w:firstLine="0"/>
        <w:jc w:val="left"/>
      </w:pPr>
      <w:r>
        <w:rPr>
          <w:color w:val="000000"/>
          <w:spacing w:val="0"/>
          <w:w w:val="100"/>
          <w:position w:val="0"/>
        </w:rPr>
        <w:t>是否存在通过多次交易分步处置对子公司投资且在本期丧失控制权的情形</w:t>
      </w:r>
    </w:p>
    <w:p>
      <w:pPr>
        <w:pStyle w:val="Style1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28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color w:val="000000"/>
          <w:spacing w:val="0"/>
          <w:w w:val="100"/>
          <w:position w:val="0"/>
        </w:rPr>
        <w:t>、其他原因的合并范围变动</w:t>
      </w:r>
      <w:bookmarkEnd w:id="1707"/>
      <w:bookmarkEnd w:id="1708"/>
      <w:bookmarkEnd w:id="1710"/>
    </w:p>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说明其他原因导致的合并范围变动（如，新设子公司、清算子公司等）及其相关情况：</w:t>
      </w:r>
    </w:p>
    <w:p>
      <w:pPr>
        <w:pStyle w:val="Style1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日注销子公司北京伟创停车场管理有限公司；</w:t>
      </w:r>
    </w:p>
    <w:p>
      <w:pPr>
        <w:pStyle w:val="Style1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五洋智慧交通产业（东莞）公司于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日成立，章程约定本公司子公司深圳市伟创自动化设备有限公司出资</w:t>
      </w:r>
      <w:r>
        <w:rPr>
          <w:rFonts w:ascii="Times New Roman" w:eastAsia="Times New Roman" w:hAnsi="Times New Roman" w:cs="Times New Roman"/>
          <w:color w:val="000000"/>
          <w:spacing w:val="0"/>
          <w:w w:val="100"/>
          <w:position w:val="0"/>
          <w:sz w:val="18"/>
          <w:szCs w:val="18"/>
        </w:rPr>
        <w:t xml:space="preserve">670 </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，宜春星晴科技有限公司出资</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日，深圳市伟创自动化设备有限公司 实缴出资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万元，宜春星晴科技有限公司尚未缴纳出资。</w:t>
      </w:r>
    </w:p>
    <w:p>
      <w:pPr>
        <w:pStyle w:val="Style17"/>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徐州五洋停车服务有限公司于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日成立，注册资本为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万人民币，章程约定本公司出资</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 宜春星晴科技有限公司出资</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日，本公司实缴出资</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万元，宜春星晴科技有限公司尚 未缴纳出资。</w:t>
      </w:r>
    </w:p>
    <w:p>
      <w:pPr>
        <w:pStyle w:val="Style17"/>
        <w:keepNext w:val="0"/>
        <w:keepLines w:val="0"/>
        <w:widowControl w:val="0"/>
        <w:shd w:val="clear" w:color="auto" w:fill="auto"/>
        <w:bidi w:val="0"/>
        <w:spacing w:before="0" w:after="200" w:line="315" w:lineRule="exact"/>
        <w:ind w:left="0" w:right="0" w:firstLine="380"/>
        <w:jc w:val="both"/>
      </w:pPr>
      <w:r>
        <w:rPr>
          <w:color w:val="000000"/>
          <w:spacing w:val="0"/>
          <w:w w:val="100"/>
          <w:position w:val="0"/>
        </w:rPr>
        <w:t>宜春市智慧停车科技有限公司于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日成立，注册资本为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万人民币，章程约定本公司子公司徐州五洋停车 服务有限公司出资</w:t>
      </w:r>
      <w:r>
        <w:rPr>
          <w:rFonts w:ascii="Times New Roman" w:eastAsia="Times New Roman" w:hAnsi="Times New Roman" w:cs="Times New Roman"/>
          <w:color w:val="000000"/>
          <w:spacing w:val="0"/>
          <w:w w:val="100"/>
          <w:position w:val="0"/>
          <w:sz w:val="18"/>
          <w:szCs w:val="18"/>
        </w:rPr>
        <w:t>950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，宜春市市政发展有限公司出资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日，本公司子公 司徐州五洋停车服务有限公司实缴出资</w:t>
      </w:r>
      <w:r>
        <w:rPr>
          <w:rFonts w:ascii="Times New Roman" w:eastAsia="Times New Roman" w:hAnsi="Times New Roman" w:cs="Times New Roman"/>
          <w:color w:val="000000"/>
          <w:spacing w:val="0"/>
          <w:w w:val="100"/>
          <w:position w:val="0"/>
          <w:sz w:val="18"/>
          <w:szCs w:val="18"/>
        </w:rPr>
        <w:t>665</w:t>
      </w:r>
      <w:r>
        <w:rPr>
          <w:color w:val="000000"/>
          <w:spacing w:val="0"/>
          <w:w w:val="100"/>
          <w:position w:val="0"/>
        </w:rPr>
        <w:t>万元，宜春市市政发展有限公司尚未缴纳出资。</w:t>
      </w:r>
      <w:r>
        <w:br w:type="page"/>
      </w:r>
    </w:p>
    <w:p>
      <w:pPr>
        <w:pStyle w:val="Style28"/>
        <w:keepNext/>
        <w:keepLines/>
        <w:widowControl w:val="0"/>
        <w:shd w:val="clear" w:color="auto" w:fill="auto"/>
        <w:bidi w:val="0"/>
        <w:spacing w:before="0" w:after="34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6</w:t>
      </w:r>
      <w:bookmarkEnd w:id="1713"/>
      <w:r>
        <w:rPr>
          <w:color w:val="000000"/>
          <w:spacing w:val="0"/>
          <w:w w:val="100"/>
          <w:position w:val="0"/>
        </w:rPr>
        <w:t>、其他</w:t>
      </w:r>
      <w:bookmarkEnd w:id="1711"/>
      <w:bookmarkEnd w:id="1712"/>
      <w:bookmarkEnd w:id="1714"/>
    </w:p>
    <w:p>
      <w:pPr>
        <w:pStyle w:val="Style24"/>
        <w:keepNext/>
        <w:keepLines/>
        <w:widowControl w:val="0"/>
        <w:shd w:val="clear" w:color="auto" w:fill="auto"/>
        <w:bidi w:val="0"/>
        <w:spacing w:before="0" w:after="34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九</w:t>
      </w:r>
      <w:bookmarkEnd w:id="1717"/>
      <w:r>
        <w:rPr>
          <w:color w:val="000000"/>
          <w:spacing w:val="0"/>
          <w:w w:val="100"/>
          <w:position w:val="0"/>
        </w:rPr>
        <w:t>、在其他主体中的权益</w:t>
      </w:r>
      <w:bookmarkEnd w:id="1715"/>
      <w:bookmarkEnd w:id="1716"/>
      <w:bookmarkEnd w:id="1718"/>
    </w:p>
    <w:p>
      <w:pPr>
        <w:pStyle w:val="Style28"/>
        <w:keepNext/>
        <w:keepLines/>
        <w:widowControl w:val="0"/>
        <w:shd w:val="clear" w:color="auto" w:fill="auto"/>
        <w:bidi w:val="0"/>
        <w:spacing w:before="0" w:after="34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1</w:t>
      </w:r>
      <w:bookmarkEnd w:id="1721"/>
      <w:r>
        <w:rPr>
          <w:color w:val="000000"/>
          <w:spacing w:val="0"/>
          <w:w w:val="100"/>
          <w:position w:val="0"/>
        </w:rPr>
        <w:t>、在子公司中的权益</w:t>
      </w:r>
      <w:bookmarkEnd w:id="1719"/>
      <w:bookmarkEnd w:id="1720"/>
      <w:bookmarkEnd w:id="1722"/>
    </w:p>
    <w:p>
      <w:pPr>
        <w:pStyle w:val="Style28"/>
        <w:keepNext/>
        <w:keepLines/>
        <w:widowControl w:val="0"/>
        <w:shd w:val="clear" w:color="auto" w:fill="auto"/>
        <w:bidi w:val="0"/>
        <w:spacing w:before="0" w:after="340" w:line="240" w:lineRule="auto"/>
        <w:ind w:left="0" w:right="0" w:firstLine="0"/>
        <w:jc w:val="left"/>
      </w:pPr>
      <w:bookmarkStart w:id="1719" w:name="bookmark1719"/>
      <w:bookmarkStart w:id="1720" w:name="bookmark1720"/>
      <w:bookmarkStart w:id="1723" w:name="bookmark17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19"/>
      <w:bookmarkEnd w:id="1720"/>
      <w:bookmarkEnd w:id="1723"/>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徐州五洋科技有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江苏天沃重工科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江苏五岳科技实 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深圳市伟创自动 化设备有限公司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山东天辰智能停 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山东德州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山东德州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东莞市伟创东洋 自动化设备有限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东莞市伟创华鑫 自动化设备有限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昆明五洋伟创停 车服务有限公司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江西泰壬科技有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安徽惠邦融资租 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深圳市前海弘毅 华浩投资有限公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北京华逸奇科贸</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南昌市青云市政 运营有限公司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同方佰宜科技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抚州五洋智慧交 通产业发展有限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江西抚州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江西抚州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徐州走盛五洋智 能装备产业基金 合伙企业（有限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五洋智慧交通产 业（徐州）有限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北京泊创科技有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长安停车投资管 理（上海）有限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迈泊停车管理</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上海长太投资中</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上海常鹏投资中</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北京长静投资中</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重庆市綦江区易 思泊信息技术有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五洋智慧交通产 业（东莞）公司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徐州五洋停车服 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宜春市智慧停车 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宜春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24"/>
      <w:bookmarkEnd w:id="1725"/>
      <w:bookmarkEnd w:id="17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徐州走盛五洋智能装备 产业基金合伙企业（有 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3,657,718.11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101,854,143.24</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27"/>
      <w:bookmarkEnd w:id="1728"/>
      <w:bookmarkEnd w:id="173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盛五洋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备产业</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66,313,8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356,570,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422,883,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22,203,9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162,195,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184,399,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60,842,3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264,149,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324,991,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29,711,3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23,832,1</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53,543,5</w:t>
            </w:r>
          </w:p>
        </w:tc>
      </w:tr>
      <w:tr>
        <w:trPr>
          <w:trHeight w:val="288"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基金合</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06.94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146.18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953.12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65.90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990.41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956.31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059.76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w:t>
            </w:r>
          </w:p>
        </w:tc>
      </w:tr>
      <w:tr>
        <w:trPr>
          <w:trHeight w:val="32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徐州走盛五 洋智能装备 产业基金合 伙企业（有限 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73,274,184.0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8,547,421.67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8,547,421.67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29,778,772.6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60,125,059.2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9,097,722.45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9,097,722.45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25,427,174.8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tabs>
          <w:tab w:pos="493" w:val="left"/>
        </w:tabs>
        <w:bidi w:val="0"/>
        <w:spacing w:before="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31"/>
      <w:bookmarkEnd w:id="1732"/>
      <w:bookmarkEnd w:id="1734"/>
    </w:p>
    <w:p>
      <w:pPr>
        <w:pStyle w:val="Style28"/>
        <w:keepNext/>
        <w:keepLines/>
        <w:widowControl w:val="0"/>
        <w:shd w:val="clear" w:color="auto" w:fill="auto"/>
        <w:tabs>
          <w:tab w:pos="493" w:val="left"/>
        </w:tabs>
        <w:bidi w:val="0"/>
        <w:spacing w:before="0" w:line="240" w:lineRule="auto"/>
        <w:ind w:left="0" w:right="0" w:firstLine="0"/>
        <w:jc w:val="left"/>
      </w:pPr>
      <w:bookmarkStart w:id="1731" w:name="bookmark1731"/>
      <w:bookmarkStart w:id="1732" w:name="bookmark1732"/>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31"/>
      <w:bookmarkEnd w:id="1732"/>
      <w:bookmarkEnd w:id="1736"/>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2</w:t>
      </w:r>
      <w:bookmarkEnd w:id="1739"/>
      <w:r>
        <w:rPr>
          <w:color w:val="000000"/>
          <w:spacing w:val="0"/>
          <w:w w:val="100"/>
          <w:position w:val="0"/>
        </w:rPr>
        <w:t>、在子公司的所有者权益份额发生变化且仍控制子公司的交易</w:t>
      </w:r>
      <w:bookmarkEnd w:id="1737"/>
      <w:bookmarkEnd w:id="1738"/>
      <w:bookmarkEnd w:id="1740"/>
    </w:p>
    <w:p>
      <w:pPr>
        <w:pStyle w:val="Style28"/>
        <w:keepNext/>
        <w:keepLines/>
        <w:widowControl w:val="0"/>
        <w:shd w:val="clear" w:color="auto" w:fill="auto"/>
        <w:tabs>
          <w:tab w:pos="433" w:val="left"/>
        </w:tabs>
        <w:bidi w:val="0"/>
        <w:spacing w:before="0" w:after="240" w:line="240" w:lineRule="auto"/>
        <w:ind w:left="0" w:right="0" w:firstLine="0"/>
        <w:jc w:val="left"/>
      </w:pPr>
      <w:bookmarkStart w:id="1737" w:name="bookmark1737"/>
      <w:bookmarkStart w:id="1738" w:name="bookmark1738"/>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37"/>
      <w:bookmarkEnd w:id="1738"/>
      <w:bookmarkEnd w:id="1742"/>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日召开第二届董事会第十六次会议审议通过了《关于支付现金收购北京华逸奇科贸有限公司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 权并对其增资的议案》，公司与自然人王爱珍、马立基、程志俐共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人签署了《关于北京华逸奇科贸有限公司之股权转让协 议》和《关于北京华逸奇科贸有限公司之股权转让之盈利补偿协议》，公司通过支付现金方式以人民币</w:t>
      </w:r>
      <w:r>
        <w:rPr>
          <w:rFonts w:ascii="Times New Roman" w:eastAsia="Times New Roman" w:hAnsi="Times New Roman" w:cs="Times New Roman"/>
          <w:color w:val="000000"/>
          <w:spacing w:val="0"/>
          <w:w w:val="100"/>
          <w:position w:val="0"/>
          <w:sz w:val="18"/>
          <w:szCs w:val="18"/>
        </w:rPr>
        <w:t>2,075</w:t>
      </w:r>
      <w:r>
        <w:rPr>
          <w:color w:val="000000"/>
          <w:spacing w:val="0"/>
          <w:w w:val="100"/>
          <w:position w:val="0"/>
        </w:rPr>
        <w:t>万元收购王爱 珍、马立基、程志俐共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人合计持有的北京华逸奇科贸有限公司（以下简称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华逸奇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的股权，股权转让完成及公司增 资后，公司持有华逸奇</w:t>
      </w:r>
      <w:r>
        <w:rPr>
          <w:rFonts w:ascii="Times New Roman" w:eastAsia="Times New Roman" w:hAnsi="Times New Roman" w:cs="Times New Roman"/>
          <w:color w:val="000000"/>
          <w:spacing w:val="0"/>
          <w:w w:val="100"/>
          <w:position w:val="0"/>
          <w:sz w:val="18"/>
          <w:szCs w:val="18"/>
        </w:rPr>
        <w:t>60.80%</w:t>
      </w:r>
      <w:r>
        <w:rPr>
          <w:color w:val="000000"/>
          <w:spacing w:val="0"/>
          <w:w w:val="100"/>
          <w:position w:val="0"/>
        </w:rPr>
        <w:t>的股权，为华逸奇控股股东。</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公司与自然人王爱珍、马立基、程志俐共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人签署了《关于北京华逸奇科贸有限公司之股权转让协议》和《关于北京华 逸奇科贸有限公司之股权转让之盈利补偿协议》，约定华逸奇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年合并口径预 测归属于母公司所有的净利润分别为</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615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668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732</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741</w:t>
      </w:r>
      <w:r>
        <w:rPr>
          <w:color w:val="000000"/>
          <w:spacing w:val="0"/>
          <w:w w:val="100"/>
          <w:position w:val="0"/>
        </w:rPr>
        <w:t>万元，业绩承诺主体承诺，华逸奇合 并报表口径下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年五年累计实现归属于母公司净利润将不低于</w:t>
      </w:r>
      <w:r>
        <w:rPr>
          <w:rFonts w:ascii="Times New Roman" w:eastAsia="Times New Roman" w:hAnsi="Times New Roman" w:cs="Times New Roman"/>
          <w:color w:val="000000"/>
          <w:spacing w:val="0"/>
          <w:w w:val="100"/>
          <w:position w:val="0"/>
          <w:sz w:val="18"/>
          <w:szCs w:val="18"/>
        </w:rPr>
        <w:t>3,306</w:t>
      </w:r>
      <w:r>
        <w:rPr>
          <w:color w:val="000000"/>
          <w:spacing w:val="0"/>
          <w:w w:val="100"/>
          <w:position w:val="0"/>
        </w:rPr>
        <w:t>万元。</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根据天健会计师事务所（特殊普通合伙）于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日出具的《关于北京华逸奇科贸有限公司业绩承诺完成情况的 鉴证报告》（天健审</w:t>
      </w:r>
      <w:r>
        <w:rPr>
          <w:rFonts w:ascii="Times New Roman" w:eastAsia="Times New Roman" w:hAnsi="Times New Roman" w:cs="Times New Roman"/>
          <w:color w:val="000000"/>
          <w:spacing w:val="0"/>
          <w:w w:val="100"/>
          <w:position w:val="0"/>
          <w:sz w:val="18"/>
          <w:szCs w:val="18"/>
        </w:rPr>
        <w:t>[2021]4314</w:t>
      </w:r>
      <w:r>
        <w:rPr>
          <w:color w:val="000000"/>
          <w:spacing w:val="0"/>
          <w:w w:val="100"/>
          <w:position w:val="0"/>
        </w:rPr>
        <w:t>号），华逸奇业绩承诺期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年度经审计的扣除非经常性损益后归属于母公司 股东的净利润累计为</w:t>
      </w:r>
      <w:r>
        <w:rPr>
          <w:rFonts w:ascii="Times New Roman" w:eastAsia="Times New Roman" w:hAnsi="Times New Roman" w:cs="Times New Roman"/>
          <w:color w:val="000000"/>
          <w:spacing w:val="0"/>
          <w:w w:val="100"/>
          <w:position w:val="0"/>
          <w:sz w:val="18"/>
          <w:szCs w:val="18"/>
        </w:rPr>
        <w:t>-489.17</w:t>
      </w:r>
      <w:r>
        <w:rPr>
          <w:color w:val="000000"/>
          <w:spacing w:val="0"/>
          <w:w w:val="100"/>
          <w:position w:val="0"/>
        </w:rPr>
        <w:t>万元，未完成业绩承诺。</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根据《盈利补偿协议》的约定及经双方协商同意，业绩承诺主体向公司支付补偿款的方式为股权抵偿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现金补偿。根据 沃克森（北京）国际资产评估有限公司于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沃克森国际评报字（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《江苏五洋停车产 业集团股份有限公司拟对北京华逸奇科贸有限公司股东全部权益进行减值测试涉及的北京华逸奇科贸有限股东全部权益市 场价值资产评估项目资产评估报告》，确认的华逸奇股东全部权益</w:t>
      </w:r>
      <w:r>
        <w:rPr>
          <w:rFonts w:ascii="Times New Roman" w:eastAsia="Times New Roman" w:hAnsi="Times New Roman" w:cs="Times New Roman"/>
          <w:color w:val="000000"/>
          <w:spacing w:val="0"/>
          <w:w w:val="100"/>
          <w:position w:val="0"/>
          <w:sz w:val="18"/>
          <w:szCs w:val="18"/>
        </w:rPr>
        <w:t>3,714.94</w:t>
      </w:r>
      <w:r>
        <w:rPr>
          <w:color w:val="000000"/>
          <w:spacing w:val="0"/>
          <w:w w:val="100"/>
          <w:position w:val="0"/>
        </w:rPr>
        <w:t>万元（截至评估基准日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日）计算， 业绩承诺主体持有的华逸奇</w:t>
      </w:r>
      <w:r>
        <w:rPr>
          <w:rFonts w:ascii="Times New Roman" w:eastAsia="Times New Roman" w:hAnsi="Times New Roman" w:cs="Times New Roman"/>
          <w:color w:val="000000"/>
          <w:spacing w:val="0"/>
          <w:w w:val="100"/>
          <w:position w:val="0"/>
          <w:sz w:val="18"/>
          <w:szCs w:val="18"/>
        </w:rPr>
        <w:t>39.2%</w:t>
      </w:r>
      <w:r>
        <w:rPr>
          <w:color w:val="000000"/>
          <w:spacing w:val="0"/>
          <w:w w:val="100"/>
          <w:position w:val="0"/>
        </w:rPr>
        <w:t>股权对应的权益价值为</w:t>
      </w:r>
      <w:r>
        <w:rPr>
          <w:rFonts w:ascii="Times New Roman" w:eastAsia="Times New Roman" w:hAnsi="Times New Roman" w:cs="Times New Roman"/>
          <w:color w:val="000000"/>
          <w:spacing w:val="0"/>
          <w:w w:val="100"/>
          <w:position w:val="0"/>
          <w:sz w:val="18"/>
          <w:szCs w:val="18"/>
        </w:rPr>
        <w:t>1,456.26</w:t>
      </w:r>
      <w:r>
        <w:rPr>
          <w:color w:val="000000"/>
          <w:spacing w:val="0"/>
          <w:w w:val="100"/>
          <w:position w:val="0"/>
        </w:rPr>
        <w:t>万元，用以抵偿补偿款</w:t>
      </w:r>
      <w:r>
        <w:rPr>
          <w:rFonts w:ascii="Times New Roman" w:eastAsia="Times New Roman" w:hAnsi="Times New Roman" w:cs="Times New Roman"/>
          <w:color w:val="000000"/>
          <w:spacing w:val="0"/>
          <w:w w:val="100"/>
          <w:position w:val="0"/>
          <w:sz w:val="18"/>
          <w:szCs w:val="18"/>
        </w:rPr>
        <w:t>1,456.26</w:t>
      </w:r>
      <w:r>
        <w:rPr>
          <w:color w:val="000000"/>
          <w:spacing w:val="0"/>
          <w:w w:val="100"/>
          <w:position w:val="0"/>
        </w:rPr>
        <w:t>万元。</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北京华逸奇科贸有限公司于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日完成股权变更登记手续，变更完成后，公司持有北京华逸奇科贸有限公司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17"/>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根据沃克森（北京）国际资产评估有限公司于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沃克森国际评报字（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0596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《江苏五洋 停车产业集团股份有限公司拟了解北京华逸奇科贸有限公司股权涉及的股东全部权益价值项目资产评估报告》，确认的华逸 奇股东全部权益</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,285.15</w:t>
      </w:r>
      <w:r>
        <w:rPr>
          <w:color w:val="000000"/>
          <w:spacing w:val="0"/>
          <w:w w:val="100"/>
          <w:position w:val="0"/>
        </w:rPr>
        <w:t>万元（截至评估基准日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日）计算，北京华逸奇科贸有限公司</w:t>
      </w:r>
      <w:r>
        <w:rPr>
          <w:rFonts w:ascii="Times New Roman" w:eastAsia="Times New Roman" w:hAnsi="Times New Roman" w:cs="Times New Roman"/>
          <w:color w:val="000000"/>
          <w:spacing w:val="0"/>
          <w:w w:val="100"/>
          <w:position w:val="0"/>
          <w:sz w:val="18"/>
          <w:szCs w:val="18"/>
        </w:rPr>
        <w:t>39.2%</w:t>
      </w:r>
      <w:r>
        <w:rPr>
          <w:color w:val="000000"/>
          <w:spacing w:val="0"/>
          <w:w w:val="100"/>
          <w:position w:val="0"/>
        </w:rPr>
        <w:t>股权对应的权益价值 为</w:t>
      </w:r>
      <w:r>
        <w:rPr>
          <w:rFonts w:ascii="Times New Roman" w:eastAsia="Times New Roman" w:hAnsi="Times New Roman" w:cs="Times New Roman"/>
          <w:color w:val="000000"/>
          <w:spacing w:val="0"/>
          <w:w w:val="100"/>
          <w:position w:val="0"/>
          <w:sz w:val="18"/>
          <w:szCs w:val="18"/>
        </w:rPr>
        <w:t>895.78</w:t>
      </w:r>
      <w:r>
        <w:rPr>
          <w:color w:val="000000"/>
          <w:spacing w:val="0"/>
          <w:w w:val="100"/>
          <w:position w:val="0"/>
        </w:rPr>
        <w:t>万元。</w:t>
      </w:r>
    </w:p>
    <w:p>
      <w:pPr>
        <w:pStyle w:val="Style28"/>
        <w:keepNext/>
        <w:keepLines/>
        <w:widowControl w:val="0"/>
        <w:shd w:val="clear" w:color="auto" w:fill="auto"/>
        <w:tabs>
          <w:tab w:pos="433" w:val="left"/>
        </w:tabs>
        <w:bidi w:val="0"/>
        <w:spacing w:before="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43"/>
      <w:bookmarkEnd w:id="1744"/>
      <w:bookmarkEnd w:id="174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北京华逸奇科贸有限公司</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8,957,784.27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8,957,784.27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6,595,228.62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2,362,555.65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2,362,555.65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8"/>
        <w:keepNext/>
        <w:keepLines/>
        <w:widowControl w:val="0"/>
        <w:shd w:val="clear" w:color="auto" w:fill="auto"/>
        <w:bidi w:val="0"/>
        <w:spacing w:before="0" w:line="240" w:lineRule="auto"/>
        <w:ind w:left="0" w:right="0" w:firstLine="0"/>
        <w:jc w:val="both"/>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3</w:t>
      </w:r>
      <w:bookmarkEnd w:id="1749"/>
      <w:r>
        <w:rPr>
          <w:color w:val="000000"/>
          <w:spacing w:val="0"/>
          <w:w w:val="100"/>
          <w:position w:val="0"/>
        </w:rPr>
        <w:t>、在合营安排或联营企业中的权益</w:t>
      </w:r>
      <w:bookmarkEnd w:id="1747"/>
      <w:bookmarkEnd w:id="1748"/>
      <w:bookmarkEnd w:id="1750"/>
    </w:p>
    <w:p>
      <w:pPr>
        <w:pStyle w:val="Style28"/>
        <w:keepNext/>
        <w:keepLines/>
        <w:widowControl w:val="0"/>
        <w:shd w:val="clear" w:color="auto" w:fill="auto"/>
        <w:bidi w:val="0"/>
        <w:spacing w:before="0" w:after="340" w:line="240" w:lineRule="auto"/>
        <w:ind w:left="0" w:right="0" w:firstLine="0"/>
        <w:jc w:val="both"/>
      </w:pPr>
      <w:bookmarkStart w:id="1747" w:name="bookmark1747"/>
      <w:bookmarkStart w:id="1748" w:name="bookmark1748"/>
      <w:bookmarkStart w:id="1751" w:name="bookmark17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47"/>
      <w:bookmarkEnd w:id="1748"/>
      <w:bookmarkEnd w:id="1751"/>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福建比硕停车运 营股份有限公司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重庆鸿达智慧城 市发展有限公司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长安停车（西安）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widowControl w:val="0"/>
        <w:spacing w:after="39" w:line="1" w:lineRule="exact"/>
      </w:pPr>
    </w:p>
    <w:p>
      <w:pPr>
        <w:pStyle w:val="Style17"/>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本公司持有重庆鸿达智慧城市发展有限公司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的股权份额，根据该公司章程约定，股东会会议由股东按照认缴出资比 例行使表决权</w:t>
      </w:r>
      <w:r>
        <w:rPr>
          <w:color w:val="000000"/>
          <w:spacing w:val="0"/>
          <w:w w:val="100"/>
          <w:position w:val="0"/>
          <w:sz w:val="18"/>
          <w:szCs w:val="18"/>
        </w:rPr>
        <w:t>，</w:t>
      </w:r>
      <w:r>
        <w:rPr>
          <w:color w:val="000000"/>
          <w:spacing w:val="0"/>
          <w:w w:val="100"/>
          <w:position w:val="0"/>
        </w:rPr>
        <w:t>本公司委派董事，可以参与重庆鸿达智慧城市发展有限公司日常经营、对外投资等业务，故本公司实际对重 庆鸿达智慧城市发展有限公司具有重大影响。</w:t>
      </w:r>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8"/>
        <w:keepNext/>
        <w:keepLines/>
        <w:widowControl w:val="0"/>
        <w:shd w:val="clear" w:color="auto" w:fill="auto"/>
        <w:bidi w:val="0"/>
        <w:spacing w:before="0" w:line="240" w:lineRule="auto"/>
        <w:ind w:left="0" w:right="0" w:firstLine="0"/>
        <w:jc w:val="both"/>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52"/>
      <w:bookmarkEnd w:id="1753"/>
      <w:bookmarkEnd w:id="17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55"/>
      <w:bookmarkEnd w:id="1756"/>
      <w:bookmarkEnd w:id="175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right"/>
            </w:pPr>
            <w:r>
              <w:rPr>
                <w:color w:val="000000"/>
                <w:spacing w:val="0"/>
                <w:w w:val="100"/>
                <w:position w:val="0"/>
              </w:rPr>
              <w:t>福建比硕停车运 营股份有限公司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重庆鸿达智慧城 市发展有限公司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长安停车（西安） 有限公司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right"/>
            </w:pPr>
            <w:r>
              <w:rPr>
                <w:color w:val="000000"/>
                <w:spacing w:val="0"/>
                <w:w w:val="100"/>
                <w:position w:val="0"/>
              </w:rPr>
              <w:t>福建比硕停车运 营股份有限公司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right"/>
            </w:pPr>
            <w:r>
              <w:rPr>
                <w:color w:val="000000"/>
                <w:spacing w:val="0"/>
                <w:w w:val="100"/>
                <w:position w:val="0"/>
              </w:rPr>
              <w:t>重庆鸿达智慧城 市发展有限公司</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长安停车（西安） 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8,835,617.41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8,084,081.45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4,496,864.06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13,724,683.65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10,265,580.37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4,086,195.40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4,064,200.93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1,972,088.36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865,716.22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4,845,265.87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2,531,249.72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1,738,519.29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12,899,818.34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10,056,169.81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5,362,580.28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18,569,949.52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12,796,830.09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5,824,714.69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4,751,077.66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1,932,181.95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2,522,024.59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6,244,578.13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936,466.39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4,972,554.39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4,751,077.66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1,932,181.95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2,522,024.59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6,244,578.13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936,466.39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4,972,554.39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852,160.30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归属于母公司股 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8,209,446.01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7,936,693.76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2,840,555.69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12,384,740.12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11,784,397.93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182,617.95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2,462,833.80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793,669.38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608,690.50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3,715,422.03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1,178,439.79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182,617.95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 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对联营企业权益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投资的账面价值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2,462,833.80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1,484,698.73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608,690.50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3,715,422.03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1,869,469.15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1,244,391.49</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 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5,678,228.56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3,850,672.29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3,129,406.83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5,518,310.82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2,543,855.32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-2,782,331.67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-4,611,878.73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-3,736,375.84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-2,129,733.73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-6,011,519.24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-3,189,874.30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-2,782,331.67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终止经营的净利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-4,611,878.73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-3,736,375.84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-2,129,733.73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-6,011,519.24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-3,189,874.30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-2,782,331.67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本年度收到的来 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59"/>
      <w:bookmarkEnd w:id="1760"/>
      <w:bookmarkEnd w:id="176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tabs>
          <w:tab w:pos="493" w:val="left"/>
        </w:tabs>
        <w:bidi w:val="0"/>
        <w:spacing w:before="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63"/>
      <w:bookmarkEnd w:id="1764"/>
      <w:bookmarkEnd w:id="1766"/>
    </w:p>
    <w:p>
      <w:pPr>
        <w:pStyle w:val="Style28"/>
        <w:keepNext/>
        <w:keepLines/>
        <w:widowControl w:val="0"/>
        <w:shd w:val="clear" w:color="auto" w:fill="auto"/>
        <w:tabs>
          <w:tab w:pos="493" w:val="left"/>
        </w:tabs>
        <w:bidi w:val="0"/>
        <w:spacing w:before="0" w:line="240" w:lineRule="auto"/>
        <w:ind w:left="0" w:right="0" w:firstLine="0"/>
        <w:jc w:val="left"/>
      </w:pPr>
      <w:bookmarkStart w:id="1763" w:name="bookmark1763"/>
      <w:bookmarkStart w:id="1764" w:name="bookmark1764"/>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63"/>
      <w:bookmarkEnd w:id="1764"/>
      <w:bookmarkEnd w:id="176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numPr>
          <w:ilvl w:val="0"/>
          <w:numId w:val="33"/>
        </w:numPr>
        <w:shd w:val="clear" w:color="auto" w:fill="auto"/>
        <w:tabs>
          <w:tab w:pos="618" w:val="left"/>
        </w:tabs>
        <w:bidi w:val="0"/>
        <w:spacing w:before="0" w:after="36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与合营企业投资相关的未确认承诺</w:t>
      </w:r>
      <w:bookmarkEnd w:id="1769"/>
      <w:bookmarkEnd w:id="1770"/>
      <w:bookmarkEnd w:id="1772"/>
    </w:p>
    <w:p>
      <w:pPr>
        <w:pStyle w:val="Style28"/>
        <w:keepNext/>
        <w:keepLines/>
        <w:widowControl w:val="0"/>
        <w:numPr>
          <w:ilvl w:val="0"/>
          <w:numId w:val="33"/>
        </w:numPr>
        <w:shd w:val="clear" w:color="auto" w:fill="auto"/>
        <w:tabs>
          <w:tab w:pos="618" w:val="left"/>
        </w:tabs>
        <w:bidi w:val="0"/>
        <w:spacing w:before="0" w:after="360" w:line="240" w:lineRule="auto"/>
        <w:ind w:left="0" w:right="0" w:firstLine="0"/>
        <w:jc w:val="left"/>
      </w:pPr>
      <w:bookmarkStart w:id="1769" w:name="bookmark1769"/>
      <w:bookmarkStart w:id="1770" w:name="bookmark1770"/>
      <w:bookmarkStart w:id="1773" w:name="bookmark1773"/>
      <w:bookmarkStart w:id="1774" w:name="bookmark1774"/>
      <w:bookmarkEnd w:id="1773"/>
      <w:r>
        <w:rPr>
          <w:color w:val="000000"/>
          <w:spacing w:val="0"/>
          <w:w w:val="100"/>
          <w:position w:val="0"/>
        </w:rPr>
        <w:t>与合营企业或联营企业投资相关的或有负债</w:t>
      </w:r>
      <w:bookmarkEnd w:id="1769"/>
      <w:bookmarkEnd w:id="1770"/>
      <w:bookmarkEnd w:id="1774"/>
    </w:p>
    <w:p>
      <w:pPr>
        <w:pStyle w:val="Style28"/>
        <w:keepNext/>
        <w:keepLines/>
        <w:widowControl w:val="0"/>
        <w:shd w:val="clear" w:color="auto" w:fill="auto"/>
        <w:bidi w:val="0"/>
        <w:spacing w:before="0" w:after="360" w:line="240" w:lineRule="auto"/>
        <w:ind w:left="0" w:right="0" w:firstLine="0"/>
        <w:jc w:val="left"/>
      </w:pPr>
      <w:bookmarkStart w:id="1769" w:name="bookmark1769"/>
      <w:bookmarkStart w:id="1770" w:name="bookmark1770"/>
      <w:bookmarkStart w:id="1775" w:name="bookmark1775"/>
      <w:bookmarkStart w:id="1776" w:name="bookmark1776"/>
      <w:r>
        <w:rPr>
          <w:rFonts w:ascii="Times New Roman" w:eastAsia="Times New Roman" w:hAnsi="Times New Roman" w:cs="Times New Roman"/>
          <w:color w:val="000000"/>
          <w:spacing w:val="0"/>
          <w:w w:val="100"/>
          <w:position w:val="0"/>
        </w:rPr>
        <w:t>4</w:t>
      </w:r>
      <w:bookmarkEnd w:id="1775"/>
      <w:r>
        <w:rPr>
          <w:color w:val="000000"/>
          <w:spacing w:val="0"/>
          <w:w w:val="100"/>
          <w:position w:val="0"/>
        </w:rPr>
        <w:t>、重要的共同经营</w:t>
      </w:r>
      <w:bookmarkEnd w:id="1769"/>
      <w:bookmarkEnd w:id="1770"/>
      <w:bookmarkEnd w:id="1776"/>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5</w:t>
      </w:r>
      <w:bookmarkEnd w:id="1779"/>
      <w:r>
        <w:rPr>
          <w:color w:val="000000"/>
          <w:spacing w:val="0"/>
          <w:w w:val="100"/>
          <w:position w:val="0"/>
        </w:rPr>
        <w:t>、</w:t>
        <w:tab/>
        <w:t>在未纳入合并财务报表范围的结构化主体中的权益</w:t>
      </w:r>
      <w:bookmarkEnd w:id="1777"/>
      <w:bookmarkEnd w:id="1778"/>
      <w:bookmarkEnd w:id="1780"/>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未纳入合并财务报表范围的结构化主体的相关说明：</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6</w:t>
      </w:r>
      <w:bookmarkEnd w:id="1783"/>
      <w:r>
        <w:rPr>
          <w:color w:val="000000"/>
          <w:spacing w:val="0"/>
          <w:w w:val="100"/>
          <w:position w:val="0"/>
        </w:rPr>
        <w:t>、</w:t>
        <w:tab/>
        <w:t>其他</w:t>
      </w:r>
      <w:bookmarkEnd w:id="1781"/>
      <w:bookmarkEnd w:id="1782"/>
      <w:bookmarkEnd w:id="1784"/>
    </w:p>
    <w:p>
      <w:pPr>
        <w:pStyle w:val="Style24"/>
        <w:keepNext/>
        <w:keepLines/>
        <w:widowControl w:val="0"/>
        <w:shd w:val="clear" w:color="auto" w:fill="auto"/>
        <w:bidi w:val="0"/>
        <w:spacing w:before="0" w:after="260" w:line="240" w:lineRule="auto"/>
        <w:ind w:left="0" w:right="0" w:firstLine="0"/>
        <w:jc w:val="left"/>
      </w:pPr>
      <w:bookmarkStart w:id="1785" w:name="bookmark1785"/>
      <w:bookmarkStart w:id="1786" w:name="bookmark1786"/>
      <w:bookmarkStart w:id="1787" w:name="bookmark1787"/>
      <w:r>
        <w:rPr>
          <w:color w:val="000000"/>
          <w:spacing w:val="0"/>
          <w:w w:val="100"/>
          <w:position w:val="0"/>
        </w:rPr>
        <w:t>十、与金融工具相关的风险</w:t>
      </w:r>
      <w:bookmarkEnd w:id="1785"/>
      <w:bookmarkEnd w:id="1786"/>
      <w:bookmarkEnd w:id="1787"/>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本公司从事风险管理的目标是在风险和收益之间取得平衡，将风险对本公司经营业绩的负面影响降至最低水平，使股东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1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本公司在日常活动中面临各种与金融工具相关的风险，主要包括信用风险、流动性风险及市场风险。管理层已审议并批 准管理这些风险的政策，概括如下。</w:t>
      </w:r>
    </w:p>
    <w:p>
      <w:pPr>
        <w:pStyle w:val="Style17"/>
        <w:keepNext w:val="0"/>
        <w:keepLines w:val="0"/>
        <w:widowControl w:val="0"/>
        <w:numPr>
          <w:ilvl w:val="0"/>
          <w:numId w:val="35"/>
        </w:numPr>
        <w:shd w:val="clear" w:color="auto" w:fill="auto"/>
        <w:bidi w:val="0"/>
        <w:spacing w:before="0" w:after="0" w:line="360" w:lineRule="auto"/>
        <w:ind w:left="0" w:right="0" w:firstLine="380"/>
        <w:jc w:val="both"/>
      </w:pPr>
      <w:bookmarkStart w:id="1788" w:name="bookmark1788"/>
      <w:bookmarkEnd w:id="1788"/>
      <w:r>
        <w:rPr>
          <w:color w:val="000000"/>
          <w:spacing w:val="0"/>
          <w:w w:val="100"/>
          <w:position w:val="0"/>
        </w:rPr>
        <w:t>信用风险</w:t>
      </w:r>
    </w:p>
    <w:p>
      <w:pPr>
        <w:pStyle w:val="Style17"/>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信用风险，是指金融工具的一方不能履行义务，造成另一方发生财务损失的风险。</w:t>
      </w:r>
    </w:p>
    <w:p>
      <w:pPr>
        <w:pStyle w:val="Style17"/>
        <w:keepNext w:val="0"/>
        <w:keepLines w:val="0"/>
        <w:widowControl w:val="0"/>
        <w:numPr>
          <w:ilvl w:val="0"/>
          <w:numId w:val="37"/>
        </w:numPr>
        <w:shd w:val="clear" w:color="auto" w:fill="auto"/>
        <w:bidi w:val="0"/>
        <w:spacing w:before="0" w:after="0" w:line="360" w:lineRule="auto"/>
        <w:ind w:left="0" w:right="0" w:firstLine="380"/>
        <w:jc w:val="both"/>
      </w:pPr>
      <w:bookmarkStart w:id="1789" w:name="bookmark1789"/>
      <w:bookmarkEnd w:id="1789"/>
      <w:r>
        <w:rPr>
          <w:color w:val="000000"/>
          <w:spacing w:val="0"/>
          <w:w w:val="100"/>
          <w:position w:val="0"/>
        </w:rPr>
        <w:t>信用风险管理实务</w:t>
      </w:r>
    </w:p>
    <w:p>
      <w:pPr>
        <w:pStyle w:val="Style17"/>
        <w:keepNext w:val="0"/>
        <w:keepLines w:val="0"/>
        <w:widowControl w:val="0"/>
        <w:numPr>
          <w:ilvl w:val="0"/>
          <w:numId w:val="39"/>
        </w:numPr>
        <w:shd w:val="clear" w:color="auto" w:fill="auto"/>
        <w:tabs>
          <w:tab w:pos="786" w:val="left"/>
        </w:tabs>
        <w:bidi w:val="0"/>
        <w:spacing w:before="0" w:after="0" w:line="360" w:lineRule="auto"/>
        <w:ind w:left="0" w:right="0" w:firstLine="380"/>
        <w:jc w:val="both"/>
      </w:pPr>
      <w:bookmarkStart w:id="1790" w:name="bookmark1790"/>
      <w:bookmarkEnd w:id="1790"/>
      <w:r>
        <w:rPr>
          <w:color w:val="000000"/>
          <w:spacing w:val="0"/>
          <w:w w:val="100"/>
          <w:position w:val="0"/>
        </w:rPr>
        <w:t>信用风险的评价方法</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公司在每个资产负债表日评估相关金融工具的信用风险自初始确认后是否已显著增加。在确定信用风险自初始确认后是 否显著增加时，公司考虑在无须付出不必要的额外成本或努力即可获得合理且有依据的信息，包括基于历史数据的定性和定 量分析、外部信用风险评级以及前瞻性信息。公司以单项金融工具或者具有相似信用风险特征的金融工具组合为基础，通过 比较金融工具在资产负债表日发生违约的风险与在初始确认日发生违约的风险，以确定金融工具预计存续期内发生违约风险 的变化情况。</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当触发以下一个或多个定量、定性标准时，公司认为金融工具的信用风险已发生显著增加：</w:t>
      </w:r>
    </w:p>
    <w:p>
      <w:pPr>
        <w:pStyle w:val="Style17"/>
        <w:keepNext w:val="0"/>
        <w:keepLines w:val="0"/>
        <w:widowControl w:val="0"/>
        <w:numPr>
          <w:ilvl w:val="0"/>
          <w:numId w:val="41"/>
        </w:numPr>
        <w:shd w:val="clear" w:color="auto" w:fill="auto"/>
        <w:tabs>
          <w:tab w:pos="753" w:val="left"/>
        </w:tabs>
        <w:bidi w:val="0"/>
        <w:spacing w:before="0" w:after="0" w:line="312" w:lineRule="exact"/>
        <w:ind w:left="0" w:right="0" w:firstLine="380"/>
        <w:jc w:val="both"/>
      </w:pPr>
      <w:bookmarkStart w:id="1791" w:name="bookmark1791"/>
      <w:bookmarkEnd w:id="1791"/>
      <w:r>
        <w:rPr>
          <w:color w:val="000000"/>
          <w:spacing w:val="0"/>
          <w:w w:val="100"/>
          <w:position w:val="0"/>
        </w:rPr>
        <w:t>定量标准主要为资产负债表日剩余存续期违约概率较初始确认时上升超过一定比例；</w:t>
      </w:r>
    </w:p>
    <w:p>
      <w:pPr>
        <w:pStyle w:val="Style17"/>
        <w:keepNext w:val="0"/>
        <w:keepLines w:val="0"/>
        <w:widowControl w:val="0"/>
        <w:numPr>
          <w:ilvl w:val="0"/>
          <w:numId w:val="41"/>
        </w:numPr>
        <w:shd w:val="clear" w:color="auto" w:fill="auto"/>
        <w:tabs>
          <w:tab w:pos="733" w:val="left"/>
        </w:tabs>
        <w:bidi w:val="0"/>
        <w:spacing w:before="0" w:after="120" w:line="312" w:lineRule="exact"/>
        <w:ind w:left="0" w:right="0" w:firstLine="380"/>
        <w:jc w:val="both"/>
      </w:pPr>
      <w:bookmarkStart w:id="1792" w:name="bookmark1792"/>
      <w:bookmarkEnd w:id="1792"/>
      <w:r>
        <w:rPr>
          <w:color w:val="000000"/>
          <w:spacing w:val="0"/>
          <w:w w:val="100"/>
          <w:position w:val="0"/>
        </w:rPr>
        <w:t>定性标准主要为债务人经营或财务情况出现重大不利变化、现存的或预期的技术、市场、经济或法律环境变化并将 对债务人对公司的还款能力产生重大不利影响等。</w:t>
      </w:r>
    </w:p>
    <w:p>
      <w:pPr>
        <w:pStyle w:val="Style17"/>
        <w:keepNext w:val="0"/>
        <w:keepLines w:val="0"/>
        <w:widowControl w:val="0"/>
        <w:numPr>
          <w:ilvl w:val="0"/>
          <w:numId w:val="39"/>
        </w:numPr>
        <w:shd w:val="clear" w:color="auto" w:fill="auto"/>
        <w:tabs>
          <w:tab w:pos="786" w:val="left"/>
        </w:tabs>
        <w:bidi w:val="0"/>
        <w:spacing w:before="0" w:after="0" w:line="360" w:lineRule="auto"/>
        <w:ind w:left="0" w:right="0" w:firstLine="380"/>
        <w:jc w:val="both"/>
      </w:pPr>
      <w:bookmarkStart w:id="1793" w:name="bookmark1793"/>
      <w:bookmarkEnd w:id="1793"/>
      <w:r>
        <w:rPr>
          <w:color w:val="000000"/>
          <w:spacing w:val="0"/>
          <w:w w:val="100"/>
          <w:position w:val="0"/>
        </w:rPr>
        <w:t>违约和已发生信用减值资产的定义</w:t>
      </w:r>
    </w:p>
    <w:p>
      <w:pPr>
        <w:pStyle w:val="Style1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当金融工具符合以下一项或多项条件时，公司将该金融资产界定为已发生违约，其标准与已发生信用减值的定义一致：</w:t>
      </w:r>
    </w:p>
    <w:p>
      <w:pPr>
        <w:pStyle w:val="Style17"/>
        <w:keepNext w:val="0"/>
        <w:keepLines w:val="0"/>
        <w:widowControl w:val="0"/>
        <w:numPr>
          <w:ilvl w:val="0"/>
          <w:numId w:val="43"/>
        </w:numPr>
        <w:shd w:val="clear" w:color="auto" w:fill="auto"/>
        <w:tabs>
          <w:tab w:pos="753" w:val="left"/>
        </w:tabs>
        <w:bidi w:val="0"/>
        <w:spacing w:before="0" w:after="0" w:line="312" w:lineRule="exact"/>
        <w:ind w:left="0" w:right="0" w:firstLine="380"/>
        <w:jc w:val="both"/>
      </w:pPr>
      <w:bookmarkStart w:id="1794" w:name="bookmark1794"/>
      <w:bookmarkEnd w:id="1794"/>
      <w:r>
        <w:rPr>
          <w:color w:val="000000"/>
          <w:spacing w:val="0"/>
          <w:w w:val="100"/>
          <w:position w:val="0"/>
        </w:rPr>
        <w:t>债务人发生重大财务困难；</w:t>
      </w:r>
    </w:p>
    <w:p>
      <w:pPr>
        <w:pStyle w:val="Style17"/>
        <w:keepNext w:val="0"/>
        <w:keepLines w:val="0"/>
        <w:widowControl w:val="0"/>
        <w:numPr>
          <w:ilvl w:val="0"/>
          <w:numId w:val="43"/>
        </w:numPr>
        <w:shd w:val="clear" w:color="auto" w:fill="auto"/>
        <w:tabs>
          <w:tab w:pos="753" w:val="left"/>
        </w:tabs>
        <w:bidi w:val="0"/>
        <w:spacing w:before="0" w:after="0" w:line="312" w:lineRule="exact"/>
        <w:ind w:left="0" w:right="0" w:firstLine="380"/>
        <w:jc w:val="both"/>
      </w:pPr>
      <w:bookmarkStart w:id="1795" w:name="bookmark1795"/>
      <w:bookmarkEnd w:id="1795"/>
      <w:r>
        <w:rPr>
          <w:color w:val="000000"/>
          <w:spacing w:val="0"/>
          <w:w w:val="100"/>
          <w:position w:val="0"/>
        </w:rPr>
        <w:t>债务人违反合同中对债务人的约束条款；</w:t>
      </w:r>
    </w:p>
    <w:p>
      <w:pPr>
        <w:pStyle w:val="Style17"/>
        <w:keepNext w:val="0"/>
        <w:keepLines w:val="0"/>
        <w:widowControl w:val="0"/>
        <w:numPr>
          <w:ilvl w:val="0"/>
          <w:numId w:val="43"/>
        </w:numPr>
        <w:shd w:val="clear" w:color="auto" w:fill="auto"/>
        <w:tabs>
          <w:tab w:pos="753" w:val="left"/>
        </w:tabs>
        <w:bidi w:val="0"/>
        <w:spacing w:before="0" w:after="0" w:line="312" w:lineRule="exact"/>
        <w:ind w:left="0" w:right="0" w:firstLine="380"/>
        <w:jc w:val="both"/>
      </w:pPr>
      <w:bookmarkStart w:id="1796" w:name="bookmark1796"/>
      <w:bookmarkEnd w:id="1796"/>
      <w:r>
        <w:rPr>
          <w:color w:val="000000"/>
          <w:spacing w:val="0"/>
          <w:w w:val="100"/>
          <w:position w:val="0"/>
        </w:rPr>
        <w:t>债务人很可能破产或进行其他财务重组；</w:t>
      </w:r>
    </w:p>
    <w:p>
      <w:pPr>
        <w:pStyle w:val="Style17"/>
        <w:keepNext w:val="0"/>
        <w:keepLines w:val="0"/>
        <w:widowControl w:val="0"/>
        <w:numPr>
          <w:ilvl w:val="0"/>
          <w:numId w:val="43"/>
        </w:numPr>
        <w:shd w:val="clear" w:color="auto" w:fill="auto"/>
        <w:tabs>
          <w:tab w:pos="753" w:val="left"/>
        </w:tabs>
        <w:bidi w:val="0"/>
        <w:spacing w:before="0" w:after="260" w:line="312" w:lineRule="exact"/>
        <w:ind w:left="0" w:right="0" w:firstLine="380"/>
        <w:jc w:val="both"/>
      </w:pPr>
      <w:bookmarkStart w:id="1797" w:name="bookmark1797"/>
      <w:bookmarkEnd w:id="1797"/>
      <w:r>
        <w:rPr>
          <w:color w:val="000000"/>
          <w:spacing w:val="0"/>
          <w:w w:val="100"/>
          <w:position w:val="0"/>
        </w:rPr>
        <w:t>债权人出于与债务人财务困难有关的经济或合同考虑，给予债务人在任何其他情况下都不会做出的让步。</w:t>
      </w:r>
    </w:p>
    <w:p>
      <w:pPr>
        <w:pStyle w:val="Style17"/>
        <w:keepNext w:val="0"/>
        <w:keepLines w:val="0"/>
        <w:widowControl w:val="0"/>
        <w:numPr>
          <w:ilvl w:val="0"/>
          <w:numId w:val="37"/>
        </w:numPr>
        <w:shd w:val="clear" w:color="auto" w:fill="auto"/>
        <w:tabs>
          <w:tab w:pos="680" w:val="left"/>
        </w:tabs>
        <w:bidi w:val="0"/>
        <w:spacing w:before="0" w:after="0" w:line="315" w:lineRule="exact"/>
        <w:ind w:left="0" w:right="0" w:firstLine="360"/>
        <w:jc w:val="both"/>
      </w:pPr>
      <w:bookmarkStart w:id="1798" w:name="bookmark1798"/>
      <w:bookmarkEnd w:id="1798"/>
      <w:r>
        <w:rPr>
          <w:color w:val="000000"/>
          <w:spacing w:val="0"/>
          <w:w w:val="100"/>
          <w:position w:val="0"/>
        </w:rPr>
        <w:t>预期信用损失的计量</w:t>
      </w:r>
    </w:p>
    <w:p>
      <w:pPr>
        <w:pStyle w:val="Style1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预期信用损失计量的关键参数包括违约概率、违约损失率和违约风险敞口。公司考虑历史统计数据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如交易对手评级、 担保方式及抵质押物类别、还款方式等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的定量分析及前瞻性信息，建立违约概率、违约损失率及违约风险敞口模型。</w:t>
      </w:r>
    </w:p>
    <w:p>
      <w:pPr>
        <w:pStyle w:val="Style17"/>
        <w:keepNext w:val="0"/>
        <w:keepLines w:val="0"/>
        <w:widowControl w:val="0"/>
        <w:numPr>
          <w:ilvl w:val="0"/>
          <w:numId w:val="37"/>
        </w:numPr>
        <w:shd w:val="clear" w:color="auto" w:fill="auto"/>
        <w:tabs>
          <w:tab w:pos="680" w:val="left"/>
        </w:tabs>
        <w:bidi w:val="0"/>
        <w:spacing w:before="0" w:after="0" w:line="315" w:lineRule="exact"/>
        <w:ind w:left="0" w:right="0" w:firstLine="360"/>
        <w:jc w:val="both"/>
      </w:pPr>
      <w:bookmarkStart w:id="1799" w:name="bookmark1799"/>
      <w:bookmarkEnd w:id="1799"/>
      <w:r>
        <w:rPr>
          <w:color w:val="000000"/>
          <w:spacing w:val="0"/>
          <w:w w:val="100"/>
          <w:position w:val="0"/>
        </w:rPr>
        <w:t>金融工具损失准备期初余额与期末余额变动情况详见附注六中各金融工具附注信息。</w:t>
      </w:r>
    </w:p>
    <w:p>
      <w:pPr>
        <w:pStyle w:val="Style17"/>
        <w:keepNext w:val="0"/>
        <w:keepLines w:val="0"/>
        <w:widowControl w:val="0"/>
        <w:numPr>
          <w:ilvl w:val="0"/>
          <w:numId w:val="37"/>
        </w:numPr>
        <w:shd w:val="clear" w:color="auto" w:fill="auto"/>
        <w:tabs>
          <w:tab w:pos="680" w:val="left"/>
        </w:tabs>
        <w:bidi w:val="0"/>
        <w:spacing w:before="0" w:after="0" w:line="315" w:lineRule="exact"/>
        <w:ind w:left="0" w:right="0" w:firstLine="360"/>
        <w:jc w:val="both"/>
      </w:pPr>
      <w:bookmarkStart w:id="1800" w:name="bookmark1800"/>
      <w:bookmarkEnd w:id="1800"/>
      <w:r>
        <w:rPr>
          <w:color w:val="000000"/>
          <w:spacing w:val="0"/>
          <w:w w:val="100"/>
          <w:position w:val="0"/>
        </w:rPr>
        <w:t>信用风险敞口及信用风险集中度</w:t>
      </w:r>
    </w:p>
    <w:p>
      <w:pPr>
        <w:pStyle w:val="Style17"/>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本公司的信用风险主要来自货币资金和应收款项。为控制上述相关风险，本公司分别采取了以下措施。</w:t>
      </w:r>
    </w:p>
    <w:p>
      <w:pPr>
        <w:pStyle w:val="Style17"/>
        <w:keepNext w:val="0"/>
        <w:keepLines w:val="0"/>
        <w:widowControl w:val="0"/>
        <w:shd w:val="clear" w:color="auto" w:fill="auto"/>
        <w:tabs>
          <w:tab w:pos="766" w:val="left"/>
        </w:tabs>
        <w:bidi w:val="0"/>
        <w:spacing w:before="0" w:after="0" w:line="360" w:lineRule="auto"/>
        <w:ind w:left="0" w:right="0" w:firstLine="360"/>
        <w:jc w:val="both"/>
      </w:pPr>
      <w:bookmarkStart w:id="1801" w:name="bookmark1801"/>
      <w:r>
        <w:rPr>
          <w:rFonts w:ascii="Times New Roman" w:eastAsia="Times New Roman" w:hAnsi="Times New Roman" w:cs="Times New Roman"/>
          <w:color w:val="000000"/>
          <w:spacing w:val="0"/>
          <w:w w:val="100"/>
          <w:position w:val="0"/>
          <w:sz w:val="18"/>
          <w:szCs w:val="18"/>
        </w:rPr>
        <w:t>（</w:t>
      </w:r>
      <w:bookmarkEnd w:id="1801"/>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货币资金</w:t>
      </w:r>
    </w:p>
    <w:p>
      <w:pPr>
        <w:pStyle w:val="Style17"/>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本公司将银行存款和其他货币资金存放于信用评级较高的金融机构，故其信用风险较低。</w:t>
      </w:r>
    </w:p>
    <w:p>
      <w:pPr>
        <w:pStyle w:val="Style17"/>
        <w:keepNext w:val="0"/>
        <w:keepLines w:val="0"/>
        <w:widowControl w:val="0"/>
        <w:shd w:val="clear" w:color="auto" w:fill="auto"/>
        <w:tabs>
          <w:tab w:pos="766" w:val="left"/>
        </w:tabs>
        <w:bidi w:val="0"/>
        <w:spacing w:before="0" w:after="0" w:line="360" w:lineRule="auto"/>
        <w:ind w:left="0" w:right="0" w:firstLine="360"/>
        <w:jc w:val="both"/>
      </w:pPr>
      <w:bookmarkStart w:id="1802" w:name="bookmark1802"/>
      <w:r>
        <w:rPr>
          <w:rFonts w:ascii="Times New Roman" w:eastAsia="Times New Roman" w:hAnsi="Times New Roman" w:cs="Times New Roman"/>
          <w:color w:val="000000"/>
          <w:spacing w:val="0"/>
          <w:w w:val="100"/>
          <w:position w:val="0"/>
          <w:sz w:val="18"/>
          <w:szCs w:val="18"/>
        </w:rPr>
        <w:t>（</w:t>
      </w:r>
      <w:bookmarkEnd w:id="1802"/>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应收款项</w:t>
      </w:r>
    </w:p>
    <w:p>
      <w:pPr>
        <w:pStyle w:val="Style1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本公司持续对采用信用方式交易的客户进行信用评估。根据信用评估结果，本公司选择与经认可的且信用良好的客户进 行交易，并对其应收款项余额进行监控，以确保本公司不会面临重大坏账风险。</w:t>
      </w:r>
    </w:p>
    <w:p>
      <w:pPr>
        <w:pStyle w:val="Style1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日，本公司应收账款的</w:t>
      </w:r>
      <w:r>
        <w:rPr>
          <w:rFonts w:ascii="Times New Roman" w:eastAsia="Times New Roman" w:hAnsi="Times New Roman" w:cs="Times New Roman"/>
          <w:color w:val="000000"/>
          <w:spacing w:val="0"/>
          <w:w w:val="100"/>
          <w:position w:val="0"/>
          <w:sz w:val="18"/>
          <w:szCs w:val="18"/>
        </w:rPr>
        <w:t>11.68%（2020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11.74%）</w:t>
      </w:r>
      <w:r>
        <w:rPr>
          <w:color w:val="000000"/>
          <w:spacing w:val="0"/>
          <w:w w:val="100"/>
          <w:position w:val="0"/>
        </w:rPr>
        <w:t>源于余额前五名客户，本公司对应收账款余额未持有其他担保物或其他信用增级，本公司不存在重大的 信用集中风险。</w:t>
      </w:r>
    </w:p>
    <w:p>
      <w:pPr>
        <w:pStyle w:val="Style1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本公司所承受的最大信用风险敞口为资产负债表中每项金融资产的账面价值。</w:t>
      </w:r>
    </w:p>
    <w:p>
      <w:pPr>
        <w:pStyle w:val="Style17"/>
        <w:keepNext w:val="0"/>
        <w:keepLines w:val="0"/>
        <w:widowControl w:val="0"/>
        <w:shd w:val="clear" w:color="auto" w:fill="auto"/>
        <w:bidi w:val="0"/>
        <w:spacing w:before="0" w:after="0" w:line="315" w:lineRule="exact"/>
        <w:ind w:left="0" w:right="0" w:firstLine="360"/>
        <w:jc w:val="both"/>
      </w:pPr>
      <w:bookmarkStart w:id="1803" w:name="bookmark1803"/>
      <w:r>
        <w:rPr>
          <w:rFonts w:ascii="Times New Roman" w:eastAsia="Times New Roman" w:hAnsi="Times New Roman" w:cs="Times New Roman"/>
          <w:color w:val="000000"/>
          <w:spacing w:val="0"/>
          <w:w w:val="100"/>
          <w:position w:val="0"/>
          <w:sz w:val="18"/>
          <w:szCs w:val="18"/>
        </w:rPr>
        <w:t>（</w:t>
      </w:r>
      <w:bookmarkEnd w:id="1803"/>
      <w:r>
        <w:rPr>
          <w:color w:val="000000"/>
          <w:spacing w:val="0"/>
          <w:w w:val="100"/>
          <w:position w:val="0"/>
        </w:rPr>
        <w:t>二</w:t>
      </w:r>
      <w:r>
        <w:rPr>
          <w:color w:val="000000"/>
          <w:spacing w:val="0"/>
          <w:w w:val="100"/>
          <w:position w:val="0"/>
          <w:sz w:val="18"/>
          <w:szCs w:val="18"/>
        </w:rPr>
        <w:t>）</w:t>
      </w:r>
      <w:r>
        <w:rPr>
          <w:color w:val="000000"/>
          <w:spacing w:val="0"/>
          <w:w w:val="100"/>
          <w:position w:val="0"/>
        </w:rPr>
        <w:t>流动性风险</w:t>
      </w:r>
    </w:p>
    <w:p>
      <w:pPr>
        <w:pStyle w:val="Style1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流动性风险，是指本公司在履行以交付现金或其他金融资产的方式结算的义务时发生资金短缺的风险。流动性风险可能 源于无法尽快以公允价值售出金融资产；或者源于对方无法偿还其合同债务；或者源于提前到期的债务；或者源于无法产生 预期的现金流量。</w:t>
      </w:r>
    </w:p>
    <w:p>
      <w:pPr>
        <w:pStyle w:val="Style1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为控制该项风险，本公司综合运用票据结算、银行借款等多种融资手段，并采取长、短期融资方式适当结合，优化融资 结构的方法，保持融资持续性与灵活性之间的平衡。本公司已从多家商业银行取得银行授信额度以满足营运资金需求和资本 开支。</w:t>
      </w:r>
    </w:p>
    <w:p>
      <w:pPr>
        <w:pStyle w:val="Style17"/>
        <w:keepNext w:val="0"/>
        <w:keepLines w:val="0"/>
        <w:widowControl w:val="0"/>
        <w:shd w:val="clear" w:color="auto" w:fill="auto"/>
        <w:bidi w:val="0"/>
        <w:spacing w:before="0" w:after="0" w:line="315" w:lineRule="exact"/>
        <w:ind w:left="0" w:right="0" w:firstLine="440"/>
        <w:jc w:val="both"/>
      </w:pPr>
      <w:bookmarkStart w:id="1804" w:name="bookmark1804"/>
      <w:r>
        <w:rPr>
          <w:rFonts w:ascii="Times New Roman" w:eastAsia="Times New Roman" w:hAnsi="Times New Roman" w:cs="Times New Roman"/>
          <w:color w:val="000000"/>
          <w:spacing w:val="0"/>
          <w:w w:val="100"/>
          <w:position w:val="0"/>
          <w:sz w:val="18"/>
          <w:szCs w:val="18"/>
        </w:rPr>
        <w:t>（</w:t>
      </w:r>
      <w:bookmarkEnd w:id="1804"/>
      <w:r>
        <w:rPr>
          <w:color w:val="000000"/>
          <w:spacing w:val="0"/>
          <w:w w:val="100"/>
          <w:position w:val="0"/>
        </w:rPr>
        <w:t>三</w:t>
      </w:r>
      <w:r>
        <w:rPr>
          <w:color w:val="000000"/>
          <w:spacing w:val="0"/>
          <w:w w:val="100"/>
          <w:position w:val="0"/>
          <w:sz w:val="18"/>
          <w:szCs w:val="18"/>
        </w:rPr>
        <w:t>）</w:t>
      </w:r>
      <w:r>
        <w:rPr>
          <w:color w:val="000000"/>
          <w:spacing w:val="0"/>
          <w:w w:val="100"/>
          <w:position w:val="0"/>
        </w:rPr>
        <w:t>市场风险</w:t>
      </w:r>
    </w:p>
    <w:p>
      <w:pPr>
        <w:pStyle w:val="Style1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市场风险，是指金融工具的公允价值或未来现金流量因市场价格变动而发生波动的风险。市场风险主要包括利率风险和 外汇风险。</w:t>
      </w:r>
    </w:p>
    <w:p>
      <w:pPr>
        <w:pStyle w:val="Style17"/>
        <w:keepNext w:val="0"/>
        <w:keepLines w:val="0"/>
        <w:widowControl w:val="0"/>
        <w:numPr>
          <w:ilvl w:val="0"/>
          <w:numId w:val="45"/>
        </w:numPr>
        <w:shd w:val="clear" w:color="auto" w:fill="auto"/>
        <w:tabs>
          <w:tab w:pos="661" w:val="left"/>
        </w:tabs>
        <w:bidi w:val="0"/>
        <w:spacing w:before="0" w:after="0" w:line="315" w:lineRule="exact"/>
        <w:ind w:left="0" w:right="0" w:firstLine="360"/>
        <w:jc w:val="both"/>
      </w:pPr>
      <w:bookmarkStart w:id="1805" w:name="bookmark1805"/>
      <w:bookmarkEnd w:id="1805"/>
      <w:r>
        <w:rPr>
          <w:color w:val="000000"/>
          <w:spacing w:val="0"/>
          <w:w w:val="100"/>
          <w:position w:val="0"/>
        </w:rPr>
        <w:t>利率风险</w:t>
      </w:r>
    </w:p>
    <w:p>
      <w:pPr>
        <w:pStyle w:val="Style1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利率风险，是指金融工具的公允价值或未来现金流量因市场利率变动而发生波动的风险。固定利率的带息金融工具使本 公司面临公允价值利率风险，浮动利率的带息金融工具使本公司面临现金流量利率风险。本公司根据市场环境来决定固定利 率与浮动利率金融工具的比例，并通过定期审阅与监控维持适当的金融工具组合。</w:t>
      </w:r>
    </w:p>
    <w:p>
      <w:pPr>
        <w:pStyle w:val="Style17"/>
        <w:keepNext w:val="0"/>
        <w:keepLines w:val="0"/>
        <w:widowControl w:val="0"/>
        <w:numPr>
          <w:ilvl w:val="0"/>
          <w:numId w:val="45"/>
        </w:numPr>
        <w:shd w:val="clear" w:color="auto" w:fill="auto"/>
        <w:tabs>
          <w:tab w:pos="680" w:val="left"/>
        </w:tabs>
        <w:bidi w:val="0"/>
        <w:spacing w:before="0" w:after="0" w:line="315" w:lineRule="exact"/>
        <w:ind w:left="0" w:right="0" w:firstLine="360"/>
        <w:jc w:val="both"/>
      </w:pPr>
      <w:bookmarkStart w:id="1806" w:name="bookmark1806"/>
      <w:bookmarkEnd w:id="1806"/>
      <w:r>
        <w:rPr>
          <w:color w:val="000000"/>
          <w:spacing w:val="0"/>
          <w:w w:val="100"/>
          <w:position w:val="0"/>
        </w:rPr>
        <w:t>外汇风险</w:t>
      </w:r>
    </w:p>
    <w:p>
      <w:pPr>
        <w:pStyle w:val="Style17"/>
        <w:keepNext w:val="0"/>
        <w:keepLines w:val="0"/>
        <w:widowControl w:val="0"/>
        <w:shd w:val="clear" w:color="auto" w:fill="auto"/>
        <w:bidi w:val="0"/>
        <w:spacing w:before="0" w:after="360" w:line="315" w:lineRule="exact"/>
        <w:ind w:left="0" w:right="0" w:firstLine="360"/>
        <w:jc w:val="both"/>
      </w:pPr>
      <w:r>
        <w:rPr>
          <w:color w:val="000000"/>
          <w:spacing w:val="0"/>
          <w:w w:val="100"/>
          <w:position w:val="0"/>
        </w:rPr>
        <w:t>外汇风险，是指金融工具的公允价值或未来现金流量因外汇汇率变动而发生波动的风险。本公司面临的汇率变动的风险 主要与本公司外币货币性资产和负债有关。对于外币资产和负债，如果出现短期的失衡情况，本公司会在必要时按市场汇率 买卖外币，以确保将净风险敞口维持在可接受的水平。本公司于中国内地经营，且主要活动以人民币计价。因此，本公司所 承担的外汇变动市场风险不重大。</w:t>
      </w:r>
    </w:p>
    <w:p>
      <w:pPr>
        <w:pStyle w:val="Style24"/>
        <w:keepNext/>
        <w:keepLines/>
        <w:widowControl w:val="0"/>
        <w:shd w:val="clear" w:color="auto" w:fill="auto"/>
        <w:bidi w:val="0"/>
        <w:spacing w:before="0" w:line="240" w:lineRule="auto"/>
        <w:ind w:left="0" w:right="0" w:firstLine="0"/>
        <w:jc w:val="both"/>
      </w:pPr>
      <w:bookmarkStart w:id="1807" w:name="bookmark1807"/>
      <w:bookmarkStart w:id="1808" w:name="bookmark1808"/>
      <w:bookmarkStart w:id="1809" w:name="bookmark1809"/>
      <w:r>
        <w:rPr>
          <w:color w:val="000000"/>
          <w:spacing w:val="0"/>
          <w:w w:val="100"/>
          <w:position w:val="0"/>
        </w:rPr>
        <w:t>十^一、公允价值的披露</w:t>
      </w:r>
      <w:bookmarkEnd w:id="1807"/>
      <w:bookmarkEnd w:id="1808"/>
      <w:bookmarkEnd w:id="1809"/>
    </w:p>
    <w:p>
      <w:pPr>
        <w:pStyle w:val="Style28"/>
        <w:keepNext/>
        <w:keepLines/>
        <w:widowControl w:val="0"/>
        <w:shd w:val="clear" w:color="auto" w:fill="auto"/>
        <w:bidi w:val="0"/>
        <w:spacing w:before="0" w:after="360" w:line="240" w:lineRule="auto"/>
        <w:ind w:left="0" w:right="0" w:firstLine="0"/>
        <w:jc w:val="both"/>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10"/>
      <w:bookmarkEnd w:id="1811"/>
      <w:bookmarkEnd w:id="18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第三层次公允价值计量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p>
    <w:tbl>
      <w:tblPr>
        <w:tblOverlap w:val="never"/>
        <w:jc w:val="center"/>
        <w:tblLayout w:type="fixed"/>
      </w:tblPr>
      <w:tblGrid>
        <w:gridCol w:w="1997"/>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13"/>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813" w:name="bookmark1813"/>
      <w:r>
        <w:rPr>
          <w:rFonts w:ascii="Times New Roman" w:eastAsia="Times New Roman" w:hAnsi="Times New Roman" w:cs="Times New Roman"/>
          <w:color w:val="000000"/>
          <w:spacing w:val="0"/>
          <w:w w:val="100"/>
          <w:position w:val="0"/>
          <w:sz w:val="20"/>
          <w:szCs w:val="20"/>
        </w:rPr>
        <w:t>2</w:t>
      </w:r>
      <w:bookmarkEnd w:id="1813"/>
      <w:r>
        <w:rPr>
          <w:color w:val="000000"/>
          <w:spacing w:val="0"/>
          <w:w w:val="100"/>
          <w:position w:val="0"/>
          <w:sz w:val="20"/>
          <w:szCs w:val="20"/>
        </w:rPr>
        <w:t>、</w:t>
        <w:tab/>
        <w:t>持续和非持续第一层次公允价值计量项目市价的确定依据</w:t>
      </w:r>
    </w:p>
    <w:p>
      <w:pPr>
        <w:pStyle w:val="Style13"/>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814" w:name="bookmark1814"/>
      <w:r>
        <w:rPr>
          <w:rFonts w:ascii="Times New Roman" w:eastAsia="Times New Roman" w:hAnsi="Times New Roman" w:cs="Times New Roman"/>
          <w:color w:val="000000"/>
          <w:spacing w:val="0"/>
          <w:w w:val="100"/>
          <w:position w:val="0"/>
          <w:sz w:val="20"/>
          <w:szCs w:val="20"/>
        </w:rPr>
        <w:t>3</w:t>
      </w:r>
      <w:bookmarkEnd w:id="1814"/>
      <w:r>
        <w:rPr>
          <w:color w:val="000000"/>
          <w:spacing w:val="0"/>
          <w:w w:val="100"/>
          <w:position w:val="0"/>
          <w:sz w:val="20"/>
          <w:szCs w:val="20"/>
        </w:rPr>
        <w:t>、</w:t>
        <w:tab/>
        <w:t>持续和非持续第二层次公允价值计量项目，采用的估值技术和重要参数的定性及定量信息</w:t>
      </w:r>
    </w:p>
    <w:p>
      <w:pPr>
        <w:pStyle w:val="Style13"/>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815" w:name="bookmark1815"/>
      <w:r>
        <w:rPr>
          <w:rFonts w:ascii="Times New Roman" w:eastAsia="Times New Roman" w:hAnsi="Times New Roman" w:cs="Times New Roman"/>
          <w:color w:val="000000"/>
          <w:spacing w:val="0"/>
          <w:w w:val="100"/>
          <w:position w:val="0"/>
          <w:sz w:val="20"/>
          <w:szCs w:val="20"/>
        </w:rPr>
        <w:t>4</w:t>
      </w:r>
      <w:bookmarkEnd w:id="1815"/>
      <w:r>
        <w:rPr>
          <w:color w:val="000000"/>
          <w:spacing w:val="0"/>
          <w:w w:val="100"/>
          <w:position w:val="0"/>
          <w:sz w:val="20"/>
          <w:szCs w:val="20"/>
        </w:rPr>
        <w:t>、</w:t>
        <w:tab/>
        <w:t>持续和非持续第三层次公允价值计量项目，采用的估值技术和重要参数的定性及定量信息</w:t>
      </w:r>
    </w:p>
    <w:p>
      <w:pPr>
        <w:pStyle w:val="Style13"/>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816" w:name="bookmark1816"/>
      <w:r>
        <w:rPr>
          <w:rFonts w:ascii="Times New Roman" w:eastAsia="Times New Roman" w:hAnsi="Times New Roman" w:cs="Times New Roman"/>
          <w:color w:val="000000"/>
          <w:spacing w:val="0"/>
          <w:w w:val="100"/>
          <w:position w:val="0"/>
          <w:sz w:val="20"/>
          <w:szCs w:val="20"/>
        </w:rPr>
        <w:t>5</w:t>
      </w:r>
      <w:bookmarkEnd w:id="1816"/>
      <w:r>
        <w:rPr>
          <w:color w:val="000000"/>
          <w:spacing w:val="0"/>
          <w:w w:val="100"/>
          <w:position w:val="0"/>
          <w:sz w:val="20"/>
          <w:szCs w:val="20"/>
        </w:rPr>
        <w:t>、</w:t>
        <w:tab/>
        <w:t>持续的第三层次公允价值计量项目，期初与期末账面价值间的调节信息及不可观察参数敏感性分析</w:t>
      </w:r>
    </w:p>
    <w:p>
      <w:pPr>
        <w:pStyle w:val="Style13"/>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817" w:name="bookmark1817"/>
      <w:r>
        <w:rPr>
          <w:rFonts w:ascii="Times New Roman" w:eastAsia="Times New Roman" w:hAnsi="Times New Roman" w:cs="Times New Roman"/>
          <w:color w:val="000000"/>
          <w:spacing w:val="0"/>
          <w:w w:val="100"/>
          <w:position w:val="0"/>
          <w:sz w:val="20"/>
          <w:szCs w:val="20"/>
        </w:rPr>
        <w:t>6</w:t>
      </w:r>
      <w:bookmarkEnd w:id="1817"/>
      <w:r>
        <w:rPr>
          <w:color w:val="000000"/>
          <w:spacing w:val="0"/>
          <w:w w:val="100"/>
          <w:position w:val="0"/>
          <w:sz w:val="20"/>
          <w:szCs w:val="20"/>
        </w:rPr>
        <w:t>、</w:t>
        <w:tab/>
        <w:t>持续的公允价值计量项目，本期内发生各层级之间转换的，转换的原因及确定转换时点的政策</w:t>
      </w:r>
    </w:p>
    <w:p>
      <w:pPr>
        <w:pStyle w:val="Style13"/>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818" w:name="bookmark1818"/>
      <w:r>
        <w:rPr>
          <w:rFonts w:ascii="Times New Roman" w:eastAsia="Times New Roman" w:hAnsi="Times New Roman" w:cs="Times New Roman"/>
          <w:color w:val="000000"/>
          <w:spacing w:val="0"/>
          <w:w w:val="100"/>
          <w:position w:val="0"/>
          <w:sz w:val="20"/>
          <w:szCs w:val="20"/>
        </w:rPr>
        <w:t>7</w:t>
      </w:r>
      <w:bookmarkEnd w:id="1818"/>
      <w:r>
        <w:rPr>
          <w:color w:val="000000"/>
          <w:spacing w:val="0"/>
          <w:w w:val="100"/>
          <w:position w:val="0"/>
          <w:sz w:val="20"/>
          <w:szCs w:val="20"/>
        </w:rPr>
        <w:t>、</w:t>
        <w:tab/>
        <w:t>本期内发生的估值技术变更及变更原因</w:t>
      </w:r>
    </w:p>
    <w:p>
      <w:pPr>
        <w:pStyle w:val="Style13"/>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819" w:name="bookmark1819"/>
      <w:r>
        <w:rPr>
          <w:rFonts w:ascii="Times New Roman" w:eastAsia="Times New Roman" w:hAnsi="Times New Roman" w:cs="Times New Roman"/>
          <w:color w:val="000000"/>
          <w:spacing w:val="0"/>
          <w:w w:val="100"/>
          <w:position w:val="0"/>
          <w:sz w:val="20"/>
          <w:szCs w:val="20"/>
        </w:rPr>
        <w:t>8</w:t>
      </w:r>
      <w:bookmarkEnd w:id="1819"/>
      <w:r>
        <w:rPr>
          <w:color w:val="000000"/>
          <w:spacing w:val="0"/>
          <w:w w:val="100"/>
          <w:position w:val="0"/>
          <w:sz w:val="20"/>
          <w:szCs w:val="20"/>
        </w:rPr>
        <w:t>、</w:t>
        <w:tab/>
        <w:t>不以公允价值计量的金融资产和金融负债的公允价值情况</w:t>
      </w:r>
    </w:p>
    <w:p>
      <w:pPr>
        <w:pStyle w:val="Style13"/>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820" w:name="bookmark1820"/>
      <w:r>
        <w:rPr>
          <w:rFonts w:ascii="Times New Roman" w:eastAsia="Times New Roman" w:hAnsi="Times New Roman" w:cs="Times New Roman"/>
          <w:color w:val="000000"/>
          <w:spacing w:val="0"/>
          <w:w w:val="100"/>
          <w:position w:val="0"/>
          <w:sz w:val="20"/>
          <w:szCs w:val="20"/>
        </w:rPr>
        <w:t>9</w:t>
      </w:r>
      <w:bookmarkEnd w:id="1820"/>
      <w:r>
        <w:rPr>
          <w:color w:val="000000"/>
          <w:spacing w:val="0"/>
          <w:w w:val="100"/>
          <w:position w:val="0"/>
          <w:sz w:val="20"/>
          <w:szCs w:val="20"/>
        </w:rPr>
        <w:t>、</w:t>
        <w:tab/>
        <w:t>其他</w:t>
      </w:r>
    </w:p>
    <w:p>
      <w:pPr>
        <w:pStyle w:val="Style24"/>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r>
        <w:rPr>
          <w:color w:val="000000"/>
          <w:spacing w:val="0"/>
          <w:w w:val="100"/>
          <w:position w:val="0"/>
        </w:rPr>
        <w:t>十二、关联方及关联交易</w:t>
      </w:r>
      <w:bookmarkEnd w:id="1821"/>
      <w:bookmarkEnd w:id="1822"/>
      <w:bookmarkEnd w:id="1823"/>
    </w:p>
    <w:p>
      <w:pPr>
        <w:pStyle w:val="Style13"/>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、本企业的母公司情况</w:t>
      </w:r>
    </w:p>
    <w:tbl>
      <w:tblPr>
        <w:tblOverlap w:val="never"/>
        <w:jc w:val="center"/>
        <w:tblLayout w:type="fixed"/>
      </w:tblPr>
      <w:tblGrid>
        <w:gridCol w:w="1598"/>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侯友夫、蔡敏家族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r>
    </w:tbl>
    <w:p>
      <w:pPr>
        <w:widowControl w:val="0"/>
        <w:spacing w:after="79" w:line="1" w:lineRule="exact"/>
      </w:pP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tabs>
          <w:tab w:pos="378" w:val="left"/>
        </w:tabs>
        <w:bidi w:val="0"/>
        <w:spacing w:before="0" w:after="400" w:line="240" w:lineRule="auto"/>
        <w:ind w:left="0" w:right="0" w:firstLine="0"/>
        <w:jc w:val="left"/>
        <w:rPr>
          <w:sz w:val="20"/>
          <w:szCs w:val="20"/>
        </w:rPr>
      </w:pPr>
      <w:bookmarkStart w:id="1824" w:name="bookmark1824"/>
      <w:r>
        <w:rPr>
          <w:rFonts w:ascii="Times New Roman" w:eastAsia="Times New Roman" w:hAnsi="Times New Roman" w:cs="Times New Roman"/>
          <w:color w:val="000000"/>
          <w:spacing w:val="0"/>
          <w:w w:val="100"/>
          <w:position w:val="0"/>
          <w:sz w:val="20"/>
          <w:szCs w:val="20"/>
        </w:rPr>
        <w:t>2</w:t>
      </w:r>
      <w:bookmarkEnd w:id="1824"/>
      <w:r>
        <w:rPr>
          <w:color w:val="000000"/>
          <w:spacing w:val="0"/>
          <w:w w:val="100"/>
          <w:position w:val="0"/>
          <w:sz w:val="20"/>
          <w:szCs w:val="20"/>
        </w:rPr>
        <w:t>、</w:t>
        <w:tab/>
        <w:t>本企业的子公司情况</w:t>
      </w:r>
    </w:p>
    <w:p>
      <w:pPr>
        <w:pStyle w:val="Style1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13"/>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825" w:name="bookmark1825"/>
      <w:r>
        <w:rPr>
          <w:rFonts w:ascii="Times New Roman" w:eastAsia="Times New Roman" w:hAnsi="Times New Roman" w:cs="Times New Roman"/>
          <w:color w:val="000000"/>
          <w:spacing w:val="0"/>
          <w:w w:val="100"/>
          <w:position w:val="0"/>
          <w:sz w:val="20"/>
          <w:szCs w:val="20"/>
        </w:rPr>
        <w:t>3</w:t>
      </w:r>
      <w:bookmarkEnd w:id="1825"/>
      <w:r>
        <w:rPr>
          <w:color w:val="000000"/>
          <w:spacing w:val="0"/>
          <w:w w:val="100"/>
          <w:position w:val="0"/>
          <w:sz w:val="20"/>
          <w:szCs w:val="20"/>
        </w:rPr>
        <w:t>、</w:t>
        <w:tab/>
        <w:t>本企业合营和联营企业情况</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、在合营企业或联营企业中的权益。</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2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4</w:t>
      </w:r>
      <w:bookmarkEnd w:id="1828"/>
      <w:r>
        <w:rPr>
          <w:color w:val="000000"/>
          <w:spacing w:val="0"/>
          <w:w w:val="100"/>
          <w:position w:val="0"/>
        </w:rPr>
        <w:t>、其他关联方情况</w:t>
      </w:r>
      <w:bookmarkEnd w:id="1826"/>
      <w:bookmarkEnd w:id="1827"/>
      <w:bookmarkEnd w:id="182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济南天辰机器集团有限公司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持股比例为</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的公司股东，公司前任董事侯秀峰控制的 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济南天辰智能装备股份有限公司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公司董事、副总经理侯玉鹏持股比例为</w:t>
            </w:r>
            <w:r>
              <w:rPr>
                <w:rFonts w:ascii="Times New Roman" w:eastAsia="Times New Roman" w:hAnsi="Times New Roman" w:cs="Times New Roman"/>
                <w:color w:val="000000"/>
                <w:spacing w:val="0"/>
                <w:w w:val="100"/>
                <w:position w:val="0"/>
                <w:sz w:val="18"/>
                <w:szCs w:val="18"/>
              </w:rPr>
              <w:t>11.19%</w:t>
            </w:r>
            <w:r>
              <w:rPr>
                <w:color w:val="000000"/>
                <w:spacing w:val="0"/>
                <w:w w:val="100"/>
                <w:position w:val="0"/>
              </w:rPr>
              <w:t>，济南天辰机 器集团有限公司控制的公司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侯秀峰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公司前任董事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公司前任董事、副总经理，侯秀峰之子</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宋骁彦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侯玉鹏之配偶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公司董事、副总经理</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公司股东持股比例为</w:t>
            </w:r>
            <w:r>
              <w:rPr>
                <w:rFonts w:ascii="Times New Roman" w:eastAsia="Times New Roman" w:hAnsi="Times New Roman" w:cs="Times New Roman"/>
                <w:color w:val="000000"/>
                <w:spacing w:val="0"/>
                <w:w w:val="100"/>
                <w:position w:val="0"/>
                <w:sz w:val="18"/>
                <w:szCs w:val="18"/>
              </w:rPr>
              <w:t>0.83%</w:t>
            </w:r>
            <w:r>
              <w:rPr>
                <w:color w:val="000000"/>
                <w:spacing w:val="0"/>
                <w:w w:val="100"/>
                <w:position w:val="0"/>
              </w:rPr>
              <w:t>，公司前任董事、副总经理</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徐州苏兴金属材料有限公司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公司实际控制人之一蔡敏的堂兄之女蔡秀芳配偶的父母控制 的企业，视作关联方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700" w:line="322"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月，侯玉鹏先生因个人原因申请辞去公司董事、副总经理职务，截止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日，侯秀峰、侯玉鹏父子及 侯秀峰控制的济南天辰机器集团有限公司共持有本公司</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的股份。</w:t>
      </w:r>
    </w:p>
    <w:p>
      <w:pPr>
        <w:pStyle w:val="Style28"/>
        <w:keepNext/>
        <w:keepLines/>
        <w:widowControl w:val="0"/>
        <w:shd w:val="clear" w:color="auto" w:fill="auto"/>
        <w:bidi w:val="0"/>
        <w:spacing w:before="0" w:after="36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5</w:t>
      </w:r>
      <w:bookmarkEnd w:id="1832"/>
      <w:r>
        <w:rPr>
          <w:color w:val="000000"/>
          <w:spacing w:val="0"/>
          <w:w w:val="100"/>
          <w:position w:val="0"/>
        </w:rPr>
        <w:t>、关联交易情况</w:t>
      </w:r>
      <w:bookmarkEnd w:id="1830"/>
      <w:bookmarkEnd w:id="1831"/>
      <w:bookmarkEnd w:id="1833"/>
    </w:p>
    <w:p>
      <w:pPr>
        <w:pStyle w:val="Style28"/>
        <w:keepNext/>
        <w:keepLines/>
        <w:widowControl w:val="0"/>
        <w:shd w:val="clear" w:color="auto" w:fill="auto"/>
        <w:bidi w:val="0"/>
        <w:spacing w:before="0" w:after="280" w:line="240" w:lineRule="auto"/>
        <w:ind w:left="0" w:right="0" w:firstLine="0"/>
        <w:jc w:val="left"/>
      </w:pPr>
      <w:bookmarkStart w:id="1830" w:name="bookmark1830"/>
      <w:bookmarkStart w:id="1831" w:name="bookmark1831"/>
      <w:bookmarkStart w:id="1834" w:name="bookmark18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30"/>
      <w:bookmarkEnd w:id="1831"/>
      <w:bookmarkEnd w:id="1834"/>
    </w:p>
    <w:p>
      <w:pPr>
        <w:pStyle w:val="Style17"/>
        <w:keepNext w:val="0"/>
        <w:keepLines w:val="0"/>
        <w:widowControl w:val="0"/>
        <w:shd w:val="clear" w:color="auto" w:fill="auto"/>
        <w:bidi w:val="0"/>
        <w:spacing w:before="0" w:after="120" w:line="322"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7"/>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徐州苏兴金属材料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397,995.61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2,028,263.39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长安停车（西安）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37,619.47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济南天辰机器集团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济南天辰智能装备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1,884,955.75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济南天辰智能装备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408,678.50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409,482.34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4,859,517.11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17"/>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0"/>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11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购销商品、提供和接受劳务的关联交易说明</w:t>
      </w:r>
    </w:p>
    <w:p>
      <w:pPr>
        <w:pStyle w:val="Style28"/>
        <w:keepNext/>
        <w:keepLines/>
        <w:widowControl w:val="0"/>
        <w:shd w:val="clear" w:color="auto" w:fill="auto"/>
        <w:bidi w:val="0"/>
        <w:spacing w:before="0" w:line="240" w:lineRule="auto"/>
        <w:ind w:left="0" w:right="0" w:firstLine="0"/>
        <w:jc w:val="both"/>
      </w:pPr>
      <w:bookmarkStart w:id="1835" w:name="bookmark1835"/>
      <w:bookmarkStart w:id="1836" w:name="bookmark1836"/>
      <w:bookmarkStart w:id="1837" w:name="bookmark18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35"/>
      <w:bookmarkEnd w:id="1836"/>
      <w:bookmarkEnd w:id="1837"/>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0"/>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28"/>
        <w:keepNext/>
        <w:keepLines/>
        <w:widowControl w:val="0"/>
        <w:shd w:val="clear" w:color="auto" w:fill="auto"/>
        <w:bidi w:val="0"/>
        <w:spacing w:before="0" w:line="240" w:lineRule="auto"/>
        <w:ind w:left="0" w:right="0" w:firstLine="0"/>
        <w:jc w:val="both"/>
      </w:pPr>
      <w:bookmarkStart w:id="1838" w:name="bookmark1838"/>
      <w:bookmarkStart w:id="1839" w:name="bookmark1839"/>
      <w:bookmarkStart w:id="1840" w:name="bookmark1840"/>
      <w:bookmarkStart w:id="1841" w:name="bookmark1841"/>
      <w:r>
        <w:rPr>
          <w:color w:val="000000"/>
          <w:spacing w:val="0"/>
          <w:w w:val="100"/>
          <w:position w:val="0"/>
        </w:rPr>
        <w:t>（</w:t>
      </w:r>
      <w:bookmarkEnd w:id="184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38"/>
      <w:bookmarkEnd w:id="1839"/>
      <w:bookmarkEnd w:id="1841"/>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gridSpan w:val="4"/>
            <w:tcBorders>
              <w:top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本公司作为承租方：</w:t>
            </w:r>
          </w:p>
          <w:p>
            <w:pPr>
              <w:pStyle w:val="Style20"/>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919,075.24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850,975.24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926,351.61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1,182,807.60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both"/>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42"/>
      <w:bookmarkEnd w:id="1843"/>
      <w:bookmarkEnd w:id="1845"/>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天辰智能公司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10,251,046.70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天辰智能公司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天辰智能公司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深圳市伟创自动化设备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15"/>
        <w:gridCol w:w="1915"/>
        <w:gridCol w:w="1915"/>
        <w:gridCol w:w="1915"/>
        <w:gridCol w:w="1978"/>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深圳市伟创自动化设备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侯友夫、蔡敏夫妇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28"/>
        <w:keepNext/>
        <w:keepLines/>
        <w:widowControl w:val="0"/>
        <w:shd w:val="clear" w:color="auto" w:fill="auto"/>
        <w:bidi w:val="0"/>
        <w:spacing w:before="0" w:after="36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46"/>
      <w:bookmarkEnd w:id="1847"/>
      <w:bookmarkEnd w:id="18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济南天辰机器集团有限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已全部归还</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50"/>
      <w:bookmarkEnd w:id="1851"/>
      <w:bookmarkEnd w:id="185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54"/>
      <w:bookmarkEnd w:id="1855"/>
      <w:bookmarkEnd w:id="185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3,023,800.00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5,197,516.64</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58"/>
      <w:bookmarkEnd w:id="1859"/>
      <w:bookmarkEnd w:id="1861"/>
    </w:p>
    <w:p>
      <w:pPr>
        <w:pStyle w:val="Style28"/>
        <w:keepNext/>
        <w:keepLines/>
        <w:widowControl w:val="0"/>
        <w:shd w:val="clear" w:color="auto" w:fill="auto"/>
        <w:bidi w:val="0"/>
        <w:spacing w:before="0" w:after="360" w:line="240" w:lineRule="auto"/>
        <w:ind w:left="0" w:right="0" w:firstLine="0"/>
        <w:jc w:val="both"/>
      </w:pPr>
      <w:bookmarkStart w:id="1858" w:name="bookmark1858"/>
      <w:bookmarkStart w:id="1859" w:name="bookmark1859"/>
      <w:bookmarkStart w:id="1862" w:name="bookmark1862"/>
      <w:bookmarkStart w:id="1863" w:name="bookmark1863"/>
      <w:r>
        <w:rPr>
          <w:rFonts w:ascii="Times New Roman" w:eastAsia="Times New Roman" w:hAnsi="Times New Roman" w:cs="Times New Roman"/>
          <w:color w:val="000000"/>
          <w:spacing w:val="0"/>
          <w:w w:val="100"/>
          <w:position w:val="0"/>
        </w:rPr>
        <w:t>6</w:t>
      </w:r>
      <w:bookmarkEnd w:id="1862"/>
      <w:r>
        <w:rPr>
          <w:color w:val="000000"/>
          <w:spacing w:val="0"/>
          <w:w w:val="100"/>
          <w:position w:val="0"/>
        </w:rPr>
        <w:t>、关联方应收应付款项</w:t>
      </w:r>
      <w:bookmarkEnd w:id="1858"/>
      <w:bookmarkEnd w:id="1859"/>
      <w:bookmarkEnd w:id="1863"/>
    </w:p>
    <w:p>
      <w:pPr>
        <w:pStyle w:val="Style28"/>
        <w:keepNext/>
        <w:keepLines/>
        <w:widowControl w:val="0"/>
        <w:shd w:val="clear" w:color="auto" w:fill="auto"/>
        <w:bidi w:val="0"/>
        <w:spacing w:before="0" w:after="360" w:line="240" w:lineRule="auto"/>
        <w:ind w:left="0" w:right="0" w:firstLine="0"/>
        <w:jc w:val="both"/>
      </w:pPr>
      <w:bookmarkStart w:id="1858" w:name="bookmark1858"/>
      <w:bookmarkStart w:id="1859" w:name="bookmark1859"/>
      <w:bookmarkStart w:id="1864" w:name="bookmark18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58"/>
      <w:bookmarkEnd w:id="1859"/>
      <w:bookmarkEnd w:id="1864"/>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长安停车（西安）有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4,770.00</w:t>
            </w:r>
          </w:p>
        </w:tc>
      </w:tr>
    </w:tbl>
    <w:p>
      <w:pPr>
        <w:widowControl w:val="0"/>
        <w:spacing w:line="1" w:lineRule="exact"/>
      </w:pPr>
    </w:p>
    <w:tbl>
      <w:tblPr>
        <w:tblOverlap w:val="never"/>
        <w:jc w:val="center"/>
        <w:tblLayout w:type="fixed"/>
      </w:tblPr>
      <w:tblGrid>
        <w:gridCol w:w="1598"/>
        <w:gridCol w:w="1594"/>
        <w:gridCol w:w="1594"/>
        <w:gridCol w:w="1598"/>
        <w:gridCol w:w="1594"/>
        <w:gridCol w:w="1603"/>
      </w:tblGrid>
      <w:tr>
        <w:trPr>
          <w:trHeight w:val="7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长安停车（西安）有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145,530.53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865" w:name="bookmark1865"/>
      <w:bookmarkStart w:id="1866" w:name="bookmark1866"/>
      <w:bookmarkStart w:id="1867" w:name="bookmark18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65"/>
      <w:bookmarkEnd w:id="1866"/>
      <w:bookmarkEnd w:id="186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徐州苏兴金属材料有限公司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499,586.46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499,586.16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济南天辰机器集团有限公司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512,980.00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济南天辰智能装备股份有限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483,451.50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1,848,451.50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长安停车（西安）有限公司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济南天辰机器集团有限公司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87,357,304.17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1,760,343.60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tabs>
          <w:tab w:pos="373" w:val="left"/>
        </w:tabs>
        <w:bidi w:val="0"/>
        <w:spacing w:before="0" w:after="36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7</w:t>
      </w:r>
      <w:bookmarkEnd w:id="1870"/>
      <w:r>
        <w:rPr>
          <w:color w:val="000000"/>
          <w:spacing w:val="0"/>
          <w:w w:val="100"/>
          <w:position w:val="0"/>
        </w:rPr>
        <w:t>、</w:t>
        <w:tab/>
        <w:t>关联方承诺</w:t>
      </w:r>
      <w:bookmarkEnd w:id="1868"/>
      <w:bookmarkEnd w:id="1869"/>
      <w:bookmarkEnd w:id="1871"/>
    </w:p>
    <w:p>
      <w:pPr>
        <w:pStyle w:val="Style28"/>
        <w:keepNext/>
        <w:keepLines/>
        <w:widowControl w:val="0"/>
        <w:shd w:val="clear" w:color="auto" w:fill="auto"/>
        <w:tabs>
          <w:tab w:pos="378" w:val="left"/>
        </w:tabs>
        <w:bidi w:val="0"/>
        <w:spacing w:before="0" w:after="360" w:line="240" w:lineRule="auto"/>
        <w:ind w:left="0" w:right="0" w:firstLine="0"/>
        <w:jc w:val="left"/>
      </w:pPr>
      <w:bookmarkStart w:id="1868" w:name="bookmark1868"/>
      <w:bookmarkStart w:id="1869" w:name="bookmark1869"/>
      <w:bookmarkStart w:id="1872" w:name="bookmark1872"/>
      <w:bookmarkStart w:id="1873" w:name="bookmark1873"/>
      <w:r>
        <w:rPr>
          <w:rFonts w:ascii="Times New Roman" w:eastAsia="Times New Roman" w:hAnsi="Times New Roman" w:cs="Times New Roman"/>
          <w:color w:val="000000"/>
          <w:spacing w:val="0"/>
          <w:w w:val="100"/>
          <w:position w:val="0"/>
        </w:rPr>
        <w:t>8</w:t>
      </w:r>
      <w:bookmarkEnd w:id="1872"/>
      <w:r>
        <w:rPr>
          <w:color w:val="000000"/>
          <w:spacing w:val="0"/>
          <w:w w:val="100"/>
          <w:position w:val="0"/>
        </w:rPr>
        <w:t>、</w:t>
        <w:tab/>
        <w:t>其他</w:t>
      </w:r>
      <w:bookmarkEnd w:id="1868"/>
      <w:bookmarkEnd w:id="1869"/>
      <w:bookmarkEnd w:id="1873"/>
    </w:p>
    <w:p>
      <w:pPr>
        <w:pStyle w:val="Style24"/>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color w:val="000000"/>
          <w:spacing w:val="0"/>
          <w:w w:val="100"/>
          <w:position w:val="0"/>
        </w:rPr>
        <w:t>十三、股份支付</w:t>
      </w:r>
      <w:bookmarkEnd w:id="1874"/>
      <w:bookmarkEnd w:id="1875"/>
      <w:bookmarkEnd w:id="1876"/>
    </w:p>
    <w:p>
      <w:pPr>
        <w:pStyle w:val="Style28"/>
        <w:keepNext/>
        <w:keepLines/>
        <w:widowControl w:val="0"/>
        <w:shd w:val="clear" w:color="auto" w:fill="auto"/>
        <w:tabs>
          <w:tab w:pos="368" w:val="left"/>
        </w:tabs>
        <w:bidi w:val="0"/>
        <w:spacing w:before="0" w:after="36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1</w:t>
      </w:r>
      <w:bookmarkEnd w:id="1879"/>
      <w:r>
        <w:rPr>
          <w:color w:val="000000"/>
          <w:spacing w:val="0"/>
          <w:w w:val="100"/>
          <w:position w:val="0"/>
        </w:rPr>
        <w:t>、</w:t>
        <w:tab/>
        <w:t>股份支付总体情况</w:t>
      </w:r>
      <w:bookmarkEnd w:id="1877"/>
      <w:bookmarkEnd w:id="1878"/>
      <w:bookmarkEnd w:id="1880"/>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2</w:t>
      </w:r>
      <w:bookmarkEnd w:id="1883"/>
      <w:r>
        <w:rPr>
          <w:color w:val="000000"/>
          <w:spacing w:val="0"/>
          <w:w w:val="100"/>
          <w:position w:val="0"/>
        </w:rPr>
        <w:t>、</w:t>
        <w:tab/>
        <w:t>以权益结算的股份支付情况</w:t>
      </w:r>
      <w:bookmarkEnd w:id="1881"/>
      <w:bookmarkEnd w:id="1882"/>
      <w:bookmarkEnd w:id="1884"/>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3</w:t>
      </w:r>
      <w:bookmarkEnd w:id="1887"/>
      <w:r>
        <w:rPr>
          <w:color w:val="000000"/>
          <w:spacing w:val="0"/>
          <w:w w:val="100"/>
          <w:position w:val="0"/>
        </w:rPr>
        <w:t>、</w:t>
        <w:tab/>
        <w:t>以现金结算的股份支付情况</w:t>
      </w:r>
      <w:bookmarkEnd w:id="1885"/>
      <w:bookmarkEnd w:id="1886"/>
      <w:bookmarkEnd w:id="1888"/>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4</w:t>
      </w:r>
      <w:bookmarkEnd w:id="1891"/>
      <w:r>
        <w:rPr>
          <w:color w:val="000000"/>
          <w:spacing w:val="0"/>
          <w:w w:val="100"/>
          <w:position w:val="0"/>
        </w:rPr>
        <w:t>、</w:t>
        <w:tab/>
        <w:t>股份支付的修改、终止情况</w:t>
      </w:r>
      <w:bookmarkEnd w:id="1889"/>
      <w:bookmarkEnd w:id="1890"/>
      <w:bookmarkEnd w:id="1892"/>
    </w:p>
    <w:p>
      <w:pPr>
        <w:pStyle w:val="Style28"/>
        <w:keepNext/>
        <w:keepLines/>
        <w:widowControl w:val="0"/>
        <w:shd w:val="clear" w:color="auto" w:fill="auto"/>
        <w:tabs>
          <w:tab w:pos="378" w:val="left"/>
        </w:tabs>
        <w:bidi w:val="0"/>
        <w:spacing w:before="0" w:after="360" w:line="240" w:lineRule="auto"/>
        <w:ind w:left="0" w:right="0" w:firstLine="0"/>
        <w:jc w:val="left"/>
      </w:pPr>
      <w:bookmarkStart w:id="1889" w:name="bookmark1889"/>
      <w:bookmarkStart w:id="1890" w:name="bookmark1890"/>
      <w:bookmarkStart w:id="1893" w:name="bookmark1893"/>
      <w:bookmarkStart w:id="1894" w:name="bookmark1894"/>
      <w:r>
        <w:rPr>
          <w:rFonts w:ascii="Times New Roman" w:eastAsia="Times New Roman" w:hAnsi="Times New Roman" w:cs="Times New Roman"/>
          <w:color w:val="000000"/>
          <w:spacing w:val="0"/>
          <w:w w:val="100"/>
          <w:position w:val="0"/>
        </w:rPr>
        <w:t>5</w:t>
      </w:r>
      <w:bookmarkEnd w:id="1893"/>
      <w:r>
        <w:rPr>
          <w:color w:val="000000"/>
          <w:spacing w:val="0"/>
          <w:w w:val="100"/>
          <w:position w:val="0"/>
        </w:rPr>
        <w:t>、</w:t>
        <w:tab/>
        <w:t>其他</w:t>
      </w:r>
      <w:bookmarkEnd w:id="1889"/>
      <w:bookmarkEnd w:id="1890"/>
      <w:bookmarkEnd w:id="1894"/>
    </w:p>
    <w:p>
      <w:pPr>
        <w:pStyle w:val="Style24"/>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r>
        <w:rPr>
          <w:color w:val="000000"/>
          <w:spacing w:val="0"/>
          <w:w w:val="100"/>
          <w:position w:val="0"/>
        </w:rPr>
        <w:t>十四、承诺及或有事项</w:t>
      </w:r>
      <w:bookmarkEnd w:id="1895"/>
      <w:bookmarkEnd w:id="1896"/>
      <w:bookmarkEnd w:id="1897"/>
    </w:p>
    <w:p>
      <w:pPr>
        <w:pStyle w:val="Style28"/>
        <w:keepNext/>
        <w:keepLines/>
        <w:widowControl w:val="0"/>
        <w:shd w:val="clear" w:color="auto" w:fill="auto"/>
        <w:bidi w:val="0"/>
        <w:spacing w:before="0" w:after="360" w:line="240" w:lineRule="auto"/>
        <w:ind w:left="0" w:right="0" w:firstLine="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98"/>
      <w:bookmarkEnd w:id="1899"/>
      <w:bookmarkEnd w:id="1900"/>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r>
        <w:br w:type="page"/>
      </w:r>
    </w:p>
    <w:p>
      <w:pPr>
        <w:pStyle w:val="Style31"/>
        <w:keepNext w:val="0"/>
        <w:keepLines w:val="0"/>
        <w:widowControl w:val="0"/>
        <w:shd w:val="clear" w:color="auto" w:fill="auto"/>
        <w:bidi w:val="0"/>
        <w:spacing w:before="0" w:after="0" w:line="240" w:lineRule="auto"/>
        <w:ind w:left="55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)借款和票据抵押</w:t>
      </w:r>
    </w:p>
    <w:tbl>
      <w:tblPr>
        <w:tblOverlap w:val="never"/>
        <w:jc w:val="center"/>
        <w:tblLayout w:type="fixed"/>
      </w:tblPr>
      <w:tblGrid>
        <w:gridCol w:w="1176"/>
        <w:gridCol w:w="1138"/>
        <w:gridCol w:w="1315"/>
        <w:gridCol w:w="1229"/>
        <w:gridCol w:w="989"/>
        <w:gridCol w:w="1229"/>
        <w:gridCol w:w="1003"/>
        <w:gridCol w:w="998"/>
      </w:tblGrid>
      <w:tr>
        <w:trPr>
          <w:trHeight w:val="355"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pPr>
            <w:r>
              <w:rPr>
                <w:color w:val="000000"/>
                <w:spacing w:val="0"/>
                <w:w w:val="100"/>
                <w:position w:val="0"/>
              </w:rPr>
              <w:t>借款单位</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抵押权人</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抵押物</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20" w:right="0" w:firstLine="40"/>
              <w:jc w:val="left"/>
            </w:pPr>
            <w:r>
              <w:rPr>
                <w:color w:val="000000"/>
                <w:spacing w:val="0"/>
                <w:w w:val="100"/>
                <w:position w:val="0"/>
              </w:rPr>
              <w:t>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抵押物 账面价值</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抵押合同项下融资情况</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融资金额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最后到期日</w:t>
            </w:r>
          </w:p>
        </w:tc>
        <w:tc>
          <w:tcPr>
            <w:vMerge/>
            <w:tcBorders>
              <w:left w:val="single" w:sz="4"/>
              <w:right w:val="single" w:sz="4"/>
            </w:tcBorders>
            <w:shd w:val="clear" w:color="auto" w:fill="FFFFFF"/>
            <w:vAlign w:val="top"/>
          </w:tcPr>
          <w:p>
            <w:pPr/>
          </w:p>
        </w:tc>
      </w:tr>
      <w:tr>
        <w:trPr>
          <w:trHeight w:val="35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80" w:line="240" w:lineRule="auto"/>
              <w:ind w:left="0" w:right="0" w:firstLine="0"/>
              <w:jc w:val="left"/>
            </w:pPr>
            <w:r>
              <w:rPr>
                <w:color w:val="000000"/>
                <w:spacing w:val="0"/>
                <w:w w:val="100"/>
                <w:position w:val="0"/>
              </w:rPr>
              <w:t>山东天辰智能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停车有限公司</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中国银行禹城 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19,558,151.38</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2022-4-15</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6,649,969.69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58"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山东禹城农村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商业银行</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土地使用权</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6,887,733.97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抵押兼保证</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同时由本公 司担保</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抵押兼保证 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同时由本公 司担保</w:t>
            </w:r>
          </w:p>
        </w:tc>
      </w:tr>
      <w:tr>
        <w:trPr>
          <w:trHeight w:val="6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中国工商银行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徐州铜山支行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10,310,290.75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2022-12-8</w:t>
            </w: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招商银行徐州</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分行营业部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45,234,849.63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由徐州五洋 科技有限公 司固定资产 抵押</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广东伟创五洋 智能设备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东莞农村商业</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银行清溪支行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房屋建筑物</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1,262,210.58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银行承兑汇 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14,199,761.00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2023-12-30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89,903,206.00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71,697,761.00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31"/>
        <w:keepNext w:val="0"/>
        <w:keepLines w:val="0"/>
        <w:widowControl w:val="0"/>
        <w:shd w:val="clear" w:color="auto" w:fill="auto"/>
        <w:bidi w:val="0"/>
        <w:spacing w:before="0" w:after="0" w:line="240" w:lineRule="auto"/>
        <w:ind w:left="55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)借款和票据保证</w:t>
      </w:r>
    </w:p>
    <w:tbl>
      <w:tblPr>
        <w:tblOverlap w:val="never"/>
        <w:jc w:val="center"/>
        <w:tblLayout w:type="fixed"/>
      </w:tblPr>
      <w:tblGrid>
        <w:gridCol w:w="1027"/>
        <w:gridCol w:w="840"/>
        <w:gridCol w:w="1546"/>
        <w:gridCol w:w="1133"/>
        <w:gridCol w:w="1421"/>
        <w:gridCol w:w="1027"/>
        <w:gridCol w:w="2098"/>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被担保人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融资金融机构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融资余额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最后到期日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28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深圳市伟 创自动化 设备有限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招行深圳分行泰然 金谷支行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信用证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2022-3-14</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侯友夫、蔡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敏夫妇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中国银行徐州西关 支行营业部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保证借款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2021-7-26</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山东天辰智 能公司</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青岛银行德州禹城 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保证借款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2022-10-12</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齐鲁银行德州分行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5,212,000.00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同时天辰智能公司缴纳票 据保证金</w:t>
            </w:r>
            <w:r>
              <w:rPr>
                <w:rFonts w:ascii="Times New Roman" w:eastAsia="Times New Roman" w:hAnsi="Times New Roman" w:cs="Times New Roman"/>
                <w:color w:val="000000"/>
                <w:spacing w:val="0"/>
                <w:w w:val="100"/>
                <w:position w:val="0"/>
                <w:sz w:val="18"/>
                <w:szCs w:val="18"/>
              </w:rPr>
              <w:t>2,461,000.00</w:t>
            </w:r>
            <w:r>
              <w:rPr>
                <w:color w:val="000000"/>
                <w:spacing w:val="0"/>
                <w:w w:val="100"/>
                <w:position w:val="0"/>
              </w:rPr>
              <w:t>元</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保函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5,039,046.70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同时天辰智能公司缴纳保 函保证金</w:t>
            </w:r>
            <w:r>
              <w:rPr>
                <w:rFonts w:ascii="Times New Roman" w:eastAsia="Times New Roman" w:hAnsi="Times New Roman" w:cs="Times New Roman"/>
                <w:color w:val="000000"/>
                <w:spacing w:val="0"/>
                <w:w w:val="100"/>
                <w:position w:val="0"/>
                <w:sz w:val="18"/>
                <w:szCs w:val="18"/>
              </w:rPr>
              <w:t>4,172,789.70</w:t>
            </w:r>
            <w:r>
              <w:rPr>
                <w:color w:val="000000"/>
                <w:spacing w:val="0"/>
                <w:w w:val="100"/>
                <w:position w:val="0"/>
              </w:rPr>
              <w:t>元</w:t>
            </w:r>
          </w:p>
        </w:tc>
      </w:tr>
      <w:tr>
        <w:trPr>
          <w:trHeight w:val="658"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江苏天沃重</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工科技有限</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中国银行徐州三胞 广场支行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保证借款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2022-3-20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中国银行徐州三胞 广场支行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保证借款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2022-3-20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招商银行徐州分行 营业部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保证借款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2022-12-17</w:t>
            </w:r>
          </w:p>
        </w:tc>
        <w:tc>
          <w:tcPr>
            <w:tcBorders>
              <w:top w:val="single" w:sz="4"/>
              <w:left w:val="single" w:sz="4"/>
              <w:right w:val="single" w:sz="4"/>
            </w:tcBorders>
            <w:shd w:val="clear" w:color="auto" w:fill="FFFFFF"/>
            <w:vAlign w:val="top"/>
          </w:tcPr>
          <w:p>
            <w:pPr>
              <w:widowControl w:val="0"/>
              <w:rPr>
                <w:sz w:val="10"/>
                <w:szCs w:val="10"/>
              </w:rPr>
            </w:pPr>
          </w:p>
        </w:tc>
      </w:tr>
      <w:tr>
        <w:trPr>
          <w:trHeight w:val="129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江苏天沃重</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工科技有限</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深圳市伟 创自动化 设备有限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兴业银行徐州铜山</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质押兼保证借 款</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2022-2-18</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同时以本公司的</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万应 收票据提供抵押担保</w:t>
            </w:r>
          </w:p>
        </w:tc>
      </w:tr>
    </w:tbl>
    <w:p>
      <w:pPr>
        <w:widowControl w:val="0"/>
        <w:spacing w:line="1" w:lineRule="exact"/>
      </w:pPr>
      <w:r>
        <w:br w:type="page"/>
      </w:r>
    </w:p>
    <w:tbl>
      <w:tblPr>
        <w:tblOverlap w:val="never"/>
        <w:jc w:val="left"/>
        <w:tblLayout w:type="fixed"/>
      </w:tblPr>
      <w:tblGrid>
        <w:gridCol w:w="1027"/>
        <w:gridCol w:w="840"/>
        <w:gridCol w:w="1546"/>
        <w:gridCol w:w="1133"/>
        <w:gridCol w:w="1421"/>
        <w:gridCol w:w="1027"/>
        <w:gridCol w:w="2098"/>
      </w:tblGrid>
      <w:tr>
        <w:trPr>
          <w:trHeight w:val="1291"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广东伟创五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洋智能设备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both"/>
            </w:pPr>
            <w:r>
              <w:rPr>
                <w:color w:val="000000"/>
                <w:spacing w:val="0"/>
                <w:w w:val="100"/>
                <w:position w:val="0"/>
              </w:rPr>
              <w:t>东莞市伟 创华鑫自 动化设备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东莞银行清溪支行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保证借款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2022-10-22</w:t>
            </w: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深圳市伟 创自动化 设备有限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东莞农村商业银行 清溪支行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保证借款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2022-3-21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深圳市伟创 自动化设备 有限公司</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本公司、广 东伟创五 洋、东莞伟 创华鑫</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中国银行深圳福田 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2022-2-3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2022-4-1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2022-5-20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24,989,768.71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2022-6-24</w:t>
            </w:r>
          </w:p>
        </w:tc>
        <w:tc>
          <w:tcPr>
            <w:tcBorders>
              <w:top w:val="single" w:sz="4"/>
              <w:left w:val="single" w:sz="4"/>
              <w:right w:val="single" w:sz="4"/>
            </w:tcBorders>
            <w:shd w:val="clear" w:color="auto" w:fill="FFFFFF"/>
            <w:vAlign w:val="top"/>
          </w:tcPr>
          <w:p>
            <w:pPr>
              <w:widowControl w:val="0"/>
              <w:rPr>
                <w:sz w:val="10"/>
                <w:szCs w:val="10"/>
              </w:rPr>
            </w:pPr>
          </w:p>
        </w:tc>
      </w:tr>
      <w:tr>
        <w:trPr>
          <w:trHeight w:val="128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深圳市高</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新投融资</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担保有限</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民生银行光明支行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保证借款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2022-12-17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2022-12-17</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本公司、伟 创华鑫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交通银行深圳梅林</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2022-5-3</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231,140,815.41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55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）保函</w:t>
      </w:r>
    </w:p>
    <w:p>
      <w:pPr>
        <w:widowControl w:val="0"/>
        <w:spacing w:line="1" w:lineRule="exact"/>
      </w:pPr>
    </w:p>
    <w:p>
      <w:pPr>
        <w:pStyle w:val="Style31"/>
        <w:keepNext w:val="0"/>
        <w:keepLines w:val="0"/>
        <w:widowControl w:val="0"/>
        <w:shd w:val="clear" w:color="auto" w:fill="auto"/>
        <w:bidi w:val="0"/>
        <w:spacing w:before="0" w:after="0" w:line="331"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日，公司为了承接项目及与客户正常的合作关系，未撤销履约保函人民币余额合计</w:t>
      </w:r>
      <w:r>
        <w:rPr>
          <w:rFonts w:ascii="Times New Roman" w:eastAsia="Times New Roman" w:hAnsi="Times New Roman" w:cs="Times New Roman"/>
          <w:color w:val="000000"/>
          <w:spacing w:val="0"/>
          <w:w w:val="100"/>
          <w:position w:val="0"/>
          <w:sz w:val="18"/>
          <w:szCs w:val="18"/>
        </w:rPr>
        <w:t>69,008,491.35</w:t>
      </w:r>
      <w:r>
        <w:rPr>
          <w:color w:val="000000"/>
          <w:spacing w:val="0"/>
          <w:w w:val="100"/>
          <w:position w:val="0"/>
        </w:rPr>
        <w:t>元， 具体如下：</w:t>
      </w:r>
    </w:p>
    <w:tbl>
      <w:tblPr>
        <w:tblOverlap w:val="never"/>
        <w:jc w:val="center"/>
        <w:tblLayout w:type="fixed"/>
      </w:tblPr>
      <w:tblGrid>
        <w:gridCol w:w="2731"/>
        <w:gridCol w:w="1704"/>
        <w:gridCol w:w="1882"/>
        <w:gridCol w:w="2760"/>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保函开具单位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期末保函余额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保函最后到期日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60,761,321.58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五洋停车担保</w:t>
            </w:r>
          </w:p>
        </w:tc>
      </w:tr>
      <w:tr>
        <w:trPr>
          <w:trHeight w:val="6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73,531.66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五洋股份、伟创华鑫为该保函等融 资授信提供连带担保</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山东天辰智能停车有限公司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5,039,046.70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2023/12/31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五洋停车公司为该保函等融资授信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提供连带担保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3,134,591.41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2022/8/17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69,008,491.35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533" w:right="0" w:firstLine="0"/>
        <w:jc w:val="left"/>
      </w:pPr>
      <w:r>
        <w:rPr>
          <w:color w:val="000000"/>
          <w:spacing w:val="0"/>
          <w:w w:val="100"/>
          <w:position w:val="0"/>
        </w:rPr>
        <w:t>若公司未按合同履约，将在有效期内向受益人支付不超过保函金额的索赔。</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01"/>
      <w:bookmarkEnd w:id="1902"/>
      <w:bookmarkEnd w:id="1903"/>
    </w:p>
    <w:p>
      <w:pPr>
        <w:pStyle w:val="Style28"/>
        <w:keepNext/>
        <w:keepLines/>
        <w:widowControl w:val="0"/>
        <w:shd w:val="clear" w:color="auto" w:fill="auto"/>
        <w:tabs>
          <w:tab w:pos="493" w:val="left"/>
        </w:tabs>
        <w:bidi w:val="0"/>
        <w:spacing w:before="0" w:line="240" w:lineRule="auto"/>
        <w:ind w:left="0" w:right="0" w:firstLine="0"/>
        <w:jc w:val="left"/>
      </w:pPr>
      <w:bookmarkStart w:id="1901" w:name="bookmark1901"/>
      <w:bookmarkStart w:id="1902" w:name="bookmark1902"/>
      <w:bookmarkStart w:id="1904" w:name="bookmark1904"/>
      <w:bookmarkStart w:id="1905" w:name="bookmark1905"/>
      <w:r>
        <w:rPr>
          <w:color w:val="000000"/>
          <w:spacing w:val="0"/>
          <w:w w:val="100"/>
          <w:position w:val="0"/>
        </w:rPr>
        <w:t>（</w:t>
      </w:r>
      <w:bookmarkEnd w:id="190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01"/>
      <w:bookmarkEnd w:id="1902"/>
      <w:bookmarkEnd w:id="1905"/>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日，本公司无需要披露的重大或有事项。</w:t>
      </w:r>
    </w:p>
    <w:p>
      <w:pPr>
        <w:pStyle w:val="Style28"/>
        <w:keepNext/>
        <w:keepLines/>
        <w:widowControl w:val="0"/>
        <w:shd w:val="clear" w:color="auto" w:fill="auto"/>
        <w:tabs>
          <w:tab w:pos="493" w:val="left"/>
        </w:tabs>
        <w:bidi w:val="0"/>
        <w:spacing w:before="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06"/>
      <w:bookmarkEnd w:id="1907"/>
      <w:bookmarkEnd w:id="1909"/>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8"/>
        <w:keepNext/>
        <w:keepLines/>
        <w:widowControl w:val="0"/>
        <w:shd w:val="clear" w:color="auto" w:fill="auto"/>
        <w:bidi w:val="0"/>
        <w:spacing w:before="0" w:after="36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3</w:t>
      </w:r>
      <w:bookmarkEnd w:id="1912"/>
      <w:r>
        <w:rPr>
          <w:color w:val="000000"/>
          <w:spacing w:val="0"/>
          <w:w w:val="100"/>
          <w:position w:val="0"/>
        </w:rPr>
        <w:t>、其他</w:t>
      </w:r>
      <w:bookmarkEnd w:id="1910"/>
      <w:bookmarkEnd w:id="1911"/>
      <w:bookmarkEnd w:id="1913"/>
    </w:p>
    <w:p>
      <w:pPr>
        <w:pStyle w:val="Style24"/>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r>
        <w:rPr>
          <w:color w:val="000000"/>
          <w:spacing w:val="0"/>
          <w:w w:val="100"/>
          <w:position w:val="0"/>
        </w:rPr>
        <w:t>十五、资产负债表日后事项</w:t>
      </w:r>
      <w:bookmarkEnd w:id="1914"/>
      <w:bookmarkEnd w:id="1915"/>
      <w:bookmarkEnd w:id="1916"/>
    </w:p>
    <w:p>
      <w:pPr>
        <w:pStyle w:val="Style28"/>
        <w:keepNext/>
        <w:keepLines/>
        <w:widowControl w:val="0"/>
        <w:shd w:val="clear" w:color="auto" w:fill="auto"/>
        <w:bidi w:val="0"/>
        <w:spacing w:before="0" w:after="360" w:line="240" w:lineRule="auto"/>
        <w:ind w:left="0" w:right="0" w:firstLine="0"/>
        <w:jc w:val="left"/>
      </w:pPr>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17"/>
      <w:bookmarkEnd w:id="1918"/>
      <w:bookmarkEnd w:id="191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28"/>
        <w:keepNext/>
        <w:keepLines/>
        <w:widowControl w:val="0"/>
        <w:shd w:val="clear" w:color="auto" w:fill="auto"/>
        <w:tabs>
          <w:tab w:pos="378" w:val="left"/>
        </w:tabs>
        <w:bidi w:val="0"/>
        <w:spacing w:before="0" w:after="360" w:line="240" w:lineRule="auto"/>
        <w:ind w:left="0" w:right="0" w:firstLine="0"/>
        <w:jc w:val="both"/>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2</w:t>
      </w:r>
      <w:bookmarkEnd w:id="1922"/>
      <w:r>
        <w:rPr>
          <w:color w:val="000000"/>
          <w:spacing w:val="0"/>
          <w:w w:val="100"/>
          <w:position w:val="0"/>
        </w:rPr>
        <w:t>、</w:t>
        <w:tab/>
        <w:t>利润分配情况</w:t>
      </w:r>
      <w:bookmarkEnd w:id="1920"/>
      <w:bookmarkEnd w:id="1921"/>
      <w:bookmarkEnd w:id="1923"/>
    </w:p>
    <w:p>
      <w:pPr>
        <w:pStyle w:val="Style1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3</w:t>
      </w:r>
      <w:bookmarkEnd w:id="1926"/>
      <w:r>
        <w:rPr>
          <w:color w:val="000000"/>
          <w:spacing w:val="0"/>
          <w:w w:val="100"/>
          <w:position w:val="0"/>
        </w:rPr>
        <w:t>、</w:t>
        <w:tab/>
        <w:t>销售退回</w:t>
      </w:r>
      <w:bookmarkEnd w:id="1924"/>
      <w:bookmarkEnd w:id="1925"/>
      <w:bookmarkEnd w:id="1927"/>
    </w:p>
    <w:p>
      <w:pPr>
        <w:pStyle w:val="Style28"/>
        <w:keepNext/>
        <w:keepLines/>
        <w:widowControl w:val="0"/>
        <w:shd w:val="clear" w:color="auto" w:fill="auto"/>
        <w:tabs>
          <w:tab w:pos="378" w:val="left"/>
        </w:tabs>
        <w:bidi w:val="0"/>
        <w:spacing w:before="0" w:after="360" w:line="240" w:lineRule="auto"/>
        <w:ind w:left="0" w:right="0" w:firstLine="0"/>
        <w:jc w:val="left"/>
      </w:pPr>
      <w:bookmarkStart w:id="1924" w:name="bookmark1924"/>
      <w:bookmarkStart w:id="1925" w:name="bookmark1925"/>
      <w:bookmarkStart w:id="1928" w:name="bookmark1928"/>
      <w:bookmarkStart w:id="1929" w:name="bookmark1929"/>
      <w:r>
        <w:rPr>
          <w:rFonts w:ascii="Times New Roman" w:eastAsia="Times New Roman" w:hAnsi="Times New Roman" w:cs="Times New Roman"/>
          <w:color w:val="000000"/>
          <w:spacing w:val="0"/>
          <w:w w:val="100"/>
          <w:position w:val="0"/>
        </w:rPr>
        <w:t>4</w:t>
      </w:r>
      <w:bookmarkEnd w:id="1928"/>
      <w:r>
        <w:rPr>
          <w:color w:val="000000"/>
          <w:spacing w:val="0"/>
          <w:w w:val="100"/>
          <w:position w:val="0"/>
        </w:rPr>
        <w:t>、</w:t>
        <w:tab/>
        <w:t>其他资产负债表日后事项说明</w:t>
      </w:r>
      <w:bookmarkEnd w:id="1924"/>
      <w:bookmarkEnd w:id="1925"/>
      <w:bookmarkEnd w:id="1929"/>
    </w:p>
    <w:p>
      <w:pPr>
        <w:pStyle w:val="Style24"/>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r>
        <w:rPr>
          <w:color w:val="000000"/>
          <w:spacing w:val="0"/>
          <w:w w:val="100"/>
          <w:position w:val="0"/>
        </w:rPr>
        <w:t>十六、其他重要事项</w:t>
      </w:r>
      <w:bookmarkEnd w:id="1930"/>
      <w:bookmarkEnd w:id="1931"/>
      <w:bookmarkEnd w:id="1932"/>
    </w:p>
    <w:p>
      <w:pPr>
        <w:pStyle w:val="Style28"/>
        <w:keepNext/>
        <w:keepLines/>
        <w:widowControl w:val="0"/>
        <w:shd w:val="clear" w:color="auto" w:fill="auto"/>
        <w:bidi w:val="0"/>
        <w:spacing w:before="0" w:after="36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33"/>
      <w:bookmarkEnd w:id="1934"/>
      <w:bookmarkEnd w:id="1935"/>
    </w:p>
    <w:p>
      <w:pPr>
        <w:pStyle w:val="Style28"/>
        <w:keepNext/>
        <w:keepLines/>
        <w:widowControl w:val="0"/>
        <w:shd w:val="clear" w:color="auto" w:fill="auto"/>
        <w:bidi w:val="0"/>
        <w:spacing w:before="0" w:after="360" w:line="240" w:lineRule="auto"/>
        <w:ind w:left="0" w:right="0" w:firstLine="0"/>
        <w:jc w:val="left"/>
      </w:pPr>
      <w:bookmarkStart w:id="1933" w:name="bookmark1933"/>
      <w:bookmarkStart w:id="1934" w:name="bookmark1934"/>
      <w:bookmarkStart w:id="1936" w:name="bookmark19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33"/>
      <w:bookmarkEnd w:id="1934"/>
      <w:bookmarkEnd w:id="193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937" w:name="bookmark1937"/>
      <w:bookmarkStart w:id="1938" w:name="bookmark1938"/>
      <w:bookmarkStart w:id="1939" w:name="bookmark19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37"/>
      <w:bookmarkEnd w:id="1938"/>
      <w:bookmarkEnd w:id="1939"/>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sectPr>
          <w:footnotePr>
            <w:pos w:val="pageBottom"/>
            <w:numFmt w:val="decimal"/>
            <w:numRestart w:val="continuous"/>
          </w:footnotePr>
          <w:pgSz w:w="11900" w:h="16840"/>
          <w:pgMar w:top="1359" w:right="940" w:bottom="1436" w:left="927" w:header="0" w:footer="3" w:gutter="0"/>
          <w:cols w:space="720"/>
          <w:noEndnote/>
          <w:rtlGutter w:val="0"/>
          <w:docGrid w:linePitch="360"/>
        </w:sectPr>
      </w:pPr>
    </w:p>
    <w:p>
      <w:pPr>
        <w:pStyle w:val="Style13"/>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940" w:name="bookmark1940"/>
      <w:r>
        <w:rPr>
          <w:rFonts w:ascii="Times New Roman" w:eastAsia="Times New Roman" w:hAnsi="Times New Roman" w:cs="Times New Roman"/>
          <w:color w:val="000000"/>
          <w:spacing w:val="0"/>
          <w:w w:val="100"/>
          <w:position w:val="0"/>
          <w:sz w:val="20"/>
          <w:szCs w:val="20"/>
        </w:rPr>
        <w:t>2</w:t>
      </w:r>
      <w:bookmarkEnd w:id="1940"/>
      <w:r>
        <w:rPr>
          <w:color w:val="000000"/>
          <w:spacing w:val="0"/>
          <w:w w:val="100"/>
          <w:position w:val="0"/>
          <w:sz w:val="20"/>
          <w:szCs w:val="20"/>
        </w:rPr>
        <w:t>、</w:t>
        <w:tab/>
        <w:t>债务重组</w:t>
      </w:r>
    </w:p>
    <w:p>
      <w:pPr>
        <w:pStyle w:val="Style13"/>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941" w:name="bookmark1941"/>
      <w:r>
        <w:rPr>
          <w:rFonts w:ascii="Times New Roman" w:eastAsia="Times New Roman" w:hAnsi="Times New Roman" w:cs="Times New Roman"/>
          <w:color w:val="000000"/>
          <w:spacing w:val="0"/>
          <w:w w:val="100"/>
          <w:position w:val="0"/>
          <w:sz w:val="20"/>
          <w:szCs w:val="20"/>
        </w:rPr>
        <w:t>3</w:t>
      </w:r>
      <w:bookmarkEnd w:id="1941"/>
      <w:r>
        <w:rPr>
          <w:color w:val="000000"/>
          <w:spacing w:val="0"/>
          <w:w w:val="100"/>
          <w:position w:val="0"/>
          <w:sz w:val="20"/>
          <w:szCs w:val="20"/>
        </w:rPr>
        <w:t>、</w:t>
        <w:tab/>
        <w:t>资产置换</w:t>
      </w:r>
    </w:p>
    <w:p>
      <w:pPr>
        <w:pStyle w:val="Style13"/>
        <w:keepNext w:val="0"/>
        <w:keepLines w:val="0"/>
        <w:widowControl w:val="0"/>
        <w:shd w:val="clear" w:color="auto" w:fill="auto"/>
        <w:tabs>
          <w:tab w:pos="493" w:val="left"/>
        </w:tabs>
        <w:bidi w:val="0"/>
        <w:spacing w:before="0" w:after="360" w:line="240" w:lineRule="auto"/>
        <w:ind w:left="0" w:right="0" w:firstLine="0"/>
        <w:jc w:val="both"/>
        <w:rPr>
          <w:sz w:val="20"/>
          <w:szCs w:val="20"/>
        </w:rPr>
      </w:pPr>
      <w:bookmarkStart w:id="1942" w:name="bookmark1942"/>
      <w:r>
        <w:rPr>
          <w:color w:val="000000"/>
          <w:spacing w:val="0"/>
          <w:w w:val="100"/>
          <w:position w:val="0"/>
          <w:sz w:val="20"/>
          <w:szCs w:val="20"/>
        </w:rPr>
        <w:t>（</w:t>
      </w:r>
      <w:bookmarkEnd w:id="194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非货币性资产交换</w:t>
      </w:r>
    </w:p>
    <w:p>
      <w:pPr>
        <w:pStyle w:val="Style13"/>
        <w:keepNext w:val="0"/>
        <w:keepLines w:val="0"/>
        <w:widowControl w:val="0"/>
        <w:shd w:val="clear" w:color="auto" w:fill="auto"/>
        <w:tabs>
          <w:tab w:pos="493" w:val="left"/>
        </w:tabs>
        <w:bidi w:val="0"/>
        <w:spacing w:before="0" w:after="360" w:line="240" w:lineRule="auto"/>
        <w:ind w:left="0" w:right="0" w:firstLine="0"/>
        <w:jc w:val="both"/>
        <w:rPr>
          <w:sz w:val="20"/>
          <w:szCs w:val="20"/>
        </w:rPr>
      </w:pPr>
      <w:bookmarkStart w:id="1943" w:name="bookmark1943"/>
      <w:r>
        <w:rPr>
          <w:color w:val="000000"/>
          <w:spacing w:val="0"/>
          <w:w w:val="100"/>
          <w:position w:val="0"/>
          <w:sz w:val="20"/>
          <w:szCs w:val="20"/>
        </w:rPr>
        <w:t>（</w:t>
      </w:r>
      <w:bookmarkEnd w:id="194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其他资产置换</w:t>
      </w:r>
    </w:p>
    <w:p>
      <w:pPr>
        <w:pStyle w:val="Style13"/>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944" w:name="bookmark1944"/>
      <w:r>
        <w:rPr>
          <w:rFonts w:ascii="Times New Roman" w:eastAsia="Times New Roman" w:hAnsi="Times New Roman" w:cs="Times New Roman"/>
          <w:color w:val="000000"/>
          <w:spacing w:val="0"/>
          <w:w w:val="100"/>
          <w:position w:val="0"/>
          <w:sz w:val="20"/>
          <w:szCs w:val="20"/>
        </w:rPr>
        <w:t>4</w:t>
      </w:r>
      <w:bookmarkEnd w:id="1944"/>
      <w:r>
        <w:rPr>
          <w:color w:val="000000"/>
          <w:spacing w:val="0"/>
          <w:w w:val="100"/>
          <w:position w:val="0"/>
          <w:sz w:val="20"/>
          <w:szCs w:val="20"/>
        </w:rPr>
        <w:t>、</w:t>
        <w:tab/>
        <w:t>年金计划</w:t>
      </w:r>
    </w:p>
    <w:p>
      <w:pPr>
        <w:pStyle w:val="Style13"/>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945" w:name="bookmark1945"/>
      <w:r>
        <w:rPr>
          <w:rFonts w:ascii="Times New Roman" w:eastAsia="Times New Roman" w:hAnsi="Times New Roman" w:cs="Times New Roman"/>
          <w:color w:val="000000"/>
          <w:spacing w:val="0"/>
          <w:w w:val="100"/>
          <w:position w:val="0"/>
          <w:sz w:val="20"/>
          <w:szCs w:val="20"/>
        </w:rPr>
        <w:t>5</w:t>
      </w:r>
      <w:bookmarkEnd w:id="1945"/>
      <w:r>
        <w:rPr>
          <w:color w:val="000000"/>
          <w:spacing w:val="0"/>
          <w:w w:val="100"/>
          <w:position w:val="0"/>
          <w:sz w:val="20"/>
          <w:szCs w:val="20"/>
        </w:rPr>
        <w:t>、</w:t>
        <w:tab/>
        <w:t>终止经营</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pStyle w:val="Style1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60" w:line="240" w:lineRule="auto"/>
        <w:ind w:left="0" w:right="0" w:firstLine="0"/>
        <w:jc w:val="left"/>
        <w:rPr>
          <w:sz w:val="20"/>
          <w:szCs w:val="20"/>
        </w:rPr>
      </w:pPr>
      <w:bookmarkStart w:id="1946" w:name="bookmark1946"/>
      <w:r>
        <w:rPr>
          <w:rFonts w:ascii="Times New Roman" w:eastAsia="Times New Roman" w:hAnsi="Times New Roman" w:cs="Times New Roman"/>
          <w:color w:val="000000"/>
          <w:spacing w:val="0"/>
          <w:w w:val="100"/>
          <w:position w:val="0"/>
          <w:sz w:val="20"/>
          <w:szCs w:val="20"/>
        </w:rPr>
        <w:t>6</w:t>
      </w:r>
      <w:bookmarkEnd w:id="1946"/>
      <w:r>
        <w:rPr>
          <w:color w:val="000000"/>
          <w:spacing w:val="0"/>
          <w:w w:val="100"/>
          <w:position w:val="0"/>
          <w:sz w:val="20"/>
          <w:szCs w:val="20"/>
        </w:rPr>
        <w:t>、分部信息</w:t>
      </w:r>
    </w:p>
    <w:p>
      <w:pPr>
        <w:pStyle w:val="Style13"/>
        <w:keepNext w:val="0"/>
        <w:keepLines w:val="0"/>
        <w:widowControl w:val="0"/>
        <w:shd w:val="clear" w:color="auto" w:fill="auto"/>
        <w:tabs>
          <w:tab w:pos="493" w:val="left"/>
        </w:tabs>
        <w:bidi w:val="0"/>
        <w:spacing w:before="0" w:after="280" w:line="240" w:lineRule="auto"/>
        <w:ind w:left="0" w:right="0" w:firstLine="0"/>
        <w:jc w:val="left"/>
        <w:rPr>
          <w:sz w:val="20"/>
          <w:szCs w:val="20"/>
        </w:rPr>
      </w:pPr>
      <w:bookmarkStart w:id="1947" w:name="bookmark1947"/>
      <w:r>
        <w:rPr>
          <w:color w:val="000000"/>
          <w:spacing w:val="0"/>
          <w:w w:val="100"/>
          <w:position w:val="0"/>
          <w:sz w:val="20"/>
          <w:szCs w:val="20"/>
        </w:rPr>
        <w:t>（</w:t>
      </w:r>
      <w:bookmarkEnd w:id="194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报告分部的确定依据与会计政策</w:t>
      </w:r>
    </w:p>
    <w:p>
      <w:pPr>
        <w:pStyle w:val="Style17"/>
        <w:keepNext w:val="0"/>
        <w:keepLines w:val="0"/>
        <w:widowControl w:val="0"/>
        <w:shd w:val="clear" w:color="auto" w:fill="auto"/>
        <w:bidi w:val="0"/>
        <w:spacing w:before="0" w:after="0" w:line="322"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、确定报告分部考虑的因素</w:t>
      </w:r>
    </w:p>
    <w:p>
      <w:pPr>
        <w:pStyle w:val="Style17"/>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公司以内部组织结构、管理要求、内部报告制度等为依据确定报告分部。公司的经营分部是指同时满足下列条件的组成 部分：</w:t>
      </w:r>
    </w:p>
    <w:p>
      <w:pPr>
        <w:pStyle w:val="Style17"/>
        <w:keepNext w:val="0"/>
        <w:keepLines w:val="0"/>
        <w:widowControl w:val="0"/>
        <w:shd w:val="clear" w:color="auto" w:fill="auto"/>
        <w:tabs>
          <w:tab w:pos="762" w:val="left"/>
        </w:tabs>
        <w:bidi w:val="0"/>
        <w:spacing w:before="0" w:after="0" w:line="322" w:lineRule="exact"/>
        <w:ind w:left="0" w:right="0" w:firstLine="360"/>
        <w:jc w:val="both"/>
      </w:pPr>
      <w:bookmarkStart w:id="1948" w:name="bookmark1948"/>
      <w:r>
        <w:rPr>
          <w:rFonts w:ascii="Times New Roman" w:eastAsia="Times New Roman" w:hAnsi="Times New Roman" w:cs="Times New Roman"/>
          <w:color w:val="000000"/>
          <w:spacing w:val="0"/>
          <w:w w:val="100"/>
          <w:position w:val="0"/>
          <w:sz w:val="18"/>
          <w:szCs w:val="18"/>
        </w:rPr>
        <w:t>（</w:t>
      </w:r>
      <w:bookmarkEnd w:id="1948"/>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该组成部分能够在日常活动中产生收入、发生费用；</w:t>
      </w:r>
    </w:p>
    <w:p>
      <w:pPr>
        <w:pStyle w:val="Style17"/>
        <w:keepNext w:val="0"/>
        <w:keepLines w:val="0"/>
        <w:widowControl w:val="0"/>
        <w:shd w:val="clear" w:color="auto" w:fill="auto"/>
        <w:tabs>
          <w:tab w:pos="762" w:val="left"/>
        </w:tabs>
        <w:bidi w:val="0"/>
        <w:spacing w:before="0" w:after="0" w:line="322" w:lineRule="exact"/>
        <w:ind w:left="0" w:right="0" w:firstLine="360"/>
        <w:jc w:val="both"/>
      </w:pPr>
      <w:bookmarkStart w:id="1949" w:name="bookmark1949"/>
      <w:r>
        <w:rPr>
          <w:rFonts w:ascii="Times New Roman" w:eastAsia="Times New Roman" w:hAnsi="Times New Roman" w:cs="Times New Roman"/>
          <w:color w:val="000000"/>
          <w:spacing w:val="0"/>
          <w:w w:val="100"/>
          <w:position w:val="0"/>
          <w:sz w:val="18"/>
          <w:szCs w:val="18"/>
        </w:rPr>
        <w:t>（</w:t>
      </w:r>
      <w:bookmarkEnd w:id="1949"/>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管理层能够定期评价该组成部分的经营成果，以决定向其配置资源、评价其业绩；</w:t>
      </w:r>
    </w:p>
    <w:p>
      <w:pPr>
        <w:pStyle w:val="Style17"/>
        <w:keepNext w:val="0"/>
        <w:keepLines w:val="0"/>
        <w:widowControl w:val="0"/>
        <w:shd w:val="clear" w:color="auto" w:fill="auto"/>
        <w:tabs>
          <w:tab w:pos="762" w:val="left"/>
        </w:tabs>
        <w:bidi w:val="0"/>
        <w:spacing w:before="0" w:after="0" w:line="322" w:lineRule="exact"/>
        <w:ind w:left="0" w:right="0" w:firstLine="360"/>
        <w:jc w:val="both"/>
      </w:pPr>
      <w:bookmarkStart w:id="1950" w:name="bookmark1950"/>
      <w:r>
        <w:rPr>
          <w:rFonts w:ascii="Times New Roman" w:eastAsia="Times New Roman" w:hAnsi="Times New Roman" w:cs="Times New Roman"/>
          <w:color w:val="000000"/>
          <w:spacing w:val="0"/>
          <w:w w:val="100"/>
          <w:position w:val="0"/>
          <w:sz w:val="18"/>
          <w:szCs w:val="18"/>
        </w:rPr>
        <w:t>（</w:t>
      </w:r>
      <w:bookmarkEnd w:id="1950"/>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能够通过分析取得该组成部分的财务状况、经营成果和现金流量等有关会计信息。</w:t>
      </w:r>
    </w:p>
    <w:p>
      <w:pPr>
        <w:pStyle w:val="Style17"/>
        <w:keepNext w:val="0"/>
        <w:keepLines w:val="0"/>
        <w:widowControl w:val="0"/>
        <w:shd w:val="clear" w:color="auto" w:fill="auto"/>
        <w:bidi w:val="0"/>
        <w:spacing w:before="0" w:after="360" w:line="322" w:lineRule="exact"/>
        <w:ind w:left="0" w:right="0" w:firstLine="360"/>
        <w:jc w:val="both"/>
      </w:pPr>
      <w:r>
        <w:rPr>
          <w:color w:val="000000"/>
          <w:spacing w:val="0"/>
          <w:w w:val="100"/>
          <w:position w:val="0"/>
        </w:rPr>
        <w:t>本公司以产品分部为基础确定报告分部，与各分部共同使用的资产、负债因相关业务混合经营，故无法对各分部使用的 资产、负债进行分配。</w:t>
      </w:r>
    </w:p>
    <w:p>
      <w:pPr>
        <w:pStyle w:val="Style13"/>
        <w:keepNext w:val="0"/>
        <w:keepLines w:val="0"/>
        <w:widowControl w:val="0"/>
        <w:shd w:val="clear" w:color="auto" w:fill="auto"/>
        <w:tabs>
          <w:tab w:pos="493" w:val="left"/>
        </w:tabs>
        <w:bidi w:val="0"/>
        <w:spacing w:before="0" w:after="360" w:line="240" w:lineRule="auto"/>
        <w:ind w:left="0" w:right="0" w:firstLine="0"/>
        <w:jc w:val="left"/>
        <w:rPr>
          <w:sz w:val="20"/>
          <w:szCs w:val="20"/>
        </w:rPr>
      </w:pPr>
      <w:bookmarkStart w:id="1951" w:name="bookmark1951"/>
      <w:r>
        <w:rPr>
          <w:color w:val="000000"/>
          <w:spacing w:val="0"/>
          <w:w w:val="100"/>
          <w:position w:val="0"/>
          <w:sz w:val="20"/>
          <w:szCs w:val="20"/>
        </w:rPr>
        <w:t>（</w:t>
      </w:r>
      <w:bookmarkEnd w:id="195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报告分部的财务信息</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立体车库及其安装服务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790,834,880.61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684,252,752.44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智能物流及仓储系统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214,152,973.27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210,838,327.74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自动化生产线设备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152,975,192.82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143,856,064.69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散料搬运核心装置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138,194,650.68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87,143,531.17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两站及机制砂设备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148,636,123.81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101,199,347.39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固态电子盘及其他存储 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3,037,491.06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1,707,350.81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9,425,141.46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82,012,524.37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57,499,377.88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1,540,103,828.31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1,286,496,752.12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3</w:t>
      </w:r>
      <w:r>
        <w:rPr>
          <w:color w:val="000000"/>
          <w:spacing w:val="0"/>
          <w:w w:val="100"/>
          <w:position w:val="0"/>
        </w:rPr>
        <w:t>） 公司无报告分部的，或者不能披露各报告分部的资产总额和负债总额的，应说明原因</w:t>
      </w:r>
      <w:bookmarkEnd w:id="1952"/>
      <w:bookmarkEnd w:id="1953"/>
      <w:bookmarkEnd w:id="1955"/>
    </w:p>
    <w:p>
      <w:pPr>
        <w:pStyle w:val="Style28"/>
        <w:keepNext/>
        <w:keepLines/>
        <w:widowControl w:val="0"/>
        <w:shd w:val="clear" w:color="auto" w:fill="auto"/>
        <w:tabs>
          <w:tab w:pos="483" w:val="left"/>
        </w:tabs>
        <w:bidi w:val="0"/>
        <w:spacing w:before="0" w:after="360" w:line="240" w:lineRule="auto"/>
        <w:ind w:left="0" w:right="0" w:firstLine="0"/>
        <w:jc w:val="left"/>
      </w:pPr>
      <w:bookmarkStart w:id="1952" w:name="bookmark1952"/>
      <w:bookmarkStart w:id="1953" w:name="bookmark1953"/>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952"/>
      <w:bookmarkEnd w:id="1953"/>
      <w:bookmarkEnd w:id="1957"/>
    </w:p>
    <w:p>
      <w:pPr>
        <w:pStyle w:val="Style28"/>
        <w:keepNext/>
        <w:keepLines/>
        <w:widowControl w:val="0"/>
        <w:shd w:val="clear" w:color="auto" w:fill="auto"/>
        <w:bidi w:val="0"/>
        <w:spacing w:before="0" w:after="360" w:line="240" w:lineRule="auto"/>
        <w:ind w:left="0" w:right="0" w:firstLine="0"/>
        <w:jc w:val="left"/>
      </w:pPr>
      <w:bookmarkStart w:id="1952" w:name="bookmark1952"/>
      <w:bookmarkStart w:id="1953" w:name="bookmark1953"/>
      <w:bookmarkStart w:id="1958" w:name="bookmark1958"/>
      <w:bookmarkStart w:id="1959" w:name="bookmark1959"/>
      <w:r>
        <w:rPr>
          <w:rFonts w:ascii="Times New Roman" w:eastAsia="Times New Roman" w:hAnsi="Times New Roman" w:cs="Times New Roman"/>
          <w:color w:val="000000"/>
          <w:spacing w:val="0"/>
          <w:w w:val="100"/>
          <w:position w:val="0"/>
        </w:rPr>
        <w:t>7</w:t>
      </w:r>
      <w:bookmarkEnd w:id="1958"/>
      <w:r>
        <w:rPr>
          <w:color w:val="000000"/>
          <w:spacing w:val="0"/>
          <w:w w:val="100"/>
          <w:position w:val="0"/>
        </w:rPr>
        <w:t>、其他对投资者决策有影响的重要交易和事项</w:t>
      </w:r>
      <w:bookmarkEnd w:id="1952"/>
      <w:bookmarkEnd w:id="1953"/>
      <w:bookmarkEnd w:id="1959"/>
    </w:p>
    <w:p>
      <w:pPr>
        <w:pStyle w:val="Style1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（一）实际控制人股权质押情况</w:t>
      </w:r>
    </w:p>
    <w:p>
      <w:pPr>
        <w:pStyle w:val="Style31"/>
        <w:keepNext w:val="0"/>
        <w:keepLines w:val="0"/>
        <w:widowControl w:val="0"/>
        <w:shd w:val="clear" w:color="auto" w:fill="auto"/>
        <w:bidi w:val="0"/>
        <w:spacing w:before="0" w:after="0" w:line="240" w:lineRule="auto"/>
        <w:ind w:left="341"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日，实际控制人股权质押情况如下:</w:t>
      </w:r>
    </w:p>
    <w:tbl>
      <w:tblPr>
        <w:tblOverlap w:val="never"/>
        <w:jc w:val="center"/>
        <w:tblLayout w:type="fixed"/>
      </w:tblPr>
      <w:tblGrid>
        <w:gridCol w:w="869"/>
        <w:gridCol w:w="1315"/>
        <w:gridCol w:w="826"/>
        <w:gridCol w:w="1224"/>
        <w:gridCol w:w="691"/>
        <w:gridCol w:w="1109"/>
        <w:gridCol w:w="1963"/>
        <w:gridCol w:w="1080"/>
      </w:tblGrid>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股东姓名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持有公司股份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占注册资 本比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质押股份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占个人 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占注册资本的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质押权人</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质押期限</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99,588,450.00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浙商证券股份有限公司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68,936,144.00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浙商证券股份有限公司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168,524,594.00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（二）被收购方业绩承诺、实现及业绩补偿情况</w:t>
      </w:r>
    </w:p>
    <w:p>
      <w:pPr>
        <w:pStyle w:val="Style17"/>
        <w:keepNext w:val="0"/>
        <w:keepLines w:val="0"/>
        <w:widowControl w:val="0"/>
        <w:shd w:val="clear" w:color="auto" w:fill="auto"/>
        <w:tabs>
          <w:tab w:pos="705" w:val="left"/>
        </w:tabs>
        <w:bidi w:val="0"/>
        <w:spacing w:before="0" w:after="0" w:line="360" w:lineRule="auto"/>
        <w:ind w:left="0" w:right="0" w:firstLine="380"/>
        <w:jc w:val="both"/>
      </w:pPr>
      <w:bookmarkStart w:id="1960" w:name="bookmark1960"/>
      <w:r>
        <w:rPr>
          <w:rFonts w:ascii="Times New Roman" w:eastAsia="Times New Roman" w:hAnsi="Times New Roman" w:cs="Times New Roman"/>
          <w:color w:val="000000"/>
          <w:spacing w:val="0"/>
          <w:w w:val="100"/>
          <w:position w:val="0"/>
          <w:sz w:val="18"/>
          <w:szCs w:val="18"/>
        </w:rPr>
        <w:t>1</w:t>
      </w:r>
      <w:bookmarkEnd w:id="1960"/>
      <w:r>
        <w:rPr>
          <w:color w:val="000000"/>
          <w:spacing w:val="0"/>
          <w:w w:val="100"/>
          <w:position w:val="0"/>
        </w:rPr>
        <w:t>、</w:t>
        <w:tab/>
        <w:t>北京华逸奇科贸有限公司</w:t>
      </w:r>
    </w:p>
    <w:p>
      <w:pPr>
        <w:pStyle w:val="Style17"/>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关于北京华逸奇科贸有限公司业绩承诺、实现及业绩补偿情况详见附注八、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之说明。</w:t>
      </w:r>
    </w:p>
    <w:p>
      <w:pPr>
        <w:pStyle w:val="Style17"/>
        <w:keepNext w:val="0"/>
        <w:keepLines w:val="0"/>
        <w:widowControl w:val="0"/>
        <w:shd w:val="clear" w:color="auto" w:fill="auto"/>
        <w:tabs>
          <w:tab w:pos="724" w:val="left"/>
        </w:tabs>
        <w:bidi w:val="0"/>
        <w:spacing w:before="0" w:after="0" w:line="360" w:lineRule="auto"/>
        <w:ind w:left="0" w:right="0" w:firstLine="380"/>
        <w:jc w:val="both"/>
      </w:pPr>
      <w:bookmarkStart w:id="1961" w:name="bookmark1961"/>
      <w:r>
        <w:rPr>
          <w:rFonts w:ascii="Times New Roman" w:eastAsia="Times New Roman" w:hAnsi="Times New Roman" w:cs="Times New Roman"/>
          <w:color w:val="000000"/>
          <w:spacing w:val="0"/>
          <w:w w:val="100"/>
          <w:position w:val="0"/>
          <w:sz w:val="18"/>
          <w:szCs w:val="18"/>
        </w:rPr>
        <w:t>2</w:t>
      </w:r>
      <w:bookmarkEnd w:id="1961"/>
      <w:r>
        <w:rPr>
          <w:color w:val="000000"/>
          <w:spacing w:val="0"/>
          <w:w w:val="100"/>
          <w:position w:val="0"/>
        </w:rPr>
        <w:t>、</w:t>
        <w:tab/>
        <w:t>山东天辰智能停车有限公司</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经中国证券监督管理委员会出具的《关于核准徐州五洋科技股份有限公司向济南天辰机器集团有限公司等发行股份购买 资产并募集配套资金的批复》（证监许可</w:t>
      </w:r>
      <w:r>
        <w:rPr>
          <w:rFonts w:ascii="Times New Roman" w:eastAsia="Times New Roman" w:hAnsi="Times New Roman" w:cs="Times New Roman"/>
          <w:color w:val="000000"/>
          <w:spacing w:val="0"/>
          <w:w w:val="100"/>
          <w:position w:val="0"/>
          <w:sz w:val="18"/>
          <w:szCs w:val="18"/>
        </w:rPr>
        <w:t>[2017]1608</w:t>
      </w:r>
      <w:r>
        <w:rPr>
          <w:color w:val="000000"/>
          <w:spacing w:val="0"/>
          <w:w w:val="100"/>
          <w:position w:val="0"/>
        </w:rPr>
        <w:t>号），核准徐州五洋科技股份有限公司（现更名为江苏五洋停车产业 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）通过发行股份及支付现金相结合的方式，购买济南天辰机器集团有限公司、侯秀峰、 侯玉鹏等</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名自然人及法人、持有的山东天辰智能停车有限公司（以下简称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天辰智能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的股权，并向不超过</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名特定投资者非公开发行股票募集资金不超过</w:t>
      </w:r>
      <w:r>
        <w:rPr>
          <w:rFonts w:ascii="Times New Roman" w:eastAsia="Times New Roman" w:hAnsi="Times New Roman" w:cs="Times New Roman"/>
          <w:color w:val="000000"/>
          <w:spacing w:val="0"/>
          <w:w w:val="100"/>
          <w:position w:val="0"/>
          <w:sz w:val="18"/>
          <w:szCs w:val="18"/>
        </w:rPr>
        <w:t>5,700</w:t>
      </w:r>
      <w:r>
        <w:rPr>
          <w:color w:val="000000"/>
          <w:spacing w:val="0"/>
          <w:w w:val="100"/>
          <w:position w:val="0"/>
        </w:rPr>
        <w:t>万元。</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根据公司与天辰智能业绩承诺主体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业绩补偿主体济南天辰机器集团有限公司、侯秀峰、侯玉鹏签署的《徐州五洋科技 股份有限公司与山东天辰智能停车股份有限公司股东济南天辰机器集团有限公司、侯秀峰及侯玉鹏之盈利补偿协议》，天辰 智能</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年度的净利润承诺数分别为</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 元。业绩承诺主体承诺，天辰智能</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年度四年累计实际净利润将不低于</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 元。《盈利补偿协议》所述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均指扣除非经常性损益后的净利润。</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根据天健会计师事务所（特殊普通合伙）出具的审计报告，天辰智能</w:t>
      </w:r>
      <w:r>
        <w:rPr>
          <w:rFonts w:ascii="Times New Roman" w:eastAsia="Times New Roman" w:hAnsi="Times New Roman" w:cs="Times New Roman"/>
          <w:color w:val="000000"/>
          <w:spacing w:val="0"/>
          <w:w w:val="100"/>
          <w:position w:val="0"/>
          <w:sz w:val="18"/>
          <w:szCs w:val="18"/>
        </w:rPr>
        <w:t>2017—2020</w:t>
      </w:r>
      <w:r>
        <w:rPr>
          <w:color w:val="000000"/>
          <w:spacing w:val="0"/>
          <w:w w:val="100"/>
          <w:position w:val="0"/>
        </w:rPr>
        <w:t>年度业绩承诺实现情况如下：</w:t>
      </w:r>
    </w:p>
    <w:p>
      <w:pPr>
        <w:pStyle w:val="Style1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天辰智能公司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年度经审计的扣除非经常性损益后归属于母公司股东的净利 润分别为</w:t>
      </w:r>
      <w:r>
        <w:rPr>
          <w:rFonts w:ascii="Times New Roman" w:eastAsia="Times New Roman" w:hAnsi="Times New Roman" w:cs="Times New Roman"/>
          <w:color w:val="000000"/>
          <w:spacing w:val="0"/>
          <w:w w:val="100"/>
          <w:position w:val="0"/>
          <w:sz w:val="18"/>
          <w:szCs w:val="18"/>
        </w:rPr>
        <w:t>1,869.03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3,711.01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4,235.13</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2,117.25</w:t>
      </w:r>
      <w:r>
        <w:rPr>
          <w:color w:val="000000"/>
          <w:spacing w:val="0"/>
          <w:w w:val="100"/>
          <w:position w:val="0"/>
        </w:rPr>
        <w:t>万元，前三个会计年度累计实现净利润</w:t>
      </w:r>
      <w:r>
        <w:rPr>
          <w:rFonts w:ascii="Times New Roman" w:eastAsia="Times New Roman" w:hAnsi="Times New Roman" w:cs="Times New Roman"/>
          <w:color w:val="000000"/>
          <w:spacing w:val="0"/>
          <w:w w:val="100"/>
          <w:position w:val="0"/>
          <w:sz w:val="18"/>
          <w:szCs w:val="18"/>
        </w:rPr>
        <w:t>9,815.17</w:t>
      </w:r>
      <w:r>
        <w:rPr>
          <w:color w:val="000000"/>
          <w:spacing w:val="0"/>
          <w:w w:val="100"/>
          <w:position w:val="0"/>
        </w:rPr>
        <w:t>万元， 完成前三个会计年度累积业绩承诺的</w:t>
      </w:r>
      <w:r>
        <w:rPr>
          <w:rFonts w:ascii="Times New Roman" w:eastAsia="Times New Roman" w:hAnsi="Times New Roman" w:cs="Times New Roman"/>
          <w:color w:val="000000"/>
          <w:spacing w:val="0"/>
          <w:w w:val="100"/>
          <w:position w:val="0"/>
          <w:sz w:val="18"/>
          <w:szCs w:val="18"/>
        </w:rPr>
        <w:t>104.42%</w:t>
      </w:r>
      <w:r>
        <w:rPr>
          <w:color w:val="000000"/>
          <w:spacing w:val="0"/>
          <w:w w:val="100"/>
          <w:position w:val="0"/>
        </w:rPr>
        <w:t>。天辰智能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2,117.25</w:t>
      </w:r>
      <w:r>
        <w:rPr>
          <w:color w:val="000000"/>
          <w:spacing w:val="0"/>
          <w:w w:val="100"/>
          <w:position w:val="0"/>
        </w:rPr>
        <w:t>万元，未完成业绩承诺。</w:t>
      </w:r>
    </w:p>
    <w:p>
      <w:pPr>
        <w:pStyle w:val="Style17"/>
        <w:keepNext w:val="0"/>
        <w:keepLines w:val="0"/>
        <w:widowControl w:val="0"/>
        <w:shd w:val="clear" w:color="auto" w:fill="auto"/>
        <w:bidi w:val="0"/>
        <w:spacing w:before="0" w:after="220" w:line="313" w:lineRule="exact"/>
        <w:ind w:left="0" w:right="0" w:firstLine="380"/>
        <w:jc w:val="both"/>
      </w:pPr>
      <w:r>
        <w:rPr>
          <w:color w:val="000000"/>
          <w:spacing w:val="0"/>
          <w:w w:val="100"/>
          <w:position w:val="0"/>
        </w:rPr>
        <w:t>截止报告出具日，公司尚未收到业绩补偿主体济南天辰机器集团有限公司、侯秀峰、侯玉鹏应支付的业绩补偿款。</w:t>
      </w:r>
      <w:r>
        <w:br w:type="page"/>
      </w:r>
    </w:p>
    <w:p>
      <w:pPr>
        <w:pStyle w:val="Style28"/>
        <w:keepNext/>
        <w:keepLines/>
        <w:widowControl w:val="0"/>
        <w:shd w:val="clear" w:color="auto" w:fill="auto"/>
        <w:bidi w:val="0"/>
        <w:spacing w:before="0" w:after="36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8</w:t>
      </w:r>
      <w:bookmarkEnd w:id="1964"/>
      <w:r>
        <w:rPr>
          <w:color w:val="000000"/>
          <w:spacing w:val="0"/>
          <w:w w:val="100"/>
          <w:position w:val="0"/>
        </w:rPr>
        <w:t>、其他</w:t>
      </w:r>
      <w:bookmarkEnd w:id="1962"/>
      <w:bookmarkEnd w:id="1963"/>
      <w:bookmarkEnd w:id="1965"/>
    </w:p>
    <w:p>
      <w:pPr>
        <w:pStyle w:val="Style24"/>
        <w:keepNext/>
        <w:keepLines/>
        <w:widowControl w:val="0"/>
        <w:shd w:val="clear" w:color="auto" w:fill="auto"/>
        <w:bidi w:val="0"/>
        <w:spacing w:before="0" w:line="240" w:lineRule="auto"/>
        <w:ind w:left="0" w:right="0" w:firstLine="0"/>
        <w:jc w:val="left"/>
      </w:pPr>
      <w:bookmarkStart w:id="1966" w:name="bookmark1966"/>
      <w:bookmarkStart w:id="1967" w:name="bookmark1967"/>
      <w:bookmarkStart w:id="1968" w:name="bookmark1968"/>
      <w:r>
        <w:rPr>
          <w:color w:val="000000"/>
          <w:spacing w:val="0"/>
          <w:w w:val="100"/>
          <w:position w:val="0"/>
        </w:rPr>
        <w:t>十七、母公司财务报表主要项目注释</w:t>
      </w:r>
      <w:bookmarkEnd w:id="1966"/>
      <w:bookmarkEnd w:id="1967"/>
      <w:bookmarkEnd w:id="1968"/>
    </w:p>
    <w:p>
      <w:pPr>
        <w:pStyle w:val="Style28"/>
        <w:keepNext/>
        <w:keepLines/>
        <w:widowControl w:val="0"/>
        <w:shd w:val="clear" w:color="auto" w:fill="auto"/>
        <w:bidi w:val="0"/>
        <w:spacing w:before="0" w:after="360" w:line="240" w:lineRule="auto"/>
        <w:ind w:left="0" w:right="0" w:firstLine="0"/>
        <w:jc w:val="left"/>
      </w:pPr>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69"/>
      <w:bookmarkEnd w:id="1970"/>
      <w:bookmarkEnd w:id="1971"/>
    </w:p>
    <w:p>
      <w:pPr>
        <w:pStyle w:val="Style28"/>
        <w:keepNext/>
        <w:keepLines/>
        <w:widowControl w:val="0"/>
        <w:shd w:val="clear" w:color="auto" w:fill="auto"/>
        <w:bidi w:val="0"/>
        <w:spacing w:before="0" w:after="360" w:line="240" w:lineRule="auto"/>
        <w:ind w:left="0" w:right="0" w:firstLine="0"/>
        <w:jc w:val="left"/>
      </w:pPr>
      <w:bookmarkStart w:id="1969" w:name="bookmark1969"/>
      <w:bookmarkStart w:id="1970" w:name="bookmark1970"/>
      <w:bookmarkStart w:id="1972" w:name="bookmark19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69"/>
      <w:bookmarkEnd w:id="1970"/>
      <w:bookmarkEnd w:id="1972"/>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91,218,8</w:t>
            </w:r>
          </w:p>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16,885,2</w:t>
            </w:r>
          </w:p>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74,333,57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82,109,92</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13,749,46</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68,360,460.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91,218,8</w:t>
            </w:r>
          </w:p>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16,885,2</w:t>
            </w:r>
          </w:p>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74,333,57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82,109,92</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13,749,46</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68,360,460.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91,218,8</w:t>
            </w:r>
          </w:p>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16,885,2</w:t>
            </w:r>
          </w:p>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74,333,57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82,109,92</w:t>
            </w:r>
          </w:p>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13,749,46</w:t>
            </w:r>
          </w:p>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68,360,460.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57,420,593.39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15,380,429.52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8,153,339.26</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10,264,457.35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3,414,068.50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1,834,046.00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5,016,342.85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91,218,819.52</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973" w:name="bookmark1973"/>
      <w:bookmarkStart w:id="1974" w:name="bookmark1974"/>
      <w:bookmarkStart w:id="1975" w:name="bookmark19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73"/>
      <w:bookmarkEnd w:id="1974"/>
      <w:bookmarkEnd w:id="197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13,749,460.11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3,328,336.45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192,553.79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16,885,242.77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13,749,460.11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3,328,336.45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192,553.79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16,885,242.77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11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76"/>
      <w:bookmarkEnd w:id="1977"/>
      <w:bookmarkEnd w:id="1979"/>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192,553.79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28"/>
        <w:keepNext/>
        <w:keepLines/>
        <w:widowControl w:val="0"/>
        <w:shd w:val="clear" w:color="auto" w:fill="auto"/>
        <w:bidi w:val="0"/>
        <w:spacing w:before="0" w:line="240" w:lineRule="auto"/>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80"/>
      <w:bookmarkEnd w:id="1981"/>
      <w:bookmarkEnd w:id="1983"/>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4,998,829.66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249,941.48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4,291,440.00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2,050,752.00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3,741,900.00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187,095.00</w:t>
            </w:r>
          </w:p>
        </w:tc>
      </w:tr>
    </w:tbl>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2,577,540.24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196,837.15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2,217,687.00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186,378.70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17,827,396.90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tabs>
          <w:tab w:pos="493" w:val="left"/>
        </w:tabs>
        <w:bidi w:val="0"/>
        <w:spacing w:before="0" w:after="360" w:line="240" w:lineRule="auto"/>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84"/>
      <w:bookmarkEnd w:id="1985"/>
      <w:bookmarkEnd w:id="1987"/>
    </w:p>
    <w:p>
      <w:pPr>
        <w:pStyle w:val="Style28"/>
        <w:keepNext/>
        <w:keepLines/>
        <w:widowControl w:val="0"/>
        <w:shd w:val="clear" w:color="auto" w:fill="auto"/>
        <w:tabs>
          <w:tab w:pos="493" w:val="left"/>
        </w:tabs>
        <w:bidi w:val="0"/>
        <w:spacing w:before="0" w:after="360" w:line="240" w:lineRule="auto"/>
        <w:ind w:left="0" w:right="0" w:firstLine="0"/>
        <w:jc w:val="left"/>
      </w:pPr>
      <w:bookmarkStart w:id="1984" w:name="bookmark1984"/>
      <w:bookmarkStart w:id="1985" w:name="bookmark1985"/>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84"/>
      <w:bookmarkEnd w:id="1985"/>
      <w:bookmarkEnd w:id="1989"/>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90"/>
      <w:bookmarkEnd w:id="1991"/>
      <w:bookmarkEnd w:id="199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107,010,493.58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85,491,186.11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107,010,493.58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85,491,186.11</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993" w:name="bookmark1993"/>
      <w:bookmarkStart w:id="1994" w:name="bookmark1994"/>
      <w:bookmarkStart w:id="1995" w:name="bookmark19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93"/>
      <w:bookmarkEnd w:id="1994"/>
      <w:bookmarkEnd w:id="1995"/>
    </w:p>
    <w:p>
      <w:pPr>
        <w:pStyle w:val="Style28"/>
        <w:keepNext/>
        <w:keepLines/>
        <w:widowControl w:val="0"/>
        <w:shd w:val="clear" w:color="auto" w:fill="auto"/>
        <w:bidi w:val="0"/>
        <w:spacing w:before="0" w:after="360" w:line="240" w:lineRule="auto"/>
        <w:ind w:left="0" w:right="0" w:firstLine="0"/>
        <w:jc w:val="both"/>
      </w:pPr>
      <w:bookmarkStart w:id="1993" w:name="bookmark1993"/>
      <w:bookmarkStart w:id="1994" w:name="bookmark1994"/>
      <w:bookmarkStart w:id="1996" w:name="bookmark1996"/>
      <w:bookmarkStart w:id="1997" w:name="bookmark1997"/>
      <w:r>
        <w:rPr>
          <w:rFonts w:ascii="Times New Roman" w:eastAsia="Times New Roman" w:hAnsi="Times New Roman" w:cs="Times New Roman"/>
          <w:color w:val="000000"/>
          <w:spacing w:val="0"/>
          <w:w w:val="100"/>
          <w:position w:val="0"/>
        </w:rPr>
        <w:t>1</w:t>
      </w:r>
      <w:bookmarkEnd w:id="1996"/>
      <w:r>
        <w:rPr>
          <w:color w:val="000000"/>
          <w:spacing w:val="0"/>
          <w:w w:val="100"/>
          <w:position w:val="0"/>
        </w:rPr>
        <w:t>）应收利息分类</w:t>
      </w:r>
      <w:bookmarkEnd w:id="1993"/>
      <w:bookmarkEnd w:id="1994"/>
      <w:bookmarkEnd w:id="199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2</w:t>
      </w:r>
      <w:bookmarkEnd w:id="2000"/>
      <w:r>
        <w:rPr>
          <w:color w:val="000000"/>
          <w:spacing w:val="0"/>
          <w:w w:val="100"/>
          <w:position w:val="0"/>
        </w:rPr>
        <w:t>）重要逾期利息</w:t>
      </w:r>
      <w:bookmarkEnd w:id="1998"/>
      <w:bookmarkEnd w:id="1999"/>
      <w:bookmarkEnd w:id="2001"/>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3</w:t>
      </w:r>
      <w:bookmarkEnd w:id="2004"/>
      <w:r>
        <w:rPr>
          <w:color w:val="000000"/>
          <w:spacing w:val="0"/>
          <w:w w:val="100"/>
          <w:position w:val="0"/>
        </w:rPr>
        <w:t>）坏账准备计提情况</w:t>
      </w:r>
      <w:bookmarkEnd w:id="2002"/>
      <w:bookmarkEnd w:id="2003"/>
      <w:bookmarkEnd w:id="2005"/>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both"/>
      </w:pPr>
      <w:bookmarkStart w:id="2006" w:name="bookmark2006"/>
      <w:bookmarkStart w:id="2007" w:name="bookmark2007"/>
      <w:bookmarkStart w:id="2008" w:name="bookmark20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06"/>
      <w:bookmarkEnd w:id="2007"/>
      <w:bookmarkEnd w:id="2008"/>
    </w:p>
    <w:p>
      <w:pPr>
        <w:pStyle w:val="Style28"/>
        <w:keepNext/>
        <w:keepLines/>
        <w:widowControl w:val="0"/>
        <w:shd w:val="clear" w:color="auto" w:fill="auto"/>
        <w:bidi w:val="0"/>
        <w:spacing w:before="0" w:after="360" w:line="240" w:lineRule="auto"/>
        <w:ind w:left="0" w:right="0" w:firstLine="0"/>
        <w:jc w:val="both"/>
      </w:pPr>
      <w:bookmarkStart w:id="2006" w:name="bookmark2006"/>
      <w:bookmarkStart w:id="2007" w:name="bookmark2007"/>
      <w:bookmarkStart w:id="2009" w:name="bookmark200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006"/>
      <w:bookmarkEnd w:id="2007"/>
      <w:bookmarkEnd w:id="200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2</w:t>
      </w:r>
      <w:bookmarkEnd w:id="201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10"/>
      <w:bookmarkEnd w:id="2011"/>
      <w:bookmarkEnd w:id="2013"/>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3</w:t>
      </w:r>
      <w:bookmarkEnd w:id="2016"/>
      <w:r>
        <w:rPr>
          <w:color w:val="000000"/>
          <w:spacing w:val="0"/>
          <w:w w:val="100"/>
          <w:position w:val="0"/>
        </w:rPr>
        <w:t>）坏账准备计提情况</w:t>
      </w:r>
      <w:bookmarkEnd w:id="2014"/>
      <w:bookmarkEnd w:id="2015"/>
      <w:bookmarkEnd w:id="2017"/>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018" w:name="bookmark2018"/>
      <w:bookmarkStart w:id="2019" w:name="bookmark2019"/>
      <w:bookmarkStart w:id="2020" w:name="bookmark2020"/>
      <w:bookmarkStart w:id="2021" w:name="bookmark2021"/>
      <w:r>
        <w:rPr>
          <w:color w:val="000000"/>
          <w:spacing w:val="0"/>
          <w:w w:val="100"/>
          <w:position w:val="0"/>
        </w:rPr>
        <w:t>（</w:t>
      </w:r>
      <w:bookmarkEnd w:id="202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18"/>
      <w:bookmarkEnd w:id="2019"/>
      <w:bookmarkEnd w:id="2021"/>
    </w:p>
    <w:p>
      <w:pPr>
        <w:pStyle w:val="Style28"/>
        <w:keepNext/>
        <w:keepLines/>
        <w:widowControl w:val="0"/>
        <w:shd w:val="clear" w:color="auto" w:fill="auto"/>
        <w:bidi w:val="0"/>
        <w:spacing w:before="0" w:line="240" w:lineRule="auto"/>
        <w:ind w:left="0" w:right="0" w:firstLine="0"/>
        <w:jc w:val="left"/>
      </w:pPr>
      <w:bookmarkStart w:id="2018" w:name="bookmark2018"/>
      <w:bookmarkStart w:id="2019" w:name="bookmark2019"/>
      <w:bookmarkStart w:id="2022" w:name="bookmark202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18"/>
      <w:bookmarkEnd w:id="2019"/>
      <w:bookmarkEnd w:id="2022"/>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应收代付款及暂借款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112,306,092.48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89,323,772.20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1,614,792.78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1,074,766.40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114,049,185.26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90,526,838.60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23"/>
      <w:bookmarkEnd w:id="2024"/>
      <w:bookmarkEnd w:id="2025"/>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4,199,118.32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633,927.62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202,606.55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5,035,652.49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-1,036,296.26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1,036,296.26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1,478,081.14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652,368.65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2,103,039.19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4,640,903.20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2,192,592.53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205,195.95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7,038,691.68</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按账龄披露</w:t>
      </w:r>
      <w:r>
        <w:br w:type="page"/>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92,818,064.03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20,725,925.28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205,195.95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205,195.95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114,049,185.26</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3</w:t>
      </w:r>
      <w:bookmarkEnd w:id="2028"/>
      <w:r>
        <w:rPr>
          <w:color w:val="000000"/>
          <w:spacing w:val="0"/>
          <w:w w:val="100"/>
          <w:position w:val="0"/>
        </w:rPr>
        <w:t>）本期计提、收回或转回的坏账准备情况</w:t>
      </w:r>
      <w:bookmarkEnd w:id="2026"/>
      <w:bookmarkEnd w:id="2027"/>
      <w:bookmarkEnd w:id="202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4</w:t>
      </w:r>
      <w:r>
        <w:rPr>
          <w:color w:val="000000"/>
          <w:spacing w:val="0"/>
          <w:w w:val="100"/>
          <w:position w:val="0"/>
        </w:rPr>
        <w:t>）本期实际核销的其他应收款情况</w:t>
      </w:r>
      <w:bookmarkEnd w:id="2030"/>
      <w:bookmarkEnd w:id="2031"/>
      <w:bookmarkEnd w:id="2032"/>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8"/>
        <w:keepNext/>
        <w:keepLines/>
        <w:widowControl w:val="0"/>
        <w:shd w:val="clear" w:color="auto" w:fill="auto"/>
        <w:bidi w:val="0"/>
        <w:spacing w:before="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5</w:t>
      </w:r>
      <w:bookmarkEnd w:id="2035"/>
      <w:r>
        <w:rPr>
          <w:color w:val="000000"/>
          <w:spacing w:val="0"/>
          <w:w w:val="100"/>
          <w:position w:val="0"/>
        </w:rPr>
        <w:t>）按欠款方归集的期末余额前五名的其他应收款情况</w:t>
      </w:r>
      <w:bookmarkEnd w:id="2033"/>
      <w:bookmarkEnd w:id="2034"/>
      <w:bookmarkEnd w:id="2036"/>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山东天辰智能停车有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安徽惠邦融资租赁有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32,575,947.17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2,665,054.17</w:t>
            </w:r>
          </w:p>
        </w:tc>
      </w:tr>
    </w:tbl>
    <w:p>
      <w:pPr>
        <w:spacing w:lineRule="exact" w:line="1"/>
        <w:rPr>
          <w:sz w:val="2"/>
          <w:szCs w:val="2"/>
        </w:rPr>
      </w:pPr>
      <w:r>
        <w:br w:type="page"/>
      </w:r>
    </w:p>
    <w:tbl>
      <w:tblPr>
        <w:tblOverlap w:val="never"/>
        <w:jc w:val="center"/>
        <w:tblLayout w:type="fixed"/>
      </w:tblPr>
      <w:tblGrid>
        <w:gridCol w:w="1690"/>
        <w:gridCol w:w="1550"/>
        <w:gridCol w:w="1550"/>
        <w:gridCol w:w="1550"/>
        <w:gridCol w:w="1618"/>
        <w:gridCol w:w="1622"/>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深圳市前海弘毅华浩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徐州五洋科技有限公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24,095,375.14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1,204,768.76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宜春市智慧停车科技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9,729,921.85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486,496.09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112,201,244.16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6,751,319.02</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6</w:t>
      </w:r>
      <w:bookmarkEnd w:id="2039"/>
      <w:r>
        <w:rPr>
          <w:color w:val="000000"/>
          <w:spacing w:val="0"/>
          <w:w w:val="100"/>
          <w:position w:val="0"/>
        </w:rPr>
        <w:t>）涉及政府补助的应收款项</w:t>
      </w:r>
      <w:bookmarkEnd w:id="2037"/>
      <w:bookmarkEnd w:id="2038"/>
      <w:bookmarkEnd w:id="204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28"/>
        <w:keepNext/>
        <w:keepLines/>
        <w:widowControl w:val="0"/>
        <w:shd w:val="clear" w:color="auto" w:fill="auto"/>
        <w:tabs>
          <w:tab w:pos="392" w:val="left"/>
        </w:tabs>
        <w:bidi w:val="0"/>
        <w:spacing w:before="0" w:after="360" w:line="240" w:lineRule="auto"/>
        <w:ind w:left="0" w:right="0" w:firstLine="0"/>
        <w:jc w:val="both"/>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7</w:t>
      </w:r>
      <w:bookmarkEnd w:id="2043"/>
      <w:r>
        <w:rPr>
          <w:color w:val="000000"/>
          <w:spacing w:val="0"/>
          <w:w w:val="100"/>
          <w:position w:val="0"/>
        </w:rPr>
        <w:t>）</w:t>
        <w:tab/>
        <w:t>因金融资产转移而终止确认的其他应收款</w:t>
      </w:r>
      <w:bookmarkEnd w:id="2041"/>
      <w:bookmarkEnd w:id="2042"/>
      <w:bookmarkEnd w:id="2044"/>
    </w:p>
    <w:p>
      <w:pPr>
        <w:pStyle w:val="Style28"/>
        <w:keepNext/>
        <w:keepLines/>
        <w:widowControl w:val="0"/>
        <w:shd w:val="clear" w:color="auto" w:fill="auto"/>
        <w:tabs>
          <w:tab w:pos="397" w:val="left"/>
        </w:tabs>
        <w:bidi w:val="0"/>
        <w:spacing w:before="0" w:after="360" w:line="240" w:lineRule="auto"/>
        <w:ind w:left="0" w:right="0" w:firstLine="0"/>
        <w:jc w:val="both"/>
      </w:pPr>
      <w:bookmarkStart w:id="2041" w:name="bookmark2041"/>
      <w:bookmarkStart w:id="2042" w:name="bookmark2042"/>
      <w:bookmarkStart w:id="2045" w:name="bookmark2045"/>
      <w:bookmarkStart w:id="2046" w:name="bookmark2046"/>
      <w:r>
        <w:rPr>
          <w:rFonts w:ascii="Times New Roman" w:eastAsia="Times New Roman" w:hAnsi="Times New Roman" w:cs="Times New Roman"/>
          <w:color w:val="000000"/>
          <w:spacing w:val="0"/>
          <w:w w:val="100"/>
          <w:position w:val="0"/>
        </w:rPr>
        <w:t>8</w:t>
      </w:r>
      <w:bookmarkEnd w:id="2045"/>
      <w:r>
        <w:rPr>
          <w:color w:val="000000"/>
          <w:spacing w:val="0"/>
          <w:w w:val="100"/>
          <w:position w:val="0"/>
        </w:rPr>
        <w:t>）</w:t>
        <w:tab/>
        <w:t>转移其他应收款且继续涉入形成的资产、负债金额</w:t>
      </w:r>
      <w:bookmarkEnd w:id="2041"/>
      <w:bookmarkEnd w:id="2042"/>
      <w:bookmarkEnd w:id="2046"/>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3</w:t>
      </w:r>
      <w:bookmarkEnd w:id="2049"/>
      <w:r>
        <w:rPr>
          <w:color w:val="000000"/>
          <w:spacing w:val="0"/>
          <w:w w:val="100"/>
          <w:position w:val="0"/>
        </w:rPr>
        <w:t>、长期股权投资</w:t>
      </w:r>
      <w:bookmarkEnd w:id="2047"/>
      <w:bookmarkEnd w:id="2048"/>
      <w:bookmarkEnd w:id="20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1,889,338,751.08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87,206,834.00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1,802,131,917.08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1,867,103,372.81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1,867,103,372.81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3,947,532.53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3,947,532.53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5,584,891.18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5,584,891.18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1,893,286,283.61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87,206,834.00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1,806,079,449.61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1,872,688,263.99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1,872,688,263.99</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2051" w:name="bookmark2051"/>
      <w:bookmarkStart w:id="2052" w:name="bookmark2052"/>
      <w:bookmarkStart w:id="2053" w:name="bookmark20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51"/>
      <w:bookmarkEnd w:id="2052"/>
      <w:bookmarkEnd w:id="20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徐州五洋科技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29,596,828.85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29,596,828.85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江苏五岳科技 实业有限公司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8,929,235.70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8,929,235.70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江苏天沃重工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112,820,852.5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112,820,852.54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江西泰壬科技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6,834,000.00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深圳市伟创自</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动化设备有限</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1,203,000,887.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1,203,000,887.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安徽惠邦融资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北京华逸奇科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30,921,568.00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8,957,784.27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15,728,403.56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24,150,948.71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15,728,403.56</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深圳市前海弘</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毅华浩投资有</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山东天辰智能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71,478,430.44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178,521,569.56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71,478,430.44</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徐州走盛五洋</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智能装备产业</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基金合伙企业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155,350,000.0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14,212,406.00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141,137,594.00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抚州五洋智慧 交通发展产业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徐州五洋停车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1,867,103,372.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36,957,784.27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14,722,406.00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87,206,834.00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1,802,131,917.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87,206,834.00</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2054" w:name="bookmark2054"/>
      <w:bookmarkStart w:id="2055" w:name="bookmark2055"/>
      <w:bookmarkStart w:id="2056" w:name="bookmark20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54"/>
      <w:bookmarkEnd w:id="2055"/>
      <w:bookmarkEnd w:id="20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福建比硕 停车运营 股份有限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3,715,422</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2,462,833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重庆鸿达 智慧城市 发展有限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1,869,469</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-384,770.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1,484,698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5,584,891</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3,947,532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5,584,891</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-1,637,35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3,947,532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numPr>
          <w:ilvl w:val="0"/>
          <w:numId w:val="47"/>
        </w:numPr>
        <w:shd w:val="clear" w:color="auto" w:fill="auto"/>
        <w:bidi w:val="0"/>
        <w:spacing w:before="0" w:line="240" w:lineRule="auto"/>
        <w:ind w:left="0" w:right="0" w:firstLine="0"/>
        <w:jc w:val="left"/>
      </w:pPr>
      <w:bookmarkStart w:id="2057" w:name="bookmark2057"/>
      <w:bookmarkStart w:id="2058" w:name="bookmark2058"/>
      <w:bookmarkStart w:id="2059" w:name="bookmark2059"/>
      <w:bookmarkStart w:id="2060" w:name="bookmark2060"/>
      <w:bookmarkEnd w:id="2059"/>
      <w:r>
        <w:rPr>
          <w:color w:val="000000"/>
          <w:spacing w:val="0"/>
          <w:w w:val="100"/>
          <w:position w:val="0"/>
        </w:rPr>
        <w:t>其他说明</w:t>
      </w:r>
      <w:bookmarkEnd w:id="2057"/>
      <w:bookmarkEnd w:id="2058"/>
      <w:bookmarkEnd w:id="2060"/>
    </w:p>
    <w:p>
      <w:pPr>
        <w:pStyle w:val="Style17"/>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江西泰壬科技有限公司、徐州走盛五洋智能装备产业基金合伙企业本期投资减少系根据其股东会决议同比例减少出资。</w:t>
      </w:r>
    </w:p>
    <w:p>
      <w:pPr>
        <w:pStyle w:val="Style28"/>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4</w:t>
      </w:r>
      <w:bookmarkEnd w:id="2063"/>
      <w:r>
        <w:rPr>
          <w:color w:val="000000"/>
          <w:spacing w:val="0"/>
          <w:w w:val="100"/>
          <w:position w:val="0"/>
        </w:rPr>
        <w:t>、营业收入和营业成本</w:t>
      </w:r>
      <w:bookmarkEnd w:id="2061"/>
      <w:bookmarkEnd w:id="2062"/>
      <w:bookmarkEnd w:id="20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133,658,895.59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82,607,776.08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110,195,264.58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64,905,566.78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4,136,033.12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2,803,253.29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4,045,056.85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3,396,851.62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137,794,928.71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85,411,029.37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114,240,321.43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68,302,418.40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5</w:t>
      </w:r>
      <w:bookmarkEnd w:id="2067"/>
      <w:r>
        <w:rPr>
          <w:color w:val="000000"/>
          <w:spacing w:val="0"/>
          <w:w w:val="100"/>
          <w:position w:val="0"/>
        </w:rPr>
        <w:t>、投资收益</w:t>
      </w:r>
      <w:bookmarkEnd w:id="2065"/>
      <w:bookmarkEnd w:id="2066"/>
      <w:bookmarkEnd w:id="206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-1,637,358.65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-2,121,121.55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北京华逸奇科贸有限公司业绩补偿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15,145,184.27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理财产品及结构性存款收益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338,110.51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443,786.56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53,845,936.13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-1,677,334.99</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6</w:t>
      </w:r>
      <w:bookmarkEnd w:id="2071"/>
      <w:r>
        <w:rPr>
          <w:color w:val="000000"/>
          <w:spacing w:val="0"/>
          <w:w w:val="100"/>
          <w:position w:val="0"/>
        </w:rPr>
        <w:t>、其他</w:t>
      </w:r>
      <w:bookmarkEnd w:id="2069"/>
      <w:bookmarkEnd w:id="2070"/>
      <w:bookmarkEnd w:id="2072"/>
    </w:p>
    <w:p>
      <w:pPr>
        <w:pStyle w:val="Style24"/>
        <w:keepNext/>
        <w:keepLines/>
        <w:widowControl w:val="0"/>
        <w:shd w:val="clear" w:color="auto" w:fill="auto"/>
        <w:bidi w:val="0"/>
        <w:spacing w:before="0" w:line="240" w:lineRule="auto"/>
        <w:ind w:left="0" w:right="0" w:firstLine="0"/>
        <w:jc w:val="left"/>
      </w:pPr>
      <w:bookmarkStart w:id="2073" w:name="bookmark2073"/>
      <w:bookmarkStart w:id="2074" w:name="bookmark2074"/>
      <w:bookmarkStart w:id="2075" w:name="bookmark2075"/>
      <w:r>
        <w:rPr>
          <w:color w:val="000000"/>
          <w:spacing w:val="0"/>
          <w:w w:val="100"/>
          <w:position w:val="0"/>
        </w:rPr>
        <w:t>十八、补充资料</w:t>
      </w:r>
      <w:bookmarkEnd w:id="2073"/>
      <w:bookmarkEnd w:id="2074"/>
      <w:bookmarkEnd w:id="2075"/>
    </w:p>
    <w:p>
      <w:pPr>
        <w:pStyle w:val="Style28"/>
        <w:keepNext/>
        <w:keepLines/>
        <w:widowControl w:val="0"/>
        <w:shd w:val="clear" w:color="auto" w:fill="auto"/>
        <w:bidi w:val="0"/>
        <w:spacing w:before="0" w:after="360" w:line="240" w:lineRule="auto"/>
        <w:ind w:left="0" w:right="0" w:firstLine="0"/>
        <w:jc w:val="left"/>
      </w:pPr>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76"/>
      <w:bookmarkEnd w:id="2077"/>
      <w:bookmarkEnd w:id="2078"/>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-2,486,743.51</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27,663,344.69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6"/>
        <w:gridCol w:w="3062"/>
        <w:gridCol w:w="3192"/>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143,599.51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9,573,664.24</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15,145,184.27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北京华逸奇科贸有限公司业绩补偿</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3,278,380.71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748,913.24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8,628,983.83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696,536.43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44,760,822.89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1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79"/>
      <w:bookmarkEnd w:id="2080"/>
      <w:bookmarkEnd w:id="2081"/>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3</w:t>
      </w:r>
      <w:bookmarkEnd w:id="2084"/>
      <w:r>
        <w:rPr>
          <w:color w:val="000000"/>
          <w:spacing w:val="0"/>
          <w:w w:val="100"/>
          <w:position w:val="0"/>
        </w:rPr>
        <w:t>、境内外会计准则下会计数据差异</w:t>
      </w:r>
      <w:bookmarkEnd w:id="2082"/>
      <w:bookmarkEnd w:id="2083"/>
      <w:bookmarkEnd w:id="2085"/>
    </w:p>
    <w:p>
      <w:pPr>
        <w:pStyle w:val="Style28"/>
        <w:keepNext/>
        <w:keepLines/>
        <w:widowControl w:val="0"/>
        <w:shd w:val="clear" w:color="auto" w:fill="auto"/>
        <w:bidi w:val="0"/>
        <w:spacing w:before="0" w:after="340" w:line="240" w:lineRule="auto"/>
        <w:ind w:left="0" w:right="0" w:firstLine="0"/>
        <w:jc w:val="both"/>
      </w:pPr>
      <w:bookmarkStart w:id="2082" w:name="bookmark2082"/>
      <w:bookmarkStart w:id="2083" w:name="bookmark2083"/>
      <w:bookmarkStart w:id="2086" w:name="bookmark20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082"/>
      <w:bookmarkEnd w:id="2083"/>
      <w:bookmarkEnd w:id="2086"/>
    </w:p>
    <w:p>
      <w:pPr>
        <w:pStyle w:val="Style1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numPr>
          <w:ilvl w:val="0"/>
          <w:numId w:val="49"/>
        </w:numPr>
        <w:shd w:val="clear" w:color="auto" w:fill="auto"/>
        <w:tabs>
          <w:tab w:pos="493" w:val="left"/>
        </w:tabs>
        <w:bidi w:val="0"/>
        <w:spacing w:before="0" w:after="380" w:line="326" w:lineRule="exact"/>
        <w:ind w:left="0" w:right="0" w:firstLine="0"/>
        <w:jc w:val="left"/>
        <w:rPr>
          <w:sz w:val="20"/>
          <w:szCs w:val="20"/>
        </w:rPr>
      </w:pPr>
      <w:bookmarkStart w:id="2087" w:name="bookmark2087"/>
      <w:bookmarkEnd w:id="2087"/>
      <w:r>
        <w:rPr>
          <w:color w:val="000000"/>
          <w:spacing w:val="0"/>
          <w:w w:val="100"/>
          <w:position w:val="0"/>
          <w:sz w:val="20"/>
          <w:szCs w:val="20"/>
        </w:rPr>
        <w:t>同时按照境外会计准则与按中国会计准则披露的财务报告中净利润和净资产差异情况</w:t>
      </w:r>
    </w:p>
    <w:p>
      <w:pPr>
        <w:pStyle w:val="Style1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numPr>
          <w:ilvl w:val="0"/>
          <w:numId w:val="49"/>
        </w:numPr>
        <w:shd w:val="clear" w:color="auto" w:fill="auto"/>
        <w:bidi w:val="0"/>
        <w:spacing w:before="0" w:after="280" w:line="326" w:lineRule="exact"/>
        <w:ind w:left="0" w:right="0" w:firstLine="0"/>
        <w:jc w:val="left"/>
        <w:rPr>
          <w:sz w:val="20"/>
          <w:szCs w:val="20"/>
        </w:rPr>
      </w:pPr>
      <w:bookmarkStart w:id="2088" w:name="bookmark2088"/>
      <w:bookmarkEnd w:id="2088"/>
      <w:r>
        <w:rPr>
          <w:color w:val="000000"/>
          <w:spacing w:val="0"/>
          <w:w w:val="100"/>
          <w:position w:val="0"/>
          <w:sz w:val="20"/>
          <w:szCs w:val="20"/>
        </w:rPr>
        <w:t xml:space="preserve"> 境内外会计准则下会计数据差异原因说明，对已经境外审计机构审计的数据进行差异调节的，应注 明该境外机构的名称</w:t>
      </w:r>
    </w:p>
    <w:p>
      <w:pPr>
        <w:pStyle w:val="Style13"/>
        <w:keepNext w:val="0"/>
        <w:keepLines w:val="0"/>
        <w:widowControl w:val="0"/>
        <w:shd w:val="clear" w:color="auto" w:fill="auto"/>
        <w:bidi w:val="0"/>
        <w:spacing w:before="0" w:after="340" w:line="326" w:lineRule="exact"/>
        <w:ind w:left="0" w:right="0" w:firstLine="0"/>
        <w:jc w:val="left"/>
        <w:rPr>
          <w:sz w:val="20"/>
          <w:szCs w:val="20"/>
        </w:rPr>
      </w:pPr>
      <w:bookmarkStart w:id="2089" w:name="bookmark2089"/>
      <w:r>
        <w:rPr>
          <w:rFonts w:ascii="Times New Roman" w:eastAsia="Times New Roman" w:hAnsi="Times New Roman" w:cs="Times New Roman"/>
          <w:color w:val="000000"/>
          <w:spacing w:val="0"/>
          <w:w w:val="100"/>
          <w:position w:val="0"/>
          <w:sz w:val="20"/>
          <w:szCs w:val="20"/>
        </w:rPr>
        <w:t>4</w:t>
      </w:r>
      <w:bookmarkEnd w:id="2089"/>
      <w:r>
        <w:rPr>
          <w:color w:val="000000"/>
          <w:spacing w:val="0"/>
          <w:w w:val="100"/>
          <w:position w:val="0"/>
          <w:sz w:val="20"/>
          <w:szCs w:val="20"/>
        </w:rPr>
        <w:t>、其他</w:t>
      </w:r>
    </w:p>
    <w:sectPr>
      <w:footnotePr>
        <w:pos w:val="pageBottom"/>
        <w:numFmt w:val="decimal"/>
        <w:numRestart w:val="continuous"/>
      </w:footnotePr>
      <w:pgSz w:w="11900" w:h="16840"/>
      <w:pgMar w:top="1398" w:right="1067" w:bottom="1441" w:left="10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5"/>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Heading #2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6"/>
      <w:szCs w:val="26"/>
      <w:u w:val="none"/>
      <w:shd w:val="clear" w:color="auto" w:fill="auto"/>
    </w:rPr>
  </w:style>
  <w:style w:type="character" w:customStyle="1" w:styleId="CharStyle14">
    <w:name w:val="Body text (3)_"/>
    <w:basedOn w:val="DefaultParagraphFont"/>
    <w:link w:val="Style13"/>
    <w:rPr>
      <w:rFonts w:ascii="SimSun" w:eastAsia="SimSun" w:hAnsi="SimSun" w:cs="SimSun"/>
      <w:b/>
      <w:bCs/>
      <w:i w:val="0"/>
      <w:iCs w:val="0"/>
      <w:smallCaps w:val="0"/>
      <w:strike w:val="0"/>
      <w:sz w:val="22"/>
      <w:szCs w:val="22"/>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17"/>
      <w:szCs w:val="17"/>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3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9">
    <w:name w:val="Heading #4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Table caption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44">
    <w:name w:val="Other (3)_"/>
    <w:basedOn w:val="DefaultParagraphFont"/>
    <w:link w:val="Style43"/>
    <w:rPr>
      <w:rFonts w:ascii="SimHei" w:eastAsia="SimHei" w:hAnsi="SimHei" w:cs="SimHei"/>
      <w:b w:val="0"/>
      <w:bCs w:val="0"/>
      <w:i w:val="0"/>
      <w:iCs w:val="0"/>
      <w:smallCaps w:val="0"/>
      <w:strike w:val="0"/>
      <w:color w:val="828282"/>
      <w:sz w:val="19"/>
      <w:szCs w:val="19"/>
      <w:u w:val="none"/>
      <w:shd w:val="clear" w:color="auto" w:fill="auto"/>
    </w:rPr>
  </w:style>
  <w:style w:type="character" w:customStyle="1" w:styleId="CharStyle53">
    <w:name w:val="Body text (7)_"/>
    <w:basedOn w:val="DefaultParagraphFont"/>
    <w:link w:val="Style5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spacing w:after="9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Heading #2"/>
    <w:basedOn w:val="Normal"/>
    <w:link w:val="CharStyle5"/>
    <w:pPr>
      <w:widowControl w:val="0"/>
      <w:shd w:val="clear" w:color="auto" w:fill="auto"/>
      <w:spacing w:before="500" w:after="68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4)"/>
    <w:basedOn w:val="Normal"/>
    <w:link w:val="CharStyle8"/>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1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3">
    <w:name w:val="Body text (3)"/>
    <w:basedOn w:val="Normal"/>
    <w:link w:val="CharStyle14"/>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styleId="Style17">
    <w:name w:val="Body text"/>
    <w:basedOn w:val="Normal"/>
    <w:link w:val="CharStyle18"/>
    <w:qFormat/>
    <w:pPr>
      <w:widowControl w:val="0"/>
      <w:shd w:val="clear" w:color="auto" w:fill="auto"/>
      <w:spacing w:line="384"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20">
    <w:name w:val="Other"/>
    <w:basedOn w:val="Normal"/>
    <w:link w:val="CharStyle2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3"/>
    <w:basedOn w:val="Normal"/>
    <w:link w:val="CharStyle25"/>
    <w:pPr>
      <w:widowControl w:val="0"/>
      <w:shd w:val="clear" w:color="auto" w:fill="auto"/>
      <w:spacing w:after="3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8">
    <w:name w:val="Heading #4"/>
    <w:basedOn w:val="Normal"/>
    <w:link w:val="CharStyle2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1">
    <w:name w:val="Table caption"/>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3">
    <w:name w:val="Other (3)"/>
    <w:basedOn w:val="Normal"/>
    <w:link w:val="CharStyle44"/>
    <w:pPr>
      <w:widowControl w:val="0"/>
      <w:shd w:val="clear" w:color="auto" w:fill="auto"/>
    </w:pPr>
    <w:rPr>
      <w:rFonts w:ascii="SimHei" w:eastAsia="SimHei" w:hAnsi="SimHei" w:cs="SimHei"/>
      <w:b w:val="0"/>
      <w:bCs w:val="0"/>
      <w:i w:val="0"/>
      <w:iCs w:val="0"/>
      <w:smallCaps w:val="0"/>
      <w:strike w:val="0"/>
      <w:color w:val="828282"/>
      <w:sz w:val="19"/>
      <w:szCs w:val="19"/>
      <w:u w:val="none"/>
      <w:shd w:val="clear" w:color="auto" w:fill="auto"/>
    </w:rPr>
  </w:style>
  <w:style w:type="paragraph" w:customStyle="1" w:styleId="Style52">
    <w:name w:val="Body text (7)"/>
    <w:basedOn w:val="Normal"/>
    <w:link w:val="CharStyle53"/>
    <w:pPr>
      <w:widowControl w:val="0"/>
      <w:shd w:val="clear" w:color="auto" w:fill="auto"/>
      <w:spacing w:after="6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江苏五洋停车产业集团股份有限公司2021年年度报告全文</dc:title>
  <dc:subject/>
  <dc:creator>江苏五洋停车产业集团股份有限公司</dc:creator>
  <cp:keywords/>
</cp:coreProperties>
</file>